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top w:val="double" w:sz="6" w:space="1" w:color="000000"/>
        </w:pBdr>
        <w:spacing w:lineRule="auto" w:line="252" w:before="0" w:after="0"/>
        <w:jc w:val="center"/>
        <w:rPr/>
      </w:pPr>
      <w:bookmarkStart w:id="0" w:name="atha-20220331.htm"/>
      <w:bookmarkStart w:id="1" w:name="ksatha20220331"/>
      <w:bookmarkEnd w:id="0"/>
      <w:bookmarkEnd w:id="1"/>
      <w:r>
        <w:rPr/>
        <w:t> </w:t>
      </w:r>
    </w:p>
    <w:p>
      <w:pPr>
        <w:pStyle w:val="TextBody"/>
        <w:spacing w:lineRule="auto" w:line="252" w:before="0" w:after="0"/>
        <w:jc w:val="center"/>
        <w:rPr>
          <w:rFonts w:ascii="Arial" w:hAnsi="Arial"/>
          <w:b/>
          <w:sz w:val="32"/>
        </w:rPr>
      </w:pPr>
      <w:r>
        <w:rPr>
          <w:rFonts w:ascii="Arial" w:hAnsi="Arial"/>
          <w:b/>
          <w:sz w:val="32"/>
        </w:rPr>
        <w:t>UNITED STATES</w:t>
      </w:r>
    </w:p>
    <w:p>
      <w:pPr>
        <w:pStyle w:val="TextBody"/>
        <w:spacing w:lineRule="auto" w:line="252" w:before="0" w:after="0"/>
        <w:jc w:val="center"/>
        <w:rPr>
          <w:rFonts w:ascii="Arial" w:hAnsi="Arial"/>
          <w:b/>
          <w:sz w:val="32"/>
        </w:rPr>
      </w:pPr>
      <w:r>
        <w:rPr>
          <w:rFonts w:ascii="Arial" w:hAnsi="Arial"/>
          <w:b/>
          <w:sz w:val="32"/>
        </w:rPr>
        <w:t>SECURITIES AND EXCHANGE COMMISSION</w:t>
      </w:r>
    </w:p>
    <w:p>
      <w:pPr>
        <w:pStyle w:val="TextBody"/>
        <w:spacing w:lineRule="auto" w:line="252" w:before="0" w:after="0"/>
        <w:jc w:val="center"/>
        <w:rPr>
          <w:rFonts w:ascii="Arial" w:hAnsi="Arial"/>
          <w:b/>
          <w:sz w:val="20"/>
        </w:rPr>
      </w:pPr>
      <w:r>
        <w:rPr>
          <w:rFonts w:ascii="Arial" w:hAnsi="Arial"/>
          <w:b/>
          <w:sz w:val="20"/>
        </w:rPr>
        <w:t>Washington, DC 20549</w:t>
      </w:r>
    </w:p>
    <w:p>
      <w:pPr>
        <w:pStyle w:val="TextBody"/>
        <w:spacing w:lineRule="auto" w:line="252" w:before="0" w:after="0"/>
        <w:jc w:val="left"/>
        <w:rPr/>
      </w:pPr>
      <w:r>
        <w:rPr/>
        <w:t> </w:t>
      </w:r>
    </w:p>
    <w:p>
      <w:pPr>
        <w:pStyle w:val="TextBody"/>
        <w:spacing w:lineRule="auto" w:line="252" w:before="0" w:after="0"/>
        <w:jc w:val="center"/>
        <w:rPr>
          <w:rFonts w:ascii="Times New Roman" w:hAnsi="Times New Roman"/>
          <w:sz w:val="20"/>
        </w:rPr>
      </w:pPr>
      <w:r>
        <w:rPr>
          <w:rFonts w:ascii="Arial" w:hAnsi="Arial"/>
          <w:b/>
          <w:sz w:val="32"/>
        </w:rPr>
        <w:t>FORM 10-Q</w:t>
      </w:r>
      <w:r>
        <w:rPr>
          <w:rFonts w:ascii="Times New Roman" w:hAnsi="Times New Roman"/>
          <w:sz w:val="20"/>
        </w:rPr>
        <w:t xml:space="preserve"> </w:t>
      </w:r>
    </w:p>
    <w:p>
      <w:pPr>
        <w:pStyle w:val="TextBody"/>
        <w:spacing w:lineRule="auto" w:line="252" w:before="0" w:after="0"/>
        <w:jc w:val="left"/>
        <w:rPr/>
      </w:pPr>
      <w:r>
        <w:rPr/>
        <w:t> </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lineRule="auto" w:line="230" w:before="0" w:after="0"/>
              <w:ind w:left="0" w:right="0" w:hanging="0"/>
              <w:jc w:val="left"/>
              <w:rPr/>
            </w:pPr>
            <w:r>
              <w:rPr/>
              <w:t>☒</w:t>
            </w:r>
          </w:p>
        </w:tc>
        <w:tc>
          <w:tcPr>
            <w:tcW w:w="9874" w:type="dxa"/>
            <w:tcBorders/>
            <w:shd w:fill="auto" w:val="clear"/>
            <w:tcMar>
              <w:top w:w="0" w:type="dxa"/>
              <w:left w:w="0" w:type="dxa"/>
              <w:bottom w:w="0" w:type="dxa"/>
              <w:right w:w="0" w:type="dxa"/>
            </w:tcMar>
            <w:vAlign w:val="center"/>
          </w:tcPr>
          <w:p>
            <w:pPr>
              <w:pStyle w:val="TableContents"/>
              <w:spacing w:lineRule="auto" w:line="230" w:before="0" w:after="0"/>
              <w:ind w:left="0" w:right="0" w:hanging="0"/>
              <w:jc w:val="left"/>
              <w:rPr>
                <w:rFonts w:ascii="Arial" w:hAnsi="Arial"/>
                <w:b/>
                <w:sz w:val="22"/>
              </w:rPr>
            </w:pPr>
            <w:r>
              <w:rPr>
                <w:rFonts w:ascii="Arial" w:hAnsi="Arial"/>
                <w:b/>
                <w:sz w:val="22"/>
              </w:rPr>
              <w:t>QUARTERLY REPORT PURSUANT TO SECTION 13 OR 15(d) OF THE SECURITIES EXCHANGE ACT OF 1934</w:t>
            </w:r>
          </w:p>
        </w:tc>
      </w:tr>
    </w:tbl>
    <w:p>
      <w:pPr>
        <w:pStyle w:val="TextBody"/>
        <w:spacing w:lineRule="auto" w:line="252" w:before="0" w:after="0"/>
        <w:jc w:val="left"/>
        <w:rPr/>
      </w:pPr>
      <w:r>
        <w:rPr/>
        <w:t> </w:t>
      </w:r>
    </w:p>
    <w:p>
      <w:pPr>
        <w:pStyle w:val="TextBody"/>
        <w:spacing w:lineRule="auto" w:line="252" w:before="0" w:after="0"/>
        <w:jc w:val="center"/>
        <w:rPr>
          <w:rFonts w:ascii="Times New Roman" w:hAnsi="Times New Roman"/>
          <w:sz w:val="20"/>
        </w:rPr>
      </w:pPr>
      <w:r>
        <w:rPr>
          <w:rFonts w:ascii="Arial" w:hAnsi="Arial"/>
          <w:b/>
          <w:sz w:val="20"/>
        </w:rPr>
        <w:t>For the quarterly period ended</w:t>
      </w:r>
      <w:r>
        <w:rPr>
          <w:rFonts w:ascii="Times New Roman" w:hAnsi="Times New Roman"/>
          <w:sz w:val="20"/>
        </w:rPr>
        <w:t xml:space="preserve"> </w:t>
      </w:r>
      <w:r>
        <w:rPr>
          <w:rFonts w:ascii="Arial" w:hAnsi="Arial"/>
          <w:b/>
          <w:sz w:val="20"/>
        </w:rPr>
        <w:t>March 31, 2022</w:t>
      </w:r>
    </w:p>
    <w:p>
      <w:pPr>
        <w:pStyle w:val="TextBody"/>
        <w:spacing w:lineRule="auto" w:line="252" w:before="0" w:after="0"/>
        <w:jc w:val="center"/>
        <w:rPr/>
      </w:pPr>
      <w:r>
        <w:rPr/>
        <w:t> </w:t>
      </w:r>
    </w:p>
    <w:p>
      <w:pPr>
        <w:pStyle w:val="TextBody"/>
        <w:spacing w:lineRule="auto" w:line="252" w:before="0" w:after="0"/>
        <w:jc w:val="center"/>
        <w:rPr>
          <w:rFonts w:ascii="Arial" w:hAnsi="Arial"/>
          <w:b/>
          <w:sz w:val="20"/>
        </w:rPr>
      </w:pPr>
      <w:r>
        <w:rPr>
          <w:rFonts w:ascii="Arial" w:hAnsi="Arial"/>
          <w:b/>
          <w:sz w:val="20"/>
        </w:rPr>
        <w:t>OR</w:t>
      </w:r>
    </w:p>
    <w:p>
      <w:pPr>
        <w:pStyle w:val="TextBody"/>
        <w:spacing w:lineRule="auto" w:line="252" w:before="0" w:after="0"/>
        <w:jc w:val="left"/>
        <w:rPr/>
      </w:pPr>
      <w:r>
        <w:rPr/>
        <w:t> </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lineRule="auto" w:line="230" w:before="0" w:after="0"/>
              <w:ind w:left="0" w:right="0" w:hanging="0"/>
              <w:jc w:val="left"/>
              <w:rPr/>
            </w:pPr>
            <w:r>
              <w:rPr/>
              <w:t>☐</w:t>
            </w:r>
          </w:p>
        </w:tc>
        <w:tc>
          <w:tcPr>
            <w:tcW w:w="9874" w:type="dxa"/>
            <w:tcBorders/>
            <w:shd w:fill="auto" w:val="clear"/>
            <w:tcMar>
              <w:top w:w="0" w:type="dxa"/>
              <w:left w:w="0" w:type="dxa"/>
              <w:bottom w:w="0" w:type="dxa"/>
              <w:right w:w="0" w:type="dxa"/>
            </w:tcMar>
            <w:vAlign w:val="center"/>
          </w:tcPr>
          <w:p>
            <w:pPr>
              <w:pStyle w:val="TableContents"/>
              <w:spacing w:lineRule="auto" w:line="230" w:before="0" w:after="0"/>
              <w:ind w:left="0" w:right="0" w:hanging="0"/>
              <w:jc w:val="left"/>
              <w:rPr>
                <w:rFonts w:ascii="Arial" w:hAnsi="Arial"/>
                <w:b/>
                <w:sz w:val="22"/>
              </w:rPr>
            </w:pPr>
            <w:r>
              <w:rPr>
                <w:rFonts w:ascii="Arial" w:hAnsi="Arial"/>
                <w:b/>
                <w:sz w:val="22"/>
              </w:rPr>
              <w:t>TRANSITION REPORT PURSUANT TO SECTION 13 OR 15(d) OF THE SECURITIES EXCHANGE ACT OF 1934</w:t>
            </w:r>
          </w:p>
        </w:tc>
      </w:tr>
    </w:tbl>
    <w:p>
      <w:pPr>
        <w:pStyle w:val="TextBody"/>
        <w:spacing w:lineRule="auto" w:line="252" w:before="0" w:after="0"/>
        <w:jc w:val="left"/>
        <w:rPr/>
      </w:pPr>
      <w:r>
        <w:rPr/>
        <w:t> </w:t>
      </w:r>
    </w:p>
    <w:p>
      <w:pPr>
        <w:pStyle w:val="TextBody"/>
        <w:spacing w:lineRule="auto" w:line="252" w:before="0" w:after="0"/>
        <w:jc w:val="center"/>
        <w:rPr>
          <w:rFonts w:ascii="Arial" w:hAnsi="Arial"/>
          <w:b/>
          <w:sz w:val="20"/>
        </w:rPr>
      </w:pPr>
      <w:r>
        <w:rPr>
          <w:rFonts w:ascii="Arial" w:hAnsi="Arial"/>
          <w:b/>
          <w:sz w:val="20"/>
        </w:rPr>
        <w:t>For the transition period from ____ to ____</w:t>
      </w:r>
    </w:p>
    <w:p>
      <w:pPr>
        <w:pStyle w:val="TextBody"/>
        <w:spacing w:lineRule="auto" w:line="252" w:before="60" w:after="0"/>
        <w:jc w:val="center"/>
        <w:rPr>
          <w:rFonts w:ascii="Times New Roman" w:hAnsi="Times New Roman"/>
          <w:sz w:val="20"/>
        </w:rPr>
      </w:pPr>
      <w:r>
        <w:rPr>
          <w:rFonts w:ascii="Arial" w:hAnsi="Arial"/>
          <w:b/>
          <w:sz w:val="20"/>
        </w:rPr>
        <w:t>Commission File Number: 001-39503</w:t>
      </w:r>
      <w:r>
        <w:rPr>
          <w:rFonts w:ascii="Times New Roman" w:hAnsi="Times New Roman"/>
          <w:sz w:val="20"/>
        </w:rPr>
        <w:t xml:space="preserve"> </w:t>
      </w:r>
    </w:p>
    <w:p>
      <w:pPr>
        <w:pStyle w:val="TextBody"/>
        <w:pBdr>
          <w:bottom w:val="single" w:sz="4" w:space="1" w:color="000000"/>
        </w:pBdr>
        <w:spacing w:lineRule="auto" w:line="252" w:before="0" w:after="0"/>
        <w:jc w:val="center"/>
        <w:rPr/>
      </w:pPr>
      <w:r>
        <w:rPr/>
        <w:t> </w:t>
      </w:r>
    </w:p>
    <w:p>
      <w:pPr>
        <w:pStyle w:val="TextBody"/>
        <w:spacing w:lineRule="auto" w:line="252" w:before="120" w:after="0"/>
        <w:jc w:val="center"/>
        <w:rPr>
          <w:rFonts w:ascii="Times New Roman" w:hAnsi="Times New Roman"/>
          <w:sz w:val="20"/>
        </w:rPr>
      </w:pPr>
      <w:r>
        <w:rPr>
          <w:rFonts w:ascii="Arial" w:hAnsi="Arial"/>
          <w:b/>
          <w:sz w:val="40"/>
        </w:rPr>
        <w:t>Athira Pharma, Inc.</w:t>
      </w:r>
      <w:r>
        <w:rPr>
          <w:rFonts w:ascii="Times New Roman" w:hAnsi="Times New Roman"/>
          <w:sz w:val="20"/>
        </w:rPr>
        <w:t xml:space="preserve"> </w:t>
      </w:r>
    </w:p>
    <w:p>
      <w:pPr>
        <w:pStyle w:val="TextBody"/>
        <w:spacing w:lineRule="auto" w:line="252" w:before="0" w:after="0"/>
        <w:jc w:val="center"/>
        <w:rPr>
          <w:rFonts w:ascii="Arial" w:hAnsi="Arial"/>
          <w:b/>
          <w:sz w:val="20"/>
        </w:rPr>
      </w:pPr>
      <w:r>
        <w:rPr>
          <w:rFonts w:ascii="Arial" w:hAnsi="Arial"/>
          <w:b/>
          <w:sz w:val="20"/>
        </w:rPr>
        <w:t>(Exact name of registrant as specified in its charter)</w:t>
      </w:r>
    </w:p>
    <w:p>
      <w:pPr>
        <w:pStyle w:val="TextBody"/>
        <w:pBdr>
          <w:bottom w:val="single" w:sz="4" w:space="1" w:color="000000"/>
        </w:pBdr>
        <w:spacing w:lineRule="auto" w:line="252" w:before="0" w:after="0"/>
        <w:jc w:val="center"/>
        <w:rPr/>
      </w:pPr>
      <w:r>
        <w:rPr/>
        <w:t> </w:t>
      </w:r>
    </w:p>
    <w:p>
      <w:pPr>
        <w:pStyle w:val="TextBody"/>
        <w:spacing w:lineRule="auto" w:line="252" w:before="0" w:after="0"/>
        <w:jc w:val="left"/>
        <w:rPr/>
      </w:pPr>
      <w:r>
        <w:rPr/>
        <w:t> </w:t>
      </w:r>
    </w:p>
    <w:tbl>
      <w:tblPr>
        <w:tblW w:w="4097" w:type="dxa"/>
        <w:jc w:val="left"/>
        <w:tblInd w:w="0" w:type="dxa"/>
        <w:tblCellMar>
          <w:top w:w="28" w:type="dxa"/>
          <w:left w:w="28" w:type="dxa"/>
          <w:bottom w:w="28" w:type="dxa"/>
          <w:right w:w="28" w:type="dxa"/>
        </w:tblCellMar>
      </w:tblPr>
      <w:tblGrid>
        <w:gridCol w:w="2521"/>
        <w:gridCol w:w="1576"/>
      </w:tblGrid>
      <w:tr>
        <w:trPr/>
        <w:tc>
          <w:tcPr>
            <w:tcW w:w="2521" w:type="dxa"/>
            <w:tcBorders/>
            <w:shd w:fill="auto" w:val="clear"/>
            <w:vAlign w:val="center"/>
          </w:tcPr>
          <w:p>
            <w:pPr>
              <w:pStyle w:val="TableContents"/>
              <w:spacing w:before="0" w:after="283"/>
              <w:rPr>
                <w:sz w:val="4"/>
                <w:szCs w:val="4"/>
              </w:rPr>
            </w:pPr>
            <w:r>
              <w:rPr>
                <w:sz w:val="4"/>
                <w:szCs w:val="4"/>
              </w:rPr>
            </w:r>
          </w:p>
        </w:tc>
        <w:tc>
          <w:tcPr>
            <w:tcW w:w="1576" w:type="dxa"/>
            <w:tcBorders/>
            <w:shd w:fill="auto" w:val="clear"/>
            <w:vAlign w:val="center"/>
          </w:tcPr>
          <w:p>
            <w:pPr>
              <w:pStyle w:val="TableContents"/>
              <w:spacing w:before="0" w:after="283"/>
              <w:rPr>
                <w:sz w:val="4"/>
                <w:szCs w:val="4"/>
              </w:rPr>
            </w:pPr>
            <w:r>
              <w:rPr>
                <w:sz w:val="4"/>
                <w:szCs w:val="4"/>
              </w:rPr>
            </w:r>
          </w:p>
        </w:tc>
      </w:tr>
      <w:tr>
        <w:trPr/>
        <w:tc>
          <w:tcPr>
            <w:tcW w:w="2521" w:type="dxa"/>
            <w:tcBorders/>
            <w:shd w:fill="auto" w:val="clear"/>
            <w:tcMar>
              <w:top w:w="0" w:type="dxa"/>
              <w:left w:w="0" w:type="dxa"/>
              <w:bottom w:w="0" w:type="dxa"/>
              <w:right w:w="0" w:type="dxa"/>
            </w:tcMar>
            <w:vAlign w:val="center"/>
          </w:tcPr>
          <w:p>
            <w:pPr>
              <w:pStyle w:val="TableContents"/>
              <w:spacing w:lineRule="auto" w:line="230" w:before="0" w:after="0"/>
              <w:ind w:left="0" w:right="0" w:hanging="0"/>
              <w:jc w:val="center"/>
              <w:rPr>
                <w:rFonts w:ascii="Arial" w:hAnsi="Arial"/>
                <w:b/>
                <w:sz w:val="20"/>
              </w:rPr>
            </w:pPr>
            <w:r>
              <w:rPr>
                <w:rFonts w:ascii="Arial" w:hAnsi="Arial"/>
                <w:b/>
                <w:sz w:val="20"/>
              </w:rPr>
              <w:t>Delaware</w:t>
            </w:r>
          </w:p>
        </w:tc>
        <w:tc>
          <w:tcPr>
            <w:tcW w:w="1576" w:type="dxa"/>
            <w:tcBorders/>
            <w:shd w:fill="auto" w:val="clear"/>
            <w:tcMar>
              <w:top w:w="0" w:type="dxa"/>
              <w:left w:w="0" w:type="dxa"/>
              <w:bottom w:w="0" w:type="dxa"/>
              <w:right w:w="0" w:type="dxa"/>
            </w:tcMar>
            <w:vAlign w:val="center"/>
          </w:tcPr>
          <w:p>
            <w:pPr>
              <w:pStyle w:val="TableContents"/>
              <w:spacing w:lineRule="auto" w:line="230" w:before="0" w:after="0"/>
              <w:ind w:left="0" w:right="0" w:hanging="0"/>
              <w:jc w:val="center"/>
              <w:rPr>
                <w:rFonts w:ascii="Arial" w:hAnsi="Arial"/>
                <w:b/>
                <w:sz w:val="20"/>
              </w:rPr>
            </w:pPr>
            <w:r>
              <w:rPr>
                <w:rFonts w:ascii="Arial" w:hAnsi="Arial"/>
                <w:b/>
                <w:sz w:val="20"/>
              </w:rPr>
              <w:t>45-3368487</w:t>
            </w:r>
          </w:p>
        </w:tc>
      </w:tr>
      <w:tr>
        <w:trPr/>
        <w:tc>
          <w:tcPr>
            <w:tcW w:w="2521" w:type="dxa"/>
            <w:tcBorders/>
            <w:shd w:fill="auto" w:val="clear"/>
            <w:tcMar>
              <w:top w:w="0" w:type="dxa"/>
              <w:left w:w="0" w:type="dxa"/>
              <w:bottom w:w="0" w:type="dxa"/>
              <w:right w:w="0" w:type="dxa"/>
            </w:tcMar>
            <w:vAlign w:val="center"/>
          </w:tcPr>
          <w:p>
            <w:pPr>
              <w:pStyle w:val="TableContents"/>
              <w:spacing w:lineRule="auto" w:line="230" w:before="0" w:after="0"/>
              <w:ind w:left="0" w:right="0" w:hanging="0"/>
              <w:jc w:val="center"/>
              <w:rPr>
                <w:rFonts w:ascii="Arial" w:hAnsi="Arial"/>
                <w:b/>
                <w:sz w:val="16"/>
              </w:rPr>
            </w:pPr>
            <w:r>
              <w:rPr>
                <w:rFonts w:ascii="Arial" w:hAnsi="Arial"/>
                <w:b/>
                <w:sz w:val="16"/>
              </w:rPr>
              <w:t>(State or other jurisdiction of</w:t>
              <w:br/>
              <w:t>incorporation or organization)</w:t>
            </w:r>
          </w:p>
        </w:tc>
        <w:tc>
          <w:tcPr>
            <w:tcW w:w="1576" w:type="dxa"/>
            <w:tcBorders/>
            <w:shd w:fill="auto" w:val="clear"/>
            <w:tcMar>
              <w:top w:w="0" w:type="dxa"/>
              <w:left w:w="0" w:type="dxa"/>
              <w:bottom w:w="0" w:type="dxa"/>
              <w:right w:w="0" w:type="dxa"/>
            </w:tcMar>
            <w:vAlign w:val="center"/>
          </w:tcPr>
          <w:p>
            <w:pPr>
              <w:pStyle w:val="TableContents"/>
              <w:spacing w:lineRule="auto" w:line="230" w:before="0" w:after="0"/>
              <w:ind w:left="0" w:right="0" w:hanging="0"/>
              <w:jc w:val="center"/>
              <w:rPr>
                <w:rFonts w:ascii="Arial" w:hAnsi="Arial"/>
                <w:b/>
                <w:sz w:val="16"/>
              </w:rPr>
            </w:pPr>
            <w:r>
              <w:rPr>
                <w:rFonts w:ascii="Arial" w:hAnsi="Arial"/>
                <w:b/>
                <w:sz w:val="16"/>
              </w:rPr>
              <w:t>(I.R.S. Employer</w:t>
              <w:br/>
              <w:t>Identification No.)</w:t>
            </w:r>
          </w:p>
        </w:tc>
      </w:tr>
    </w:tbl>
    <w:p>
      <w:pPr>
        <w:pStyle w:val="TextBody"/>
        <w:spacing w:lineRule="auto" w:line="252" w:before="0" w:after="0"/>
        <w:jc w:val="left"/>
        <w:rPr/>
      </w:pPr>
      <w:r>
        <w:rPr/>
        <w:t> </w:t>
      </w:r>
    </w:p>
    <w:p>
      <w:pPr>
        <w:pStyle w:val="TextBody"/>
        <w:spacing w:lineRule="auto" w:line="252" w:before="0" w:after="0"/>
        <w:jc w:val="center"/>
        <w:rPr>
          <w:rFonts w:ascii="Arial" w:hAnsi="Arial"/>
          <w:b/>
          <w:sz w:val="20"/>
        </w:rPr>
      </w:pPr>
      <w:r>
        <w:rPr>
          <w:rFonts w:ascii="Arial" w:hAnsi="Arial"/>
          <w:b/>
          <w:sz w:val="20"/>
        </w:rPr>
        <w:t>18706 North Creek Parkway, Suite 104</w:t>
      </w:r>
    </w:p>
    <w:p>
      <w:pPr>
        <w:pStyle w:val="TextBody"/>
        <w:spacing w:lineRule="auto" w:line="252" w:before="0" w:after="0"/>
        <w:jc w:val="center"/>
        <w:rPr>
          <w:rFonts w:ascii="Times New Roman" w:hAnsi="Times New Roman"/>
          <w:sz w:val="20"/>
        </w:rPr>
      </w:pPr>
      <w:r>
        <w:rPr>
          <w:rFonts w:ascii="Arial" w:hAnsi="Arial"/>
          <w:b/>
          <w:sz w:val="20"/>
        </w:rPr>
        <w:t>Bothell, Washington</w:t>
      </w:r>
      <w:r>
        <w:rPr>
          <w:rFonts w:ascii="Times New Roman" w:hAnsi="Times New Roman"/>
          <w:sz w:val="20"/>
        </w:rPr>
        <w:t xml:space="preserve"> </w:t>
      </w:r>
      <w:r>
        <w:rPr>
          <w:rFonts w:ascii="Arial" w:hAnsi="Arial"/>
          <w:b/>
          <w:sz w:val="20"/>
        </w:rPr>
        <w:t>98011</w:t>
      </w:r>
    </w:p>
    <w:p>
      <w:pPr>
        <w:pStyle w:val="TextBody"/>
        <w:spacing w:lineRule="auto" w:line="252" w:before="0" w:after="0"/>
        <w:jc w:val="center"/>
        <w:rPr>
          <w:rFonts w:ascii="Arial" w:hAnsi="Arial"/>
          <w:b/>
          <w:sz w:val="16"/>
        </w:rPr>
      </w:pPr>
      <w:r>
        <w:rPr>
          <w:rFonts w:ascii="Arial" w:hAnsi="Arial"/>
          <w:b/>
          <w:sz w:val="16"/>
        </w:rPr>
        <w:t>(Address of principal executive offices)</w:t>
      </w:r>
    </w:p>
    <w:p>
      <w:pPr>
        <w:pStyle w:val="TextBody"/>
        <w:spacing w:lineRule="auto" w:line="252" w:before="0" w:after="0"/>
        <w:jc w:val="center"/>
        <w:rPr>
          <w:rFonts w:ascii="Times New Roman" w:hAnsi="Times New Roman"/>
          <w:sz w:val="20"/>
        </w:rPr>
      </w:pPr>
      <w:r>
        <w:rPr>
          <w:rFonts w:ascii="Arial" w:hAnsi="Arial"/>
          <w:b/>
          <w:sz w:val="20"/>
        </w:rPr>
        <w:t>(425) 620-8501</w:t>
      </w:r>
      <w:r>
        <w:rPr>
          <w:rFonts w:ascii="Times New Roman" w:hAnsi="Times New Roman"/>
          <w:sz w:val="20"/>
        </w:rPr>
        <w:t xml:space="preserve"> </w:t>
      </w:r>
    </w:p>
    <w:p>
      <w:pPr>
        <w:pStyle w:val="TextBody"/>
        <w:spacing w:lineRule="auto" w:line="252" w:before="0" w:after="0"/>
        <w:jc w:val="center"/>
        <w:rPr>
          <w:rFonts w:ascii="Arial" w:hAnsi="Arial"/>
          <w:b/>
          <w:sz w:val="16"/>
        </w:rPr>
      </w:pPr>
      <w:r>
        <w:rPr>
          <w:rFonts w:ascii="Arial" w:hAnsi="Arial"/>
          <w:b/>
          <w:sz w:val="16"/>
        </w:rPr>
        <w:t>(Registrant’s telephone number, including area code)</w:t>
      </w:r>
    </w:p>
    <w:p>
      <w:pPr>
        <w:pStyle w:val="TextBody"/>
        <w:pBdr>
          <w:bottom w:val="single" w:sz="4" w:space="1" w:color="000000"/>
        </w:pBdr>
        <w:spacing w:lineRule="auto" w:line="252" w:before="0" w:after="0"/>
        <w:jc w:val="center"/>
        <w:rPr/>
      </w:pPr>
      <w:r>
        <w:rPr/>
        <w:t> </w:t>
      </w:r>
    </w:p>
    <w:p>
      <w:pPr>
        <w:pStyle w:val="TextBody"/>
        <w:spacing w:lineRule="auto" w:line="252" w:before="120" w:after="0"/>
        <w:jc w:val="center"/>
        <w:rPr>
          <w:rFonts w:ascii="Arial" w:hAnsi="Arial"/>
          <w:b w:val="false"/>
          <w:sz w:val="20"/>
        </w:rPr>
      </w:pPr>
      <w:r>
        <w:rPr>
          <w:rFonts w:ascii="Arial" w:hAnsi="Arial"/>
          <w:b w:val="false"/>
          <w:sz w:val="20"/>
        </w:rPr>
        <w:t>Securities registered pursuant to Section 12(b) of the Act:</w:t>
      </w:r>
    </w:p>
    <w:p>
      <w:pPr>
        <w:pStyle w:val="TextBody"/>
        <w:spacing w:lineRule="auto" w:line="252" w:before="0" w:after="0"/>
        <w:jc w:val="left"/>
        <w:rPr/>
      </w:pPr>
      <w:r>
        <w:rPr/>
        <w:t> </w:t>
      </w:r>
    </w:p>
    <w:tbl>
      <w:tblPr>
        <w:tblW w:w="9243" w:type="dxa"/>
        <w:jc w:val="left"/>
        <w:tblInd w:w="0" w:type="dxa"/>
        <w:tblCellMar>
          <w:top w:w="28" w:type="dxa"/>
          <w:left w:w="28" w:type="dxa"/>
          <w:bottom w:w="28" w:type="dxa"/>
          <w:right w:w="28" w:type="dxa"/>
        </w:tblCellMar>
      </w:tblPr>
      <w:tblGrid>
        <w:gridCol w:w="4006"/>
        <w:gridCol w:w="1576"/>
        <w:gridCol w:w="3661"/>
      </w:tblGrid>
      <w:tr>
        <w:trPr/>
        <w:tc>
          <w:tcPr>
            <w:tcW w:w="4006" w:type="dxa"/>
            <w:tcBorders/>
            <w:shd w:fill="auto" w:val="clear"/>
            <w:vAlign w:val="center"/>
          </w:tcPr>
          <w:p>
            <w:pPr>
              <w:pStyle w:val="TableContents"/>
              <w:spacing w:before="0" w:after="283"/>
              <w:rPr>
                <w:sz w:val="4"/>
                <w:szCs w:val="4"/>
              </w:rPr>
            </w:pPr>
            <w:r>
              <w:rPr>
                <w:sz w:val="4"/>
                <w:szCs w:val="4"/>
              </w:rPr>
            </w:r>
          </w:p>
        </w:tc>
        <w:tc>
          <w:tcPr>
            <w:tcW w:w="1576" w:type="dxa"/>
            <w:tcBorders/>
            <w:shd w:fill="auto" w:val="clear"/>
            <w:vAlign w:val="center"/>
          </w:tcPr>
          <w:p>
            <w:pPr>
              <w:pStyle w:val="TableContents"/>
              <w:spacing w:before="0" w:after="283"/>
              <w:rPr>
                <w:sz w:val="4"/>
                <w:szCs w:val="4"/>
              </w:rPr>
            </w:pPr>
            <w:r>
              <w:rPr>
                <w:sz w:val="4"/>
                <w:szCs w:val="4"/>
              </w:rPr>
            </w:r>
          </w:p>
        </w:tc>
        <w:tc>
          <w:tcPr>
            <w:tcW w:w="3661" w:type="dxa"/>
            <w:tcBorders/>
            <w:shd w:fill="auto" w:val="clear"/>
            <w:vAlign w:val="center"/>
          </w:tcPr>
          <w:p>
            <w:pPr>
              <w:pStyle w:val="TableContents"/>
              <w:spacing w:before="0" w:after="283"/>
              <w:rPr>
                <w:sz w:val="4"/>
                <w:szCs w:val="4"/>
              </w:rPr>
            </w:pPr>
            <w:r>
              <w:rPr>
                <w:sz w:val="4"/>
                <w:szCs w:val="4"/>
              </w:rPr>
            </w:r>
          </w:p>
        </w:tc>
      </w:tr>
      <w:tr>
        <w:trPr/>
        <w:tc>
          <w:tcPr>
            <w:tcW w:w="4006" w:type="dxa"/>
            <w:tcBorders/>
            <w:shd w:fill="auto" w:val="clear"/>
            <w:tcMar>
              <w:top w:w="0" w:type="dxa"/>
              <w:left w:w="0" w:type="dxa"/>
              <w:bottom w:w="0" w:type="dxa"/>
              <w:right w:w="0" w:type="dxa"/>
            </w:tcMar>
            <w:vAlign w:val="center"/>
          </w:tcPr>
          <w:p>
            <w:pPr>
              <w:pStyle w:val="TableContents"/>
              <w:spacing w:lineRule="auto" w:line="230" w:before="0" w:after="0"/>
              <w:ind w:left="0" w:right="0" w:hanging="0"/>
              <w:jc w:val="center"/>
              <w:rPr>
                <w:rFonts w:ascii="Arial" w:hAnsi="Arial"/>
                <w:b/>
                <w:sz w:val="16"/>
              </w:rPr>
            </w:pPr>
            <w:r>
              <w:rPr>
                <w:rFonts w:ascii="Arial" w:hAnsi="Arial"/>
                <w:b/>
                <w:sz w:val="16"/>
              </w:rPr>
              <w:t>Title of each class</w:t>
            </w:r>
          </w:p>
        </w:tc>
        <w:tc>
          <w:tcPr>
            <w:tcW w:w="1576" w:type="dxa"/>
            <w:tcBorders/>
            <w:shd w:fill="auto" w:val="clear"/>
            <w:tcMar>
              <w:top w:w="0" w:type="dxa"/>
              <w:left w:w="0" w:type="dxa"/>
              <w:bottom w:w="0" w:type="dxa"/>
              <w:right w:w="0" w:type="dxa"/>
            </w:tcMar>
            <w:vAlign w:val="center"/>
          </w:tcPr>
          <w:p>
            <w:pPr>
              <w:pStyle w:val="TableContents"/>
              <w:spacing w:lineRule="auto" w:line="230" w:before="0" w:after="0"/>
              <w:ind w:left="0" w:right="0" w:hanging="0"/>
              <w:jc w:val="center"/>
              <w:rPr>
                <w:rFonts w:ascii="Arial" w:hAnsi="Arial"/>
                <w:b/>
                <w:sz w:val="16"/>
              </w:rPr>
            </w:pPr>
            <w:r>
              <w:rPr>
                <w:rFonts w:ascii="Arial" w:hAnsi="Arial"/>
                <w:b/>
                <w:sz w:val="16"/>
              </w:rPr>
              <w:t>Trading Symbol(s)</w:t>
            </w:r>
          </w:p>
        </w:tc>
        <w:tc>
          <w:tcPr>
            <w:tcW w:w="3661" w:type="dxa"/>
            <w:tcBorders/>
            <w:shd w:fill="auto" w:val="clear"/>
            <w:tcMar>
              <w:top w:w="0" w:type="dxa"/>
              <w:left w:w="0" w:type="dxa"/>
              <w:bottom w:w="0" w:type="dxa"/>
              <w:right w:w="0" w:type="dxa"/>
            </w:tcMar>
            <w:vAlign w:val="center"/>
          </w:tcPr>
          <w:p>
            <w:pPr>
              <w:pStyle w:val="TableContents"/>
              <w:spacing w:lineRule="auto" w:line="230" w:before="0" w:after="0"/>
              <w:ind w:left="0" w:right="0" w:hanging="0"/>
              <w:jc w:val="center"/>
              <w:rPr>
                <w:rFonts w:ascii="Arial" w:hAnsi="Arial"/>
                <w:b/>
                <w:sz w:val="16"/>
              </w:rPr>
            </w:pPr>
            <w:r>
              <w:rPr>
                <w:rFonts w:ascii="Arial" w:hAnsi="Arial"/>
                <w:b/>
                <w:sz w:val="16"/>
              </w:rPr>
              <w:t>Name of each exchange on which registered</w:t>
            </w:r>
          </w:p>
        </w:tc>
      </w:tr>
      <w:tr>
        <w:trPr/>
        <w:tc>
          <w:tcPr>
            <w:tcW w:w="4006" w:type="dxa"/>
            <w:tcBorders/>
            <w:shd w:fill="auto" w:val="clear"/>
            <w:tcMar>
              <w:top w:w="0" w:type="dxa"/>
              <w:left w:w="0" w:type="dxa"/>
              <w:bottom w:w="0" w:type="dxa"/>
              <w:right w:w="0" w:type="dxa"/>
            </w:tcMar>
            <w:vAlign w:val="center"/>
          </w:tcPr>
          <w:p>
            <w:pPr>
              <w:pStyle w:val="TableContents"/>
              <w:spacing w:lineRule="auto" w:line="230" w:before="0" w:after="0"/>
              <w:ind w:left="0" w:right="0" w:hanging="0"/>
              <w:jc w:val="center"/>
              <w:rPr>
                <w:rFonts w:ascii="Arial" w:hAnsi="Arial"/>
                <w:b w:val="false"/>
                <w:sz w:val="20"/>
              </w:rPr>
            </w:pPr>
            <w:r>
              <w:rPr>
                <w:rFonts w:ascii="Arial" w:hAnsi="Arial"/>
                <w:b w:val="false"/>
                <w:sz w:val="20"/>
              </w:rPr>
              <w:t>Common Stock, $0.0001 par value per share</w:t>
            </w:r>
          </w:p>
        </w:tc>
        <w:tc>
          <w:tcPr>
            <w:tcW w:w="1576" w:type="dxa"/>
            <w:tcBorders/>
            <w:shd w:fill="auto" w:val="clear"/>
            <w:tcMar>
              <w:top w:w="0" w:type="dxa"/>
              <w:left w:w="0" w:type="dxa"/>
              <w:bottom w:w="0" w:type="dxa"/>
              <w:right w:w="0" w:type="dxa"/>
            </w:tcMar>
            <w:vAlign w:val="center"/>
          </w:tcPr>
          <w:p>
            <w:pPr>
              <w:pStyle w:val="TableContents"/>
              <w:spacing w:lineRule="auto" w:line="230" w:before="0" w:after="0"/>
              <w:ind w:left="0" w:right="0" w:hanging="0"/>
              <w:jc w:val="center"/>
              <w:rPr>
                <w:rFonts w:ascii="Arial" w:hAnsi="Arial"/>
                <w:b w:val="false"/>
                <w:sz w:val="20"/>
              </w:rPr>
            </w:pPr>
            <w:r>
              <w:rPr>
                <w:rFonts w:ascii="Arial" w:hAnsi="Arial"/>
                <w:b w:val="false"/>
                <w:sz w:val="20"/>
              </w:rPr>
              <w:t>ATHA</w:t>
            </w:r>
          </w:p>
        </w:tc>
        <w:tc>
          <w:tcPr>
            <w:tcW w:w="3661" w:type="dxa"/>
            <w:tcBorders/>
            <w:shd w:fill="auto" w:val="clear"/>
            <w:tcMar>
              <w:top w:w="0" w:type="dxa"/>
              <w:left w:w="0" w:type="dxa"/>
              <w:bottom w:w="0" w:type="dxa"/>
              <w:right w:w="0" w:type="dxa"/>
            </w:tcMar>
            <w:vAlign w:val="center"/>
          </w:tcPr>
          <w:p>
            <w:pPr>
              <w:pStyle w:val="TableContents"/>
              <w:spacing w:lineRule="auto" w:line="230" w:before="0" w:after="0"/>
              <w:ind w:left="0" w:right="0" w:hanging="0"/>
              <w:jc w:val="center"/>
              <w:rPr>
                <w:rFonts w:ascii="Arial" w:hAnsi="Arial"/>
                <w:b w:val="false"/>
                <w:sz w:val="20"/>
              </w:rPr>
            </w:pPr>
            <w:r>
              <w:rPr>
                <w:rFonts w:ascii="Arial" w:hAnsi="Arial"/>
                <w:b w:val="false"/>
                <w:sz w:val="20"/>
              </w:rPr>
              <w:t>The Nasdaq Stock Market LLC</w:t>
            </w:r>
          </w:p>
        </w:tc>
      </w:tr>
      <w:tr>
        <w:trPr/>
        <w:tc>
          <w:tcPr>
            <w:tcW w:w="4006" w:type="dxa"/>
            <w:tcBorders/>
            <w:shd w:fill="auto" w:val="clear"/>
            <w:tcMar>
              <w:top w:w="0" w:type="dxa"/>
              <w:left w:w="0" w:type="dxa"/>
              <w:bottom w:w="0" w:type="dxa"/>
              <w:right w:w="0" w:type="dxa"/>
            </w:tcMar>
            <w:vAlign w:val="center"/>
          </w:tcPr>
          <w:p>
            <w:pPr>
              <w:pStyle w:val="TableContents"/>
              <w:spacing w:lineRule="auto" w:line="230" w:before="0" w:after="0"/>
              <w:ind w:left="0" w:right="0" w:hanging="0"/>
              <w:jc w:val="left"/>
              <w:rPr/>
            </w:pPr>
            <w:r>
              <w:rPr/>
              <w:t> </w:t>
            </w:r>
          </w:p>
        </w:tc>
        <w:tc>
          <w:tcPr>
            <w:tcW w:w="1576" w:type="dxa"/>
            <w:tcBorders/>
            <w:shd w:fill="auto" w:val="clear"/>
            <w:tcMar>
              <w:top w:w="0" w:type="dxa"/>
              <w:left w:w="0" w:type="dxa"/>
              <w:bottom w:w="0" w:type="dxa"/>
              <w:right w:w="0" w:type="dxa"/>
            </w:tcMar>
            <w:vAlign w:val="center"/>
          </w:tcPr>
          <w:p>
            <w:pPr>
              <w:pStyle w:val="TableContents"/>
              <w:spacing w:lineRule="auto" w:line="230" w:before="0" w:after="0"/>
              <w:ind w:left="0" w:right="0" w:hanging="0"/>
              <w:jc w:val="left"/>
              <w:rPr/>
            </w:pPr>
            <w:r>
              <w:rPr/>
              <w:t> </w:t>
            </w:r>
          </w:p>
        </w:tc>
        <w:tc>
          <w:tcPr>
            <w:tcW w:w="3661" w:type="dxa"/>
            <w:tcBorders/>
            <w:shd w:fill="auto" w:val="clear"/>
            <w:tcMar>
              <w:top w:w="0" w:type="dxa"/>
              <w:left w:w="0" w:type="dxa"/>
              <w:bottom w:w="0" w:type="dxa"/>
              <w:right w:w="0" w:type="dxa"/>
            </w:tcMar>
            <w:vAlign w:val="center"/>
          </w:tcPr>
          <w:p>
            <w:pPr>
              <w:pStyle w:val="TableContents"/>
              <w:spacing w:lineRule="auto" w:line="230" w:before="0" w:after="0"/>
              <w:ind w:left="0" w:right="0" w:hanging="0"/>
              <w:jc w:val="center"/>
              <w:rPr>
                <w:rFonts w:ascii="Arial" w:hAnsi="Arial"/>
                <w:b w:val="false"/>
                <w:sz w:val="20"/>
              </w:rPr>
            </w:pPr>
            <w:r>
              <w:rPr>
                <w:rFonts w:ascii="Arial" w:hAnsi="Arial"/>
                <w:b w:val="false"/>
                <w:sz w:val="20"/>
              </w:rPr>
              <w:t>(The Nasdaq Global Select Market)</w:t>
            </w:r>
          </w:p>
        </w:tc>
      </w:tr>
    </w:tbl>
    <w:p>
      <w:pPr>
        <w:pStyle w:val="TextBody"/>
        <w:spacing w:lineRule="auto" w:line="252" w:before="0" w:after="0"/>
        <w:jc w:val="left"/>
        <w:rPr/>
      </w:pPr>
      <w:r>
        <w:rPr/>
        <w:t> </w:t>
      </w:r>
    </w:p>
    <w:p>
      <w:pPr>
        <w:pStyle w:val="TextBody"/>
        <w:spacing w:lineRule="auto" w:line="252" w:before="0" w:after="0"/>
        <w:jc w:val="left"/>
        <w:rPr>
          <w:rFonts w:ascii="Times New Roman" w:hAnsi="Times New Roman"/>
          <w:sz w:val="20"/>
        </w:rPr>
      </w:pPr>
      <w:r>
        <w:rPr>
          <w:rFonts w:ascii="Arial" w:hAnsi="Arial"/>
          <w:b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Arial" w:hAnsi="Arial"/>
          <w:b w:val="false"/>
          <w:sz w:val="20"/>
        </w:rPr>
        <w:t xml:space="preserve">No </w:t>
      </w:r>
      <w:r>
        <w:rPr>
          <w:rFonts w:ascii="Times New Roman" w:hAnsi="Times New Roman"/>
          <w:sz w:val="20"/>
        </w:rPr>
        <w:t>☐</w:t>
      </w:r>
    </w:p>
    <w:p>
      <w:pPr>
        <w:pStyle w:val="TextBody"/>
        <w:spacing w:lineRule="auto" w:line="252" w:before="120" w:after="0"/>
        <w:jc w:val="left"/>
        <w:rPr>
          <w:rFonts w:ascii="Times New Roman" w:hAnsi="Times New Roman"/>
          <w:sz w:val="20"/>
        </w:rPr>
      </w:pPr>
      <w:r>
        <w:rPr>
          <w:rFonts w:ascii="Arial" w:hAnsi="Arial"/>
          <w:b w:val="false"/>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 w:hAnsi="Times New Roman"/>
          <w:sz w:val="20"/>
        </w:rPr>
        <w:t xml:space="preserve"> ☒ </w:t>
      </w:r>
      <w:r>
        <w:rPr>
          <w:rFonts w:ascii="Arial" w:hAnsi="Arial"/>
          <w:b w:val="false"/>
          <w:sz w:val="20"/>
        </w:rPr>
        <w:t xml:space="preserve">No </w:t>
      </w:r>
      <w:r>
        <w:rPr>
          <w:rFonts w:ascii="Times New Roman" w:hAnsi="Times New Roman"/>
          <w:sz w:val="20"/>
        </w:rPr>
        <w:t>☐</w:t>
      </w:r>
    </w:p>
    <w:p>
      <w:pPr>
        <w:pStyle w:val="TextBody"/>
        <w:spacing w:lineRule="auto" w:line="252" w:before="120" w:after="0"/>
        <w:jc w:val="left"/>
        <w:rPr>
          <w:rFonts w:ascii="Arial" w:hAnsi="Arial"/>
          <w:b w:val="false"/>
          <w:sz w:val="20"/>
        </w:rPr>
      </w:pPr>
      <w:r>
        <w:rPr>
          <w:rFonts w:ascii="Arial" w:hAnsi="Arial"/>
          <w:b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lineRule="auto" w:line="252" w:before="0" w:after="0"/>
        <w:jc w:val="left"/>
        <w:rPr/>
      </w:pPr>
      <w:r>
        <w:rPr/>
        <w:t> </w:t>
      </w:r>
    </w:p>
    <w:tbl>
      <w:tblPr>
        <w:tblW w:w="5539" w:type="dxa"/>
        <w:jc w:val="left"/>
        <w:tblInd w:w="0" w:type="dxa"/>
        <w:tblCellMar>
          <w:top w:w="28" w:type="dxa"/>
          <w:left w:w="28" w:type="dxa"/>
          <w:bottom w:w="28" w:type="dxa"/>
          <w:right w:w="28" w:type="dxa"/>
        </w:tblCellMar>
      </w:tblPr>
      <w:tblGrid>
        <w:gridCol w:w="2431"/>
        <w:gridCol w:w="316"/>
        <w:gridCol w:w="2431"/>
        <w:gridCol w:w="361"/>
      </w:tblGrid>
      <w:tr>
        <w:trPr/>
        <w:tc>
          <w:tcPr>
            <w:tcW w:w="243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243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431" w:type="dxa"/>
            <w:tcBorders/>
            <w:shd w:fill="auto" w:val="clear"/>
            <w:tcMar>
              <w:top w:w="0" w:type="dxa"/>
              <w:left w:w="0" w:type="dxa"/>
              <w:bottom w:w="0" w:type="dxa"/>
              <w:right w:w="0" w:type="dxa"/>
            </w:tcMar>
            <w:vAlign w:val="center"/>
          </w:tcPr>
          <w:p>
            <w:pPr>
              <w:pStyle w:val="TableContents"/>
              <w:spacing w:lineRule="auto" w:line="230" w:before="0" w:after="0"/>
              <w:ind w:left="0" w:right="0" w:hanging="0"/>
              <w:jc w:val="left"/>
              <w:rPr>
                <w:rFonts w:ascii="Arial" w:hAnsi="Arial"/>
                <w:b w:val="false"/>
                <w:sz w:val="20"/>
              </w:rPr>
            </w:pPr>
            <w:r>
              <w:rPr>
                <w:rFonts w:ascii="Arial" w:hAnsi="Arial"/>
                <w:b w:val="false"/>
                <w:sz w:val="20"/>
              </w:rPr>
              <w:t>Large accelerated filer</w:t>
            </w:r>
          </w:p>
        </w:tc>
        <w:tc>
          <w:tcPr>
            <w:tcW w:w="316" w:type="dxa"/>
            <w:tcBorders/>
            <w:shd w:fill="auto" w:val="clear"/>
            <w:tcMar>
              <w:top w:w="0" w:type="dxa"/>
              <w:left w:w="0" w:type="dxa"/>
              <w:bottom w:w="0" w:type="dxa"/>
              <w:right w:w="0" w:type="dxa"/>
            </w:tcMar>
            <w:vAlign w:val="center"/>
          </w:tcPr>
          <w:p>
            <w:pPr>
              <w:pStyle w:val="TableContents"/>
              <w:spacing w:lineRule="auto" w:line="230" w:before="0" w:after="0"/>
              <w:ind w:left="0" w:right="0" w:hanging="0"/>
              <w:jc w:val="left"/>
              <w:rPr/>
            </w:pPr>
            <w:r>
              <w:rPr/>
              <w:t>☐</w:t>
            </w:r>
          </w:p>
        </w:tc>
        <w:tc>
          <w:tcPr>
            <w:tcW w:w="2431" w:type="dxa"/>
            <w:tcBorders/>
            <w:shd w:fill="auto" w:val="clear"/>
            <w:tcMar>
              <w:top w:w="0" w:type="dxa"/>
              <w:left w:w="0" w:type="dxa"/>
              <w:bottom w:w="0" w:type="dxa"/>
              <w:right w:w="0" w:type="dxa"/>
            </w:tcMar>
            <w:vAlign w:val="center"/>
          </w:tcPr>
          <w:p>
            <w:pPr>
              <w:pStyle w:val="TableContents"/>
              <w:spacing w:lineRule="auto" w:line="230" w:before="0" w:after="0"/>
              <w:ind w:left="0" w:right="0" w:hanging="0"/>
              <w:jc w:val="left"/>
              <w:rPr>
                <w:rFonts w:ascii="Arial" w:hAnsi="Arial"/>
                <w:b w:val="false"/>
                <w:sz w:val="20"/>
              </w:rPr>
            </w:pPr>
            <w:r>
              <w:rPr>
                <w:rFonts w:ascii="Arial" w:hAnsi="Arial"/>
                <w:b w:val="false"/>
                <w:sz w:val="20"/>
              </w:rPr>
              <w:t>Accelerated filer</w:t>
            </w:r>
          </w:p>
        </w:tc>
        <w:tc>
          <w:tcPr>
            <w:tcW w:w="361" w:type="dxa"/>
            <w:tcBorders/>
            <w:shd w:fill="auto" w:val="clear"/>
            <w:tcMar>
              <w:top w:w="0" w:type="dxa"/>
              <w:left w:w="0" w:type="dxa"/>
              <w:bottom w:w="0" w:type="dxa"/>
              <w:right w:w="0" w:type="dxa"/>
            </w:tcMar>
            <w:vAlign w:val="center"/>
          </w:tcPr>
          <w:p>
            <w:pPr>
              <w:pStyle w:val="TableContents"/>
              <w:spacing w:lineRule="auto" w:line="230" w:before="0" w:after="0"/>
              <w:ind w:left="0" w:right="0" w:hanging="0"/>
              <w:jc w:val="right"/>
              <w:rPr/>
            </w:pPr>
            <w:r>
              <w:rPr/>
              <w:t>☐</w:t>
            </w:r>
          </w:p>
        </w:tc>
      </w:tr>
      <w:tr>
        <w:trPr/>
        <w:tc>
          <w:tcPr>
            <w:tcW w:w="2431" w:type="dxa"/>
            <w:tcBorders/>
            <w:shd w:fill="auto" w:val="clear"/>
            <w:tcMar>
              <w:top w:w="0" w:type="dxa"/>
              <w:left w:w="0" w:type="dxa"/>
              <w:bottom w:w="0" w:type="dxa"/>
              <w:right w:w="0" w:type="dxa"/>
            </w:tcMar>
            <w:vAlign w:val="center"/>
          </w:tcPr>
          <w:p>
            <w:pPr>
              <w:pStyle w:val="TableContents"/>
              <w:spacing w:lineRule="auto" w:line="230" w:before="0" w:after="0"/>
              <w:ind w:left="0" w:right="0" w:hanging="0"/>
              <w:jc w:val="left"/>
              <w:rPr>
                <w:rFonts w:ascii="Arial" w:hAnsi="Arial"/>
                <w:b w:val="false"/>
                <w:sz w:val="20"/>
              </w:rPr>
            </w:pPr>
            <w:r>
              <w:rPr>
                <w:rFonts w:ascii="Arial" w:hAnsi="Arial"/>
                <w:b w:val="false"/>
                <w:sz w:val="20"/>
              </w:rPr>
              <w:t>Non-accelerated filer</w:t>
            </w:r>
          </w:p>
        </w:tc>
        <w:tc>
          <w:tcPr>
            <w:tcW w:w="316" w:type="dxa"/>
            <w:tcBorders/>
            <w:shd w:fill="auto" w:val="clear"/>
            <w:tcMar>
              <w:top w:w="0" w:type="dxa"/>
              <w:left w:w="0" w:type="dxa"/>
              <w:bottom w:w="0" w:type="dxa"/>
              <w:right w:w="0" w:type="dxa"/>
            </w:tcMar>
            <w:vAlign w:val="center"/>
          </w:tcPr>
          <w:p>
            <w:pPr>
              <w:pStyle w:val="TableContents"/>
              <w:spacing w:lineRule="auto" w:line="230" w:before="0" w:after="0"/>
              <w:ind w:left="0" w:right="0" w:hanging="0"/>
              <w:jc w:val="left"/>
              <w:rPr/>
            </w:pPr>
            <w:r>
              <w:rPr/>
              <w:t>☒</w:t>
            </w:r>
          </w:p>
        </w:tc>
        <w:tc>
          <w:tcPr>
            <w:tcW w:w="2431" w:type="dxa"/>
            <w:tcBorders/>
            <w:shd w:fill="auto" w:val="clear"/>
            <w:tcMar>
              <w:top w:w="0" w:type="dxa"/>
              <w:left w:w="0" w:type="dxa"/>
              <w:bottom w:w="0" w:type="dxa"/>
              <w:right w:w="0" w:type="dxa"/>
            </w:tcMar>
            <w:vAlign w:val="center"/>
          </w:tcPr>
          <w:p>
            <w:pPr>
              <w:pStyle w:val="TableContents"/>
              <w:spacing w:lineRule="auto" w:line="230" w:before="0" w:after="0"/>
              <w:ind w:left="0" w:right="0" w:hanging="0"/>
              <w:jc w:val="left"/>
              <w:rPr>
                <w:rFonts w:ascii="Arial" w:hAnsi="Arial"/>
                <w:b w:val="false"/>
                <w:sz w:val="20"/>
              </w:rPr>
            </w:pPr>
            <w:r>
              <w:rPr>
                <w:rFonts w:ascii="Arial" w:hAnsi="Arial"/>
                <w:b w:val="false"/>
                <w:sz w:val="20"/>
              </w:rPr>
              <w:t>Smaller reporting company</w:t>
            </w:r>
          </w:p>
        </w:tc>
        <w:tc>
          <w:tcPr>
            <w:tcW w:w="361" w:type="dxa"/>
            <w:tcBorders/>
            <w:shd w:fill="auto" w:val="clear"/>
            <w:tcMar>
              <w:top w:w="0" w:type="dxa"/>
              <w:left w:w="0" w:type="dxa"/>
              <w:bottom w:w="0" w:type="dxa"/>
              <w:right w:w="0" w:type="dxa"/>
            </w:tcMar>
            <w:vAlign w:val="center"/>
          </w:tcPr>
          <w:p>
            <w:pPr>
              <w:pStyle w:val="TableContents"/>
              <w:spacing w:lineRule="auto" w:line="230" w:before="0" w:after="0"/>
              <w:ind w:left="0" w:right="0" w:hanging="0"/>
              <w:jc w:val="right"/>
              <w:rPr/>
            </w:pPr>
            <w:r>
              <w:rPr/>
              <w:t>☒</w:t>
            </w:r>
          </w:p>
        </w:tc>
      </w:tr>
      <w:tr>
        <w:trPr/>
        <w:tc>
          <w:tcPr>
            <w:tcW w:w="2431" w:type="dxa"/>
            <w:tcBorders/>
            <w:shd w:fill="auto" w:val="clear"/>
            <w:tcMar>
              <w:top w:w="0" w:type="dxa"/>
              <w:left w:w="0" w:type="dxa"/>
              <w:bottom w:w="0" w:type="dxa"/>
              <w:right w:w="0" w:type="dxa"/>
            </w:tcMar>
            <w:vAlign w:val="center"/>
          </w:tcPr>
          <w:p>
            <w:pPr>
              <w:pStyle w:val="TableContents"/>
              <w:spacing w:lineRule="auto" w:line="230" w:before="0" w:after="0"/>
              <w:ind w:left="0" w:right="0" w:hanging="0"/>
              <w:jc w:val="left"/>
              <w:rPr>
                <w:rFonts w:ascii="Arial" w:hAnsi="Arial"/>
                <w:b w:val="false"/>
                <w:sz w:val="20"/>
              </w:rPr>
            </w:pPr>
            <w:r>
              <w:rPr>
                <w:rFonts w:ascii="Arial" w:hAnsi="Arial"/>
                <w:b w:val="false"/>
                <w:sz w:val="20"/>
              </w:rPr>
              <w:t>Emerging growth company</w:t>
            </w:r>
          </w:p>
        </w:tc>
        <w:tc>
          <w:tcPr>
            <w:tcW w:w="316" w:type="dxa"/>
            <w:tcBorders/>
            <w:shd w:fill="auto" w:val="clear"/>
            <w:tcMar>
              <w:top w:w="0" w:type="dxa"/>
              <w:left w:w="0" w:type="dxa"/>
              <w:bottom w:w="0" w:type="dxa"/>
              <w:right w:w="0" w:type="dxa"/>
            </w:tcMar>
            <w:vAlign w:val="center"/>
          </w:tcPr>
          <w:p>
            <w:pPr>
              <w:pStyle w:val="TableContents"/>
              <w:spacing w:lineRule="auto" w:line="230" w:before="0" w:after="0"/>
              <w:ind w:left="0" w:right="0" w:hanging="0"/>
              <w:jc w:val="left"/>
              <w:rPr/>
            </w:pPr>
            <w:r>
              <w:rPr/>
              <w:t>☒</w:t>
            </w:r>
          </w:p>
        </w:tc>
        <w:tc>
          <w:tcPr>
            <w:tcW w:w="2431" w:type="dxa"/>
            <w:tcBorders/>
            <w:shd w:fill="auto" w:val="clear"/>
            <w:tcMar>
              <w:top w:w="0" w:type="dxa"/>
              <w:left w:w="0" w:type="dxa"/>
              <w:bottom w:w="0" w:type="dxa"/>
              <w:right w:w="0" w:type="dxa"/>
            </w:tcMar>
            <w:vAlign w:val="center"/>
          </w:tcPr>
          <w:p>
            <w:pPr>
              <w:pStyle w:val="TableContents"/>
              <w:spacing w:lineRule="auto" w:line="230"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230" w:before="0" w:after="0"/>
              <w:ind w:left="0" w:right="0" w:hanging="0"/>
              <w:jc w:val="left"/>
              <w:rPr/>
            </w:pPr>
            <w:r>
              <w:rPr/>
              <w:t> </w:t>
            </w:r>
          </w:p>
        </w:tc>
      </w:tr>
    </w:tbl>
    <w:p>
      <w:pPr>
        <w:pStyle w:val="TextBody"/>
        <w:spacing w:lineRule="auto" w:line="252" w:before="0" w:after="0"/>
        <w:jc w:val="left"/>
        <w:rPr/>
      </w:pPr>
      <w:r>
        <w:rPr/>
        <w:t> </w:t>
      </w:r>
    </w:p>
    <w:p>
      <w:pPr>
        <w:pStyle w:val="TextBody"/>
        <w:spacing w:lineRule="auto" w:line="252" w:before="0" w:after="0"/>
        <w:jc w:val="left"/>
        <w:rPr>
          <w:rFonts w:ascii="Times New Roman" w:hAnsi="Times New Roman"/>
          <w:sz w:val="20"/>
        </w:rPr>
      </w:pPr>
      <w:r>
        <w:rPr>
          <w:rFonts w:ascii="Arial" w:hAnsi="Arial"/>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spacing w:lineRule="auto" w:line="252" w:before="120" w:after="0"/>
        <w:jc w:val="left"/>
        <w:rPr>
          <w:rFonts w:ascii="Times New Roman" w:hAnsi="Times New Roman"/>
          <w:sz w:val="20"/>
        </w:rPr>
      </w:pPr>
      <w:r>
        <w:rPr>
          <w:rFonts w:ascii="Arial" w:hAnsi="Arial"/>
          <w:b w:val="false"/>
          <w:sz w:val="20"/>
        </w:rPr>
        <w:t xml:space="preserve">Indicate by check mark whether the registrant is a shell company (as defined in Rule 12b-2 of the Exchange Act). Yes </w:t>
      </w:r>
      <w:r>
        <w:rPr>
          <w:rFonts w:ascii="Times New Roman" w:hAnsi="Times New Roman"/>
          <w:sz w:val="20"/>
        </w:rPr>
        <w:t xml:space="preserve">☐ </w:t>
      </w:r>
      <w:r>
        <w:rPr>
          <w:rFonts w:ascii="Arial" w:hAnsi="Arial"/>
          <w:b w:val="false"/>
          <w:sz w:val="20"/>
        </w:rPr>
        <w:t xml:space="preserve">No </w:t>
      </w:r>
      <w:r>
        <w:rPr>
          <w:rFonts w:ascii="Times New Roman" w:hAnsi="Times New Roman"/>
          <w:sz w:val="20"/>
        </w:rPr>
        <w:t>☒</w:t>
      </w:r>
    </w:p>
    <w:p>
      <w:pPr>
        <w:pStyle w:val="TextBody"/>
        <w:spacing w:lineRule="auto" w:line="252" w:before="120" w:after="0"/>
        <w:jc w:val="left"/>
        <w:rPr>
          <w:rFonts w:ascii="Times New Roman" w:hAnsi="Times New Roman"/>
          <w:sz w:val="20"/>
        </w:rPr>
      </w:pPr>
      <w:r>
        <w:rPr>
          <w:rFonts w:ascii="Arial" w:hAnsi="Arial"/>
          <w:b w:val="false"/>
          <w:sz w:val="18"/>
        </w:rPr>
        <w:t>As of May 9, 2022, there were 37,635,983</w:t>
      </w:r>
      <w:r>
        <w:rPr>
          <w:rFonts w:ascii="Times New Roman" w:hAnsi="Times New Roman"/>
          <w:sz w:val="20"/>
        </w:rPr>
        <w:t xml:space="preserve"> </w:t>
      </w:r>
      <w:r>
        <w:rPr>
          <w:rFonts w:ascii="Arial" w:hAnsi="Arial"/>
          <w:b w:val="false"/>
          <w:sz w:val="18"/>
        </w:rPr>
        <w:t>shares of registrant’s common stock, $0.0001 par value per share, outstanding.</w:t>
      </w:r>
    </w:p>
    <w:p>
      <w:pPr>
        <w:pStyle w:val="TextBody"/>
        <w:pBdr>
          <w:bottom w:val="double" w:sz="6" w:space="1" w:color="000000"/>
        </w:pBdr>
        <w:spacing w:lineRule="auto" w:line="252"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Arial" w:hAnsi="Arial"/>
          <w:b/>
          <w:sz w:val="20"/>
        </w:rPr>
      </w:pPr>
      <w:r>
        <w:rPr>
          <w:rFonts w:ascii="Arial" w:hAnsi="Arial"/>
          <w:b/>
          <w:sz w:val="20"/>
        </w:rPr>
        <w:t>Table of Contents</w:t>
      </w:r>
    </w:p>
    <w:p>
      <w:pPr>
        <w:pStyle w:val="TextBody"/>
        <w:spacing w:lineRule="auto" w:line="273" w:before="0" w:after="0"/>
        <w:jc w:val="left"/>
        <w:rPr/>
      </w:pPr>
      <w:r>
        <w:rPr/>
        <w:t> </w:t>
      </w:r>
    </w:p>
    <w:tbl>
      <w:tblPr>
        <w:tblW w:w="9273" w:type="dxa"/>
        <w:jc w:val="left"/>
        <w:tblInd w:w="0" w:type="dxa"/>
        <w:tblCellMar>
          <w:top w:w="28" w:type="dxa"/>
          <w:left w:w="28" w:type="dxa"/>
          <w:bottom w:w="28" w:type="dxa"/>
          <w:right w:w="28" w:type="dxa"/>
        </w:tblCellMar>
      </w:tblPr>
      <w:tblGrid>
        <w:gridCol w:w="886"/>
        <w:gridCol w:w="7846"/>
        <w:gridCol w:w="541"/>
      </w:tblGrid>
      <w:tr>
        <w:trPr/>
        <w:tc>
          <w:tcPr>
            <w:tcW w:w="886" w:type="dxa"/>
            <w:tcBorders/>
            <w:shd w:fill="auto" w:val="clear"/>
            <w:vAlign w:val="center"/>
          </w:tcPr>
          <w:p>
            <w:pPr>
              <w:pStyle w:val="TableContents"/>
              <w:spacing w:before="0" w:after="283"/>
              <w:rPr>
                <w:sz w:val="4"/>
                <w:szCs w:val="4"/>
              </w:rPr>
            </w:pPr>
            <w:r>
              <w:rPr>
                <w:sz w:val="4"/>
                <w:szCs w:val="4"/>
              </w:rPr>
            </w:r>
          </w:p>
        </w:tc>
        <w:tc>
          <w:tcPr>
            <w:tcW w:w="7846"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ind w:left="0" w:right="0" w:firstLine="137"/>
              <w:rPr>
                <w:sz w:val="4"/>
                <w:szCs w:val="4"/>
              </w:rPr>
            </w:pPr>
            <w:r>
              <w:rPr>
                <w:sz w:val="4"/>
                <w:szCs w:val="4"/>
              </w:rPr>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pPr>
            <w:r>
              <w:rPr/>
              <w:t> </w:t>
            </w:r>
          </w:p>
        </w:tc>
        <w:tc>
          <w:tcPr>
            <w:tcW w:w="78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4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Page</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sz w:val="20"/>
              </w:rPr>
            </w:pPr>
            <w:r>
              <w:rPr>
                <w:rFonts w:ascii="Arial" w:hAnsi="Arial"/>
                <w:b/>
                <w:sz w:val="20"/>
              </w:rPr>
              <w:t>PART I.</w:t>
            </w:r>
          </w:p>
        </w:tc>
        <w:tc>
          <w:tcPr>
            <w:tcW w:w="78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part_ifinancial_information">
              <w:r>
                <w:rPr>
                  <w:rStyle w:val="InternetLink"/>
                  <w:rFonts w:ascii="Arial" w:hAnsi="Arial"/>
                  <w:b w:val="false"/>
                  <w:sz w:val="20"/>
                  <w:u w:val="single"/>
                </w:rPr>
                <w:t>FINANCIAL INFORMATION</w:t>
              </w:r>
            </w:hyperlink>
          </w:p>
        </w:tc>
        <w:tc>
          <w:tcPr>
            <w:tcW w:w="5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Item 1.</w:t>
            </w:r>
          </w:p>
        </w:tc>
        <w:tc>
          <w:tcPr>
            <w:tcW w:w="78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1_financial_statements_unaudited">
              <w:r>
                <w:rPr>
                  <w:rStyle w:val="InternetLink"/>
                  <w:rFonts w:ascii="Arial" w:hAnsi="Arial"/>
                  <w:b w:val="false"/>
                  <w:sz w:val="20"/>
                  <w:u w:val="single"/>
                </w:rPr>
                <w:t>Financial Statements (Unaudited)</w:t>
              </w:r>
            </w:hyperlink>
          </w:p>
        </w:tc>
        <w:tc>
          <w:tcPr>
            <w:tcW w:w="541"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Arial" w:hAnsi="Arial"/>
                <w:b w:val="false"/>
                <w:sz w:val="20"/>
              </w:rPr>
            </w:pPr>
            <w:r>
              <w:rPr>
                <w:rFonts w:ascii="Arial" w:hAnsi="Arial"/>
                <w:b w:val="false"/>
                <w:sz w:val="20"/>
              </w:rPr>
              <w:t>5</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pPr>
            <w:r>
              <w:rPr/>
              <w:t> </w:t>
            </w:r>
          </w:p>
        </w:tc>
        <w:tc>
          <w:tcPr>
            <w:tcW w:w="78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condensed_consolidated_balance_sheets">
              <w:r>
                <w:rPr>
                  <w:rStyle w:val="InternetLink"/>
                  <w:rFonts w:ascii="Arial" w:hAnsi="Arial"/>
                  <w:b w:val="false"/>
                  <w:sz w:val="20"/>
                  <w:u w:val="single"/>
                </w:rPr>
                <w:t>Condensed Consolidated Balance Sheets</w:t>
              </w:r>
            </w:hyperlink>
          </w:p>
        </w:tc>
        <w:tc>
          <w:tcPr>
            <w:tcW w:w="541"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Arial" w:hAnsi="Arial"/>
                <w:b w:val="false"/>
                <w:sz w:val="20"/>
              </w:rPr>
            </w:pPr>
            <w:r>
              <w:rPr>
                <w:rFonts w:ascii="Arial" w:hAnsi="Arial"/>
                <w:b w:val="false"/>
                <w:sz w:val="20"/>
              </w:rPr>
              <w:t>5</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pPr>
            <w:r>
              <w:rPr/>
              <w:t> </w:t>
            </w:r>
          </w:p>
        </w:tc>
        <w:tc>
          <w:tcPr>
            <w:tcW w:w="78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condensed_consolidated_statements_operat">
              <w:r>
                <w:rPr>
                  <w:rStyle w:val="InternetLink"/>
                  <w:rFonts w:ascii="Arial" w:hAnsi="Arial"/>
                  <w:b w:val="false"/>
                  <w:sz w:val="20"/>
                  <w:u w:val="single"/>
                </w:rPr>
                <w:t>Condensed Consolidated Statements of Operations and Comprehensive Loss</w:t>
              </w:r>
            </w:hyperlink>
          </w:p>
        </w:tc>
        <w:tc>
          <w:tcPr>
            <w:tcW w:w="541"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Arial" w:hAnsi="Arial"/>
                <w:b w:val="false"/>
                <w:sz w:val="20"/>
              </w:rPr>
            </w:pPr>
            <w:r>
              <w:rPr>
                <w:rFonts w:ascii="Arial" w:hAnsi="Arial"/>
                <w:b w:val="false"/>
                <w:sz w:val="20"/>
              </w:rPr>
              <w:t>6</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pPr>
            <w:r>
              <w:rPr/>
              <w:t> </w:t>
            </w:r>
          </w:p>
        </w:tc>
        <w:tc>
          <w:tcPr>
            <w:tcW w:w="78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condensed_consolidated_statements_equity">
              <w:r>
                <w:rPr>
                  <w:rStyle w:val="InternetLink"/>
                  <w:rFonts w:ascii="Arial" w:hAnsi="Arial"/>
                  <w:b w:val="false"/>
                  <w:sz w:val="20"/>
                  <w:u w:val="single"/>
                </w:rPr>
                <w:t>Condensed Consolidated Statements of Stockholders’ Equity</w:t>
              </w:r>
            </w:hyperlink>
          </w:p>
        </w:tc>
        <w:tc>
          <w:tcPr>
            <w:tcW w:w="541"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Arial" w:hAnsi="Arial"/>
                <w:b w:val="false"/>
                <w:sz w:val="20"/>
              </w:rPr>
            </w:pPr>
            <w:r>
              <w:rPr>
                <w:rFonts w:ascii="Arial" w:hAnsi="Arial"/>
                <w:b w:val="false"/>
                <w:sz w:val="20"/>
              </w:rPr>
              <w:t>7</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pPr>
            <w:r>
              <w:rPr/>
              <w:t> </w:t>
            </w:r>
          </w:p>
        </w:tc>
        <w:tc>
          <w:tcPr>
            <w:tcW w:w="78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condensed_consolidated_statements_cash_f">
              <w:r>
                <w:rPr>
                  <w:rStyle w:val="InternetLink"/>
                  <w:rFonts w:ascii="Arial" w:hAnsi="Arial"/>
                  <w:b w:val="false"/>
                  <w:sz w:val="20"/>
                  <w:u w:val="single"/>
                </w:rPr>
                <w:t>Condensed Consolidated Statements of Cash Flows</w:t>
              </w:r>
            </w:hyperlink>
          </w:p>
        </w:tc>
        <w:tc>
          <w:tcPr>
            <w:tcW w:w="541"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Arial" w:hAnsi="Arial"/>
                <w:b w:val="false"/>
                <w:sz w:val="20"/>
              </w:rPr>
            </w:pPr>
            <w:r>
              <w:rPr>
                <w:rFonts w:ascii="Arial" w:hAnsi="Arial"/>
                <w:b w:val="false"/>
                <w:sz w:val="20"/>
              </w:rPr>
              <w:t>8</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pPr>
            <w:r>
              <w:rPr/>
              <w:t> </w:t>
            </w:r>
          </w:p>
        </w:tc>
        <w:tc>
          <w:tcPr>
            <w:tcW w:w="78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notes_to_unaudited_condensed_consolidate">
              <w:r>
                <w:rPr>
                  <w:rStyle w:val="InternetLink"/>
                  <w:rFonts w:ascii="Arial" w:hAnsi="Arial"/>
                  <w:b w:val="false"/>
                  <w:sz w:val="20"/>
                  <w:u w:val="single"/>
                </w:rPr>
                <w:t>Notes to Unaudited Condensed Consolidated Financial Statements</w:t>
              </w:r>
            </w:hyperlink>
          </w:p>
        </w:tc>
        <w:tc>
          <w:tcPr>
            <w:tcW w:w="5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Item 2.</w:t>
            </w:r>
          </w:p>
        </w:tc>
        <w:tc>
          <w:tcPr>
            <w:tcW w:w="78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2_managements_discussion_analysis_f">
              <w:r>
                <w:rPr>
                  <w:rStyle w:val="InternetLink"/>
                  <w:rFonts w:ascii="Arial" w:hAnsi="Arial"/>
                  <w:b w:val="false"/>
                  <w:sz w:val="20"/>
                  <w:u w:val="single"/>
                </w:rPr>
                <w:t>Management’s Discussion and Analysis of Financial Condition and Results of Operations</w:t>
              </w:r>
            </w:hyperlink>
          </w:p>
        </w:tc>
        <w:tc>
          <w:tcPr>
            <w:tcW w:w="5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22</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Item 3.</w:t>
            </w:r>
          </w:p>
        </w:tc>
        <w:tc>
          <w:tcPr>
            <w:tcW w:w="78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3_quantitative_qualitative_disclos">
              <w:r>
                <w:rPr>
                  <w:rStyle w:val="InternetLink"/>
                  <w:rFonts w:ascii="Arial" w:hAnsi="Arial"/>
                  <w:b w:val="false"/>
                  <w:sz w:val="20"/>
                  <w:u w:val="single"/>
                </w:rPr>
                <w:t>Quantitative and Qualitative Disclosures About Market Risk</w:t>
              </w:r>
            </w:hyperlink>
          </w:p>
        </w:tc>
        <w:tc>
          <w:tcPr>
            <w:tcW w:w="5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33</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Item 4.</w:t>
            </w:r>
          </w:p>
        </w:tc>
        <w:tc>
          <w:tcPr>
            <w:tcW w:w="78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4_controls_procedures">
              <w:r>
                <w:rPr>
                  <w:rStyle w:val="InternetLink"/>
                  <w:rFonts w:ascii="Arial" w:hAnsi="Arial"/>
                  <w:b w:val="false"/>
                  <w:sz w:val="20"/>
                  <w:u w:val="single"/>
                </w:rPr>
                <w:t>Controls and Procedures</w:t>
              </w:r>
            </w:hyperlink>
          </w:p>
        </w:tc>
        <w:tc>
          <w:tcPr>
            <w:tcW w:w="5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33</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sz w:val="20"/>
              </w:rPr>
            </w:pPr>
            <w:r>
              <w:rPr>
                <w:rFonts w:ascii="Arial" w:hAnsi="Arial"/>
                <w:b/>
                <w:sz w:val="20"/>
              </w:rPr>
              <w:t>PART II.</w:t>
            </w:r>
          </w:p>
        </w:tc>
        <w:tc>
          <w:tcPr>
            <w:tcW w:w="78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part_iior_information">
              <w:r>
                <w:rPr>
                  <w:rStyle w:val="InternetLink"/>
                  <w:rFonts w:ascii="Arial" w:hAnsi="Arial"/>
                  <w:b w:val="false"/>
                  <w:sz w:val="20"/>
                  <w:u w:val="single"/>
                </w:rPr>
                <w:t>OTHER INFORMATION</w:t>
              </w:r>
            </w:hyperlink>
          </w:p>
        </w:tc>
        <w:tc>
          <w:tcPr>
            <w:tcW w:w="5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35</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Item 1.</w:t>
            </w:r>
          </w:p>
        </w:tc>
        <w:tc>
          <w:tcPr>
            <w:tcW w:w="78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1_legal_proceedings">
              <w:r>
                <w:rPr>
                  <w:rStyle w:val="InternetLink"/>
                  <w:rFonts w:ascii="Arial" w:hAnsi="Arial"/>
                  <w:b w:val="false"/>
                  <w:sz w:val="20"/>
                  <w:u w:val="single"/>
                </w:rPr>
                <w:t>Legal Proceedings</w:t>
              </w:r>
            </w:hyperlink>
          </w:p>
        </w:tc>
        <w:tc>
          <w:tcPr>
            <w:tcW w:w="5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35</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Item 1A.</w:t>
            </w:r>
          </w:p>
        </w:tc>
        <w:tc>
          <w:tcPr>
            <w:tcW w:w="78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1a_risk_factors">
              <w:r>
                <w:rPr>
                  <w:rStyle w:val="InternetLink"/>
                  <w:rFonts w:ascii="Arial" w:hAnsi="Arial"/>
                  <w:b w:val="false"/>
                  <w:sz w:val="20"/>
                  <w:u w:val="single"/>
                </w:rPr>
                <w:t>Risk Factors</w:t>
              </w:r>
            </w:hyperlink>
          </w:p>
        </w:tc>
        <w:tc>
          <w:tcPr>
            <w:tcW w:w="5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36</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Item 2.</w:t>
            </w:r>
          </w:p>
        </w:tc>
        <w:tc>
          <w:tcPr>
            <w:tcW w:w="78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2_unregistered_sales_equity_securit">
              <w:r>
                <w:rPr>
                  <w:rStyle w:val="InternetLink"/>
                  <w:rFonts w:ascii="Arial" w:hAnsi="Arial"/>
                  <w:b w:val="false"/>
                  <w:sz w:val="20"/>
                  <w:u w:val="single"/>
                </w:rPr>
                <w:t>Unregistered Sales of Equity Securities and Use of Proceeds</w:t>
              </w:r>
            </w:hyperlink>
          </w:p>
        </w:tc>
        <w:tc>
          <w:tcPr>
            <w:tcW w:w="5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89</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Item 3.</w:t>
            </w:r>
          </w:p>
        </w:tc>
        <w:tc>
          <w:tcPr>
            <w:tcW w:w="78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3_defaults_upon_senior_securities">
              <w:r>
                <w:rPr>
                  <w:rStyle w:val="InternetLink"/>
                  <w:rFonts w:ascii="Arial" w:hAnsi="Arial"/>
                  <w:b w:val="false"/>
                  <w:sz w:val="20"/>
                  <w:u w:val="single"/>
                </w:rPr>
                <w:t>Defaults Upon Senior Securities</w:t>
              </w:r>
            </w:hyperlink>
          </w:p>
        </w:tc>
        <w:tc>
          <w:tcPr>
            <w:tcW w:w="5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89</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Item 4.</w:t>
            </w:r>
          </w:p>
        </w:tc>
        <w:tc>
          <w:tcPr>
            <w:tcW w:w="78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4_mine_safety_disclosures">
              <w:r>
                <w:rPr>
                  <w:rStyle w:val="InternetLink"/>
                  <w:rFonts w:ascii="Arial" w:hAnsi="Arial"/>
                  <w:b w:val="false"/>
                  <w:sz w:val="20"/>
                  <w:u w:val="single"/>
                </w:rPr>
                <w:t>Mine Safety Disclosures</w:t>
              </w:r>
            </w:hyperlink>
          </w:p>
        </w:tc>
        <w:tc>
          <w:tcPr>
            <w:tcW w:w="5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89</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Item 5.</w:t>
            </w:r>
          </w:p>
        </w:tc>
        <w:tc>
          <w:tcPr>
            <w:tcW w:w="78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5_or_information">
              <w:r>
                <w:rPr>
                  <w:rStyle w:val="InternetLink"/>
                  <w:rFonts w:ascii="Arial" w:hAnsi="Arial"/>
                  <w:b w:val="false"/>
                  <w:sz w:val="20"/>
                  <w:u w:val="single"/>
                </w:rPr>
                <w:t>Other Information</w:t>
              </w:r>
            </w:hyperlink>
          </w:p>
        </w:tc>
        <w:tc>
          <w:tcPr>
            <w:tcW w:w="5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90</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Item 6.</w:t>
            </w:r>
          </w:p>
        </w:tc>
        <w:tc>
          <w:tcPr>
            <w:tcW w:w="78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6_exhibits">
              <w:r>
                <w:rPr>
                  <w:rStyle w:val="InternetLink"/>
                  <w:rFonts w:ascii="Arial" w:hAnsi="Arial"/>
                  <w:b w:val="false"/>
                  <w:sz w:val="20"/>
                  <w:u w:val="single"/>
                </w:rPr>
                <w:t>Exhibits</w:t>
              </w:r>
            </w:hyperlink>
          </w:p>
        </w:tc>
        <w:tc>
          <w:tcPr>
            <w:tcW w:w="5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91</w:t>
            </w:r>
          </w:p>
        </w:tc>
      </w:tr>
      <w:tr>
        <w:trPr/>
        <w:tc>
          <w:tcPr>
            <w:tcW w:w="8732"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signatures">
              <w:r>
                <w:rPr>
                  <w:rStyle w:val="InternetLink"/>
                  <w:rFonts w:ascii="Arial" w:hAnsi="Arial"/>
                  <w:b w:val="false"/>
                  <w:sz w:val="20"/>
                  <w:u w:val="single"/>
                </w:rPr>
                <w:t>Signatures</w:t>
              </w:r>
            </w:hyperlink>
          </w:p>
        </w:tc>
        <w:tc>
          <w:tcPr>
            <w:tcW w:w="5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92</w:t>
            </w:r>
          </w:p>
        </w:tc>
      </w:tr>
    </w:tbl>
    <w:p>
      <w:pPr>
        <w:pStyle w:val="TextBody"/>
        <w:spacing w:lineRule="auto" w:line="273" w:before="0" w:after="0"/>
        <w:jc w:val="left"/>
        <w:rPr/>
      </w:pPr>
      <w:r>
        <w:rPr/>
        <w:t> </w:t>
      </w:r>
    </w:p>
    <w:p>
      <w:pPr>
        <w:pStyle w:val="TextBody"/>
        <w:spacing w:lineRule="auto" w:line="273" w:before="0" w:after="0"/>
        <w:jc w:val="both"/>
        <w:rPr>
          <w:rFonts w:ascii="Arial" w:hAnsi="Arial"/>
          <w:b w:val="false"/>
          <w:i/>
          <w:sz w:val="20"/>
        </w:rPr>
      </w:pPr>
      <w:r>
        <w:rPr>
          <w:rFonts w:ascii="Arial" w:hAnsi="Arial"/>
          <w:b w:val="false"/>
          <w:i/>
          <w:sz w:val="20"/>
        </w:rPr>
        <w:t>This report includes our trademarks and registered trademarks, including Athira, Athira Pharma, the Athira logo, and other trademarks or service marks of Athira. Each other trademark, trade name or service mark appearing in this report belongs to its holder.</w:t>
      </w:r>
    </w:p>
    <w:p>
      <w:pPr>
        <w:pStyle w:val="TextBody"/>
        <w:spacing w:lineRule="auto" w:line="273" w:before="0" w:after="0"/>
        <w:jc w:val="left"/>
        <w:rPr/>
      </w:pPr>
      <w:r>
        <w:rPr/>
        <w:t> </w:t>
      </w:r>
    </w:p>
    <w:p>
      <w:pPr>
        <w:pStyle w:val="TextBody"/>
        <w:spacing w:lineRule="auto" w:line="273" w:before="240" w:after="0"/>
        <w:jc w:val="center"/>
        <w:rPr>
          <w:rFonts w:ascii="Arial" w:hAnsi="Arial"/>
          <w:b w:val="false"/>
          <w:sz w:val="20"/>
        </w:rPr>
      </w:pPr>
      <w:r>
        <w:rPr>
          <w:rFonts w:ascii="Arial" w:hAnsi="Arial"/>
          <w:b w:val="false"/>
          <w:sz w:val="20"/>
        </w:rPr>
        <w:t>2</w:t>
      </w:r>
    </w:p>
    <w:p>
      <w:pPr>
        <w:pStyle w:val="HorizontalLine"/>
        <w:rPr/>
      </w:pPr>
      <w:r>
        <w:rPr/>
      </w:r>
    </w:p>
    <w:p>
      <w:pPr>
        <w:pStyle w:val="TextBody"/>
        <w:spacing w:lineRule="auto" w:line="273" w:before="0" w:after="0"/>
        <w:jc w:val="left"/>
        <w:rPr/>
      </w:pPr>
      <w:r>
        <w:rPr/>
        <w:t> </w:t>
      </w:r>
    </w:p>
    <w:p>
      <w:pPr>
        <w:pStyle w:val="TextBody"/>
        <w:spacing w:lineRule="auto" w:line="283" w:before="0" w:after="0"/>
        <w:jc w:val="both"/>
        <w:rPr>
          <w:rFonts w:ascii="Arial" w:hAnsi="Arial"/>
          <w:b/>
          <w:sz w:val="20"/>
        </w:rPr>
      </w:pPr>
      <w:r>
        <w:rPr>
          <w:rFonts w:ascii="Arial" w:hAnsi="Arial"/>
          <w:b/>
          <w:sz w:val="20"/>
        </w:rPr>
        <w:t>SUMMARY RISK FACTORS</w:t>
      </w:r>
    </w:p>
    <w:p>
      <w:pPr>
        <w:pStyle w:val="TextBody"/>
        <w:spacing w:lineRule="auto" w:line="283" w:before="0" w:after="0"/>
        <w:jc w:val="both"/>
        <w:rPr/>
      </w:pPr>
      <w:r>
        <w:rPr/>
        <w:t> </w:t>
      </w:r>
    </w:p>
    <w:p>
      <w:pPr>
        <w:pStyle w:val="TextBody"/>
        <w:spacing w:lineRule="auto" w:line="273" w:before="80" w:after="0"/>
        <w:jc w:val="both"/>
        <w:rPr>
          <w:rFonts w:ascii="Times New Roman" w:hAnsi="Times New Roman"/>
          <w:sz w:val="20"/>
        </w:rPr>
      </w:pPr>
      <w:r>
        <w:rPr>
          <w:rFonts w:ascii="Arial" w:hAnsi="Arial"/>
          <w:b w:val="false"/>
          <w:sz w:val="20"/>
        </w:rPr>
        <w:t>Our business is subject to numerous risks and uncertainties, including those highlighted in the section of this report captioned “Risk Factors.” The following is a summary of the principal risks we face:</w:t>
      </w:r>
      <w:r>
        <w:rPr>
          <w:rFonts w:ascii="Times New Roman" w:hAnsi="Times New Roman"/>
          <w:sz w:val="20"/>
        </w:rPr>
        <w:t xml:space="preserve">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We are a late clinical-stage biopharmaceutical company with a limited operating history.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Our ability to generate revenue and achieve profitability depends significantly on our ability to achieve a number of objectives.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Our development of fosgonimeton may never lead to a marketable product.</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Our approach to targeting brain growth factors through the use of small molecules is based on a novel therapeutic approach, which exposes us to unforeseen risks. We have limited data from our Phase 1a/1b clinical trial, including only 11 patients with mild to moderate Alzheimer’s disease, and we cannot be certain that future trials will yield similar data. In addition, our use of electroencephalogram methods to gather data requires placement of electrodes on a subject’s scalp and, if not properly placed, we may be unable to obtain the data sought or data obtained may be unreliable.</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We have concentrated our research and development efforts on the treatment of central nervous system and peripheral degenerative disorders, a field that has seen very limited success in product development.</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An independent special committee of our board of directors engaged in a review of papers co-authored by our former chief executive officer in connection with her doctoral research at Washington State University. The special committee’s findings included that (i) our former chief executive officer altered images in her 2011 doctoral dissertation and at least four research papers that she co-authored while a graduate student at Washington State University, and published from 2011 to 2014, (ii) that we cited challenged research papers in certain communications and applications, and (iii) that WSU’s dihexa patent, exclusively licensed to us, incorporated certain of these altered images. Washington State University has undertaken a review of claims of potential research misconduct involving our former chief executive officer’s doctoral research at Washington State University. We cannot predict when WSU’s investigation will be completed or what conclusions WSU will reach.</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Clinical development involves a lengthy and expensive process with an uncertain outcome, and results of early, smaller-scale preclinical studies and clinical trials with a single or few clinical trial sites may not be predictive of eventual safety or effectiveness in large-scale pivotal clinical trials across multiple clinical trial sites. We may encounter substantial delays in clinical trials, or may not be able to conduct or complete clinical trials on the expected timelines, if at all.</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If we experience delays or difficulties in the enrollment and/or retention of patients in clinical trials, our regulatory submissions or receipt of necessary marketing approvals could be delayed or prevented.</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The loss of any of our key personnel could significantly harm our business, results of operations and competitive position.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continuing effects of the novel coronavirus disease, or COVID-19, pandemic could adversely impact our business, including our nonclinical studies and clinical trials.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We have incurred significant losses since our inception and anticipate that we will continue to incur significant losses for the foreseeable future.</w:t>
      </w:r>
    </w:p>
    <w:p>
      <w:pPr>
        <w:pStyle w:val="TextBody"/>
        <w:spacing w:lineRule="auto" w:line="273" w:before="120" w:after="0"/>
        <w:jc w:val="both"/>
        <w:rPr/>
      </w:pPr>
      <w:r>
        <w:rPr/>
        <w:t>•</w:t>
      </w:r>
    </w:p>
    <w:p>
      <w:pPr>
        <w:pStyle w:val="TextBody"/>
        <w:spacing w:lineRule="auto" w:line="273" w:before="120" w:after="283"/>
        <w:jc w:val="both"/>
        <w:rPr>
          <w:rFonts w:ascii="Arial" w:hAnsi="Arial"/>
          <w:b w:val="false"/>
          <w:sz w:val="20"/>
        </w:rPr>
      </w:pPr>
      <w:r>
        <w:rPr>
          <w:rFonts w:ascii="Arial" w:hAnsi="Arial"/>
          <w:b w:val="false"/>
          <w:sz w:val="20"/>
        </w:rPr>
        <w:t xml:space="preserve">We will require substantial additional funding to finance our operations, complete the development and commercialization of fosgonimeton, and evaluate other and future product candidates. If we are unable to raise this funding when needed, we may be forced to delay, reduce, or eliminate our product development programs or other operations. </w:t>
      </w:r>
    </w:p>
    <w:p>
      <w:pPr>
        <w:pStyle w:val="TextBody"/>
        <w:spacing w:lineRule="auto" w:line="273" w:before="240" w:after="0"/>
        <w:jc w:val="center"/>
        <w:rPr>
          <w:rFonts w:ascii="Arial" w:hAnsi="Arial"/>
          <w:b w:val="false"/>
          <w:sz w:val="20"/>
        </w:rPr>
      </w:pPr>
      <w:r>
        <w:rPr>
          <w:rFonts w:ascii="Arial" w:hAnsi="Arial"/>
          <w:b w:val="false"/>
          <w:sz w:val="20"/>
        </w:rPr>
        <w:t>3</w:t>
      </w:r>
    </w:p>
    <w:p>
      <w:pPr>
        <w:pStyle w:val="HorizontalLine"/>
        <w:rPr/>
      </w:pPr>
      <w:r>
        <w:rPr/>
      </w:r>
    </w:p>
    <w:p>
      <w:pPr>
        <w:pStyle w:val="TextBody"/>
        <w:spacing w:lineRule="auto" w:line="273" w:before="0" w:after="0"/>
        <w:jc w:val="left"/>
        <w:rPr/>
      </w:pPr>
      <w:r>
        <w:rPr/>
        <w:t>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The regulatory approval processes of the U.S. Food and Drug Administration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We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Even if approved, our product candidates may not achieve adequate market acceptance among physicians, patients, healthcare payors and others in the medical community necessary for commercial success.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We have never commercialized a product candidate before and may lack the necessary expertise, personnel and resources to successfully commercialize any products on our own or together with suitable collaborators.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Our success depends on our ability to protect our intellectual property and our proprietary technologies.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If the scope of any patent protection we obtain is not sufficiently broad, or if we lose any of our patent protection, our ability to prevent our competitors from commercializing similar or identical product candidates would be adversely affected.</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The market price of our common stock may be volatile, which could result in substantial losses for investors.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We and certain of our directors and executive officers have been named as defendants in lawsuits that could result in substantial costs and divert management’s attention.</w:t>
      </w:r>
    </w:p>
    <w:p>
      <w:pPr>
        <w:pStyle w:val="TextBody"/>
        <w:spacing w:lineRule="auto" w:line="273" w:before="120" w:after="0"/>
        <w:jc w:val="both"/>
        <w:rPr/>
      </w:pPr>
      <w:r>
        <w:rPr/>
        <w:t>•</w:t>
      </w:r>
    </w:p>
    <w:p>
      <w:pPr>
        <w:pStyle w:val="TextBody"/>
        <w:spacing w:lineRule="auto" w:line="273" w:before="120" w:after="283"/>
        <w:jc w:val="both"/>
        <w:rPr>
          <w:rFonts w:ascii="Arial" w:hAnsi="Arial"/>
          <w:b w:val="false"/>
          <w:sz w:val="20"/>
        </w:rPr>
      </w:pPr>
      <w:r>
        <w:rPr>
          <w:rFonts w:ascii="Arial" w:hAnsi="Arial"/>
          <w:b w:val="false"/>
          <w:sz w:val="20"/>
        </w:rPr>
        <w:t xml:space="preserve">Actions by an activist stockholder have been disruptive, and the proxy contest being waged by that stockholder could cause uncertainty about the strategic direction of our business. </w:t>
      </w:r>
    </w:p>
    <w:p>
      <w:pPr>
        <w:pStyle w:val="TextBody"/>
        <w:spacing w:lineRule="auto" w:line="273" w:before="280" w:after="0"/>
        <w:jc w:val="both"/>
        <w:rPr>
          <w:rFonts w:ascii="Times New Roman" w:hAnsi="Times New Roman"/>
          <w:sz w:val="20"/>
        </w:rPr>
      </w:pPr>
      <w:r>
        <w:rPr>
          <w:rFonts w:ascii="Arial" w:hAnsi="Arial"/>
          <w:b w:val="false"/>
          <w:sz w:val="20"/>
        </w:rPr>
        <w:t>Our Risk Factors are not guarantees that no such conditions exist as of the date of this report and should not be interpreted as an affirmative statement that such risks or conditions have not materialized, in whole or in part.</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4</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Arial" w:hAnsi="Arial"/>
          <w:b/>
          <w:sz w:val="20"/>
        </w:rPr>
      </w:pPr>
      <w:bookmarkStart w:id="2" w:name="part_ifinancial_information"/>
      <w:bookmarkEnd w:id="2"/>
      <w:r>
        <w:rPr>
          <w:rFonts w:ascii="Arial" w:hAnsi="Arial"/>
          <w:b/>
          <w:sz w:val="20"/>
        </w:rPr>
        <w:t>PART I—FINANCIAL INFORMATION</w:t>
      </w:r>
    </w:p>
    <w:p>
      <w:pPr>
        <w:pStyle w:val="TextBody"/>
        <w:spacing w:lineRule="auto" w:line="273" w:before="360" w:after="0"/>
        <w:jc w:val="left"/>
        <w:rPr>
          <w:rFonts w:ascii="Arial" w:hAnsi="Arial"/>
          <w:b/>
          <w:sz w:val="20"/>
        </w:rPr>
      </w:pPr>
      <w:bookmarkStart w:id="3" w:name="item_1_financial_statements_unaudited"/>
      <w:bookmarkEnd w:id="3"/>
      <w:r>
        <w:rPr>
          <w:rFonts w:ascii="Arial" w:hAnsi="Arial"/>
          <w:b/>
          <w:sz w:val="20"/>
        </w:rPr>
        <w:t>Item 1. Financial Statements (Unaudited)</w:t>
      </w:r>
    </w:p>
    <w:p>
      <w:pPr>
        <w:pStyle w:val="TextBody"/>
        <w:spacing w:lineRule="auto" w:line="273" w:before="360" w:after="0"/>
        <w:jc w:val="center"/>
        <w:rPr>
          <w:rFonts w:ascii="Arial" w:hAnsi="Arial"/>
          <w:b/>
          <w:sz w:val="20"/>
        </w:rPr>
      </w:pPr>
      <w:r>
        <w:rPr>
          <w:rFonts w:ascii="Arial" w:hAnsi="Arial"/>
          <w:b/>
          <w:sz w:val="20"/>
        </w:rPr>
        <w:t>Athira Pharma, Inc.</w:t>
      </w:r>
    </w:p>
    <w:p>
      <w:pPr>
        <w:pStyle w:val="TextBody"/>
        <w:spacing w:lineRule="auto" w:line="273" w:before="0" w:after="0"/>
        <w:jc w:val="center"/>
        <w:rPr>
          <w:rFonts w:ascii="Arial" w:hAnsi="Arial"/>
          <w:b/>
          <w:sz w:val="20"/>
        </w:rPr>
      </w:pPr>
      <w:bookmarkStart w:id="4" w:name="condensed_consolidated_balance_sheets"/>
      <w:bookmarkEnd w:id="4"/>
      <w:r>
        <w:rPr>
          <w:rFonts w:ascii="Arial" w:hAnsi="Arial"/>
          <w:b/>
          <w:sz w:val="20"/>
        </w:rPr>
        <w:t>Condensed Consolidated Balance Sheets</w:t>
      </w:r>
    </w:p>
    <w:p>
      <w:pPr>
        <w:pStyle w:val="TextBody"/>
        <w:spacing w:lineRule="auto" w:line="273" w:before="0" w:after="0"/>
        <w:jc w:val="center"/>
        <w:rPr>
          <w:rFonts w:ascii="Arial" w:hAnsi="Arial"/>
          <w:b/>
          <w:sz w:val="20"/>
        </w:rPr>
      </w:pPr>
      <w:r>
        <w:rPr>
          <w:rFonts w:ascii="Arial" w:hAnsi="Arial"/>
          <w:b/>
          <w:sz w:val="20"/>
        </w:rPr>
        <w:t>(in thousands, except share and per share amounts)</w:t>
      </w:r>
    </w:p>
    <w:p>
      <w:pPr>
        <w:pStyle w:val="TextBody"/>
        <w:spacing w:lineRule="auto" w:line="273" w:before="0" w:after="0"/>
        <w:jc w:val="center"/>
        <w:rPr>
          <w:rFonts w:ascii="Arial" w:hAnsi="Arial"/>
          <w:b/>
          <w:sz w:val="20"/>
        </w:rPr>
      </w:pPr>
      <w:r>
        <w:rPr>
          <w:rFonts w:ascii="Arial" w:hAnsi="Arial"/>
          <w:b/>
          <w:sz w:val="20"/>
        </w:rPr>
        <w:t>(unaudited)</w:t>
      </w:r>
    </w:p>
    <w:p>
      <w:pPr>
        <w:pStyle w:val="TextBody"/>
        <w:spacing w:lineRule="auto" w:line="273" w:before="0" w:after="0"/>
        <w:jc w:val="left"/>
        <w:rPr/>
      </w:pPr>
      <w:r>
        <w:rPr/>
        <w:t> </w:t>
      </w:r>
    </w:p>
    <w:tbl>
      <w:tblPr>
        <w:tblW w:w="8552" w:type="dxa"/>
        <w:jc w:val="left"/>
        <w:tblInd w:w="0" w:type="dxa"/>
        <w:tblCellMar>
          <w:top w:w="28" w:type="dxa"/>
          <w:left w:w="28" w:type="dxa"/>
          <w:bottom w:w="28" w:type="dxa"/>
          <w:right w:w="28" w:type="dxa"/>
        </w:tblCellMar>
      </w:tblPr>
      <w:tblGrid>
        <w:gridCol w:w="5086"/>
        <w:gridCol w:w="146"/>
        <w:gridCol w:w="211"/>
        <w:gridCol w:w="856"/>
        <w:gridCol w:w="166"/>
        <w:gridCol w:w="146"/>
        <w:gridCol w:w="245"/>
        <w:gridCol w:w="925"/>
        <w:gridCol w:w="771"/>
      </w:tblGrid>
      <w:tr>
        <w:trPr/>
        <w:tc>
          <w:tcPr>
            <w:tcW w:w="50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r>
      <w:tr>
        <w:trPr/>
        <w:tc>
          <w:tcPr>
            <w:tcW w:w="50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7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December 31,</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0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6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7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2021</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086" w:type="dxa"/>
            <w:tcBorders/>
            <w:shd w:fill="auto" w:val="clear"/>
            <w:vAlign w:val="center"/>
          </w:tcPr>
          <w:p>
            <w:pPr>
              <w:pStyle w:val="TableContents"/>
              <w:spacing w:lineRule="auto" w:line="252" w:before="0" w:after="0"/>
              <w:ind w:left="0" w:right="0" w:hanging="0"/>
              <w:jc w:val="left"/>
              <w:rPr>
                <w:rFonts w:ascii="Arial" w:hAnsi="Arial"/>
                <w:b/>
                <w:sz w:val="20"/>
              </w:rPr>
            </w:pPr>
            <w:r>
              <w:rPr>
                <w:rFonts w:ascii="Arial" w:hAnsi="Arial"/>
                <w:b/>
                <w:sz w:val="20"/>
              </w:rPr>
              <w:t>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70" w:type="dxa"/>
            <w:gridSpan w:val="2"/>
            <w:tcBorders/>
            <w:shd w:fill="auto" w:val="clear"/>
            <w:vAlign w:val="center"/>
          </w:tcPr>
          <w:p>
            <w:pPr>
              <w:pStyle w:val="TableContents"/>
              <w:spacing w:lineRule="auto" w:line="252" w:before="0" w:after="0"/>
              <w:ind w:left="0" w:right="0" w:hanging="0"/>
              <w:jc w:val="right"/>
              <w:rPr/>
            </w:pPr>
            <w:r>
              <w:rPr/>
              <w:t> </w:t>
            </w:r>
          </w:p>
        </w:tc>
        <w:tc>
          <w:tcPr>
            <w:tcW w:w="771" w:type="dxa"/>
            <w:tcBorders/>
            <w:shd w:fill="auto" w:val="clear"/>
            <w:vAlign w:val="center"/>
          </w:tcPr>
          <w:p>
            <w:pPr>
              <w:pStyle w:val="TableContents"/>
              <w:spacing w:lineRule="auto" w:line="252" w:before="0" w:after="0"/>
              <w:ind w:left="0" w:right="0" w:hanging="0"/>
              <w:jc w:val="right"/>
              <w:rPr/>
            </w:pPr>
            <w:r>
              <w:rPr/>
              <w:t> </w:t>
            </w:r>
          </w:p>
        </w:tc>
      </w:tr>
      <w:tr>
        <w:trPr/>
        <w:tc>
          <w:tcPr>
            <w:tcW w:w="508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70" w:type="dxa"/>
            <w:gridSpan w:val="2"/>
            <w:tcBorders/>
            <w:shd w:fill="auto" w:val="clear"/>
            <w:vAlign w:val="center"/>
          </w:tcPr>
          <w:p>
            <w:pPr>
              <w:pStyle w:val="TableContents"/>
              <w:spacing w:lineRule="auto" w:line="252" w:before="0" w:after="0"/>
              <w:ind w:left="0" w:right="0" w:hanging="0"/>
              <w:jc w:val="right"/>
              <w:rPr/>
            </w:pPr>
            <w:r>
              <w:rPr/>
              <w:t> </w:t>
            </w:r>
          </w:p>
        </w:tc>
        <w:tc>
          <w:tcPr>
            <w:tcW w:w="771" w:type="dxa"/>
            <w:tcBorders/>
            <w:shd w:fill="auto" w:val="clear"/>
            <w:vAlign w:val="center"/>
          </w:tcPr>
          <w:p>
            <w:pPr>
              <w:pStyle w:val="TableContents"/>
              <w:spacing w:lineRule="auto" w:line="252" w:before="0" w:after="0"/>
              <w:ind w:left="0" w:right="0" w:firstLine="280"/>
              <w:jc w:val="right"/>
              <w:rPr/>
            </w:pPr>
            <w:r>
              <w:rPr/>
              <w:t> </w:t>
            </w:r>
          </w:p>
        </w:tc>
      </w:tr>
      <w:tr>
        <w:trPr/>
        <w:tc>
          <w:tcPr>
            <w:tcW w:w="508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Cash and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5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117,811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92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110,537</w:t>
            </w:r>
          </w:p>
        </w:tc>
        <w:tc>
          <w:tcPr>
            <w:tcW w:w="771" w:type="dxa"/>
            <w:tcBorders/>
            <w:shd w:fill="auto" w:val="clear"/>
            <w:vAlign w:val="center"/>
          </w:tcPr>
          <w:p>
            <w:pPr>
              <w:pStyle w:val="TableContents"/>
              <w:spacing w:lineRule="auto" w:line="252" w:before="0" w:after="0"/>
              <w:ind w:left="0" w:right="0" w:firstLine="280"/>
              <w:jc w:val="left"/>
              <w:rPr/>
            </w:pPr>
            <w:r>
              <w:rPr/>
              <w:t> </w:t>
            </w:r>
          </w:p>
        </w:tc>
      </w:tr>
      <w:tr>
        <w:trPr/>
        <w:tc>
          <w:tcPr>
            <w:tcW w:w="508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Short-term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145,715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92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143,222</w:t>
            </w:r>
          </w:p>
        </w:tc>
        <w:tc>
          <w:tcPr>
            <w:tcW w:w="771" w:type="dxa"/>
            <w:tcBorders/>
            <w:shd w:fill="auto" w:val="clear"/>
            <w:vAlign w:val="center"/>
          </w:tcPr>
          <w:p>
            <w:pPr>
              <w:pStyle w:val="TableContents"/>
              <w:spacing w:lineRule="auto" w:line="252" w:before="0" w:after="0"/>
              <w:ind w:left="0" w:right="0" w:firstLine="280"/>
              <w:jc w:val="left"/>
              <w:rPr/>
            </w:pPr>
            <w:r>
              <w:rPr/>
              <w:t> </w:t>
            </w:r>
          </w:p>
        </w:tc>
      </w:tr>
      <w:tr>
        <w:trPr/>
        <w:tc>
          <w:tcPr>
            <w:tcW w:w="508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Unbilled grant receivable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2,234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92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2,336</w:t>
            </w:r>
          </w:p>
        </w:tc>
        <w:tc>
          <w:tcPr>
            <w:tcW w:w="771" w:type="dxa"/>
            <w:tcBorders/>
            <w:shd w:fill="auto" w:val="clear"/>
            <w:vAlign w:val="center"/>
          </w:tcPr>
          <w:p>
            <w:pPr>
              <w:pStyle w:val="TableContents"/>
              <w:spacing w:lineRule="auto" w:line="252" w:before="0" w:after="0"/>
              <w:ind w:left="0" w:right="0" w:firstLine="280"/>
              <w:jc w:val="left"/>
              <w:rPr/>
            </w:pPr>
            <w:r>
              <w:rPr/>
              <w:t> </w:t>
            </w:r>
          </w:p>
        </w:tc>
      </w:tr>
      <w:tr>
        <w:trPr/>
        <w:tc>
          <w:tcPr>
            <w:tcW w:w="508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Prepaid expenses and other 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3,394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2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4,704</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560"/>
              <w:jc w:val="left"/>
              <w:rPr/>
            </w:pPr>
            <w:r>
              <w:rPr/>
              <w:t> </w:t>
            </w:r>
          </w:p>
        </w:tc>
      </w:tr>
      <w:tr>
        <w:trPr/>
        <w:tc>
          <w:tcPr>
            <w:tcW w:w="5086" w:type="dxa"/>
            <w:tcBorders/>
            <w:shd w:fill="auto" w:val="clear"/>
            <w:vAlign w:val="center"/>
          </w:tcPr>
          <w:p>
            <w:pPr>
              <w:pStyle w:val="TableContents"/>
              <w:spacing w:lineRule="auto" w:line="252" w:before="0" w:after="0"/>
              <w:ind w:left="560" w:right="0" w:hanging="0"/>
              <w:jc w:val="left"/>
              <w:rPr>
                <w:rFonts w:ascii="Arial" w:hAnsi="Arial"/>
                <w:b w:val="false"/>
                <w:sz w:val="20"/>
              </w:rPr>
            </w:pPr>
            <w:r>
              <w:rPr>
                <w:rFonts w:ascii="Arial" w:hAnsi="Arial"/>
                <w:b w:val="false"/>
                <w:sz w:val="20"/>
              </w:rPr>
              <w:t>Total 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269,154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92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260,799</w:t>
            </w:r>
          </w:p>
        </w:tc>
        <w:tc>
          <w:tcPr>
            <w:tcW w:w="771" w:type="dxa"/>
            <w:tcBorders/>
            <w:shd w:fill="auto" w:val="clear"/>
            <w:vAlign w:val="center"/>
          </w:tcPr>
          <w:p>
            <w:pPr>
              <w:pStyle w:val="TableContents"/>
              <w:spacing w:lineRule="auto" w:line="252" w:before="0" w:after="0"/>
              <w:ind w:left="0" w:right="0" w:hanging="0"/>
              <w:jc w:val="left"/>
              <w:rPr/>
            </w:pPr>
            <w:r>
              <w:rPr/>
              <w:t> </w:t>
            </w:r>
          </w:p>
        </w:tc>
      </w:tr>
      <w:tr>
        <w:trPr/>
        <w:tc>
          <w:tcPr>
            <w:tcW w:w="508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Restricted cash</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210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925" w:type="dxa"/>
            <w:tcBorders/>
            <w:shd w:fill="auto" w:val="clear"/>
            <w:vAlign w:val="center"/>
          </w:tcPr>
          <w:p>
            <w:pPr>
              <w:pStyle w:val="TableContents"/>
              <w:spacing w:lineRule="auto" w:line="252" w:before="0" w:after="0"/>
              <w:ind w:left="0" w:right="0" w:hanging="0"/>
              <w:jc w:val="right"/>
              <w:rPr/>
            </w:pPr>
            <w:r>
              <w:rPr/>
              <w:t>—</w:t>
            </w:r>
          </w:p>
        </w:tc>
        <w:tc>
          <w:tcPr>
            <w:tcW w:w="771" w:type="dxa"/>
            <w:tcBorders/>
            <w:shd w:fill="auto" w:val="clear"/>
            <w:vAlign w:val="center"/>
          </w:tcPr>
          <w:p>
            <w:pPr>
              <w:pStyle w:val="TableContents"/>
              <w:spacing w:lineRule="auto" w:line="252" w:before="0" w:after="0"/>
              <w:ind w:left="0" w:right="0" w:hanging="0"/>
              <w:jc w:val="left"/>
              <w:rPr/>
            </w:pPr>
            <w:r>
              <w:rPr/>
              <w:t> </w:t>
            </w:r>
          </w:p>
        </w:tc>
      </w:tr>
      <w:tr>
        <w:trPr/>
        <w:tc>
          <w:tcPr>
            <w:tcW w:w="508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Property and equipment,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4,354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92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3,757</w:t>
            </w:r>
          </w:p>
        </w:tc>
        <w:tc>
          <w:tcPr>
            <w:tcW w:w="771" w:type="dxa"/>
            <w:tcBorders/>
            <w:shd w:fill="auto" w:val="clear"/>
            <w:vAlign w:val="center"/>
          </w:tcPr>
          <w:p>
            <w:pPr>
              <w:pStyle w:val="TableContents"/>
              <w:spacing w:lineRule="auto" w:line="252" w:before="0" w:after="0"/>
              <w:ind w:left="0" w:right="0" w:hanging="0"/>
              <w:jc w:val="left"/>
              <w:rPr/>
            </w:pPr>
            <w:r>
              <w:rPr/>
              <w:t> </w:t>
            </w:r>
          </w:p>
        </w:tc>
      </w:tr>
      <w:tr>
        <w:trPr/>
        <w:tc>
          <w:tcPr>
            <w:tcW w:w="508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Operating lease right-of-use asset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1,415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92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1,460</w:t>
            </w:r>
          </w:p>
        </w:tc>
        <w:tc>
          <w:tcPr>
            <w:tcW w:w="771" w:type="dxa"/>
            <w:tcBorders/>
            <w:shd w:fill="auto" w:val="clear"/>
            <w:vAlign w:val="center"/>
          </w:tcPr>
          <w:p>
            <w:pPr>
              <w:pStyle w:val="TableContents"/>
              <w:spacing w:lineRule="auto" w:line="252" w:before="0" w:after="0"/>
              <w:ind w:left="0" w:right="0" w:hanging="0"/>
              <w:jc w:val="left"/>
              <w:rPr/>
            </w:pPr>
            <w:r>
              <w:rPr/>
              <w:t> </w:t>
            </w:r>
          </w:p>
        </w:tc>
      </w:tr>
      <w:tr>
        <w:trPr/>
        <w:tc>
          <w:tcPr>
            <w:tcW w:w="508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Long-term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37,644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92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65,936</w:t>
            </w:r>
          </w:p>
        </w:tc>
        <w:tc>
          <w:tcPr>
            <w:tcW w:w="771" w:type="dxa"/>
            <w:tcBorders/>
            <w:shd w:fill="auto" w:val="clear"/>
            <w:vAlign w:val="center"/>
          </w:tcPr>
          <w:p>
            <w:pPr>
              <w:pStyle w:val="TableContents"/>
              <w:spacing w:lineRule="auto" w:line="252" w:before="0" w:after="0"/>
              <w:ind w:left="0" w:right="0" w:hanging="0"/>
              <w:jc w:val="left"/>
              <w:rPr/>
            </w:pPr>
            <w:r>
              <w:rPr/>
              <w:t> </w:t>
            </w:r>
          </w:p>
        </w:tc>
      </w:tr>
      <w:tr>
        <w:trPr/>
        <w:tc>
          <w:tcPr>
            <w:tcW w:w="508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Other long-term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225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2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56</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560"/>
              <w:jc w:val="left"/>
              <w:rPr/>
            </w:pPr>
            <w:r>
              <w:rPr/>
              <w:t> </w:t>
            </w:r>
          </w:p>
        </w:tc>
      </w:tr>
      <w:tr>
        <w:trPr/>
        <w:tc>
          <w:tcPr>
            <w:tcW w:w="5086" w:type="dxa"/>
            <w:tcBorders/>
            <w:shd w:fill="auto" w:val="clear"/>
            <w:vAlign w:val="center"/>
          </w:tcPr>
          <w:p>
            <w:pPr>
              <w:pStyle w:val="TableContents"/>
              <w:spacing w:lineRule="auto" w:line="252" w:before="0" w:after="0"/>
              <w:ind w:left="560" w:right="0" w:hanging="0"/>
              <w:jc w:val="left"/>
              <w:rPr>
                <w:rFonts w:ascii="Arial" w:hAnsi="Arial"/>
                <w:b w:val="false"/>
                <w:sz w:val="20"/>
              </w:rPr>
            </w:pPr>
            <w:r>
              <w:rPr>
                <w:rFonts w:ascii="Arial" w:hAnsi="Arial"/>
                <w:b w:val="false"/>
                <w:sz w:val="20"/>
              </w:rPr>
              <w:t>Total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5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313,002</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92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332,008</w:t>
            </w:r>
          </w:p>
        </w:tc>
        <w:tc>
          <w:tcPr>
            <w:tcW w:w="7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086" w:type="dxa"/>
            <w:tcBorders/>
            <w:shd w:fill="auto" w:val="clear"/>
            <w:vAlign w:val="center"/>
          </w:tcPr>
          <w:p>
            <w:pPr>
              <w:pStyle w:val="TableContents"/>
              <w:spacing w:lineRule="auto" w:line="252" w:before="0" w:after="0"/>
              <w:ind w:left="0" w:right="0" w:hanging="0"/>
              <w:jc w:val="left"/>
              <w:rPr>
                <w:rFonts w:ascii="Arial" w:hAnsi="Arial"/>
                <w:b/>
                <w:sz w:val="20"/>
              </w:rPr>
            </w:pPr>
            <w:r>
              <w:rPr>
                <w:rFonts w:ascii="Arial" w:hAnsi="Arial"/>
                <w:b/>
                <w:sz w:val="20"/>
              </w:rPr>
              <w:t>Liabilities and 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70" w:type="dxa"/>
            <w:gridSpan w:val="2"/>
            <w:tcBorders/>
            <w:shd w:fill="auto" w:val="clear"/>
            <w:vAlign w:val="center"/>
          </w:tcPr>
          <w:p>
            <w:pPr>
              <w:pStyle w:val="TableContents"/>
              <w:spacing w:lineRule="auto" w:line="252" w:before="0" w:after="0"/>
              <w:ind w:left="0" w:right="0" w:hanging="0"/>
              <w:jc w:val="right"/>
              <w:rPr/>
            </w:pPr>
            <w:r>
              <w:rPr/>
              <w:t> </w:t>
            </w:r>
          </w:p>
        </w:tc>
        <w:tc>
          <w:tcPr>
            <w:tcW w:w="771" w:type="dxa"/>
            <w:tcBorders/>
            <w:shd w:fill="auto" w:val="clear"/>
            <w:vAlign w:val="center"/>
          </w:tcPr>
          <w:p>
            <w:pPr>
              <w:pStyle w:val="TableContents"/>
              <w:spacing w:lineRule="auto" w:line="252" w:before="0" w:after="0"/>
              <w:ind w:left="0" w:right="0" w:hanging="0"/>
              <w:jc w:val="right"/>
              <w:rPr/>
            </w:pPr>
            <w:r>
              <w:rPr/>
              <w:t> </w:t>
            </w:r>
          </w:p>
        </w:tc>
      </w:tr>
      <w:tr>
        <w:trPr/>
        <w:tc>
          <w:tcPr>
            <w:tcW w:w="508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Current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70" w:type="dxa"/>
            <w:gridSpan w:val="2"/>
            <w:tcBorders/>
            <w:shd w:fill="auto" w:val="clear"/>
            <w:vAlign w:val="center"/>
          </w:tcPr>
          <w:p>
            <w:pPr>
              <w:pStyle w:val="TableContents"/>
              <w:spacing w:lineRule="auto" w:line="252" w:before="0" w:after="0"/>
              <w:ind w:left="0" w:right="0" w:hanging="0"/>
              <w:jc w:val="right"/>
              <w:rPr/>
            </w:pPr>
            <w:r>
              <w:rPr/>
              <w:t> </w:t>
            </w:r>
          </w:p>
        </w:tc>
        <w:tc>
          <w:tcPr>
            <w:tcW w:w="771" w:type="dxa"/>
            <w:tcBorders/>
            <w:shd w:fill="auto" w:val="clear"/>
            <w:vAlign w:val="center"/>
          </w:tcPr>
          <w:p>
            <w:pPr>
              <w:pStyle w:val="TableContents"/>
              <w:spacing w:lineRule="auto" w:line="252" w:before="0" w:after="0"/>
              <w:ind w:left="0" w:right="0" w:firstLine="280"/>
              <w:jc w:val="right"/>
              <w:rPr/>
            </w:pPr>
            <w:r>
              <w:rPr/>
              <w:t> </w:t>
            </w:r>
          </w:p>
        </w:tc>
      </w:tr>
      <w:tr>
        <w:trPr/>
        <w:tc>
          <w:tcPr>
            <w:tcW w:w="508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Accounts payable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5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1,431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92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567</w:t>
            </w:r>
          </w:p>
        </w:tc>
        <w:tc>
          <w:tcPr>
            <w:tcW w:w="771" w:type="dxa"/>
            <w:tcBorders/>
            <w:shd w:fill="auto" w:val="clear"/>
            <w:vAlign w:val="center"/>
          </w:tcPr>
          <w:p>
            <w:pPr>
              <w:pStyle w:val="TableContents"/>
              <w:spacing w:lineRule="auto" w:line="252" w:before="0" w:after="0"/>
              <w:ind w:left="0" w:right="0" w:firstLine="280"/>
              <w:jc w:val="left"/>
              <w:rPr/>
            </w:pPr>
            <w:r>
              <w:rPr/>
              <w:t> </w:t>
            </w:r>
          </w:p>
        </w:tc>
      </w:tr>
      <w:tr>
        <w:trPr/>
        <w:tc>
          <w:tcPr>
            <w:tcW w:w="508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Accrued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7,743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92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8,437</w:t>
            </w:r>
          </w:p>
        </w:tc>
        <w:tc>
          <w:tcPr>
            <w:tcW w:w="771" w:type="dxa"/>
            <w:tcBorders/>
            <w:shd w:fill="auto" w:val="clear"/>
            <w:vAlign w:val="center"/>
          </w:tcPr>
          <w:p>
            <w:pPr>
              <w:pStyle w:val="TableContents"/>
              <w:spacing w:lineRule="auto" w:line="252" w:before="0" w:after="0"/>
              <w:ind w:left="0" w:right="0" w:firstLine="280"/>
              <w:jc w:val="left"/>
              <w:rPr/>
            </w:pPr>
            <w:r>
              <w:rPr/>
              <w:t> </w:t>
            </w:r>
          </w:p>
        </w:tc>
      </w:tr>
      <w:tr>
        <w:trPr/>
        <w:tc>
          <w:tcPr>
            <w:tcW w:w="508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Current operating lease liability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297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2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288</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560"/>
              <w:jc w:val="left"/>
              <w:rPr/>
            </w:pPr>
            <w:r>
              <w:rPr/>
              <w:t> </w:t>
            </w:r>
          </w:p>
        </w:tc>
      </w:tr>
      <w:tr>
        <w:trPr/>
        <w:tc>
          <w:tcPr>
            <w:tcW w:w="5086" w:type="dxa"/>
            <w:tcBorders/>
            <w:shd w:fill="auto" w:val="clear"/>
            <w:vAlign w:val="center"/>
          </w:tcPr>
          <w:p>
            <w:pPr>
              <w:pStyle w:val="TableContents"/>
              <w:spacing w:lineRule="auto" w:line="252" w:before="0" w:after="0"/>
              <w:ind w:left="560" w:right="0" w:hanging="0"/>
              <w:jc w:val="left"/>
              <w:rPr>
                <w:rFonts w:ascii="Arial" w:hAnsi="Arial"/>
                <w:b w:val="false"/>
                <w:sz w:val="20"/>
              </w:rPr>
            </w:pPr>
            <w:r>
              <w:rPr>
                <w:rFonts w:ascii="Arial" w:hAnsi="Arial"/>
                <w:b w:val="false"/>
                <w:sz w:val="20"/>
              </w:rPr>
              <w:t>Total current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9,471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92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9,292</w:t>
            </w:r>
          </w:p>
        </w:tc>
        <w:tc>
          <w:tcPr>
            <w:tcW w:w="771" w:type="dxa"/>
            <w:tcBorders/>
            <w:shd w:fill="auto" w:val="clear"/>
            <w:vAlign w:val="center"/>
          </w:tcPr>
          <w:p>
            <w:pPr>
              <w:pStyle w:val="TableContents"/>
              <w:spacing w:lineRule="auto" w:line="252" w:before="0" w:after="0"/>
              <w:ind w:left="0" w:right="0" w:hanging="0"/>
              <w:jc w:val="left"/>
              <w:rPr/>
            </w:pPr>
            <w:r>
              <w:rPr/>
              <w:t> </w:t>
            </w:r>
          </w:p>
        </w:tc>
      </w:tr>
      <w:tr>
        <w:trPr/>
        <w:tc>
          <w:tcPr>
            <w:tcW w:w="508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Operating lease liability, less current portion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1,554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2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1,632</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560"/>
              <w:jc w:val="left"/>
              <w:rPr/>
            </w:pPr>
            <w:r>
              <w:rPr/>
              <w:t> </w:t>
            </w:r>
          </w:p>
        </w:tc>
      </w:tr>
      <w:tr>
        <w:trPr/>
        <w:tc>
          <w:tcPr>
            <w:tcW w:w="5086" w:type="dxa"/>
            <w:tcBorders/>
            <w:shd w:fill="auto" w:val="clear"/>
            <w:vAlign w:val="center"/>
          </w:tcPr>
          <w:p>
            <w:pPr>
              <w:pStyle w:val="TableContents"/>
              <w:spacing w:lineRule="auto" w:line="252" w:before="0" w:after="0"/>
              <w:ind w:left="560" w:right="0" w:hanging="0"/>
              <w:jc w:val="left"/>
              <w:rPr>
                <w:rFonts w:ascii="Arial" w:hAnsi="Arial"/>
                <w:b w:val="false"/>
                <w:sz w:val="20"/>
              </w:rPr>
            </w:pPr>
            <w:r>
              <w:rPr>
                <w:rFonts w:ascii="Arial" w:hAnsi="Arial"/>
                <w:b w:val="false"/>
                <w:sz w:val="20"/>
              </w:rPr>
              <w:t>Total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11,025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2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10,924</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08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70" w:type="dxa"/>
            <w:gridSpan w:val="2"/>
            <w:tcBorders/>
            <w:shd w:fill="auto" w:val="clear"/>
            <w:vAlign w:val="center"/>
          </w:tcPr>
          <w:p>
            <w:pPr>
              <w:pStyle w:val="TableContents"/>
              <w:spacing w:lineRule="auto" w:line="252" w:before="0" w:after="0"/>
              <w:ind w:left="0" w:right="0" w:hanging="0"/>
              <w:jc w:val="right"/>
              <w:rPr/>
            </w:pPr>
            <w:r>
              <w:rPr/>
              <w:t> </w:t>
            </w:r>
          </w:p>
        </w:tc>
        <w:tc>
          <w:tcPr>
            <w:tcW w:w="771" w:type="dxa"/>
            <w:tcBorders/>
            <w:shd w:fill="auto" w:val="clear"/>
            <w:vAlign w:val="center"/>
          </w:tcPr>
          <w:p>
            <w:pPr>
              <w:pStyle w:val="TableContents"/>
              <w:spacing w:lineRule="auto" w:line="252" w:before="0" w:after="0"/>
              <w:ind w:left="0" w:right="0" w:firstLine="280"/>
              <w:jc w:val="right"/>
              <w:rPr/>
            </w:pPr>
            <w:r>
              <w:rPr/>
              <w:t> </w:t>
            </w:r>
          </w:p>
        </w:tc>
      </w:tr>
      <w:tr>
        <w:trPr/>
        <w:tc>
          <w:tcPr>
            <w:tcW w:w="5086" w:type="dxa"/>
            <w:tcBorders/>
            <w:shd w:fill="auto" w:val="clear"/>
            <w:vAlign w:val="center"/>
          </w:tcPr>
          <w:p>
            <w:pPr>
              <w:pStyle w:val="TableContents"/>
              <w:spacing w:lineRule="auto" w:line="252" w:before="0" w:after="0"/>
              <w:ind w:left="280" w:right="0" w:hanging="0"/>
              <w:jc w:val="left"/>
              <w:rPr>
                <w:rFonts w:ascii="Times New Roman" w:hAnsi="Times New Roman"/>
                <w:sz w:val="20"/>
              </w:rPr>
            </w:pPr>
            <w:r>
              <w:rPr>
                <w:rFonts w:ascii="Arial" w:hAnsi="Arial"/>
                <w:b w:val="false"/>
                <w:sz w:val="20"/>
              </w:rPr>
              <w:t>Common stock, $0.0001</w:t>
            </w:r>
            <w:r>
              <w:rPr>
                <w:rFonts w:ascii="Times New Roman" w:hAnsi="Times New Roman"/>
                <w:sz w:val="20"/>
              </w:rPr>
              <w:t> </w:t>
            </w:r>
            <w:r>
              <w:rPr>
                <w:rFonts w:ascii="Arial" w:hAnsi="Arial"/>
                <w:b w:val="false"/>
                <w:sz w:val="20"/>
              </w:rPr>
              <w:t>par value; 900,000,000</w:t>
            </w:r>
            <w:r>
              <w:rPr>
                <w:rFonts w:ascii="Times New Roman" w:hAnsi="Times New Roman"/>
                <w:sz w:val="20"/>
              </w:rPr>
              <w:t> </w:t>
            </w:r>
            <w:r>
              <w:rPr>
                <w:rFonts w:ascii="Arial" w:hAnsi="Arial"/>
                <w:b w:val="false"/>
                <w:sz w:val="20"/>
              </w:rPr>
              <w:t xml:space="preserve">shares </w:t>
              <w:br/>
              <w:t xml:space="preserve">   authorized at March 31, 2022 and December 31, 2021, </w:t>
              <w:br/>
              <w:t>   respectively; 37,624,058</w:t>
            </w:r>
            <w:r>
              <w:rPr>
                <w:rFonts w:ascii="Times New Roman" w:hAnsi="Times New Roman"/>
                <w:sz w:val="20"/>
              </w:rPr>
              <w:t> </w:t>
            </w:r>
            <w:r>
              <w:rPr>
                <w:rFonts w:ascii="Arial" w:hAnsi="Arial"/>
                <w:b w:val="false"/>
                <w:sz w:val="20"/>
              </w:rPr>
              <w:t>and 37,379,077</w:t>
            </w:r>
            <w:r>
              <w:rPr>
                <w:rFonts w:ascii="Times New Roman" w:hAnsi="Times New Roman"/>
                <w:sz w:val="20"/>
              </w:rPr>
              <w:t> </w:t>
            </w:r>
            <w:r>
              <w:rPr>
                <w:rFonts w:ascii="Arial" w:hAnsi="Arial"/>
                <w:b w:val="false"/>
                <w:sz w:val="20"/>
              </w:rPr>
              <w:t>shares issued</w:t>
              <w:br/>
              <w:t>   and outstanding at March 31, 2022 and December 31,</w:t>
              <w:br/>
              <w:t>   2021, respectively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92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w:t>
            </w:r>
          </w:p>
        </w:tc>
        <w:tc>
          <w:tcPr>
            <w:tcW w:w="771" w:type="dxa"/>
            <w:tcBorders/>
            <w:shd w:fill="auto" w:val="clear"/>
            <w:vAlign w:val="center"/>
          </w:tcPr>
          <w:p>
            <w:pPr>
              <w:pStyle w:val="TableContents"/>
              <w:spacing w:lineRule="auto" w:line="252" w:before="0" w:after="0"/>
              <w:ind w:left="0" w:right="0" w:firstLine="280"/>
              <w:jc w:val="left"/>
              <w:rPr/>
            </w:pPr>
            <w:r>
              <w:rPr/>
              <w:t> </w:t>
            </w:r>
          </w:p>
        </w:tc>
      </w:tr>
      <w:tr>
        <w:trPr/>
        <w:tc>
          <w:tcPr>
            <w:tcW w:w="508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Additional paid-in capital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420,304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92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417,363</w:t>
            </w:r>
          </w:p>
        </w:tc>
        <w:tc>
          <w:tcPr>
            <w:tcW w:w="771" w:type="dxa"/>
            <w:tcBorders/>
            <w:shd w:fill="auto" w:val="clear"/>
            <w:vAlign w:val="center"/>
          </w:tcPr>
          <w:p>
            <w:pPr>
              <w:pStyle w:val="TableContents"/>
              <w:spacing w:lineRule="auto" w:line="252" w:before="0" w:after="0"/>
              <w:ind w:left="0" w:right="0" w:firstLine="280"/>
              <w:jc w:val="left"/>
              <w:rPr/>
            </w:pPr>
            <w:r>
              <w:rPr/>
              <w:t> </w:t>
            </w:r>
          </w:p>
        </w:tc>
      </w:tr>
      <w:tr>
        <w:trPr/>
        <w:tc>
          <w:tcPr>
            <w:tcW w:w="508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Accumulated other comprehensive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(1,456</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92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(388</w:t>
            </w:r>
          </w:p>
        </w:tc>
        <w:tc>
          <w:tcPr>
            <w:tcW w:w="771" w:type="dxa"/>
            <w:tcBorders/>
            <w:shd w:fill="auto" w:val="clear"/>
            <w:vAlign w:val="center"/>
          </w:tcPr>
          <w:p>
            <w:pPr>
              <w:pStyle w:val="TableContents"/>
              <w:spacing w:lineRule="auto" w:line="252" w:before="0" w:after="0"/>
              <w:ind w:left="0" w:right="0" w:firstLine="280"/>
              <w:jc w:val="left"/>
              <w:rPr>
                <w:rFonts w:ascii="Arial" w:hAnsi="Arial"/>
                <w:b w:val="false"/>
                <w:sz w:val="20"/>
              </w:rPr>
            </w:pPr>
            <w:r>
              <w:rPr>
                <w:rFonts w:ascii="Arial" w:hAnsi="Arial"/>
                <w:b w:val="false"/>
                <w:sz w:val="20"/>
              </w:rPr>
              <w:t>)</w:t>
            </w:r>
          </w:p>
        </w:tc>
      </w:tr>
      <w:tr>
        <w:trPr/>
        <w:tc>
          <w:tcPr>
            <w:tcW w:w="508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Accumulated deficit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(116,875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2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(95,895</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560"/>
              <w:jc w:val="left"/>
              <w:rPr>
                <w:rFonts w:ascii="Arial" w:hAnsi="Arial"/>
                <w:b w:val="false"/>
                <w:sz w:val="20"/>
              </w:rPr>
            </w:pPr>
            <w:r>
              <w:rPr>
                <w:rFonts w:ascii="Arial" w:hAnsi="Arial"/>
                <w:b w:val="false"/>
                <w:sz w:val="20"/>
              </w:rPr>
              <w:t>)</w:t>
            </w:r>
          </w:p>
        </w:tc>
      </w:tr>
      <w:tr>
        <w:trPr/>
        <w:tc>
          <w:tcPr>
            <w:tcW w:w="5086" w:type="dxa"/>
            <w:tcBorders/>
            <w:shd w:fill="auto" w:val="clear"/>
            <w:vAlign w:val="center"/>
          </w:tcPr>
          <w:p>
            <w:pPr>
              <w:pStyle w:val="TableContents"/>
              <w:spacing w:lineRule="auto" w:line="252" w:before="0" w:after="0"/>
              <w:ind w:left="560" w:right="0" w:hanging="0"/>
              <w:jc w:val="left"/>
              <w:rPr>
                <w:rFonts w:ascii="Arial" w:hAnsi="Arial"/>
                <w:b w:val="false"/>
                <w:sz w:val="20"/>
              </w:rPr>
            </w:pPr>
            <w:r>
              <w:rPr>
                <w:rFonts w:ascii="Arial" w:hAnsi="Arial"/>
                <w:b w:val="false"/>
                <w:sz w:val="20"/>
              </w:rPr>
              <w:t>Total 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301,977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2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321,084</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560"/>
              <w:jc w:val="left"/>
              <w:rPr/>
            </w:pPr>
            <w:r>
              <w:rPr/>
              <w:t> </w:t>
            </w:r>
          </w:p>
        </w:tc>
      </w:tr>
      <w:tr>
        <w:trPr/>
        <w:tc>
          <w:tcPr>
            <w:tcW w:w="5086" w:type="dxa"/>
            <w:tcBorders/>
            <w:shd w:fill="auto" w:val="clear"/>
            <w:vAlign w:val="center"/>
          </w:tcPr>
          <w:p>
            <w:pPr>
              <w:pStyle w:val="TableContents"/>
              <w:spacing w:lineRule="auto" w:line="252" w:before="0" w:after="0"/>
              <w:ind w:left="560" w:right="0" w:hanging="0"/>
              <w:jc w:val="left"/>
              <w:rPr>
                <w:rFonts w:ascii="Arial" w:hAnsi="Arial"/>
                <w:b w:val="false"/>
                <w:sz w:val="20"/>
              </w:rPr>
            </w:pPr>
            <w:r>
              <w:rPr>
                <w:rFonts w:ascii="Arial" w:hAnsi="Arial"/>
                <w:b w:val="false"/>
                <w:sz w:val="20"/>
              </w:rPr>
              <w:t>Total liabilities and 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5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313,002</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92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332,008</w:t>
            </w:r>
          </w:p>
        </w:tc>
        <w:tc>
          <w:tcPr>
            <w:tcW w:w="7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40" w:after="0"/>
        <w:jc w:val="center"/>
        <w:rPr>
          <w:rFonts w:ascii="Arial" w:hAnsi="Arial"/>
          <w:b w:val="false"/>
          <w:i/>
          <w:sz w:val="20"/>
        </w:rPr>
      </w:pPr>
      <w:r>
        <w:rPr>
          <w:rFonts w:ascii="Arial" w:hAnsi="Arial"/>
          <w:b w:val="false"/>
          <w:i/>
          <w:sz w:val="20"/>
        </w:rPr>
        <w:t>The accompanying notes are an integral part of these condensed consolidated financial statements.</w:t>
      </w:r>
    </w:p>
    <w:p>
      <w:pPr>
        <w:pStyle w:val="TextBody"/>
        <w:spacing w:lineRule="auto" w:line="273" w:before="240" w:after="0"/>
        <w:jc w:val="center"/>
        <w:rPr>
          <w:rFonts w:ascii="Arial" w:hAnsi="Arial"/>
          <w:b w:val="false"/>
          <w:sz w:val="20"/>
        </w:rPr>
      </w:pPr>
      <w:r>
        <w:rPr>
          <w:rFonts w:ascii="Arial" w:hAnsi="Arial"/>
          <w:b w:val="false"/>
          <w:sz w:val="20"/>
        </w:rPr>
        <w:t>5</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Arial" w:hAnsi="Arial"/>
          <w:b/>
          <w:sz w:val="20"/>
        </w:rPr>
      </w:pPr>
      <w:r>
        <w:rPr>
          <w:rFonts w:ascii="Arial" w:hAnsi="Arial"/>
          <w:b/>
          <w:sz w:val="20"/>
        </w:rPr>
        <w:t>Athira Pharma, Inc.</w:t>
      </w:r>
    </w:p>
    <w:p>
      <w:pPr>
        <w:pStyle w:val="TextBody"/>
        <w:spacing w:lineRule="auto" w:line="273" w:before="0" w:after="0"/>
        <w:jc w:val="center"/>
        <w:rPr>
          <w:rFonts w:ascii="Times New Roman" w:hAnsi="Times New Roman"/>
          <w:sz w:val="20"/>
        </w:rPr>
      </w:pPr>
      <w:bookmarkStart w:id="5" w:name="condensed_consolidated_statements_operat"/>
      <w:bookmarkEnd w:id="5"/>
      <w:r>
        <w:rPr>
          <w:rFonts w:ascii="Arial" w:hAnsi="Arial"/>
          <w:b/>
          <w:sz w:val="20"/>
        </w:rPr>
        <w:t>Condensed Consolidated Statements of</w:t>
      </w:r>
      <w:r>
        <w:rPr>
          <w:rFonts w:ascii="Times New Roman" w:hAnsi="Times New Roman"/>
          <w:sz w:val="20"/>
        </w:rPr>
        <w:t xml:space="preserve"> </w:t>
      </w:r>
      <w:r>
        <w:rPr>
          <w:rFonts w:ascii="Arial" w:hAnsi="Arial"/>
          <w:b/>
          <w:sz w:val="20"/>
        </w:rPr>
        <w:t>Operations and Comprehensive Loss</w:t>
      </w:r>
    </w:p>
    <w:p>
      <w:pPr>
        <w:pStyle w:val="TextBody"/>
        <w:spacing w:lineRule="auto" w:line="273" w:before="0" w:after="0"/>
        <w:jc w:val="center"/>
        <w:rPr>
          <w:rFonts w:ascii="Arial" w:hAnsi="Arial"/>
          <w:b/>
          <w:sz w:val="20"/>
        </w:rPr>
      </w:pPr>
      <w:r>
        <w:rPr>
          <w:rFonts w:ascii="Arial" w:hAnsi="Arial"/>
          <w:b/>
          <w:sz w:val="20"/>
        </w:rPr>
        <w:t>(in thousands, except share and per share amounts)</w:t>
      </w:r>
    </w:p>
    <w:p>
      <w:pPr>
        <w:pStyle w:val="TextBody"/>
        <w:spacing w:lineRule="auto" w:line="273" w:before="0" w:after="0"/>
        <w:jc w:val="center"/>
        <w:rPr>
          <w:rFonts w:ascii="Arial" w:hAnsi="Arial"/>
          <w:b/>
          <w:sz w:val="20"/>
        </w:rPr>
      </w:pPr>
      <w:r>
        <w:rPr>
          <w:rFonts w:ascii="Arial" w:hAnsi="Arial"/>
          <w:b/>
          <w:sz w:val="20"/>
        </w:rPr>
        <w:t>(unaudited)</w:t>
      </w:r>
    </w:p>
    <w:p>
      <w:pPr>
        <w:pStyle w:val="TextBody"/>
        <w:spacing w:lineRule="auto" w:line="273" w:before="0" w:after="0"/>
        <w:jc w:val="left"/>
        <w:rPr/>
      </w:pPr>
      <w:r>
        <w:rPr/>
        <w:t> </w:t>
      </w:r>
    </w:p>
    <w:tbl>
      <w:tblPr>
        <w:tblW w:w="8879" w:type="dxa"/>
        <w:jc w:val="left"/>
        <w:tblInd w:w="0" w:type="dxa"/>
        <w:tblCellMar>
          <w:top w:w="28" w:type="dxa"/>
          <w:left w:w="28" w:type="dxa"/>
          <w:bottom w:w="28" w:type="dxa"/>
          <w:right w:w="28" w:type="dxa"/>
        </w:tblCellMar>
      </w:tblPr>
      <w:tblGrid>
        <w:gridCol w:w="5116"/>
        <w:gridCol w:w="146"/>
        <w:gridCol w:w="211"/>
        <w:gridCol w:w="1066"/>
        <w:gridCol w:w="166"/>
        <w:gridCol w:w="146"/>
        <w:gridCol w:w="211"/>
        <w:gridCol w:w="1066"/>
        <w:gridCol w:w="751"/>
      </w:tblGrid>
      <w:tr>
        <w:trPr/>
        <w:tc>
          <w:tcPr>
            <w:tcW w:w="51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r>
      <w:tr>
        <w:trPr/>
        <w:tc>
          <w:tcPr>
            <w:tcW w:w="511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86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Three Months Ended March 31,</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11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7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7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2021</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11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7" w:type="dxa"/>
            <w:gridSpan w:val="2"/>
            <w:tcBorders/>
            <w:shd w:fill="auto" w:val="clear"/>
            <w:vAlign w:val="center"/>
          </w:tcPr>
          <w:p>
            <w:pPr>
              <w:pStyle w:val="TableContents"/>
              <w:spacing w:lineRule="auto" w:line="252" w:before="0" w:after="0"/>
              <w:ind w:left="0" w:right="0" w:hanging="0"/>
              <w:jc w:val="right"/>
              <w:rPr/>
            </w:pPr>
            <w:r>
              <w:rPr/>
              <w:t> </w:t>
            </w:r>
          </w:p>
        </w:tc>
        <w:tc>
          <w:tcPr>
            <w:tcW w:w="751" w:type="dxa"/>
            <w:tcBorders/>
            <w:shd w:fill="auto" w:val="clear"/>
            <w:vAlign w:val="center"/>
          </w:tcPr>
          <w:p>
            <w:pPr>
              <w:pStyle w:val="TableContents"/>
              <w:spacing w:lineRule="auto" w:line="252" w:before="0" w:after="0"/>
              <w:ind w:left="0" w:right="0" w:firstLine="280"/>
              <w:jc w:val="right"/>
              <w:rPr/>
            </w:pPr>
            <w:r>
              <w:rPr/>
              <w:t> </w:t>
            </w:r>
          </w:p>
        </w:tc>
      </w:tr>
      <w:tr>
        <w:trPr/>
        <w:tc>
          <w:tcPr>
            <w:tcW w:w="511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Research and development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14,460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7,445</w:t>
            </w:r>
          </w:p>
        </w:tc>
        <w:tc>
          <w:tcPr>
            <w:tcW w:w="751" w:type="dxa"/>
            <w:tcBorders/>
            <w:shd w:fill="auto" w:val="clear"/>
            <w:vAlign w:val="center"/>
          </w:tcPr>
          <w:p>
            <w:pPr>
              <w:pStyle w:val="TableContents"/>
              <w:spacing w:lineRule="auto" w:line="252" w:before="0" w:after="0"/>
              <w:ind w:left="0" w:right="0" w:firstLine="280"/>
              <w:jc w:val="left"/>
              <w:rPr/>
            </w:pPr>
            <w:r>
              <w:rPr/>
              <w:t> </w:t>
            </w:r>
          </w:p>
        </w:tc>
      </w:tr>
      <w:tr>
        <w:trPr/>
        <w:tc>
          <w:tcPr>
            <w:tcW w:w="511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General and administrative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8,927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3,336</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560"/>
              <w:jc w:val="left"/>
              <w:rPr/>
            </w:pPr>
            <w:r>
              <w:rPr/>
              <w:t> </w:t>
            </w:r>
          </w:p>
        </w:tc>
      </w:tr>
      <w:tr>
        <w:trPr/>
        <w:tc>
          <w:tcPr>
            <w:tcW w:w="5116" w:type="dxa"/>
            <w:tcBorders/>
            <w:shd w:fill="auto" w:val="clear"/>
            <w:vAlign w:val="center"/>
          </w:tcPr>
          <w:p>
            <w:pPr>
              <w:pStyle w:val="TableContents"/>
              <w:spacing w:lineRule="auto" w:line="252" w:before="0" w:after="0"/>
              <w:ind w:left="560" w:right="0" w:hanging="0"/>
              <w:jc w:val="left"/>
              <w:rPr>
                <w:rFonts w:ascii="Arial" w:hAnsi="Arial"/>
                <w:b w:val="false"/>
                <w:sz w:val="20"/>
              </w:rPr>
            </w:pPr>
            <w:r>
              <w:rPr>
                <w:rFonts w:ascii="Arial" w:hAnsi="Arial"/>
                <w:b w:val="false"/>
                <w:sz w:val="20"/>
              </w:rPr>
              <w:t>Total 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23,387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10,781</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11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Loss from operations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(23,387</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(10,781</w:t>
            </w:r>
          </w:p>
        </w:tc>
        <w:tc>
          <w:tcPr>
            <w:tcW w:w="75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511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Grant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2,234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1,831</w:t>
            </w:r>
          </w:p>
        </w:tc>
        <w:tc>
          <w:tcPr>
            <w:tcW w:w="751" w:type="dxa"/>
            <w:tcBorders/>
            <w:shd w:fill="auto" w:val="clear"/>
            <w:vAlign w:val="center"/>
          </w:tcPr>
          <w:p>
            <w:pPr>
              <w:pStyle w:val="TableContents"/>
              <w:spacing w:lineRule="auto" w:line="252" w:before="0" w:after="0"/>
              <w:ind w:left="0" w:right="0" w:hanging="0"/>
              <w:jc w:val="left"/>
              <w:rPr/>
            </w:pPr>
            <w:r>
              <w:rPr/>
              <w:t> </w:t>
            </w:r>
          </w:p>
        </w:tc>
      </w:tr>
      <w:tr>
        <w:trPr/>
        <w:tc>
          <w:tcPr>
            <w:tcW w:w="511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Other income,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173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84</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11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(20,980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(8,866</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511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Unrealized loss on available-for-sale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(1,068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511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Comprehensive loss attributable to common stockholders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(22,048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(8,871</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511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Net loss per share attributable to common</w:t>
              <w:br/>
              <w:t>   stockholders, basic and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(0.56</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(0.25</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511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Weighted-average shares used in computing</w:t>
              <w:br/>
              <w:t>   net loss per share attributable to common</w:t>
              <w:br/>
              <w:t>   stockholders, basic and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37,593,328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35,775,454</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40" w:after="0"/>
        <w:jc w:val="center"/>
        <w:rPr>
          <w:rFonts w:ascii="Arial" w:hAnsi="Arial"/>
          <w:b w:val="false"/>
          <w:i/>
          <w:sz w:val="20"/>
        </w:rPr>
      </w:pPr>
      <w:r>
        <w:rPr>
          <w:rFonts w:ascii="Arial" w:hAnsi="Arial"/>
          <w:b w:val="false"/>
          <w:i/>
          <w:sz w:val="20"/>
        </w:rPr>
        <w:t>The accompanying notes are an integral part of these condensed consolidated financial statements.</w:t>
      </w:r>
    </w:p>
    <w:p>
      <w:pPr>
        <w:pStyle w:val="TextBody"/>
        <w:spacing w:lineRule="auto" w:line="273" w:before="240" w:after="0"/>
        <w:jc w:val="center"/>
        <w:rPr>
          <w:rFonts w:ascii="Arial" w:hAnsi="Arial"/>
          <w:b w:val="false"/>
          <w:sz w:val="20"/>
        </w:rPr>
      </w:pPr>
      <w:r>
        <w:rPr>
          <w:rFonts w:ascii="Arial" w:hAnsi="Arial"/>
          <w:b w:val="false"/>
          <w:sz w:val="20"/>
        </w:rPr>
        <w:t>6</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Arial" w:hAnsi="Arial"/>
          <w:b/>
          <w:sz w:val="20"/>
        </w:rPr>
      </w:pPr>
      <w:r>
        <w:rPr>
          <w:rFonts w:ascii="Arial" w:hAnsi="Arial"/>
          <w:b/>
          <w:sz w:val="20"/>
        </w:rPr>
        <w:t>Athira Pharma, Inc.</w:t>
      </w:r>
    </w:p>
    <w:p>
      <w:pPr>
        <w:pStyle w:val="TextBody"/>
        <w:spacing w:lineRule="auto" w:line="273" w:before="0" w:after="0"/>
        <w:jc w:val="center"/>
        <w:rPr>
          <w:rFonts w:ascii="Arial" w:hAnsi="Arial"/>
          <w:b/>
          <w:sz w:val="20"/>
        </w:rPr>
      </w:pPr>
      <w:bookmarkStart w:id="6" w:name="condensed_consolidated_statements_equity"/>
      <w:bookmarkEnd w:id="6"/>
      <w:r>
        <w:rPr>
          <w:rFonts w:ascii="Arial" w:hAnsi="Arial"/>
          <w:b/>
          <w:sz w:val="20"/>
        </w:rPr>
        <w:t>Condensed Consolidated Statements of Stockholders’ Equity</w:t>
      </w:r>
    </w:p>
    <w:p>
      <w:pPr>
        <w:pStyle w:val="TextBody"/>
        <w:spacing w:lineRule="auto" w:line="273" w:before="0" w:after="0"/>
        <w:jc w:val="center"/>
        <w:rPr>
          <w:rFonts w:ascii="Arial" w:hAnsi="Arial"/>
          <w:b/>
          <w:sz w:val="20"/>
        </w:rPr>
      </w:pPr>
      <w:r>
        <w:rPr>
          <w:rFonts w:ascii="Arial" w:hAnsi="Arial"/>
          <w:b/>
          <w:sz w:val="20"/>
        </w:rPr>
        <w:t>For the Three Months Ended March 31, 2022 and 2021</w:t>
      </w:r>
    </w:p>
    <w:p>
      <w:pPr>
        <w:pStyle w:val="TextBody"/>
        <w:spacing w:lineRule="auto" w:line="273" w:before="0" w:after="0"/>
        <w:jc w:val="center"/>
        <w:rPr>
          <w:rFonts w:ascii="Arial" w:hAnsi="Arial"/>
          <w:b/>
          <w:sz w:val="20"/>
        </w:rPr>
      </w:pPr>
      <w:r>
        <w:rPr>
          <w:rFonts w:ascii="Arial" w:hAnsi="Arial"/>
          <w:b/>
          <w:sz w:val="20"/>
        </w:rPr>
        <w:t>(in thousands, except share amounts)</w:t>
      </w:r>
    </w:p>
    <w:p>
      <w:pPr>
        <w:pStyle w:val="TextBody"/>
        <w:spacing w:lineRule="auto" w:line="273" w:before="0" w:after="0"/>
        <w:jc w:val="center"/>
        <w:rPr>
          <w:rFonts w:ascii="Arial" w:hAnsi="Arial"/>
          <w:b/>
          <w:sz w:val="20"/>
        </w:rPr>
      </w:pPr>
      <w:r>
        <w:rPr>
          <w:rFonts w:ascii="Arial" w:hAnsi="Arial"/>
          <w:b/>
          <w:sz w:val="20"/>
        </w:rPr>
        <w:t>(Unaudited)</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559"/>
        <w:gridCol w:w="146"/>
        <w:gridCol w:w="146"/>
        <w:gridCol w:w="1036"/>
        <w:gridCol w:w="146"/>
        <w:gridCol w:w="146"/>
        <w:gridCol w:w="284"/>
        <w:gridCol w:w="467"/>
        <w:gridCol w:w="146"/>
        <w:gridCol w:w="146"/>
        <w:gridCol w:w="211"/>
        <w:gridCol w:w="781"/>
        <w:gridCol w:w="146"/>
        <w:gridCol w:w="146"/>
        <w:gridCol w:w="337"/>
        <w:gridCol w:w="1014"/>
        <w:gridCol w:w="166"/>
        <w:gridCol w:w="146"/>
        <w:gridCol w:w="231"/>
        <w:gridCol w:w="925"/>
        <w:gridCol w:w="166"/>
        <w:gridCol w:w="146"/>
        <w:gridCol w:w="245"/>
        <w:gridCol w:w="911"/>
        <w:gridCol w:w="412"/>
      </w:tblGrid>
      <w:tr>
        <w:trPr/>
        <w:tc>
          <w:tcPr>
            <w:tcW w:w="155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r>
      <w:tr>
        <w:trPr/>
        <w:tc>
          <w:tcPr>
            <w:tcW w:w="155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82"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51"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92"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351" w:type="dxa"/>
            <w:gridSpan w:val="2"/>
            <w:tcBorders/>
            <w:shd w:fill="auto" w:val="clear"/>
            <w:vAlign w:val="center"/>
          </w:tcPr>
          <w:p>
            <w:pPr>
              <w:pStyle w:val="TableContents"/>
              <w:spacing w:lineRule="auto" w:line="252" w:before="0" w:after="0"/>
              <w:ind w:left="0" w:right="0" w:hanging="0"/>
              <w:jc w:val="center"/>
              <w:rPr>
                <w:rFonts w:ascii="Arial" w:hAnsi="Arial"/>
                <w:b/>
                <w:sz w:val="16"/>
              </w:rPr>
            </w:pPr>
            <w:r>
              <w:rPr>
                <w:rFonts w:ascii="Arial" w:hAnsi="Arial"/>
                <w:b/>
                <w:sz w:val="16"/>
              </w:rPr>
              <w:t>Accumulated</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56" w:type="dxa"/>
            <w:gridSpan w:val="2"/>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56" w:type="dxa"/>
            <w:gridSpan w:val="2"/>
            <w:tcBorders/>
            <w:shd w:fill="auto" w:val="clear"/>
            <w:vAlign w:val="center"/>
          </w:tcPr>
          <w:p>
            <w:pPr>
              <w:pStyle w:val="TableContents"/>
              <w:spacing w:lineRule="auto" w:line="252" w:before="0" w:after="0"/>
              <w:ind w:left="0" w:right="0" w:hanging="0"/>
              <w:jc w:val="center"/>
              <w:rPr/>
            </w:pPr>
            <w:r>
              <w:rPr/>
              <w:t> </w:t>
            </w:r>
          </w:p>
        </w:tc>
        <w:tc>
          <w:tcPr>
            <w:tcW w:w="412" w:type="dxa"/>
            <w:tcBorders/>
            <w:shd w:fill="auto" w:val="clear"/>
            <w:vAlign w:val="center"/>
          </w:tcPr>
          <w:p>
            <w:pPr>
              <w:pStyle w:val="TableContents"/>
              <w:spacing w:lineRule="auto" w:line="252" w:before="0" w:after="0"/>
              <w:ind w:left="0" w:right="0" w:hanging="0"/>
              <w:jc w:val="center"/>
              <w:rPr/>
            </w:pPr>
            <w:r>
              <w:rPr/>
              <w:t> </w:t>
            </w:r>
          </w:p>
        </w:tc>
      </w:tr>
      <w:tr>
        <w:trPr/>
        <w:tc>
          <w:tcPr>
            <w:tcW w:w="155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225"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92" w:type="dxa"/>
            <w:gridSpan w:val="2"/>
            <w:tcBorders/>
            <w:shd w:fill="auto" w:val="clear"/>
            <w:vAlign w:val="center"/>
          </w:tcPr>
          <w:p>
            <w:pPr>
              <w:pStyle w:val="TableContents"/>
              <w:spacing w:lineRule="auto" w:line="252" w:before="0" w:after="0"/>
              <w:ind w:left="0" w:right="0" w:hanging="0"/>
              <w:jc w:val="center"/>
              <w:rPr>
                <w:rFonts w:ascii="Arial" w:hAnsi="Arial"/>
                <w:b/>
                <w:sz w:val="16"/>
              </w:rPr>
            </w:pPr>
            <w:r>
              <w:rPr>
                <w:rFonts w:ascii="Arial" w:hAnsi="Arial"/>
                <w:b/>
                <w:sz w:val="16"/>
              </w:rPr>
              <w:t>Additional</w:t>
              <w:br/>
              <w:t>Paid-In</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351" w:type="dxa"/>
            <w:gridSpan w:val="2"/>
            <w:tcBorders/>
            <w:shd w:fill="auto" w:val="clear"/>
            <w:vAlign w:val="center"/>
          </w:tcPr>
          <w:p>
            <w:pPr>
              <w:pStyle w:val="TableContents"/>
              <w:spacing w:lineRule="auto" w:line="252" w:before="0" w:after="0"/>
              <w:ind w:left="0" w:right="0" w:hanging="0"/>
              <w:jc w:val="center"/>
              <w:rPr>
                <w:rFonts w:ascii="Arial" w:hAnsi="Arial"/>
                <w:b/>
                <w:sz w:val="16"/>
              </w:rPr>
            </w:pPr>
            <w:r>
              <w:rPr>
                <w:rFonts w:ascii="Arial" w:hAnsi="Arial"/>
                <w:b/>
                <w:sz w:val="16"/>
              </w:rPr>
              <w:t>Other</w:t>
              <w:br/>
              <w:t>Comprehensive</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56" w:type="dxa"/>
            <w:gridSpan w:val="2"/>
            <w:tcBorders/>
            <w:shd w:fill="auto" w:val="clear"/>
            <w:vAlign w:val="center"/>
          </w:tcPr>
          <w:p>
            <w:pPr>
              <w:pStyle w:val="TableContents"/>
              <w:spacing w:lineRule="auto" w:line="252" w:before="0" w:after="0"/>
              <w:ind w:left="0" w:right="0" w:hanging="0"/>
              <w:jc w:val="center"/>
              <w:rPr>
                <w:rFonts w:ascii="Arial" w:hAnsi="Arial"/>
                <w:b/>
                <w:sz w:val="16"/>
              </w:rPr>
            </w:pPr>
            <w:r>
              <w:rPr>
                <w:rFonts w:ascii="Arial" w:hAnsi="Arial"/>
                <w:b/>
                <w:sz w:val="16"/>
              </w:rPr>
              <w:t>Accumulated</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56" w:type="dxa"/>
            <w:gridSpan w:val="2"/>
            <w:tcBorders/>
            <w:shd w:fill="auto" w:val="clear"/>
            <w:vAlign w:val="center"/>
          </w:tcPr>
          <w:p>
            <w:pPr>
              <w:pStyle w:val="TableContents"/>
              <w:spacing w:lineRule="auto" w:line="252" w:before="0" w:after="0"/>
              <w:ind w:left="0" w:right="0" w:hanging="0"/>
              <w:jc w:val="center"/>
              <w:rPr>
                <w:rFonts w:ascii="Arial" w:hAnsi="Arial"/>
                <w:b/>
                <w:sz w:val="16"/>
              </w:rPr>
            </w:pPr>
            <w:r>
              <w:rPr>
                <w:rFonts w:ascii="Arial" w:hAnsi="Arial"/>
                <w:b/>
                <w:sz w:val="16"/>
              </w:rPr>
              <w:t>Total</w:t>
              <w:br/>
              <w:t>Stockholders’</w:t>
            </w:r>
          </w:p>
        </w:tc>
        <w:tc>
          <w:tcPr>
            <w:tcW w:w="412" w:type="dxa"/>
            <w:tcBorders/>
            <w:shd w:fill="auto" w:val="clear"/>
            <w:vAlign w:val="center"/>
          </w:tcPr>
          <w:p>
            <w:pPr>
              <w:pStyle w:val="TableContents"/>
              <w:spacing w:lineRule="auto" w:line="252" w:before="0" w:after="0"/>
              <w:ind w:left="0" w:right="0" w:hanging="0"/>
              <w:jc w:val="center"/>
              <w:rPr/>
            </w:pPr>
            <w:r>
              <w:rPr/>
              <w:t> </w:t>
            </w:r>
          </w:p>
        </w:tc>
      </w:tr>
      <w:tr>
        <w:trPr/>
        <w:tc>
          <w:tcPr>
            <w:tcW w:w="155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5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35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Income (Loss)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5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5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Equity</w:t>
            </w:r>
          </w:p>
        </w:tc>
        <w:tc>
          <w:tcPr>
            <w:tcW w:w="41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1559" w:type="dxa"/>
            <w:tcBorders/>
            <w:shd w:fill="auto" w:val="clear"/>
            <w:vAlign w:val="center"/>
          </w:tcPr>
          <w:p>
            <w:pPr>
              <w:pStyle w:val="TableContents"/>
              <w:spacing w:lineRule="auto" w:line="252" w:before="0" w:after="0"/>
              <w:ind w:left="0" w:right="0" w:hanging="0"/>
              <w:jc w:val="left"/>
              <w:rPr>
                <w:rFonts w:ascii="Arial" w:hAnsi="Arial"/>
                <w:b/>
                <w:sz w:val="18"/>
              </w:rPr>
            </w:pPr>
            <w:r>
              <w:rPr>
                <w:rFonts w:ascii="Arial" w:hAnsi="Arial"/>
                <w:b/>
                <w:sz w:val="18"/>
              </w:rPr>
              <w:t>Balance as of January 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32,485,784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4" w:type="dxa"/>
            <w:tcBorders/>
            <w:shd w:fill="auto" w:val="clear"/>
            <w:vAlign w:val="center"/>
          </w:tcPr>
          <w:p>
            <w:pPr>
              <w:pStyle w:val="TableContents"/>
              <w:spacing w:lineRule="auto" w:line="252" w:before="0" w:after="0"/>
              <w:ind w:left="0" w:right="0" w:hanging="0"/>
              <w:jc w:val="left"/>
              <w:rPr>
                <w:rFonts w:ascii="Arial" w:hAnsi="Arial"/>
                <w:b w:val="false"/>
                <w:sz w:val="18"/>
              </w:rPr>
            </w:pPr>
            <w:r>
              <w:rPr>
                <w:rFonts w:ascii="Arial" w:hAnsi="Arial"/>
                <w:b w:val="false"/>
                <w:sz w:val="18"/>
              </w:rPr>
              <w:t>$</w:t>
            </w:r>
          </w:p>
        </w:tc>
        <w:tc>
          <w:tcPr>
            <w:tcW w:w="467" w:type="dxa"/>
            <w:tcBorders/>
            <w:shd w:fill="auto" w:val="cle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18"/>
              </w:rPr>
            </w:pPr>
            <w:r>
              <w:rPr>
                <w:rFonts w:ascii="Arial" w:hAnsi="Arial"/>
                <w:b w:val="false"/>
                <w:sz w:val="18"/>
              </w:rPr>
              <w:t>$</w:t>
            </w:r>
          </w:p>
        </w:tc>
        <w:tc>
          <w:tcPr>
            <w:tcW w:w="781" w:type="dxa"/>
            <w:tcBorders/>
            <w:shd w:fill="auto" w:val="cle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315,288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37" w:type="dxa"/>
            <w:tcBorders/>
            <w:shd w:fill="auto" w:val="clear"/>
            <w:vAlign w:val="center"/>
          </w:tcPr>
          <w:p>
            <w:pPr>
              <w:pStyle w:val="TableContents"/>
              <w:spacing w:lineRule="auto" w:line="252" w:before="0" w:after="0"/>
              <w:ind w:left="0" w:right="0" w:hanging="0"/>
              <w:jc w:val="left"/>
              <w:rPr>
                <w:rFonts w:ascii="Arial" w:hAnsi="Arial"/>
                <w:b w:val="false"/>
                <w:sz w:val="18"/>
              </w:rPr>
            </w:pPr>
            <w:r>
              <w:rPr>
                <w:rFonts w:ascii="Arial" w:hAnsi="Arial"/>
                <w:b w:val="false"/>
                <w:sz w:val="18"/>
              </w:rPr>
              <w:t>$</w:t>
            </w:r>
          </w:p>
        </w:tc>
        <w:tc>
          <w:tcPr>
            <w:tcW w:w="1014" w:type="dxa"/>
            <w:tcBorders/>
            <w:shd w:fill="auto" w:val="cle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33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rFonts w:ascii="Arial" w:hAnsi="Arial"/>
                <w:b w:val="false"/>
                <w:sz w:val="18"/>
              </w:rPr>
            </w:pPr>
            <w:r>
              <w:rPr>
                <w:rFonts w:ascii="Arial" w:hAnsi="Arial"/>
                <w:b w:val="false"/>
                <w:sz w:val="18"/>
              </w:rPr>
              <w:t>$</w:t>
            </w:r>
          </w:p>
        </w:tc>
        <w:tc>
          <w:tcPr>
            <w:tcW w:w="925" w:type="dxa"/>
            <w:tcBorders/>
            <w:shd w:fill="auto" w:val="cle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(41,042</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18"/>
              </w:rPr>
            </w:pPr>
            <w:r>
              <w:rPr>
                <w:rFonts w:ascii="Arial" w:hAnsi="Arial"/>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rFonts w:ascii="Arial" w:hAnsi="Arial"/>
                <w:b w:val="false"/>
                <w:sz w:val="18"/>
              </w:rPr>
            </w:pPr>
            <w:r>
              <w:rPr>
                <w:rFonts w:ascii="Arial" w:hAnsi="Arial"/>
                <w:b w:val="false"/>
                <w:sz w:val="18"/>
              </w:rPr>
              <w:t>$</w:t>
            </w:r>
          </w:p>
        </w:tc>
        <w:tc>
          <w:tcPr>
            <w:tcW w:w="911" w:type="dxa"/>
            <w:tcBorders/>
            <w:shd w:fill="auto" w:val="cle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274,282</w:t>
            </w:r>
          </w:p>
        </w:tc>
        <w:tc>
          <w:tcPr>
            <w:tcW w:w="412" w:type="dxa"/>
            <w:tcBorders/>
            <w:shd w:fill="auto" w:val="clear"/>
            <w:vAlign w:val="center"/>
          </w:tcPr>
          <w:p>
            <w:pPr>
              <w:pStyle w:val="TableContents"/>
              <w:spacing w:lineRule="auto" w:line="252" w:before="0" w:after="0"/>
              <w:ind w:left="0" w:right="0" w:firstLine="200"/>
              <w:jc w:val="left"/>
              <w:rPr/>
            </w:pPr>
            <w:r>
              <w:rPr/>
              <w:t> </w:t>
            </w:r>
          </w:p>
        </w:tc>
      </w:tr>
      <w:tr>
        <w:trPr/>
        <w:tc>
          <w:tcPr>
            <w:tcW w:w="1559" w:type="dxa"/>
            <w:tcBorders/>
            <w:shd w:fill="auto" w:val="clear"/>
            <w:vAlign w:val="center"/>
          </w:tcPr>
          <w:p>
            <w:pPr>
              <w:pStyle w:val="TableContents"/>
              <w:spacing w:lineRule="auto" w:line="252" w:before="0" w:after="0"/>
              <w:ind w:left="200" w:right="0" w:hanging="0"/>
              <w:jc w:val="left"/>
              <w:rPr>
                <w:rFonts w:ascii="Arial" w:hAnsi="Arial"/>
                <w:b w:val="false"/>
                <w:sz w:val="18"/>
              </w:rPr>
            </w:pPr>
            <w:r>
              <w:rPr>
                <w:rFonts w:ascii="Arial" w:hAnsi="Arial"/>
                <w:b w:val="false"/>
                <w:sz w:val="18"/>
              </w:rPr>
              <w:t>Issuance of common stock upon exercise of</w:t>
              <w:br/>
              <w:t>   common stock options and vesting of</w:t>
              <w:br/>
              <w:t>   restricted stock units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64,527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4" w:type="dxa"/>
            <w:tcBorders/>
            <w:shd w:fill="auto" w:val="clear"/>
            <w:vAlign w:val="center"/>
          </w:tcPr>
          <w:p>
            <w:pPr>
              <w:pStyle w:val="TableContents"/>
              <w:spacing w:lineRule="auto" w:line="252" w:before="0" w:after="0"/>
              <w:ind w:left="0" w:right="0" w:hanging="0"/>
              <w:jc w:val="left"/>
              <w:rPr/>
            </w:pPr>
            <w:r>
              <w:rPr/>
              <w:t> </w:t>
            </w:r>
          </w:p>
        </w:tc>
        <w:tc>
          <w:tcPr>
            <w:tcW w:w="46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70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37" w:type="dxa"/>
            <w:tcBorders/>
            <w:shd w:fill="auto" w:val="clear"/>
            <w:vAlign w:val="center"/>
          </w:tcPr>
          <w:p>
            <w:pPr>
              <w:pStyle w:val="TableContents"/>
              <w:spacing w:lineRule="auto" w:line="252" w:before="0" w:after="0"/>
              <w:ind w:left="0" w:right="0" w:hanging="0"/>
              <w:jc w:val="left"/>
              <w:rPr/>
            </w:pPr>
            <w:r>
              <w:rPr/>
              <w:t> </w:t>
            </w:r>
          </w:p>
        </w:tc>
        <w:tc>
          <w:tcPr>
            <w:tcW w:w="1014"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925"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911" w:type="dxa"/>
            <w:tcBorders/>
            <w:shd w:fill="auto" w:val="cle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70</w:t>
            </w:r>
          </w:p>
        </w:tc>
        <w:tc>
          <w:tcPr>
            <w:tcW w:w="412" w:type="dxa"/>
            <w:tcBorders/>
            <w:shd w:fill="auto" w:val="clear"/>
            <w:vAlign w:val="center"/>
          </w:tcPr>
          <w:p>
            <w:pPr>
              <w:pStyle w:val="TableContents"/>
              <w:spacing w:lineRule="auto" w:line="252" w:before="0" w:after="0"/>
              <w:ind w:left="0" w:right="0" w:firstLine="200"/>
              <w:jc w:val="left"/>
              <w:rPr/>
            </w:pPr>
            <w:r>
              <w:rPr/>
              <w:t> </w:t>
            </w:r>
          </w:p>
        </w:tc>
      </w:tr>
      <w:tr>
        <w:trPr/>
        <w:tc>
          <w:tcPr>
            <w:tcW w:w="1559" w:type="dxa"/>
            <w:tcBorders/>
            <w:shd w:fill="auto" w:val="clear"/>
            <w:vAlign w:val="center"/>
          </w:tcPr>
          <w:p>
            <w:pPr>
              <w:pStyle w:val="TableContents"/>
              <w:spacing w:lineRule="auto" w:line="252" w:before="0" w:after="0"/>
              <w:ind w:left="200" w:right="0" w:hanging="0"/>
              <w:jc w:val="left"/>
              <w:rPr>
                <w:rFonts w:ascii="Arial" w:hAnsi="Arial"/>
                <w:b w:val="false"/>
                <w:sz w:val="18"/>
              </w:rPr>
            </w:pPr>
            <w:r>
              <w:rPr>
                <w:rFonts w:ascii="Arial" w:hAnsi="Arial"/>
                <w:b w:val="false"/>
                <w:sz w:val="18"/>
              </w:rPr>
              <w:t>Proceeds from follow-on public offering, net</w:t>
              <w:br/>
              <w:t>   of underwriters' discounts and commissions</w:t>
              <w:br/>
              <w:t>   and issuance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4,600,000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4" w:type="dxa"/>
            <w:tcBorders/>
            <w:shd w:fill="auto" w:val="clear"/>
            <w:vAlign w:val="center"/>
          </w:tcPr>
          <w:p>
            <w:pPr>
              <w:pStyle w:val="TableContents"/>
              <w:spacing w:lineRule="auto" w:line="252" w:before="0" w:after="0"/>
              <w:ind w:left="0" w:right="0" w:hanging="0"/>
              <w:jc w:val="left"/>
              <w:rPr/>
            </w:pPr>
            <w:r>
              <w:rPr/>
              <w:t> </w:t>
            </w:r>
          </w:p>
        </w:tc>
        <w:tc>
          <w:tcPr>
            <w:tcW w:w="467" w:type="dxa"/>
            <w:tcBorders/>
            <w:shd w:fill="auto" w:val="cle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96,761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37" w:type="dxa"/>
            <w:tcBorders/>
            <w:shd w:fill="auto" w:val="clear"/>
            <w:vAlign w:val="center"/>
          </w:tcPr>
          <w:p>
            <w:pPr>
              <w:pStyle w:val="TableContents"/>
              <w:spacing w:lineRule="auto" w:line="252" w:before="0" w:after="0"/>
              <w:ind w:left="0" w:right="0" w:hanging="0"/>
              <w:jc w:val="left"/>
              <w:rPr/>
            </w:pPr>
            <w:r>
              <w:rPr/>
              <w:t> </w:t>
            </w:r>
          </w:p>
        </w:tc>
        <w:tc>
          <w:tcPr>
            <w:tcW w:w="1014"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925"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911" w:type="dxa"/>
            <w:tcBorders/>
            <w:shd w:fill="auto" w:val="cle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96,762</w:t>
            </w:r>
          </w:p>
        </w:tc>
        <w:tc>
          <w:tcPr>
            <w:tcW w:w="412" w:type="dxa"/>
            <w:tcBorders/>
            <w:shd w:fill="auto" w:val="clear"/>
            <w:vAlign w:val="center"/>
          </w:tcPr>
          <w:p>
            <w:pPr>
              <w:pStyle w:val="TableContents"/>
              <w:spacing w:lineRule="auto" w:line="252" w:before="0" w:after="0"/>
              <w:ind w:left="0" w:right="0" w:firstLine="200"/>
              <w:jc w:val="left"/>
              <w:rPr/>
            </w:pPr>
            <w:r>
              <w:rPr/>
              <w:t> </w:t>
            </w:r>
          </w:p>
        </w:tc>
      </w:tr>
      <w:tr>
        <w:trPr/>
        <w:tc>
          <w:tcPr>
            <w:tcW w:w="1559" w:type="dxa"/>
            <w:tcBorders/>
            <w:shd w:fill="auto" w:val="clear"/>
            <w:vAlign w:val="center"/>
          </w:tcPr>
          <w:p>
            <w:pPr>
              <w:pStyle w:val="TableContents"/>
              <w:spacing w:lineRule="auto" w:line="252" w:before="0" w:after="0"/>
              <w:ind w:left="200" w:right="0" w:hanging="0"/>
              <w:jc w:val="left"/>
              <w:rPr>
                <w:rFonts w:ascii="Arial" w:hAnsi="Arial"/>
                <w:b w:val="false"/>
                <w:sz w:val="18"/>
              </w:rPr>
            </w:pPr>
            <w:r>
              <w:rPr>
                <w:rFonts w:ascii="Arial" w:hAnsi="Arial"/>
                <w:b w:val="false"/>
                <w:sz w:val="18"/>
              </w:rPr>
              <w:t>Stock-based compensation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4" w:type="dxa"/>
            <w:tcBorders/>
            <w:shd w:fill="auto" w:val="clear"/>
            <w:vAlign w:val="center"/>
          </w:tcPr>
          <w:p>
            <w:pPr>
              <w:pStyle w:val="TableContents"/>
              <w:spacing w:lineRule="auto" w:line="252" w:before="0" w:after="0"/>
              <w:ind w:left="0" w:right="0" w:hanging="0"/>
              <w:jc w:val="left"/>
              <w:rPr/>
            </w:pPr>
            <w:r>
              <w:rPr/>
              <w:t> </w:t>
            </w:r>
          </w:p>
        </w:tc>
        <w:tc>
          <w:tcPr>
            <w:tcW w:w="46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974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37" w:type="dxa"/>
            <w:tcBorders/>
            <w:shd w:fill="auto" w:val="clear"/>
            <w:vAlign w:val="center"/>
          </w:tcPr>
          <w:p>
            <w:pPr>
              <w:pStyle w:val="TableContents"/>
              <w:spacing w:lineRule="auto" w:line="252" w:before="0" w:after="0"/>
              <w:ind w:left="0" w:right="0" w:hanging="0"/>
              <w:jc w:val="left"/>
              <w:rPr/>
            </w:pPr>
            <w:r>
              <w:rPr/>
              <w:t> </w:t>
            </w:r>
          </w:p>
        </w:tc>
        <w:tc>
          <w:tcPr>
            <w:tcW w:w="1014"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925"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911" w:type="dxa"/>
            <w:tcBorders/>
            <w:shd w:fill="auto" w:val="cle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974</w:t>
            </w:r>
          </w:p>
        </w:tc>
        <w:tc>
          <w:tcPr>
            <w:tcW w:w="412" w:type="dxa"/>
            <w:tcBorders/>
            <w:shd w:fill="auto" w:val="clear"/>
            <w:vAlign w:val="center"/>
          </w:tcPr>
          <w:p>
            <w:pPr>
              <w:pStyle w:val="TableContents"/>
              <w:spacing w:lineRule="auto" w:line="252" w:before="0" w:after="0"/>
              <w:ind w:left="0" w:right="0" w:firstLine="200"/>
              <w:jc w:val="left"/>
              <w:rPr/>
            </w:pPr>
            <w:r>
              <w:rPr/>
              <w:t> </w:t>
            </w:r>
          </w:p>
        </w:tc>
      </w:tr>
      <w:tr>
        <w:trPr/>
        <w:tc>
          <w:tcPr>
            <w:tcW w:w="1559" w:type="dxa"/>
            <w:tcBorders/>
            <w:shd w:fill="auto" w:val="clear"/>
            <w:vAlign w:val="center"/>
          </w:tcPr>
          <w:p>
            <w:pPr>
              <w:pStyle w:val="TableContents"/>
              <w:spacing w:lineRule="auto" w:line="252" w:before="0" w:after="0"/>
              <w:ind w:left="200" w:right="0" w:hanging="0"/>
              <w:jc w:val="left"/>
              <w:rPr>
                <w:rFonts w:ascii="Arial" w:hAnsi="Arial"/>
                <w:b w:val="false"/>
                <w:sz w:val="18"/>
              </w:rPr>
            </w:pPr>
            <w:r>
              <w:rPr>
                <w:rFonts w:ascii="Arial" w:hAnsi="Arial"/>
                <w:b w:val="false"/>
                <w:sz w:val="18"/>
              </w:rPr>
              <w:t>Unrealized loss on available-for-sale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4" w:type="dxa"/>
            <w:tcBorders/>
            <w:shd w:fill="auto" w:val="clear"/>
            <w:vAlign w:val="center"/>
          </w:tcPr>
          <w:p>
            <w:pPr>
              <w:pStyle w:val="TableContents"/>
              <w:spacing w:lineRule="auto" w:line="252" w:before="0" w:after="0"/>
              <w:ind w:left="0" w:right="0" w:hanging="0"/>
              <w:jc w:val="left"/>
              <w:rPr/>
            </w:pPr>
            <w:r>
              <w:rPr/>
              <w:t> </w:t>
            </w:r>
          </w:p>
        </w:tc>
        <w:tc>
          <w:tcPr>
            <w:tcW w:w="46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37" w:type="dxa"/>
            <w:tcBorders/>
            <w:shd w:fill="auto" w:val="clear"/>
            <w:vAlign w:val="center"/>
          </w:tcPr>
          <w:p>
            <w:pPr>
              <w:pStyle w:val="TableContents"/>
              <w:spacing w:lineRule="auto" w:line="252" w:before="0" w:after="0"/>
              <w:ind w:left="0" w:right="0" w:hanging="0"/>
              <w:jc w:val="left"/>
              <w:rPr/>
            </w:pPr>
            <w:r>
              <w:rPr/>
              <w:t> </w:t>
            </w:r>
          </w:p>
        </w:tc>
        <w:tc>
          <w:tcPr>
            <w:tcW w:w="1014" w:type="dxa"/>
            <w:tcBorders/>
            <w:shd w:fill="auto" w:val="cle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(5</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18"/>
              </w:rPr>
            </w:pPr>
            <w:r>
              <w:rPr>
                <w:rFonts w:ascii="Arial" w:hAnsi="Arial"/>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925"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911" w:type="dxa"/>
            <w:tcBorders/>
            <w:shd w:fill="auto" w:val="cle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(5</w:t>
            </w:r>
          </w:p>
        </w:tc>
        <w:tc>
          <w:tcPr>
            <w:tcW w:w="412" w:type="dxa"/>
            <w:tcBorders/>
            <w:shd w:fill="auto" w:val="clear"/>
            <w:vAlign w:val="center"/>
          </w:tcPr>
          <w:p>
            <w:pPr>
              <w:pStyle w:val="TableContents"/>
              <w:spacing w:lineRule="auto" w:line="252" w:before="0" w:after="0"/>
              <w:ind w:left="0" w:right="0" w:firstLine="200"/>
              <w:jc w:val="left"/>
              <w:rPr>
                <w:rFonts w:ascii="Arial" w:hAnsi="Arial"/>
                <w:b w:val="false"/>
                <w:sz w:val="18"/>
              </w:rPr>
            </w:pPr>
            <w:r>
              <w:rPr>
                <w:rFonts w:ascii="Arial" w:hAnsi="Arial"/>
                <w:b w:val="false"/>
                <w:sz w:val="18"/>
              </w:rPr>
              <w:t>)</w:t>
            </w:r>
          </w:p>
        </w:tc>
      </w:tr>
      <w:tr>
        <w:trPr/>
        <w:tc>
          <w:tcPr>
            <w:tcW w:w="1559" w:type="dxa"/>
            <w:tcBorders/>
            <w:shd w:fill="auto" w:val="clear"/>
            <w:vAlign w:val="center"/>
          </w:tcPr>
          <w:p>
            <w:pPr>
              <w:pStyle w:val="TableContents"/>
              <w:spacing w:lineRule="auto" w:line="252" w:before="0" w:after="0"/>
              <w:ind w:left="200" w:right="0" w:hanging="0"/>
              <w:jc w:val="left"/>
              <w:rPr>
                <w:rFonts w:ascii="Arial" w:hAnsi="Arial"/>
                <w:b w:val="false"/>
                <w:sz w:val="18"/>
              </w:rPr>
            </w:pPr>
            <w:r>
              <w:rPr>
                <w:rFonts w:ascii="Arial" w:hAnsi="Arial"/>
                <w:b w:val="false"/>
                <w:sz w:val="18"/>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6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3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1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2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(8,866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8"/>
              </w:rPr>
            </w:pPr>
            <w:r>
              <w:rPr>
                <w:rFonts w:ascii="Arial" w:hAnsi="Arial"/>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(8,866</w:t>
            </w:r>
          </w:p>
        </w:tc>
        <w:tc>
          <w:tcPr>
            <w:tcW w:w="41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8"/>
              </w:rPr>
            </w:pPr>
            <w:r>
              <w:rPr>
                <w:rFonts w:ascii="Arial" w:hAnsi="Arial"/>
                <w:b w:val="false"/>
                <w:sz w:val="18"/>
              </w:rPr>
              <w:t>)</w:t>
            </w:r>
          </w:p>
        </w:tc>
      </w:tr>
      <w:tr>
        <w:trPr/>
        <w:tc>
          <w:tcPr>
            <w:tcW w:w="1559" w:type="dxa"/>
            <w:tcBorders/>
            <w:shd w:fill="auto" w:val="clear"/>
            <w:vAlign w:val="center"/>
          </w:tcPr>
          <w:p>
            <w:pPr>
              <w:pStyle w:val="TableContents"/>
              <w:spacing w:lineRule="auto" w:line="252" w:before="0" w:after="0"/>
              <w:ind w:left="0" w:right="0" w:hanging="0"/>
              <w:jc w:val="left"/>
              <w:rPr>
                <w:rFonts w:ascii="Arial" w:hAnsi="Arial"/>
                <w:b/>
                <w:sz w:val="18"/>
              </w:rPr>
            </w:pPr>
            <w:r>
              <w:rPr>
                <w:rFonts w:ascii="Arial" w:hAnsi="Arial"/>
                <w:b/>
                <w:sz w:val="18"/>
              </w:rPr>
              <w:t>Balance as of March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37,150,311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8"/>
              </w:rPr>
            </w:pPr>
            <w:r>
              <w:rPr>
                <w:rFonts w:ascii="Arial" w:hAnsi="Arial"/>
                <w:b w:val="false"/>
                <w:sz w:val="18"/>
              </w:rPr>
              <w:t>$</w:t>
            </w:r>
          </w:p>
        </w:tc>
        <w:tc>
          <w:tcPr>
            <w:tcW w:w="46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4</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8"/>
              </w:rPr>
            </w:pPr>
            <w:r>
              <w:rPr>
                <w:rFonts w:ascii="Arial" w:hAnsi="Arial"/>
                <w:b w:val="false"/>
                <w:sz w:val="18"/>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413,093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3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8"/>
              </w:rPr>
            </w:pPr>
            <w:r>
              <w:rPr>
                <w:rFonts w:ascii="Arial" w:hAnsi="Arial"/>
                <w:b w:val="false"/>
                <w:sz w:val="18"/>
              </w:rPr>
              <w:t>$</w:t>
            </w:r>
          </w:p>
        </w:tc>
        <w:tc>
          <w:tcPr>
            <w:tcW w:w="101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28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8"/>
              </w:rPr>
            </w:pPr>
            <w:r>
              <w:rPr>
                <w:rFonts w:ascii="Arial" w:hAnsi="Arial"/>
                <w:b w:val="false"/>
                <w:sz w:val="18"/>
              </w:rPr>
              <w:t>$</w:t>
            </w:r>
          </w:p>
        </w:tc>
        <w:tc>
          <w:tcPr>
            <w:tcW w:w="92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(49,908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8"/>
              </w:rPr>
            </w:pPr>
            <w:r>
              <w:rPr>
                <w:rFonts w:ascii="Arial" w:hAnsi="Arial"/>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8"/>
              </w:rPr>
            </w:pPr>
            <w:r>
              <w:rPr>
                <w:rFonts w:ascii="Arial" w:hAnsi="Arial"/>
                <w:b w:val="false"/>
                <w:sz w:val="18"/>
              </w:rPr>
              <w:t>$</w:t>
            </w:r>
          </w:p>
        </w:tc>
        <w:tc>
          <w:tcPr>
            <w:tcW w:w="9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363,217</w:t>
            </w:r>
          </w:p>
        </w:tc>
        <w:tc>
          <w:tcPr>
            <w:tcW w:w="41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559"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8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51"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51"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6"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6" w:type="dxa"/>
            <w:gridSpan w:val="2"/>
            <w:tcBorders/>
            <w:shd w:fill="auto" w:val="clear"/>
            <w:vAlign w:val="center"/>
          </w:tcPr>
          <w:p>
            <w:pPr>
              <w:pStyle w:val="TableContents"/>
              <w:spacing w:lineRule="auto" w:line="252" w:before="0" w:after="0"/>
              <w:ind w:left="0" w:right="0" w:hanging="0"/>
              <w:jc w:val="left"/>
              <w:rPr/>
            </w:pPr>
            <w:r>
              <w:rPr/>
              <w:t> </w:t>
            </w:r>
          </w:p>
        </w:tc>
        <w:tc>
          <w:tcPr>
            <w:tcW w:w="412" w:type="dxa"/>
            <w:tcBorders/>
            <w:shd w:fill="auto" w:val="clear"/>
            <w:vAlign w:val="center"/>
          </w:tcPr>
          <w:p>
            <w:pPr>
              <w:pStyle w:val="TableContents"/>
              <w:spacing w:lineRule="auto" w:line="252" w:before="0" w:after="0"/>
              <w:ind w:left="0" w:right="0" w:hanging="0"/>
              <w:jc w:val="left"/>
              <w:rPr/>
            </w:pPr>
            <w:r>
              <w:rPr/>
              <w:t> </w:t>
            </w:r>
          </w:p>
        </w:tc>
      </w:tr>
      <w:tr>
        <w:trPr/>
        <w:tc>
          <w:tcPr>
            <w:tcW w:w="155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82"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51"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92"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351" w:type="dxa"/>
            <w:gridSpan w:val="2"/>
            <w:tcBorders/>
            <w:shd w:fill="auto" w:val="clear"/>
            <w:vAlign w:val="center"/>
          </w:tcPr>
          <w:p>
            <w:pPr>
              <w:pStyle w:val="TableContents"/>
              <w:spacing w:lineRule="auto" w:line="252" w:before="0" w:after="0"/>
              <w:ind w:left="0" w:right="0" w:hanging="0"/>
              <w:jc w:val="center"/>
              <w:rPr>
                <w:rFonts w:ascii="Arial" w:hAnsi="Arial"/>
                <w:b/>
                <w:sz w:val="16"/>
              </w:rPr>
            </w:pPr>
            <w:r>
              <w:rPr>
                <w:rFonts w:ascii="Arial" w:hAnsi="Arial"/>
                <w:b/>
                <w:sz w:val="16"/>
              </w:rPr>
              <w:t>Accumulated</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56" w:type="dxa"/>
            <w:gridSpan w:val="2"/>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56" w:type="dxa"/>
            <w:gridSpan w:val="2"/>
            <w:tcBorders/>
            <w:shd w:fill="auto" w:val="clear"/>
            <w:vAlign w:val="center"/>
          </w:tcPr>
          <w:p>
            <w:pPr>
              <w:pStyle w:val="TableContents"/>
              <w:spacing w:lineRule="auto" w:line="252" w:before="0" w:after="0"/>
              <w:ind w:left="0" w:right="0" w:hanging="0"/>
              <w:jc w:val="center"/>
              <w:rPr/>
            </w:pPr>
            <w:r>
              <w:rPr/>
              <w:t> </w:t>
            </w:r>
          </w:p>
        </w:tc>
        <w:tc>
          <w:tcPr>
            <w:tcW w:w="412" w:type="dxa"/>
            <w:tcBorders/>
            <w:shd w:fill="auto" w:val="clear"/>
            <w:vAlign w:val="center"/>
          </w:tcPr>
          <w:p>
            <w:pPr>
              <w:pStyle w:val="TableContents"/>
              <w:spacing w:lineRule="auto" w:line="252" w:before="0" w:after="0"/>
              <w:ind w:left="0" w:right="0" w:hanging="0"/>
              <w:jc w:val="center"/>
              <w:rPr/>
            </w:pPr>
            <w:r>
              <w:rPr/>
              <w:t> </w:t>
            </w:r>
          </w:p>
        </w:tc>
      </w:tr>
      <w:tr>
        <w:trPr/>
        <w:tc>
          <w:tcPr>
            <w:tcW w:w="155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225"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92" w:type="dxa"/>
            <w:gridSpan w:val="2"/>
            <w:tcBorders/>
            <w:shd w:fill="auto" w:val="clear"/>
            <w:vAlign w:val="center"/>
          </w:tcPr>
          <w:p>
            <w:pPr>
              <w:pStyle w:val="TableContents"/>
              <w:spacing w:lineRule="auto" w:line="252" w:before="0" w:after="0"/>
              <w:ind w:left="0" w:right="0" w:hanging="0"/>
              <w:jc w:val="center"/>
              <w:rPr>
                <w:rFonts w:ascii="Arial" w:hAnsi="Arial"/>
                <w:b/>
                <w:sz w:val="16"/>
              </w:rPr>
            </w:pPr>
            <w:r>
              <w:rPr>
                <w:rFonts w:ascii="Arial" w:hAnsi="Arial"/>
                <w:b/>
                <w:sz w:val="16"/>
              </w:rPr>
              <w:t>Additional</w:t>
              <w:br/>
              <w:t>Paid-In</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351" w:type="dxa"/>
            <w:gridSpan w:val="2"/>
            <w:tcBorders/>
            <w:shd w:fill="auto" w:val="clear"/>
            <w:vAlign w:val="center"/>
          </w:tcPr>
          <w:p>
            <w:pPr>
              <w:pStyle w:val="TableContents"/>
              <w:spacing w:lineRule="auto" w:line="252" w:before="0" w:after="0"/>
              <w:ind w:left="0" w:right="0" w:hanging="0"/>
              <w:jc w:val="center"/>
              <w:rPr>
                <w:rFonts w:ascii="Arial" w:hAnsi="Arial"/>
                <w:b/>
                <w:sz w:val="16"/>
              </w:rPr>
            </w:pPr>
            <w:r>
              <w:rPr>
                <w:rFonts w:ascii="Arial" w:hAnsi="Arial"/>
                <w:b/>
                <w:sz w:val="16"/>
              </w:rPr>
              <w:t>Other</w:t>
              <w:br/>
              <w:t>Comprehensive</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56" w:type="dxa"/>
            <w:gridSpan w:val="2"/>
            <w:tcBorders/>
            <w:shd w:fill="auto" w:val="clear"/>
            <w:vAlign w:val="center"/>
          </w:tcPr>
          <w:p>
            <w:pPr>
              <w:pStyle w:val="TableContents"/>
              <w:spacing w:lineRule="auto" w:line="252" w:before="0" w:after="0"/>
              <w:ind w:left="0" w:right="0" w:hanging="0"/>
              <w:jc w:val="center"/>
              <w:rPr>
                <w:rFonts w:ascii="Arial" w:hAnsi="Arial"/>
                <w:b/>
                <w:sz w:val="16"/>
              </w:rPr>
            </w:pPr>
            <w:r>
              <w:rPr>
                <w:rFonts w:ascii="Arial" w:hAnsi="Arial"/>
                <w:b/>
                <w:sz w:val="16"/>
              </w:rPr>
              <w:t>Accumulated</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56" w:type="dxa"/>
            <w:gridSpan w:val="2"/>
            <w:tcBorders/>
            <w:shd w:fill="auto" w:val="clear"/>
            <w:vAlign w:val="center"/>
          </w:tcPr>
          <w:p>
            <w:pPr>
              <w:pStyle w:val="TableContents"/>
              <w:spacing w:lineRule="auto" w:line="252" w:before="0" w:after="0"/>
              <w:ind w:left="0" w:right="0" w:hanging="0"/>
              <w:jc w:val="center"/>
              <w:rPr>
                <w:rFonts w:ascii="Arial" w:hAnsi="Arial"/>
                <w:b/>
                <w:sz w:val="16"/>
              </w:rPr>
            </w:pPr>
            <w:r>
              <w:rPr>
                <w:rFonts w:ascii="Arial" w:hAnsi="Arial"/>
                <w:b/>
                <w:sz w:val="16"/>
              </w:rPr>
              <w:t>Total</w:t>
              <w:br/>
              <w:t>Stockholders’</w:t>
            </w:r>
          </w:p>
        </w:tc>
        <w:tc>
          <w:tcPr>
            <w:tcW w:w="412" w:type="dxa"/>
            <w:tcBorders/>
            <w:shd w:fill="auto" w:val="clear"/>
            <w:vAlign w:val="center"/>
          </w:tcPr>
          <w:p>
            <w:pPr>
              <w:pStyle w:val="TableContents"/>
              <w:spacing w:lineRule="auto" w:line="252" w:before="0" w:after="0"/>
              <w:ind w:left="0" w:right="0" w:hanging="0"/>
              <w:jc w:val="center"/>
              <w:rPr/>
            </w:pPr>
            <w:r>
              <w:rPr/>
              <w:t> </w:t>
            </w:r>
          </w:p>
        </w:tc>
      </w:tr>
      <w:tr>
        <w:trPr/>
        <w:tc>
          <w:tcPr>
            <w:tcW w:w="155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5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35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Loss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5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5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Equity</w:t>
            </w:r>
          </w:p>
        </w:tc>
        <w:tc>
          <w:tcPr>
            <w:tcW w:w="41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1559" w:type="dxa"/>
            <w:tcBorders/>
            <w:shd w:fill="auto" w:val="clear"/>
            <w:vAlign w:val="center"/>
          </w:tcPr>
          <w:p>
            <w:pPr>
              <w:pStyle w:val="TableContents"/>
              <w:spacing w:lineRule="auto" w:line="252" w:before="0" w:after="0"/>
              <w:ind w:left="0" w:right="0" w:hanging="0"/>
              <w:jc w:val="left"/>
              <w:rPr>
                <w:rFonts w:ascii="Arial" w:hAnsi="Arial"/>
                <w:b/>
                <w:sz w:val="18"/>
              </w:rPr>
            </w:pPr>
            <w:r>
              <w:rPr>
                <w:rFonts w:ascii="Arial" w:hAnsi="Arial"/>
                <w:b/>
                <w:sz w:val="18"/>
              </w:rPr>
              <w:t>Balance as of January 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37,379,077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4" w:type="dxa"/>
            <w:tcBorders/>
            <w:shd w:fill="auto" w:val="clear"/>
            <w:vAlign w:val="center"/>
          </w:tcPr>
          <w:p>
            <w:pPr>
              <w:pStyle w:val="TableContents"/>
              <w:spacing w:lineRule="auto" w:line="252" w:before="0" w:after="0"/>
              <w:ind w:left="0" w:right="0" w:hanging="0"/>
              <w:jc w:val="left"/>
              <w:rPr>
                <w:rFonts w:ascii="Arial" w:hAnsi="Arial"/>
                <w:b w:val="false"/>
                <w:sz w:val="18"/>
              </w:rPr>
            </w:pPr>
            <w:r>
              <w:rPr>
                <w:rFonts w:ascii="Arial" w:hAnsi="Arial"/>
                <w:b w:val="false"/>
                <w:sz w:val="18"/>
              </w:rPr>
              <w:t>$</w:t>
            </w:r>
          </w:p>
        </w:tc>
        <w:tc>
          <w:tcPr>
            <w:tcW w:w="467" w:type="dxa"/>
            <w:tcBorders/>
            <w:shd w:fill="auto" w:val="cle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18"/>
              </w:rPr>
            </w:pPr>
            <w:r>
              <w:rPr>
                <w:rFonts w:ascii="Arial" w:hAnsi="Arial"/>
                <w:b w:val="false"/>
                <w:sz w:val="18"/>
              </w:rPr>
              <w:t>$</w:t>
            </w:r>
          </w:p>
        </w:tc>
        <w:tc>
          <w:tcPr>
            <w:tcW w:w="781" w:type="dxa"/>
            <w:tcBorders/>
            <w:shd w:fill="auto" w:val="cle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417,363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37" w:type="dxa"/>
            <w:tcBorders/>
            <w:shd w:fill="auto" w:val="clear"/>
            <w:vAlign w:val="center"/>
          </w:tcPr>
          <w:p>
            <w:pPr>
              <w:pStyle w:val="TableContents"/>
              <w:spacing w:lineRule="auto" w:line="252" w:before="0" w:after="0"/>
              <w:ind w:left="0" w:right="0" w:hanging="0"/>
              <w:jc w:val="left"/>
              <w:rPr>
                <w:rFonts w:ascii="Arial" w:hAnsi="Arial"/>
                <w:b w:val="false"/>
                <w:sz w:val="18"/>
              </w:rPr>
            </w:pPr>
            <w:r>
              <w:rPr>
                <w:rFonts w:ascii="Arial" w:hAnsi="Arial"/>
                <w:b w:val="false"/>
                <w:sz w:val="18"/>
              </w:rPr>
              <w:t>$</w:t>
            </w:r>
          </w:p>
        </w:tc>
        <w:tc>
          <w:tcPr>
            <w:tcW w:w="1014" w:type="dxa"/>
            <w:tcBorders/>
            <w:shd w:fill="auto" w:val="cle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(388</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18"/>
              </w:rPr>
            </w:pPr>
            <w:r>
              <w:rPr>
                <w:rFonts w:ascii="Arial" w:hAnsi="Arial"/>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rFonts w:ascii="Arial" w:hAnsi="Arial"/>
                <w:b w:val="false"/>
                <w:sz w:val="18"/>
              </w:rPr>
            </w:pPr>
            <w:r>
              <w:rPr>
                <w:rFonts w:ascii="Arial" w:hAnsi="Arial"/>
                <w:b w:val="false"/>
                <w:sz w:val="18"/>
              </w:rPr>
              <w:t>$</w:t>
            </w:r>
          </w:p>
        </w:tc>
        <w:tc>
          <w:tcPr>
            <w:tcW w:w="925" w:type="dxa"/>
            <w:tcBorders/>
            <w:shd w:fill="auto" w:val="cle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(95,895</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18"/>
              </w:rPr>
            </w:pPr>
            <w:r>
              <w:rPr>
                <w:rFonts w:ascii="Arial" w:hAnsi="Arial"/>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rFonts w:ascii="Arial" w:hAnsi="Arial"/>
                <w:b w:val="false"/>
                <w:sz w:val="18"/>
              </w:rPr>
            </w:pPr>
            <w:r>
              <w:rPr>
                <w:rFonts w:ascii="Arial" w:hAnsi="Arial"/>
                <w:b w:val="false"/>
                <w:sz w:val="18"/>
              </w:rPr>
              <w:t>$</w:t>
            </w:r>
          </w:p>
        </w:tc>
        <w:tc>
          <w:tcPr>
            <w:tcW w:w="911" w:type="dxa"/>
            <w:tcBorders/>
            <w:shd w:fill="auto" w:val="cle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321,084</w:t>
            </w:r>
          </w:p>
        </w:tc>
        <w:tc>
          <w:tcPr>
            <w:tcW w:w="412" w:type="dxa"/>
            <w:tcBorders/>
            <w:shd w:fill="auto" w:val="clear"/>
            <w:vAlign w:val="center"/>
          </w:tcPr>
          <w:p>
            <w:pPr>
              <w:pStyle w:val="TableContents"/>
              <w:spacing w:lineRule="auto" w:line="252" w:before="0" w:after="0"/>
              <w:ind w:left="0" w:right="0" w:firstLine="200"/>
              <w:jc w:val="left"/>
              <w:rPr/>
            </w:pPr>
            <w:r>
              <w:rPr/>
              <w:t> </w:t>
            </w:r>
          </w:p>
        </w:tc>
      </w:tr>
      <w:tr>
        <w:trPr/>
        <w:tc>
          <w:tcPr>
            <w:tcW w:w="1559" w:type="dxa"/>
            <w:tcBorders/>
            <w:shd w:fill="auto" w:val="clear"/>
            <w:vAlign w:val="center"/>
          </w:tcPr>
          <w:p>
            <w:pPr>
              <w:pStyle w:val="TableContents"/>
              <w:spacing w:lineRule="auto" w:line="252" w:before="0" w:after="0"/>
              <w:ind w:left="200" w:right="0" w:hanging="0"/>
              <w:jc w:val="left"/>
              <w:rPr>
                <w:rFonts w:ascii="Arial" w:hAnsi="Arial"/>
                <w:b w:val="false"/>
                <w:sz w:val="18"/>
              </w:rPr>
            </w:pPr>
            <w:r>
              <w:rPr>
                <w:rFonts w:ascii="Arial" w:hAnsi="Arial"/>
                <w:b w:val="false"/>
                <w:sz w:val="18"/>
              </w:rPr>
              <w:t>Issuance of common stock upon exercise of</w:t>
              <w:br/>
              <w:t>   common stock options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244,981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4" w:type="dxa"/>
            <w:tcBorders/>
            <w:shd w:fill="auto" w:val="clear"/>
            <w:vAlign w:val="center"/>
          </w:tcPr>
          <w:p>
            <w:pPr>
              <w:pStyle w:val="TableContents"/>
              <w:spacing w:lineRule="auto" w:line="252" w:before="0" w:after="0"/>
              <w:ind w:left="0" w:right="0" w:hanging="0"/>
              <w:jc w:val="left"/>
              <w:rPr/>
            </w:pPr>
            <w:r>
              <w:rPr/>
              <w:t> </w:t>
            </w:r>
          </w:p>
        </w:tc>
        <w:tc>
          <w:tcPr>
            <w:tcW w:w="46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210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37" w:type="dxa"/>
            <w:tcBorders/>
            <w:shd w:fill="auto" w:val="clear"/>
            <w:vAlign w:val="center"/>
          </w:tcPr>
          <w:p>
            <w:pPr>
              <w:pStyle w:val="TableContents"/>
              <w:spacing w:lineRule="auto" w:line="252" w:before="0" w:after="0"/>
              <w:ind w:left="0" w:right="0" w:hanging="0"/>
              <w:jc w:val="left"/>
              <w:rPr/>
            </w:pPr>
            <w:r>
              <w:rPr/>
              <w:t> </w:t>
            </w:r>
          </w:p>
        </w:tc>
        <w:tc>
          <w:tcPr>
            <w:tcW w:w="1014"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925"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911" w:type="dxa"/>
            <w:tcBorders/>
            <w:shd w:fill="auto" w:val="cle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210</w:t>
            </w:r>
          </w:p>
        </w:tc>
        <w:tc>
          <w:tcPr>
            <w:tcW w:w="412" w:type="dxa"/>
            <w:tcBorders/>
            <w:shd w:fill="auto" w:val="clear"/>
            <w:vAlign w:val="center"/>
          </w:tcPr>
          <w:p>
            <w:pPr>
              <w:pStyle w:val="TableContents"/>
              <w:spacing w:lineRule="auto" w:line="252" w:before="0" w:after="0"/>
              <w:ind w:left="0" w:right="0" w:firstLine="200"/>
              <w:jc w:val="left"/>
              <w:rPr/>
            </w:pPr>
            <w:r>
              <w:rPr/>
              <w:t> </w:t>
            </w:r>
          </w:p>
        </w:tc>
      </w:tr>
      <w:tr>
        <w:trPr/>
        <w:tc>
          <w:tcPr>
            <w:tcW w:w="1559" w:type="dxa"/>
            <w:tcBorders/>
            <w:shd w:fill="auto" w:val="clear"/>
            <w:vAlign w:val="center"/>
          </w:tcPr>
          <w:p>
            <w:pPr>
              <w:pStyle w:val="TableContents"/>
              <w:spacing w:lineRule="auto" w:line="252" w:before="0" w:after="0"/>
              <w:ind w:left="200" w:right="0" w:hanging="0"/>
              <w:jc w:val="left"/>
              <w:rPr>
                <w:rFonts w:ascii="Arial" w:hAnsi="Arial"/>
                <w:b w:val="false"/>
                <w:sz w:val="18"/>
              </w:rPr>
            </w:pPr>
            <w:r>
              <w:rPr>
                <w:rFonts w:ascii="Arial" w:hAnsi="Arial"/>
                <w:b w:val="false"/>
                <w:sz w:val="18"/>
              </w:rPr>
              <w:t>Stock-based compensation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4" w:type="dxa"/>
            <w:tcBorders/>
            <w:shd w:fill="auto" w:val="clear"/>
            <w:vAlign w:val="center"/>
          </w:tcPr>
          <w:p>
            <w:pPr>
              <w:pStyle w:val="TableContents"/>
              <w:spacing w:lineRule="auto" w:line="252" w:before="0" w:after="0"/>
              <w:ind w:left="0" w:right="0" w:hanging="0"/>
              <w:jc w:val="left"/>
              <w:rPr/>
            </w:pPr>
            <w:r>
              <w:rPr/>
              <w:t> </w:t>
            </w:r>
          </w:p>
        </w:tc>
        <w:tc>
          <w:tcPr>
            <w:tcW w:w="46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2,731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37" w:type="dxa"/>
            <w:tcBorders/>
            <w:shd w:fill="auto" w:val="clear"/>
            <w:vAlign w:val="center"/>
          </w:tcPr>
          <w:p>
            <w:pPr>
              <w:pStyle w:val="TableContents"/>
              <w:spacing w:lineRule="auto" w:line="252" w:before="0" w:after="0"/>
              <w:ind w:left="0" w:right="0" w:hanging="0"/>
              <w:jc w:val="left"/>
              <w:rPr/>
            </w:pPr>
            <w:r>
              <w:rPr/>
              <w:t> </w:t>
            </w:r>
          </w:p>
        </w:tc>
        <w:tc>
          <w:tcPr>
            <w:tcW w:w="1014"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925"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911" w:type="dxa"/>
            <w:tcBorders/>
            <w:shd w:fill="auto" w:val="cle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2,731</w:t>
            </w:r>
          </w:p>
        </w:tc>
        <w:tc>
          <w:tcPr>
            <w:tcW w:w="412" w:type="dxa"/>
            <w:tcBorders/>
            <w:shd w:fill="auto" w:val="clear"/>
            <w:vAlign w:val="center"/>
          </w:tcPr>
          <w:p>
            <w:pPr>
              <w:pStyle w:val="TableContents"/>
              <w:spacing w:lineRule="auto" w:line="252" w:before="0" w:after="0"/>
              <w:ind w:left="0" w:right="0" w:firstLine="200"/>
              <w:jc w:val="left"/>
              <w:rPr/>
            </w:pPr>
            <w:r>
              <w:rPr/>
              <w:t> </w:t>
            </w:r>
          </w:p>
        </w:tc>
      </w:tr>
      <w:tr>
        <w:trPr/>
        <w:tc>
          <w:tcPr>
            <w:tcW w:w="1559" w:type="dxa"/>
            <w:tcBorders/>
            <w:shd w:fill="auto" w:val="clear"/>
            <w:vAlign w:val="center"/>
          </w:tcPr>
          <w:p>
            <w:pPr>
              <w:pStyle w:val="TableContents"/>
              <w:spacing w:lineRule="auto" w:line="252" w:before="0" w:after="0"/>
              <w:ind w:left="200" w:right="0" w:hanging="0"/>
              <w:jc w:val="left"/>
              <w:rPr>
                <w:rFonts w:ascii="Arial" w:hAnsi="Arial"/>
                <w:b w:val="false"/>
                <w:sz w:val="18"/>
              </w:rPr>
            </w:pPr>
            <w:r>
              <w:rPr>
                <w:rFonts w:ascii="Arial" w:hAnsi="Arial"/>
                <w:b w:val="false"/>
                <w:sz w:val="18"/>
              </w:rPr>
              <w:t>Unrealized loss on available-for-sale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4" w:type="dxa"/>
            <w:tcBorders/>
            <w:shd w:fill="auto" w:val="clear"/>
            <w:vAlign w:val="center"/>
          </w:tcPr>
          <w:p>
            <w:pPr>
              <w:pStyle w:val="TableContents"/>
              <w:spacing w:lineRule="auto" w:line="252" w:before="0" w:after="0"/>
              <w:ind w:left="0" w:right="0" w:hanging="0"/>
              <w:jc w:val="left"/>
              <w:rPr/>
            </w:pPr>
            <w:r>
              <w:rPr/>
              <w:t> </w:t>
            </w:r>
          </w:p>
        </w:tc>
        <w:tc>
          <w:tcPr>
            <w:tcW w:w="46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37" w:type="dxa"/>
            <w:tcBorders/>
            <w:shd w:fill="auto" w:val="clear"/>
            <w:vAlign w:val="center"/>
          </w:tcPr>
          <w:p>
            <w:pPr>
              <w:pStyle w:val="TableContents"/>
              <w:spacing w:lineRule="auto" w:line="252" w:before="0" w:after="0"/>
              <w:ind w:left="0" w:right="0" w:hanging="0"/>
              <w:jc w:val="left"/>
              <w:rPr/>
            </w:pPr>
            <w:r>
              <w:rPr/>
              <w:t> </w:t>
            </w:r>
          </w:p>
        </w:tc>
        <w:tc>
          <w:tcPr>
            <w:tcW w:w="1014" w:type="dxa"/>
            <w:tcBorders/>
            <w:shd w:fill="auto" w:val="cle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(1,068</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18"/>
              </w:rPr>
            </w:pPr>
            <w:r>
              <w:rPr>
                <w:rFonts w:ascii="Arial" w:hAnsi="Arial"/>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925"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911" w:type="dxa"/>
            <w:tcBorders/>
            <w:shd w:fill="auto" w:val="cle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(1,068</w:t>
            </w:r>
          </w:p>
        </w:tc>
        <w:tc>
          <w:tcPr>
            <w:tcW w:w="412" w:type="dxa"/>
            <w:tcBorders/>
            <w:shd w:fill="auto" w:val="clear"/>
            <w:vAlign w:val="center"/>
          </w:tcPr>
          <w:p>
            <w:pPr>
              <w:pStyle w:val="TableContents"/>
              <w:spacing w:lineRule="auto" w:line="252" w:before="0" w:after="0"/>
              <w:ind w:left="0" w:right="0" w:firstLine="200"/>
              <w:jc w:val="left"/>
              <w:rPr>
                <w:rFonts w:ascii="Arial" w:hAnsi="Arial"/>
                <w:b w:val="false"/>
                <w:sz w:val="18"/>
              </w:rPr>
            </w:pPr>
            <w:r>
              <w:rPr>
                <w:rFonts w:ascii="Arial" w:hAnsi="Arial"/>
                <w:b w:val="false"/>
                <w:sz w:val="18"/>
              </w:rPr>
              <w:t>)</w:t>
            </w:r>
          </w:p>
        </w:tc>
      </w:tr>
      <w:tr>
        <w:trPr/>
        <w:tc>
          <w:tcPr>
            <w:tcW w:w="1559" w:type="dxa"/>
            <w:tcBorders/>
            <w:shd w:fill="auto" w:val="clear"/>
            <w:vAlign w:val="center"/>
          </w:tcPr>
          <w:p>
            <w:pPr>
              <w:pStyle w:val="TableContents"/>
              <w:spacing w:lineRule="auto" w:line="252" w:before="0" w:after="0"/>
              <w:ind w:left="200" w:right="0" w:hanging="0"/>
              <w:jc w:val="left"/>
              <w:rPr>
                <w:rFonts w:ascii="Arial" w:hAnsi="Arial"/>
                <w:b w:val="false"/>
                <w:sz w:val="18"/>
              </w:rPr>
            </w:pPr>
            <w:r>
              <w:rPr>
                <w:rFonts w:ascii="Arial" w:hAnsi="Arial"/>
                <w:b w:val="false"/>
                <w:sz w:val="18"/>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6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3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1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2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(20,980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8"/>
              </w:rPr>
            </w:pPr>
            <w:r>
              <w:rPr>
                <w:rFonts w:ascii="Arial" w:hAnsi="Arial"/>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(20,980</w:t>
            </w:r>
          </w:p>
        </w:tc>
        <w:tc>
          <w:tcPr>
            <w:tcW w:w="41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8"/>
              </w:rPr>
            </w:pPr>
            <w:r>
              <w:rPr>
                <w:rFonts w:ascii="Arial" w:hAnsi="Arial"/>
                <w:b w:val="false"/>
                <w:sz w:val="18"/>
              </w:rPr>
              <w:t>)</w:t>
            </w:r>
          </w:p>
        </w:tc>
      </w:tr>
      <w:tr>
        <w:trPr/>
        <w:tc>
          <w:tcPr>
            <w:tcW w:w="1559" w:type="dxa"/>
            <w:tcBorders/>
            <w:shd w:fill="auto" w:val="clear"/>
            <w:vAlign w:val="center"/>
          </w:tcPr>
          <w:p>
            <w:pPr>
              <w:pStyle w:val="TableContents"/>
              <w:spacing w:lineRule="auto" w:line="252" w:before="0" w:after="0"/>
              <w:ind w:left="0" w:right="0" w:hanging="0"/>
              <w:jc w:val="left"/>
              <w:rPr>
                <w:rFonts w:ascii="Arial" w:hAnsi="Arial"/>
                <w:b/>
                <w:sz w:val="18"/>
              </w:rPr>
            </w:pPr>
            <w:r>
              <w:rPr>
                <w:rFonts w:ascii="Arial" w:hAnsi="Arial"/>
                <w:b/>
                <w:sz w:val="18"/>
              </w:rPr>
              <w:t>Balance as of March 31,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37,624,058</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8"/>
              </w:rPr>
            </w:pPr>
            <w:r>
              <w:rPr>
                <w:rFonts w:ascii="Arial" w:hAnsi="Arial"/>
                <w:b w:val="false"/>
                <w:sz w:val="18"/>
              </w:rPr>
              <w:t>$</w:t>
            </w:r>
          </w:p>
        </w:tc>
        <w:tc>
          <w:tcPr>
            <w:tcW w:w="46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4</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8"/>
              </w:rPr>
            </w:pPr>
            <w:r>
              <w:rPr>
                <w:rFonts w:ascii="Arial" w:hAnsi="Arial"/>
                <w:b w:val="false"/>
                <w:sz w:val="18"/>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420,304</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3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8"/>
              </w:rPr>
            </w:pPr>
            <w:r>
              <w:rPr>
                <w:rFonts w:ascii="Arial" w:hAnsi="Arial"/>
                <w:b w:val="false"/>
                <w:sz w:val="18"/>
              </w:rPr>
              <w:t>$</w:t>
            </w:r>
          </w:p>
        </w:tc>
        <w:tc>
          <w:tcPr>
            <w:tcW w:w="101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(1,456</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8"/>
              </w:rPr>
            </w:pPr>
            <w:r>
              <w:rPr>
                <w:rFonts w:ascii="Arial" w:hAnsi="Arial"/>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8"/>
              </w:rPr>
            </w:pPr>
            <w:r>
              <w:rPr>
                <w:rFonts w:ascii="Arial" w:hAnsi="Arial"/>
                <w:b w:val="false"/>
                <w:sz w:val="18"/>
              </w:rPr>
              <w:t>$</w:t>
            </w:r>
          </w:p>
        </w:tc>
        <w:tc>
          <w:tcPr>
            <w:tcW w:w="92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(116,875</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8"/>
              </w:rPr>
            </w:pPr>
            <w:r>
              <w:rPr>
                <w:rFonts w:ascii="Arial" w:hAnsi="Arial"/>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8"/>
              </w:rPr>
            </w:pPr>
            <w:r>
              <w:rPr>
                <w:rFonts w:ascii="Arial" w:hAnsi="Arial"/>
                <w:b w:val="false"/>
                <w:sz w:val="18"/>
              </w:rPr>
              <w:t>$</w:t>
            </w:r>
          </w:p>
        </w:tc>
        <w:tc>
          <w:tcPr>
            <w:tcW w:w="9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8"/>
              </w:rPr>
            </w:pPr>
            <w:r>
              <w:rPr>
                <w:rFonts w:ascii="Arial" w:hAnsi="Arial"/>
                <w:b w:val="false"/>
                <w:sz w:val="18"/>
              </w:rPr>
              <w:t>301,977</w:t>
            </w:r>
          </w:p>
        </w:tc>
        <w:tc>
          <w:tcPr>
            <w:tcW w:w="41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40" w:after="0"/>
        <w:jc w:val="center"/>
        <w:rPr>
          <w:rFonts w:ascii="Arial" w:hAnsi="Arial"/>
          <w:b w:val="false"/>
          <w:i/>
          <w:sz w:val="20"/>
        </w:rPr>
      </w:pPr>
      <w:r>
        <w:rPr>
          <w:rFonts w:ascii="Arial" w:hAnsi="Arial"/>
          <w:b w:val="false"/>
          <w:i/>
          <w:sz w:val="20"/>
        </w:rPr>
        <w:t>The accompanying notes are an integral part of these condensed consolidated financial statements.</w:t>
      </w:r>
    </w:p>
    <w:p>
      <w:pPr>
        <w:pStyle w:val="TextBody"/>
        <w:spacing w:lineRule="auto" w:line="273" w:before="240" w:after="0"/>
        <w:jc w:val="center"/>
        <w:rPr>
          <w:rFonts w:ascii="Arial" w:hAnsi="Arial"/>
          <w:b w:val="false"/>
          <w:sz w:val="20"/>
        </w:rPr>
      </w:pPr>
      <w:r>
        <w:rPr>
          <w:rFonts w:ascii="Arial" w:hAnsi="Arial"/>
          <w:b w:val="false"/>
          <w:sz w:val="20"/>
        </w:rPr>
        <w:t>7</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Arial" w:hAnsi="Arial"/>
          <w:b/>
          <w:sz w:val="20"/>
        </w:rPr>
      </w:pPr>
      <w:r>
        <w:rPr>
          <w:rFonts w:ascii="Arial" w:hAnsi="Arial"/>
          <w:b/>
          <w:sz w:val="20"/>
        </w:rPr>
        <w:t>Athira Pharma, Inc.</w:t>
      </w:r>
    </w:p>
    <w:p>
      <w:pPr>
        <w:pStyle w:val="TextBody"/>
        <w:spacing w:lineRule="auto" w:line="273" w:before="0" w:after="0"/>
        <w:jc w:val="center"/>
        <w:rPr>
          <w:rFonts w:ascii="Arial" w:hAnsi="Arial"/>
          <w:b/>
          <w:sz w:val="20"/>
        </w:rPr>
      </w:pPr>
      <w:bookmarkStart w:id="7" w:name="condensed_consolidated_statements_cash_f"/>
      <w:bookmarkEnd w:id="7"/>
      <w:r>
        <w:rPr>
          <w:rFonts w:ascii="Arial" w:hAnsi="Arial"/>
          <w:b/>
          <w:sz w:val="20"/>
        </w:rPr>
        <w:t>Condensed Consolidated Statements of Cash Flows</w:t>
      </w:r>
    </w:p>
    <w:p>
      <w:pPr>
        <w:pStyle w:val="TextBody"/>
        <w:spacing w:lineRule="auto" w:line="273" w:before="0" w:after="0"/>
        <w:jc w:val="center"/>
        <w:rPr>
          <w:rFonts w:ascii="Times New Roman" w:hAnsi="Times New Roman"/>
          <w:sz w:val="20"/>
        </w:rPr>
      </w:pPr>
      <w:r>
        <w:rPr>
          <w:rFonts w:ascii="Arial" w:hAnsi="Arial"/>
          <w:b/>
          <w:sz w:val="20"/>
        </w:rPr>
        <w:t>(in thousands)</w:t>
      </w:r>
      <w:r>
        <w:rPr>
          <w:rFonts w:ascii="Times New Roman" w:hAnsi="Times New Roman"/>
          <w:sz w:val="20"/>
        </w:rPr>
        <w:t xml:space="preserve"> </w:t>
      </w:r>
    </w:p>
    <w:p>
      <w:pPr>
        <w:pStyle w:val="TextBody"/>
        <w:spacing w:lineRule="auto" w:line="273" w:before="0" w:after="0"/>
        <w:jc w:val="center"/>
        <w:rPr>
          <w:rFonts w:ascii="Arial" w:hAnsi="Arial"/>
          <w:b/>
          <w:sz w:val="20"/>
        </w:rPr>
      </w:pPr>
      <w:r>
        <w:rPr>
          <w:rFonts w:ascii="Arial" w:hAnsi="Arial"/>
          <w:b/>
          <w:sz w:val="20"/>
        </w:rPr>
        <w:t>(unaudited)</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6194"/>
        <w:gridCol w:w="146"/>
        <w:gridCol w:w="229"/>
        <w:gridCol w:w="866"/>
        <w:gridCol w:w="180"/>
        <w:gridCol w:w="159"/>
        <w:gridCol w:w="229"/>
        <w:gridCol w:w="866"/>
        <w:gridCol w:w="1336"/>
      </w:tblGrid>
      <w:tr>
        <w:trPr/>
        <w:tc>
          <w:tcPr>
            <w:tcW w:w="619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r>
      <w:tr>
        <w:trPr/>
        <w:tc>
          <w:tcPr>
            <w:tcW w:w="6194"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29"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Three Months Ended March 31,</w:t>
            </w:r>
          </w:p>
        </w:tc>
        <w:tc>
          <w:tcPr>
            <w:tcW w:w="13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194"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2022</w:t>
            </w:r>
          </w:p>
        </w:tc>
        <w:tc>
          <w:tcPr>
            <w:tcW w:w="18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5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2021</w:t>
            </w:r>
          </w:p>
        </w:tc>
        <w:tc>
          <w:tcPr>
            <w:tcW w:w="13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194" w:type="dxa"/>
            <w:tcBorders/>
            <w:shd w:fill="auto" w:val="clear"/>
            <w:vAlign w:val="center"/>
          </w:tcPr>
          <w:p>
            <w:pPr>
              <w:pStyle w:val="TableContents"/>
              <w:spacing w:lineRule="auto" w:line="252" w:before="0" w:after="0"/>
              <w:ind w:left="0" w:right="0" w:hanging="0"/>
              <w:jc w:val="left"/>
              <w:rPr>
                <w:rFonts w:ascii="Arial" w:hAnsi="Arial"/>
                <w:b/>
                <w:sz w:val="20"/>
              </w:rPr>
            </w:pPr>
            <w:r>
              <w:rPr>
                <w:rFonts w:ascii="Arial" w:hAnsi="Arial"/>
                <w:b/>
                <w:sz w:val="20"/>
              </w:rPr>
              <w:t>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right"/>
              <w:rPr/>
            </w:pPr>
            <w:r>
              <w:rPr/>
              <w:t> </w:t>
            </w:r>
          </w:p>
        </w:tc>
        <w:tc>
          <w:tcPr>
            <w:tcW w:w="180" w:type="dxa"/>
            <w:tcBorders/>
            <w:shd w:fill="auto" w:val="clear"/>
            <w:vAlign w:val="center"/>
          </w:tcPr>
          <w:p>
            <w:pPr>
              <w:pStyle w:val="TableContents"/>
              <w:spacing w:lineRule="auto" w:line="252" w:before="0" w:after="0"/>
              <w:ind w:left="0" w:right="0" w:hanging="0"/>
              <w:jc w:val="right"/>
              <w:rPr/>
            </w:pPr>
            <w:r>
              <w:rPr/>
              <w:t> </w:t>
            </w:r>
          </w:p>
        </w:tc>
        <w:tc>
          <w:tcPr>
            <w:tcW w:w="159"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right"/>
              <w:rPr/>
            </w:pPr>
            <w:r>
              <w:rPr/>
              <w:t> </w:t>
            </w:r>
          </w:p>
        </w:tc>
        <w:tc>
          <w:tcPr>
            <w:tcW w:w="1336" w:type="dxa"/>
            <w:tcBorders/>
            <w:shd w:fill="auto" w:val="clear"/>
            <w:vAlign w:val="center"/>
          </w:tcPr>
          <w:p>
            <w:pPr>
              <w:pStyle w:val="TableContents"/>
              <w:spacing w:lineRule="auto" w:line="252" w:before="0" w:after="0"/>
              <w:ind w:left="0" w:right="0" w:firstLine="280"/>
              <w:jc w:val="right"/>
              <w:rPr/>
            </w:pPr>
            <w:r>
              <w:rPr/>
              <w:t> </w:t>
            </w:r>
          </w:p>
        </w:tc>
      </w:tr>
      <w:tr>
        <w:trPr/>
        <w:tc>
          <w:tcPr>
            <w:tcW w:w="6194"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9"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(20,980</w:t>
            </w:r>
          </w:p>
        </w:tc>
        <w:tc>
          <w:tcPr>
            <w:tcW w:w="180"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59" w:type="dxa"/>
            <w:tcBorders/>
            <w:shd w:fill="auto" w:val="clear"/>
            <w:vAlign w:val="center"/>
          </w:tcPr>
          <w:p>
            <w:pPr>
              <w:pStyle w:val="TableContents"/>
              <w:spacing w:lineRule="auto" w:line="252" w:before="0" w:after="0"/>
              <w:ind w:left="0" w:right="0" w:hanging="0"/>
              <w:jc w:val="left"/>
              <w:rPr/>
            </w:pPr>
            <w:r>
              <w:rPr/>
              <w:t> </w:t>
            </w:r>
          </w:p>
        </w:tc>
        <w:tc>
          <w:tcPr>
            <w:tcW w:w="229"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(8,866</w:t>
            </w:r>
          </w:p>
        </w:tc>
        <w:tc>
          <w:tcPr>
            <w:tcW w:w="1336" w:type="dxa"/>
            <w:tcBorders/>
            <w:shd w:fill="auto" w:val="clear"/>
            <w:vAlign w:val="center"/>
          </w:tcPr>
          <w:p>
            <w:pPr>
              <w:pStyle w:val="TableContents"/>
              <w:spacing w:lineRule="auto" w:line="252" w:before="0" w:after="0"/>
              <w:ind w:left="0" w:right="0" w:firstLine="560"/>
              <w:jc w:val="left"/>
              <w:rPr>
                <w:rFonts w:ascii="Arial" w:hAnsi="Arial"/>
                <w:b w:val="false"/>
                <w:sz w:val="20"/>
              </w:rPr>
            </w:pPr>
            <w:r>
              <w:rPr>
                <w:rFonts w:ascii="Arial" w:hAnsi="Arial"/>
                <w:b w:val="false"/>
                <w:sz w:val="20"/>
              </w:rPr>
              <w:t>)</w:t>
            </w:r>
          </w:p>
        </w:tc>
      </w:tr>
      <w:tr>
        <w:trPr/>
        <w:tc>
          <w:tcPr>
            <w:tcW w:w="6194" w:type="dxa"/>
            <w:tcBorders/>
            <w:shd w:fill="auto" w:val="clear"/>
            <w:vAlign w:val="center"/>
          </w:tcPr>
          <w:p>
            <w:pPr>
              <w:pStyle w:val="TableContents"/>
              <w:spacing w:lineRule="auto" w:line="252" w:before="0" w:after="0"/>
              <w:ind w:left="560" w:right="0" w:hanging="0"/>
              <w:jc w:val="left"/>
              <w:rPr>
                <w:rFonts w:ascii="Arial" w:hAnsi="Arial"/>
                <w:b w:val="false"/>
                <w:sz w:val="20"/>
              </w:rPr>
            </w:pPr>
            <w:r>
              <w:rPr>
                <w:rFonts w:ascii="Arial" w:hAnsi="Arial"/>
                <w:b w:val="false"/>
                <w:sz w:val="20"/>
              </w:rPr>
              <w:t>Adjustments to reconcile net loss to net cash used in 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right"/>
              <w:rPr/>
            </w:pPr>
            <w:r>
              <w:rPr/>
              <w:t> </w:t>
            </w:r>
          </w:p>
        </w:tc>
        <w:tc>
          <w:tcPr>
            <w:tcW w:w="180" w:type="dxa"/>
            <w:tcBorders/>
            <w:shd w:fill="auto" w:val="clear"/>
            <w:vAlign w:val="center"/>
          </w:tcPr>
          <w:p>
            <w:pPr>
              <w:pStyle w:val="TableContents"/>
              <w:spacing w:lineRule="auto" w:line="252" w:before="0" w:after="0"/>
              <w:ind w:left="0" w:right="0" w:hanging="0"/>
              <w:jc w:val="right"/>
              <w:rPr/>
            </w:pPr>
            <w:r>
              <w:rPr/>
              <w:t> </w:t>
            </w:r>
          </w:p>
        </w:tc>
        <w:tc>
          <w:tcPr>
            <w:tcW w:w="159"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right"/>
              <w:rPr/>
            </w:pPr>
            <w:r>
              <w:rPr/>
              <w:t> </w:t>
            </w:r>
          </w:p>
        </w:tc>
        <w:tc>
          <w:tcPr>
            <w:tcW w:w="1336" w:type="dxa"/>
            <w:tcBorders/>
            <w:shd w:fill="auto" w:val="clear"/>
            <w:vAlign w:val="center"/>
          </w:tcPr>
          <w:p>
            <w:pPr>
              <w:pStyle w:val="TableContents"/>
              <w:spacing w:lineRule="auto" w:line="252" w:before="0" w:after="0"/>
              <w:ind w:left="0" w:right="0" w:firstLine="560"/>
              <w:jc w:val="right"/>
              <w:rPr/>
            </w:pPr>
            <w:r>
              <w:rPr/>
              <w:t> </w:t>
            </w:r>
          </w:p>
        </w:tc>
      </w:tr>
      <w:tr>
        <w:trPr/>
        <w:tc>
          <w:tcPr>
            <w:tcW w:w="6194" w:type="dxa"/>
            <w:tcBorders/>
            <w:shd w:fill="auto" w:val="clear"/>
            <w:vAlign w:val="center"/>
          </w:tcPr>
          <w:p>
            <w:pPr>
              <w:pStyle w:val="TableContents"/>
              <w:spacing w:lineRule="auto" w:line="252" w:before="0" w:after="0"/>
              <w:ind w:left="560" w:right="0" w:hanging="0"/>
              <w:jc w:val="left"/>
              <w:rPr>
                <w:rFonts w:ascii="Arial" w:hAnsi="Arial"/>
                <w:b w:val="false"/>
                <w:sz w:val="20"/>
              </w:rPr>
            </w:pPr>
            <w:r>
              <w:rPr>
                <w:rFonts w:ascii="Arial" w:hAnsi="Arial"/>
                <w:b w:val="false"/>
                <w:sz w:val="20"/>
              </w:rPr>
              <w:t>Stock-based compensation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9" w:type="dxa"/>
            <w:tcBorders/>
            <w:shd w:fill="auto" w:val="clear"/>
            <w:vAlign w:val="center"/>
          </w:tcPr>
          <w:p>
            <w:pPr>
              <w:pStyle w:val="TableContents"/>
              <w:spacing w:lineRule="auto" w:line="252" w:before="0" w:after="0"/>
              <w:ind w:left="0" w:right="0" w:hanging="0"/>
              <w:jc w:val="left"/>
              <w:rPr/>
            </w:pPr>
            <w:r>
              <w:rPr/>
              <w:t> </w:t>
            </w:r>
          </w:p>
        </w:tc>
        <w:tc>
          <w:tcPr>
            <w:tcW w:w="8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2,731</w:t>
            </w:r>
          </w:p>
        </w:tc>
        <w:tc>
          <w:tcPr>
            <w:tcW w:w="180" w:type="dxa"/>
            <w:tcBorders/>
            <w:shd w:fill="auto" w:val="clear"/>
            <w:vAlign w:val="center"/>
          </w:tcPr>
          <w:p>
            <w:pPr>
              <w:pStyle w:val="TableContents"/>
              <w:spacing w:lineRule="auto" w:line="252" w:before="0" w:after="0"/>
              <w:ind w:left="0" w:right="0" w:hanging="0"/>
              <w:jc w:val="left"/>
              <w:rPr/>
            </w:pPr>
            <w:r>
              <w:rPr/>
              <w:t> </w:t>
            </w:r>
          </w:p>
        </w:tc>
        <w:tc>
          <w:tcPr>
            <w:tcW w:w="159" w:type="dxa"/>
            <w:tcBorders/>
            <w:shd w:fill="auto" w:val="clear"/>
            <w:vAlign w:val="center"/>
          </w:tcPr>
          <w:p>
            <w:pPr>
              <w:pStyle w:val="TableContents"/>
              <w:spacing w:lineRule="auto" w:line="252" w:before="0" w:after="0"/>
              <w:ind w:left="0" w:right="0" w:hanging="0"/>
              <w:jc w:val="left"/>
              <w:rPr/>
            </w:pPr>
            <w:r>
              <w:rPr/>
              <w:t> </w:t>
            </w:r>
          </w:p>
        </w:tc>
        <w:tc>
          <w:tcPr>
            <w:tcW w:w="229" w:type="dxa"/>
            <w:tcBorders/>
            <w:shd w:fill="auto" w:val="clear"/>
            <w:vAlign w:val="center"/>
          </w:tcPr>
          <w:p>
            <w:pPr>
              <w:pStyle w:val="TableContents"/>
              <w:spacing w:lineRule="auto" w:line="252" w:before="0" w:after="0"/>
              <w:ind w:left="0" w:right="0" w:hanging="0"/>
              <w:jc w:val="left"/>
              <w:rPr/>
            </w:pPr>
            <w:r>
              <w:rPr/>
              <w:t> </w:t>
            </w:r>
          </w:p>
        </w:tc>
        <w:tc>
          <w:tcPr>
            <w:tcW w:w="8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974</w:t>
            </w:r>
          </w:p>
        </w:tc>
        <w:tc>
          <w:tcPr>
            <w:tcW w:w="1336" w:type="dxa"/>
            <w:tcBorders/>
            <w:shd w:fill="auto" w:val="clear"/>
            <w:vAlign w:val="center"/>
          </w:tcPr>
          <w:p>
            <w:pPr>
              <w:pStyle w:val="TableContents"/>
              <w:spacing w:lineRule="auto" w:line="252" w:before="0" w:after="0"/>
              <w:ind w:left="0" w:right="0" w:firstLine="560"/>
              <w:jc w:val="left"/>
              <w:rPr/>
            </w:pPr>
            <w:r>
              <w:rPr/>
              <w:t> </w:t>
            </w:r>
          </w:p>
        </w:tc>
      </w:tr>
      <w:tr>
        <w:trPr/>
        <w:tc>
          <w:tcPr>
            <w:tcW w:w="6194" w:type="dxa"/>
            <w:tcBorders/>
            <w:shd w:fill="auto" w:val="clear"/>
            <w:vAlign w:val="center"/>
          </w:tcPr>
          <w:p>
            <w:pPr>
              <w:pStyle w:val="TableContents"/>
              <w:spacing w:lineRule="auto" w:line="252" w:before="0" w:after="0"/>
              <w:ind w:left="560" w:right="0" w:hanging="0"/>
              <w:jc w:val="left"/>
              <w:rPr>
                <w:rFonts w:ascii="Arial" w:hAnsi="Arial"/>
                <w:b w:val="false"/>
                <w:sz w:val="20"/>
              </w:rPr>
            </w:pPr>
            <w:r>
              <w:rPr>
                <w:rFonts w:ascii="Arial" w:hAnsi="Arial"/>
                <w:b w:val="false"/>
                <w:sz w:val="20"/>
              </w:rPr>
              <w:t>Depreciation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9" w:type="dxa"/>
            <w:tcBorders/>
            <w:shd w:fill="auto" w:val="clear"/>
            <w:vAlign w:val="center"/>
          </w:tcPr>
          <w:p>
            <w:pPr>
              <w:pStyle w:val="TableContents"/>
              <w:spacing w:lineRule="auto" w:line="252" w:before="0" w:after="0"/>
              <w:ind w:left="0" w:right="0" w:hanging="0"/>
              <w:jc w:val="left"/>
              <w:rPr/>
            </w:pPr>
            <w:r>
              <w:rPr/>
              <w:t> </w:t>
            </w:r>
          </w:p>
        </w:tc>
        <w:tc>
          <w:tcPr>
            <w:tcW w:w="8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154</w:t>
            </w:r>
          </w:p>
        </w:tc>
        <w:tc>
          <w:tcPr>
            <w:tcW w:w="180" w:type="dxa"/>
            <w:tcBorders/>
            <w:shd w:fill="auto" w:val="clear"/>
            <w:vAlign w:val="center"/>
          </w:tcPr>
          <w:p>
            <w:pPr>
              <w:pStyle w:val="TableContents"/>
              <w:spacing w:lineRule="auto" w:line="252" w:before="0" w:after="0"/>
              <w:ind w:left="0" w:right="0" w:hanging="0"/>
              <w:jc w:val="left"/>
              <w:rPr/>
            </w:pPr>
            <w:r>
              <w:rPr/>
              <w:t> </w:t>
            </w:r>
          </w:p>
        </w:tc>
        <w:tc>
          <w:tcPr>
            <w:tcW w:w="159" w:type="dxa"/>
            <w:tcBorders/>
            <w:shd w:fill="auto" w:val="clear"/>
            <w:vAlign w:val="center"/>
          </w:tcPr>
          <w:p>
            <w:pPr>
              <w:pStyle w:val="TableContents"/>
              <w:spacing w:lineRule="auto" w:line="252" w:before="0" w:after="0"/>
              <w:ind w:left="0" w:right="0" w:hanging="0"/>
              <w:jc w:val="left"/>
              <w:rPr/>
            </w:pPr>
            <w:r>
              <w:rPr/>
              <w:t> </w:t>
            </w:r>
          </w:p>
        </w:tc>
        <w:tc>
          <w:tcPr>
            <w:tcW w:w="229" w:type="dxa"/>
            <w:tcBorders/>
            <w:shd w:fill="auto" w:val="clear"/>
            <w:vAlign w:val="center"/>
          </w:tcPr>
          <w:p>
            <w:pPr>
              <w:pStyle w:val="TableContents"/>
              <w:spacing w:lineRule="auto" w:line="252" w:before="0" w:after="0"/>
              <w:ind w:left="0" w:right="0" w:hanging="0"/>
              <w:jc w:val="left"/>
              <w:rPr/>
            </w:pPr>
            <w:r>
              <w:rPr/>
              <w:t> </w:t>
            </w:r>
          </w:p>
        </w:tc>
        <w:tc>
          <w:tcPr>
            <w:tcW w:w="8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112</w:t>
            </w:r>
          </w:p>
        </w:tc>
        <w:tc>
          <w:tcPr>
            <w:tcW w:w="1336" w:type="dxa"/>
            <w:tcBorders/>
            <w:shd w:fill="auto" w:val="clear"/>
            <w:vAlign w:val="center"/>
          </w:tcPr>
          <w:p>
            <w:pPr>
              <w:pStyle w:val="TableContents"/>
              <w:spacing w:lineRule="auto" w:line="252" w:before="0" w:after="0"/>
              <w:ind w:left="0" w:right="0" w:firstLine="560"/>
              <w:jc w:val="left"/>
              <w:rPr/>
            </w:pPr>
            <w:r>
              <w:rPr/>
              <w:t> </w:t>
            </w:r>
          </w:p>
        </w:tc>
      </w:tr>
      <w:tr>
        <w:trPr/>
        <w:tc>
          <w:tcPr>
            <w:tcW w:w="6194" w:type="dxa"/>
            <w:tcBorders/>
            <w:shd w:fill="auto" w:val="clear"/>
            <w:vAlign w:val="center"/>
          </w:tcPr>
          <w:p>
            <w:pPr>
              <w:pStyle w:val="TableContents"/>
              <w:spacing w:lineRule="auto" w:line="252" w:before="0" w:after="0"/>
              <w:ind w:left="560" w:right="0" w:hanging="0"/>
              <w:jc w:val="left"/>
              <w:rPr>
                <w:rFonts w:ascii="Arial" w:hAnsi="Arial"/>
                <w:b w:val="false"/>
                <w:sz w:val="20"/>
              </w:rPr>
            </w:pPr>
            <w:r>
              <w:rPr>
                <w:rFonts w:ascii="Arial" w:hAnsi="Arial"/>
                <w:b w:val="false"/>
                <w:sz w:val="20"/>
              </w:rPr>
              <w:t>Non-cash lease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9" w:type="dxa"/>
            <w:tcBorders/>
            <w:shd w:fill="auto" w:val="clear"/>
            <w:vAlign w:val="center"/>
          </w:tcPr>
          <w:p>
            <w:pPr>
              <w:pStyle w:val="TableContents"/>
              <w:spacing w:lineRule="auto" w:line="252" w:before="0" w:after="0"/>
              <w:ind w:left="0" w:right="0" w:hanging="0"/>
              <w:jc w:val="left"/>
              <w:rPr/>
            </w:pPr>
            <w:r>
              <w:rPr/>
              <w:t> </w:t>
            </w:r>
          </w:p>
        </w:tc>
        <w:tc>
          <w:tcPr>
            <w:tcW w:w="8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45</w:t>
            </w:r>
          </w:p>
        </w:tc>
        <w:tc>
          <w:tcPr>
            <w:tcW w:w="180" w:type="dxa"/>
            <w:tcBorders/>
            <w:shd w:fill="auto" w:val="clear"/>
            <w:vAlign w:val="center"/>
          </w:tcPr>
          <w:p>
            <w:pPr>
              <w:pStyle w:val="TableContents"/>
              <w:spacing w:lineRule="auto" w:line="252" w:before="0" w:after="0"/>
              <w:ind w:left="0" w:right="0" w:hanging="0"/>
              <w:jc w:val="left"/>
              <w:rPr/>
            </w:pPr>
            <w:r>
              <w:rPr/>
              <w:t> </w:t>
            </w:r>
          </w:p>
        </w:tc>
        <w:tc>
          <w:tcPr>
            <w:tcW w:w="159" w:type="dxa"/>
            <w:tcBorders/>
            <w:shd w:fill="auto" w:val="clear"/>
            <w:vAlign w:val="center"/>
          </w:tcPr>
          <w:p>
            <w:pPr>
              <w:pStyle w:val="TableContents"/>
              <w:spacing w:lineRule="auto" w:line="252" w:before="0" w:after="0"/>
              <w:ind w:left="0" w:right="0" w:hanging="0"/>
              <w:jc w:val="left"/>
              <w:rPr/>
            </w:pPr>
            <w:r>
              <w:rPr/>
              <w:t> </w:t>
            </w:r>
          </w:p>
        </w:tc>
        <w:tc>
          <w:tcPr>
            <w:tcW w:w="229" w:type="dxa"/>
            <w:tcBorders/>
            <w:shd w:fill="auto" w:val="clear"/>
            <w:vAlign w:val="center"/>
          </w:tcPr>
          <w:p>
            <w:pPr>
              <w:pStyle w:val="TableContents"/>
              <w:spacing w:lineRule="auto" w:line="252" w:before="0" w:after="0"/>
              <w:ind w:left="0" w:right="0" w:hanging="0"/>
              <w:jc w:val="left"/>
              <w:rPr/>
            </w:pPr>
            <w:r>
              <w:rPr/>
              <w:t> </w:t>
            </w:r>
          </w:p>
        </w:tc>
        <w:tc>
          <w:tcPr>
            <w:tcW w:w="8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28</w:t>
            </w:r>
          </w:p>
        </w:tc>
        <w:tc>
          <w:tcPr>
            <w:tcW w:w="1336" w:type="dxa"/>
            <w:tcBorders/>
            <w:shd w:fill="auto" w:val="clear"/>
            <w:vAlign w:val="center"/>
          </w:tcPr>
          <w:p>
            <w:pPr>
              <w:pStyle w:val="TableContents"/>
              <w:spacing w:lineRule="auto" w:line="252" w:before="0" w:after="0"/>
              <w:ind w:left="0" w:right="0" w:firstLine="560"/>
              <w:jc w:val="left"/>
              <w:rPr/>
            </w:pPr>
            <w:r>
              <w:rPr/>
              <w:t> </w:t>
            </w:r>
          </w:p>
        </w:tc>
      </w:tr>
      <w:tr>
        <w:trPr/>
        <w:tc>
          <w:tcPr>
            <w:tcW w:w="6194" w:type="dxa"/>
            <w:tcBorders/>
            <w:shd w:fill="auto" w:val="clear"/>
            <w:vAlign w:val="center"/>
          </w:tcPr>
          <w:p>
            <w:pPr>
              <w:pStyle w:val="TableContents"/>
              <w:spacing w:lineRule="auto" w:line="252" w:before="0" w:after="0"/>
              <w:ind w:left="560" w:right="0" w:hanging="0"/>
              <w:jc w:val="left"/>
              <w:rPr>
                <w:rFonts w:ascii="Arial" w:hAnsi="Arial"/>
                <w:b w:val="false"/>
                <w:sz w:val="20"/>
              </w:rPr>
            </w:pPr>
            <w:r>
              <w:rPr>
                <w:rFonts w:ascii="Arial" w:hAnsi="Arial"/>
                <w:b w:val="false"/>
                <w:sz w:val="20"/>
              </w:rPr>
              <w:t>Amortization of premiums and accretion of discounts on</w:t>
              <w:br/>
              <w:t>   available-for-sale securities,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9" w:type="dxa"/>
            <w:tcBorders/>
            <w:shd w:fill="auto" w:val="clear"/>
            <w:vAlign w:val="center"/>
          </w:tcPr>
          <w:p>
            <w:pPr>
              <w:pStyle w:val="TableContents"/>
              <w:spacing w:lineRule="auto" w:line="252" w:before="0" w:after="0"/>
              <w:ind w:left="0" w:right="0" w:hanging="0"/>
              <w:jc w:val="left"/>
              <w:rPr/>
            </w:pPr>
            <w:r>
              <w:rPr/>
              <w:t> </w:t>
            </w:r>
          </w:p>
        </w:tc>
        <w:tc>
          <w:tcPr>
            <w:tcW w:w="8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140</w:t>
            </w:r>
          </w:p>
        </w:tc>
        <w:tc>
          <w:tcPr>
            <w:tcW w:w="180" w:type="dxa"/>
            <w:tcBorders/>
            <w:shd w:fill="auto" w:val="clear"/>
            <w:vAlign w:val="center"/>
          </w:tcPr>
          <w:p>
            <w:pPr>
              <w:pStyle w:val="TableContents"/>
              <w:spacing w:lineRule="auto" w:line="252" w:before="0" w:after="0"/>
              <w:ind w:left="0" w:right="0" w:hanging="0"/>
              <w:jc w:val="left"/>
              <w:rPr/>
            </w:pPr>
            <w:r>
              <w:rPr/>
              <w:t> </w:t>
            </w:r>
          </w:p>
        </w:tc>
        <w:tc>
          <w:tcPr>
            <w:tcW w:w="159" w:type="dxa"/>
            <w:tcBorders/>
            <w:shd w:fill="auto" w:val="clear"/>
            <w:vAlign w:val="center"/>
          </w:tcPr>
          <w:p>
            <w:pPr>
              <w:pStyle w:val="TableContents"/>
              <w:spacing w:lineRule="auto" w:line="252" w:before="0" w:after="0"/>
              <w:ind w:left="0" w:right="0" w:hanging="0"/>
              <w:jc w:val="left"/>
              <w:rPr/>
            </w:pPr>
            <w:r>
              <w:rPr/>
              <w:t> </w:t>
            </w:r>
          </w:p>
        </w:tc>
        <w:tc>
          <w:tcPr>
            <w:tcW w:w="229" w:type="dxa"/>
            <w:tcBorders/>
            <w:shd w:fill="auto" w:val="clear"/>
            <w:vAlign w:val="center"/>
          </w:tcPr>
          <w:p>
            <w:pPr>
              <w:pStyle w:val="TableContents"/>
              <w:spacing w:lineRule="auto" w:line="252" w:before="0" w:after="0"/>
              <w:ind w:left="0" w:right="0" w:hanging="0"/>
              <w:jc w:val="left"/>
              <w:rPr/>
            </w:pPr>
            <w:r>
              <w:rPr/>
              <w:t> </w:t>
            </w:r>
          </w:p>
        </w:tc>
        <w:tc>
          <w:tcPr>
            <w:tcW w:w="8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131</w:t>
            </w:r>
          </w:p>
        </w:tc>
        <w:tc>
          <w:tcPr>
            <w:tcW w:w="1336" w:type="dxa"/>
            <w:tcBorders/>
            <w:shd w:fill="auto" w:val="clear"/>
            <w:vAlign w:val="center"/>
          </w:tcPr>
          <w:p>
            <w:pPr>
              <w:pStyle w:val="TableContents"/>
              <w:spacing w:lineRule="auto" w:line="252" w:before="0" w:after="0"/>
              <w:ind w:left="0" w:right="0" w:firstLine="560"/>
              <w:jc w:val="left"/>
              <w:rPr/>
            </w:pPr>
            <w:r>
              <w:rPr/>
              <w:t> </w:t>
            </w:r>
          </w:p>
        </w:tc>
      </w:tr>
      <w:tr>
        <w:trPr/>
        <w:tc>
          <w:tcPr>
            <w:tcW w:w="6194" w:type="dxa"/>
            <w:tcBorders/>
            <w:shd w:fill="auto" w:val="clear"/>
            <w:vAlign w:val="center"/>
          </w:tcPr>
          <w:p>
            <w:pPr>
              <w:pStyle w:val="TableContents"/>
              <w:spacing w:lineRule="auto" w:line="252" w:before="0" w:after="0"/>
              <w:ind w:left="560" w:right="0" w:hanging="0"/>
              <w:jc w:val="left"/>
              <w:rPr>
                <w:rFonts w:ascii="Arial" w:hAnsi="Arial"/>
                <w:b w:val="false"/>
                <w:sz w:val="20"/>
              </w:rPr>
            </w:pPr>
            <w:r>
              <w:rPr>
                <w:rFonts w:ascii="Arial" w:hAnsi="Arial"/>
                <w:b w:val="false"/>
                <w:sz w:val="20"/>
              </w:rPr>
              <w:t>Changes in operating assets and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right"/>
              <w:rPr/>
            </w:pPr>
            <w:r>
              <w:rPr/>
              <w:t> </w:t>
            </w:r>
          </w:p>
        </w:tc>
        <w:tc>
          <w:tcPr>
            <w:tcW w:w="180" w:type="dxa"/>
            <w:tcBorders/>
            <w:shd w:fill="auto" w:val="clear"/>
            <w:vAlign w:val="center"/>
          </w:tcPr>
          <w:p>
            <w:pPr>
              <w:pStyle w:val="TableContents"/>
              <w:spacing w:lineRule="auto" w:line="252" w:before="0" w:after="0"/>
              <w:ind w:left="0" w:right="0" w:hanging="0"/>
              <w:jc w:val="right"/>
              <w:rPr/>
            </w:pPr>
            <w:r>
              <w:rPr/>
              <w:t> </w:t>
            </w:r>
          </w:p>
        </w:tc>
        <w:tc>
          <w:tcPr>
            <w:tcW w:w="159"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right"/>
              <w:rPr/>
            </w:pPr>
            <w:r>
              <w:rPr/>
              <w:t> </w:t>
            </w:r>
          </w:p>
        </w:tc>
        <w:tc>
          <w:tcPr>
            <w:tcW w:w="1336" w:type="dxa"/>
            <w:tcBorders/>
            <w:shd w:fill="auto" w:val="clear"/>
            <w:vAlign w:val="center"/>
          </w:tcPr>
          <w:p>
            <w:pPr>
              <w:pStyle w:val="TableContents"/>
              <w:spacing w:lineRule="auto" w:line="252" w:before="0" w:after="0"/>
              <w:ind w:left="0" w:right="0" w:firstLine="840"/>
              <w:jc w:val="right"/>
              <w:rPr/>
            </w:pPr>
            <w:r>
              <w:rPr/>
              <w:t> </w:t>
            </w:r>
          </w:p>
        </w:tc>
      </w:tr>
      <w:tr>
        <w:trPr/>
        <w:tc>
          <w:tcPr>
            <w:tcW w:w="6194" w:type="dxa"/>
            <w:tcBorders/>
            <w:shd w:fill="auto" w:val="clear"/>
            <w:vAlign w:val="center"/>
          </w:tcPr>
          <w:p>
            <w:pPr>
              <w:pStyle w:val="TableContents"/>
              <w:spacing w:lineRule="auto" w:line="252" w:before="0" w:after="0"/>
              <w:ind w:left="840" w:right="0" w:hanging="0"/>
              <w:jc w:val="left"/>
              <w:rPr>
                <w:rFonts w:ascii="Arial" w:hAnsi="Arial"/>
                <w:b w:val="false"/>
                <w:sz w:val="20"/>
              </w:rPr>
            </w:pPr>
            <w:r>
              <w:rPr>
                <w:rFonts w:ascii="Arial" w:hAnsi="Arial"/>
                <w:b w:val="false"/>
                <w:sz w:val="20"/>
              </w:rPr>
              <w:t>Unbilled grant receivable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9" w:type="dxa"/>
            <w:tcBorders/>
            <w:shd w:fill="auto" w:val="clear"/>
            <w:vAlign w:val="center"/>
          </w:tcPr>
          <w:p>
            <w:pPr>
              <w:pStyle w:val="TableContents"/>
              <w:spacing w:lineRule="auto" w:line="252" w:before="0" w:after="0"/>
              <w:ind w:left="0" w:right="0" w:hanging="0"/>
              <w:jc w:val="left"/>
              <w:rPr/>
            </w:pPr>
            <w:r>
              <w:rPr/>
              <w:t> </w:t>
            </w:r>
          </w:p>
        </w:tc>
        <w:tc>
          <w:tcPr>
            <w:tcW w:w="8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102</w:t>
            </w:r>
          </w:p>
        </w:tc>
        <w:tc>
          <w:tcPr>
            <w:tcW w:w="180" w:type="dxa"/>
            <w:tcBorders/>
            <w:shd w:fill="auto" w:val="clear"/>
            <w:vAlign w:val="center"/>
          </w:tcPr>
          <w:p>
            <w:pPr>
              <w:pStyle w:val="TableContents"/>
              <w:spacing w:lineRule="auto" w:line="252" w:before="0" w:after="0"/>
              <w:ind w:left="0" w:right="0" w:hanging="0"/>
              <w:jc w:val="left"/>
              <w:rPr/>
            </w:pPr>
            <w:r>
              <w:rPr/>
              <w:t> </w:t>
            </w:r>
          </w:p>
        </w:tc>
        <w:tc>
          <w:tcPr>
            <w:tcW w:w="159" w:type="dxa"/>
            <w:tcBorders/>
            <w:shd w:fill="auto" w:val="clear"/>
            <w:vAlign w:val="center"/>
          </w:tcPr>
          <w:p>
            <w:pPr>
              <w:pStyle w:val="TableContents"/>
              <w:spacing w:lineRule="auto" w:line="252" w:before="0" w:after="0"/>
              <w:ind w:left="0" w:right="0" w:hanging="0"/>
              <w:jc w:val="left"/>
              <w:rPr/>
            </w:pPr>
            <w:r>
              <w:rPr/>
              <w:t> </w:t>
            </w:r>
          </w:p>
        </w:tc>
        <w:tc>
          <w:tcPr>
            <w:tcW w:w="229" w:type="dxa"/>
            <w:tcBorders/>
            <w:shd w:fill="auto" w:val="clear"/>
            <w:vAlign w:val="center"/>
          </w:tcPr>
          <w:p>
            <w:pPr>
              <w:pStyle w:val="TableContents"/>
              <w:spacing w:lineRule="auto" w:line="252" w:before="0" w:after="0"/>
              <w:ind w:left="0" w:right="0" w:hanging="0"/>
              <w:jc w:val="left"/>
              <w:rPr/>
            </w:pPr>
            <w:r>
              <w:rPr/>
              <w:t> </w:t>
            </w:r>
          </w:p>
        </w:tc>
        <w:tc>
          <w:tcPr>
            <w:tcW w:w="8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(1,606</w:t>
            </w:r>
          </w:p>
        </w:tc>
        <w:tc>
          <w:tcPr>
            <w:tcW w:w="1336" w:type="dxa"/>
            <w:tcBorders/>
            <w:shd w:fill="auto" w:val="clear"/>
            <w:vAlign w:val="center"/>
          </w:tcPr>
          <w:p>
            <w:pPr>
              <w:pStyle w:val="TableContents"/>
              <w:spacing w:lineRule="auto" w:line="252" w:before="0" w:after="0"/>
              <w:ind w:left="0" w:right="0" w:firstLine="840"/>
              <w:jc w:val="left"/>
              <w:rPr>
                <w:rFonts w:ascii="Arial" w:hAnsi="Arial"/>
                <w:b w:val="false"/>
                <w:sz w:val="20"/>
              </w:rPr>
            </w:pPr>
            <w:r>
              <w:rPr>
                <w:rFonts w:ascii="Arial" w:hAnsi="Arial"/>
                <w:b w:val="false"/>
                <w:sz w:val="20"/>
              </w:rPr>
              <w:t>)</w:t>
            </w:r>
          </w:p>
        </w:tc>
      </w:tr>
      <w:tr>
        <w:trPr/>
        <w:tc>
          <w:tcPr>
            <w:tcW w:w="6194" w:type="dxa"/>
            <w:tcBorders/>
            <w:shd w:fill="auto" w:val="clear"/>
            <w:vAlign w:val="center"/>
          </w:tcPr>
          <w:p>
            <w:pPr>
              <w:pStyle w:val="TableContents"/>
              <w:spacing w:lineRule="auto" w:line="252" w:before="0" w:after="0"/>
              <w:ind w:left="840" w:right="0" w:hanging="0"/>
              <w:jc w:val="left"/>
              <w:rPr>
                <w:rFonts w:ascii="Arial" w:hAnsi="Arial"/>
                <w:b w:val="false"/>
                <w:sz w:val="20"/>
              </w:rPr>
            </w:pPr>
            <w:r>
              <w:rPr>
                <w:rFonts w:ascii="Arial" w:hAnsi="Arial"/>
                <w:b w:val="false"/>
                <w:sz w:val="20"/>
              </w:rPr>
              <w:t>Prepaid expenses and other 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9" w:type="dxa"/>
            <w:tcBorders/>
            <w:shd w:fill="auto" w:val="clear"/>
            <w:vAlign w:val="center"/>
          </w:tcPr>
          <w:p>
            <w:pPr>
              <w:pStyle w:val="TableContents"/>
              <w:spacing w:lineRule="auto" w:line="252" w:before="0" w:after="0"/>
              <w:ind w:left="0" w:right="0" w:hanging="0"/>
              <w:jc w:val="left"/>
              <w:rPr/>
            </w:pPr>
            <w:r>
              <w:rPr/>
              <w:t> </w:t>
            </w:r>
          </w:p>
        </w:tc>
        <w:tc>
          <w:tcPr>
            <w:tcW w:w="8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1,141</w:t>
            </w:r>
          </w:p>
        </w:tc>
        <w:tc>
          <w:tcPr>
            <w:tcW w:w="180" w:type="dxa"/>
            <w:tcBorders/>
            <w:shd w:fill="auto" w:val="clear"/>
            <w:vAlign w:val="center"/>
          </w:tcPr>
          <w:p>
            <w:pPr>
              <w:pStyle w:val="TableContents"/>
              <w:spacing w:lineRule="auto" w:line="252" w:before="0" w:after="0"/>
              <w:ind w:left="0" w:right="0" w:hanging="0"/>
              <w:jc w:val="left"/>
              <w:rPr/>
            </w:pPr>
            <w:r>
              <w:rPr/>
              <w:t> </w:t>
            </w:r>
          </w:p>
        </w:tc>
        <w:tc>
          <w:tcPr>
            <w:tcW w:w="159" w:type="dxa"/>
            <w:tcBorders/>
            <w:shd w:fill="auto" w:val="clear"/>
            <w:vAlign w:val="center"/>
          </w:tcPr>
          <w:p>
            <w:pPr>
              <w:pStyle w:val="TableContents"/>
              <w:spacing w:lineRule="auto" w:line="252" w:before="0" w:after="0"/>
              <w:ind w:left="0" w:right="0" w:hanging="0"/>
              <w:jc w:val="left"/>
              <w:rPr/>
            </w:pPr>
            <w:r>
              <w:rPr/>
              <w:t> </w:t>
            </w:r>
          </w:p>
        </w:tc>
        <w:tc>
          <w:tcPr>
            <w:tcW w:w="229" w:type="dxa"/>
            <w:tcBorders/>
            <w:shd w:fill="auto" w:val="clear"/>
            <w:vAlign w:val="center"/>
          </w:tcPr>
          <w:p>
            <w:pPr>
              <w:pStyle w:val="TableContents"/>
              <w:spacing w:lineRule="auto" w:line="252" w:before="0" w:after="0"/>
              <w:ind w:left="0" w:right="0" w:hanging="0"/>
              <w:jc w:val="left"/>
              <w:rPr/>
            </w:pPr>
            <w:r>
              <w:rPr/>
              <w:t> </w:t>
            </w:r>
          </w:p>
        </w:tc>
        <w:tc>
          <w:tcPr>
            <w:tcW w:w="8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1,914</w:t>
            </w:r>
          </w:p>
        </w:tc>
        <w:tc>
          <w:tcPr>
            <w:tcW w:w="1336" w:type="dxa"/>
            <w:tcBorders/>
            <w:shd w:fill="auto" w:val="clear"/>
            <w:vAlign w:val="center"/>
          </w:tcPr>
          <w:p>
            <w:pPr>
              <w:pStyle w:val="TableContents"/>
              <w:spacing w:lineRule="auto" w:line="252" w:before="0" w:after="0"/>
              <w:ind w:left="0" w:right="0" w:firstLine="840"/>
              <w:jc w:val="left"/>
              <w:rPr/>
            </w:pPr>
            <w:r>
              <w:rPr/>
              <w:t> </w:t>
            </w:r>
          </w:p>
        </w:tc>
      </w:tr>
      <w:tr>
        <w:trPr/>
        <w:tc>
          <w:tcPr>
            <w:tcW w:w="6194" w:type="dxa"/>
            <w:tcBorders/>
            <w:shd w:fill="auto" w:val="clear"/>
            <w:vAlign w:val="center"/>
          </w:tcPr>
          <w:p>
            <w:pPr>
              <w:pStyle w:val="TableContents"/>
              <w:spacing w:lineRule="auto" w:line="252" w:before="0" w:after="0"/>
              <w:ind w:left="840" w:right="0" w:hanging="0"/>
              <w:jc w:val="left"/>
              <w:rPr>
                <w:rFonts w:ascii="Arial" w:hAnsi="Arial"/>
                <w:b w:val="false"/>
                <w:sz w:val="20"/>
              </w:rPr>
            </w:pPr>
            <w:r>
              <w:rPr>
                <w:rFonts w:ascii="Arial" w:hAnsi="Arial"/>
                <w:b w:val="false"/>
                <w:sz w:val="20"/>
              </w:rPr>
              <w:t>Accounts payable and accrued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9" w:type="dxa"/>
            <w:tcBorders/>
            <w:shd w:fill="auto" w:val="clear"/>
            <w:vAlign w:val="center"/>
          </w:tcPr>
          <w:p>
            <w:pPr>
              <w:pStyle w:val="TableContents"/>
              <w:spacing w:lineRule="auto" w:line="252" w:before="0" w:after="0"/>
              <w:ind w:left="0" w:right="0" w:hanging="0"/>
              <w:jc w:val="left"/>
              <w:rPr/>
            </w:pPr>
            <w:r>
              <w:rPr/>
              <w:t> </w:t>
            </w:r>
          </w:p>
        </w:tc>
        <w:tc>
          <w:tcPr>
            <w:tcW w:w="8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164</w:t>
            </w:r>
          </w:p>
        </w:tc>
        <w:tc>
          <w:tcPr>
            <w:tcW w:w="180" w:type="dxa"/>
            <w:tcBorders/>
            <w:shd w:fill="auto" w:val="clear"/>
            <w:vAlign w:val="center"/>
          </w:tcPr>
          <w:p>
            <w:pPr>
              <w:pStyle w:val="TableContents"/>
              <w:spacing w:lineRule="auto" w:line="252" w:before="0" w:after="0"/>
              <w:ind w:left="0" w:right="0" w:hanging="0"/>
              <w:jc w:val="left"/>
              <w:rPr/>
            </w:pPr>
            <w:r>
              <w:rPr/>
              <w:t> </w:t>
            </w:r>
          </w:p>
        </w:tc>
        <w:tc>
          <w:tcPr>
            <w:tcW w:w="159" w:type="dxa"/>
            <w:tcBorders/>
            <w:shd w:fill="auto" w:val="clear"/>
            <w:vAlign w:val="center"/>
          </w:tcPr>
          <w:p>
            <w:pPr>
              <w:pStyle w:val="TableContents"/>
              <w:spacing w:lineRule="auto" w:line="252" w:before="0" w:after="0"/>
              <w:ind w:left="0" w:right="0" w:hanging="0"/>
              <w:jc w:val="left"/>
              <w:rPr/>
            </w:pPr>
            <w:r>
              <w:rPr/>
              <w:t> </w:t>
            </w:r>
          </w:p>
        </w:tc>
        <w:tc>
          <w:tcPr>
            <w:tcW w:w="229" w:type="dxa"/>
            <w:tcBorders/>
            <w:shd w:fill="auto" w:val="clear"/>
            <w:vAlign w:val="center"/>
          </w:tcPr>
          <w:p>
            <w:pPr>
              <w:pStyle w:val="TableContents"/>
              <w:spacing w:lineRule="auto" w:line="252" w:before="0" w:after="0"/>
              <w:ind w:left="0" w:right="0" w:hanging="0"/>
              <w:jc w:val="left"/>
              <w:rPr/>
            </w:pPr>
            <w:r>
              <w:rPr/>
              <w:t> </w:t>
            </w:r>
          </w:p>
        </w:tc>
        <w:tc>
          <w:tcPr>
            <w:tcW w:w="8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(374</w:t>
            </w:r>
          </w:p>
        </w:tc>
        <w:tc>
          <w:tcPr>
            <w:tcW w:w="1336" w:type="dxa"/>
            <w:tcBorders/>
            <w:shd w:fill="auto" w:val="clear"/>
            <w:vAlign w:val="center"/>
          </w:tcPr>
          <w:p>
            <w:pPr>
              <w:pStyle w:val="TableContents"/>
              <w:spacing w:lineRule="auto" w:line="252" w:before="0" w:after="0"/>
              <w:ind w:left="0" w:right="0" w:firstLine="840"/>
              <w:jc w:val="left"/>
              <w:rPr>
                <w:rFonts w:ascii="Arial" w:hAnsi="Arial"/>
                <w:b w:val="false"/>
                <w:sz w:val="20"/>
              </w:rPr>
            </w:pPr>
            <w:r>
              <w:rPr>
                <w:rFonts w:ascii="Arial" w:hAnsi="Arial"/>
                <w:b w:val="false"/>
                <w:sz w:val="20"/>
              </w:rPr>
              <w:t>)</w:t>
            </w:r>
          </w:p>
        </w:tc>
      </w:tr>
      <w:tr>
        <w:trPr/>
        <w:tc>
          <w:tcPr>
            <w:tcW w:w="6194" w:type="dxa"/>
            <w:tcBorders/>
            <w:shd w:fill="auto" w:val="clear"/>
            <w:vAlign w:val="center"/>
          </w:tcPr>
          <w:p>
            <w:pPr>
              <w:pStyle w:val="TableContents"/>
              <w:spacing w:lineRule="auto" w:line="252" w:before="0" w:after="0"/>
              <w:ind w:left="840" w:right="0" w:hanging="0"/>
              <w:jc w:val="left"/>
              <w:rPr>
                <w:rFonts w:ascii="Arial" w:hAnsi="Arial"/>
                <w:b w:val="false"/>
                <w:sz w:val="20"/>
              </w:rPr>
            </w:pPr>
            <w:r>
              <w:rPr>
                <w:rFonts w:ascii="Arial" w:hAnsi="Arial"/>
                <w:b w:val="false"/>
                <w:sz w:val="20"/>
              </w:rPr>
              <w:t>Operating lease liability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(69</w:t>
            </w:r>
          </w:p>
        </w:tc>
        <w:tc>
          <w:tcPr>
            <w:tcW w:w="18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5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382</w:t>
            </w:r>
          </w:p>
        </w:tc>
        <w:tc>
          <w:tcPr>
            <w:tcW w:w="13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1120"/>
              <w:jc w:val="left"/>
              <w:rPr/>
            </w:pPr>
            <w:r>
              <w:rPr/>
              <w:t> </w:t>
            </w:r>
          </w:p>
        </w:tc>
      </w:tr>
      <w:tr>
        <w:trPr/>
        <w:tc>
          <w:tcPr>
            <w:tcW w:w="6194" w:type="dxa"/>
            <w:tcBorders/>
            <w:shd w:fill="auto" w:val="clear"/>
            <w:vAlign w:val="center"/>
          </w:tcPr>
          <w:p>
            <w:pPr>
              <w:pStyle w:val="TableContents"/>
              <w:spacing w:lineRule="auto" w:line="252" w:before="0" w:after="0"/>
              <w:ind w:left="1120" w:right="0" w:hanging="0"/>
              <w:jc w:val="left"/>
              <w:rPr>
                <w:rFonts w:ascii="Arial" w:hAnsi="Arial"/>
                <w:b w:val="false"/>
                <w:sz w:val="20"/>
              </w:rPr>
            </w:pPr>
            <w:r>
              <w:rPr>
                <w:rFonts w:ascii="Arial" w:hAnsi="Arial"/>
                <w:b w:val="false"/>
                <w:sz w:val="20"/>
              </w:rPr>
              <w:t>Net cash used in 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(16,572</w:t>
            </w:r>
          </w:p>
        </w:tc>
        <w:tc>
          <w:tcPr>
            <w:tcW w:w="18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5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(7,305</w:t>
            </w:r>
          </w:p>
        </w:tc>
        <w:tc>
          <w:tcPr>
            <w:tcW w:w="13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6194" w:type="dxa"/>
            <w:tcBorders/>
            <w:shd w:fill="auto" w:val="clear"/>
            <w:vAlign w:val="center"/>
          </w:tcPr>
          <w:p>
            <w:pPr>
              <w:pStyle w:val="TableContents"/>
              <w:spacing w:lineRule="auto" w:line="252" w:before="0" w:after="0"/>
              <w:ind w:left="0" w:right="0" w:hanging="0"/>
              <w:jc w:val="left"/>
              <w:rPr>
                <w:rFonts w:ascii="Arial" w:hAnsi="Arial"/>
                <w:b/>
                <w:sz w:val="20"/>
              </w:rPr>
            </w:pPr>
            <w:r>
              <w:rPr>
                <w:rFonts w:ascii="Arial" w:hAnsi="Arial"/>
                <w:b/>
                <w:sz w:val="20"/>
              </w:rPr>
              <w:t>Investing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right"/>
              <w:rPr/>
            </w:pPr>
            <w:r>
              <w:rPr/>
              <w:t> </w:t>
            </w:r>
          </w:p>
        </w:tc>
        <w:tc>
          <w:tcPr>
            <w:tcW w:w="180" w:type="dxa"/>
            <w:tcBorders/>
            <w:shd w:fill="auto" w:val="clear"/>
            <w:vAlign w:val="center"/>
          </w:tcPr>
          <w:p>
            <w:pPr>
              <w:pStyle w:val="TableContents"/>
              <w:spacing w:lineRule="auto" w:line="252" w:before="0" w:after="0"/>
              <w:ind w:left="0" w:right="0" w:hanging="0"/>
              <w:jc w:val="right"/>
              <w:rPr/>
            </w:pPr>
            <w:r>
              <w:rPr/>
              <w:t> </w:t>
            </w:r>
          </w:p>
        </w:tc>
        <w:tc>
          <w:tcPr>
            <w:tcW w:w="159"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right"/>
              <w:rPr/>
            </w:pPr>
            <w:r>
              <w:rPr/>
              <w:t> </w:t>
            </w:r>
          </w:p>
        </w:tc>
        <w:tc>
          <w:tcPr>
            <w:tcW w:w="1336" w:type="dxa"/>
            <w:tcBorders/>
            <w:shd w:fill="auto" w:val="clear"/>
            <w:vAlign w:val="center"/>
          </w:tcPr>
          <w:p>
            <w:pPr>
              <w:pStyle w:val="TableContents"/>
              <w:spacing w:lineRule="auto" w:line="252" w:before="0" w:after="0"/>
              <w:ind w:left="0" w:right="0" w:firstLine="280"/>
              <w:jc w:val="right"/>
              <w:rPr/>
            </w:pPr>
            <w:r>
              <w:rPr/>
              <w:t> </w:t>
            </w:r>
          </w:p>
        </w:tc>
      </w:tr>
      <w:tr>
        <w:trPr/>
        <w:tc>
          <w:tcPr>
            <w:tcW w:w="6194"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Purchases of available-for-sale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9" w:type="dxa"/>
            <w:tcBorders/>
            <w:shd w:fill="auto" w:val="clear"/>
            <w:vAlign w:val="center"/>
          </w:tcPr>
          <w:p>
            <w:pPr>
              <w:pStyle w:val="TableContents"/>
              <w:spacing w:lineRule="auto" w:line="252" w:before="0" w:after="0"/>
              <w:ind w:left="0" w:right="0" w:hanging="0"/>
              <w:jc w:val="left"/>
              <w:rPr/>
            </w:pPr>
            <w:r>
              <w:rPr/>
              <w:t> </w:t>
            </w:r>
          </w:p>
        </w:tc>
        <w:tc>
          <w:tcPr>
            <w:tcW w:w="8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(17,828</w:t>
            </w:r>
          </w:p>
        </w:tc>
        <w:tc>
          <w:tcPr>
            <w:tcW w:w="180"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59" w:type="dxa"/>
            <w:tcBorders/>
            <w:shd w:fill="auto" w:val="clear"/>
            <w:vAlign w:val="center"/>
          </w:tcPr>
          <w:p>
            <w:pPr>
              <w:pStyle w:val="TableContents"/>
              <w:spacing w:lineRule="auto" w:line="252" w:before="0" w:after="0"/>
              <w:ind w:left="0" w:right="0" w:hanging="0"/>
              <w:jc w:val="left"/>
              <w:rPr/>
            </w:pPr>
            <w:r>
              <w:rPr/>
              <w:t> </w:t>
            </w:r>
          </w:p>
        </w:tc>
        <w:tc>
          <w:tcPr>
            <w:tcW w:w="229" w:type="dxa"/>
            <w:tcBorders/>
            <w:shd w:fill="auto" w:val="clear"/>
            <w:vAlign w:val="center"/>
          </w:tcPr>
          <w:p>
            <w:pPr>
              <w:pStyle w:val="TableContents"/>
              <w:spacing w:lineRule="auto" w:line="252" w:before="0" w:after="0"/>
              <w:ind w:left="0" w:right="0" w:hanging="0"/>
              <w:jc w:val="left"/>
              <w:rPr/>
            </w:pPr>
            <w:r>
              <w:rPr/>
              <w:t> </w:t>
            </w:r>
          </w:p>
        </w:tc>
        <w:tc>
          <w:tcPr>
            <w:tcW w:w="8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(93,143</w:t>
            </w:r>
          </w:p>
        </w:tc>
        <w:tc>
          <w:tcPr>
            <w:tcW w:w="1336" w:type="dxa"/>
            <w:tcBorders/>
            <w:shd w:fill="auto" w:val="clear"/>
            <w:vAlign w:val="center"/>
          </w:tcPr>
          <w:p>
            <w:pPr>
              <w:pStyle w:val="TableContents"/>
              <w:spacing w:lineRule="auto" w:line="252" w:before="0" w:after="0"/>
              <w:ind w:left="0" w:right="0" w:firstLine="280"/>
              <w:jc w:val="left"/>
              <w:rPr>
                <w:rFonts w:ascii="Arial" w:hAnsi="Arial"/>
                <w:b w:val="false"/>
                <w:sz w:val="20"/>
              </w:rPr>
            </w:pPr>
            <w:r>
              <w:rPr>
                <w:rFonts w:ascii="Arial" w:hAnsi="Arial"/>
                <w:b w:val="false"/>
                <w:sz w:val="20"/>
              </w:rPr>
              <w:t>)</w:t>
            </w:r>
          </w:p>
        </w:tc>
      </w:tr>
      <w:tr>
        <w:trPr/>
        <w:tc>
          <w:tcPr>
            <w:tcW w:w="6194"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Maturities of available-for-sale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9" w:type="dxa"/>
            <w:tcBorders/>
            <w:shd w:fill="auto" w:val="clear"/>
            <w:vAlign w:val="center"/>
          </w:tcPr>
          <w:p>
            <w:pPr>
              <w:pStyle w:val="TableContents"/>
              <w:spacing w:lineRule="auto" w:line="252" w:before="0" w:after="0"/>
              <w:ind w:left="0" w:right="0" w:hanging="0"/>
              <w:jc w:val="left"/>
              <w:rPr/>
            </w:pPr>
            <w:r>
              <w:rPr/>
              <w:t> </w:t>
            </w:r>
          </w:p>
        </w:tc>
        <w:tc>
          <w:tcPr>
            <w:tcW w:w="8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42,419</w:t>
            </w:r>
          </w:p>
        </w:tc>
        <w:tc>
          <w:tcPr>
            <w:tcW w:w="180" w:type="dxa"/>
            <w:tcBorders/>
            <w:shd w:fill="auto" w:val="clear"/>
            <w:vAlign w:val="center"/>
          </w:tcPr>
          <w:p>
            <w:pPr>
              <w:pStyle w:val="TableContents"/>
              <w:spacing w:lineRule="auto" w:line="252" w:before="0" w:after="0"/>
              <w:ind w:left="0" w:right="0" w:hanging="0"/>
              <w:jc w:val="left"/>
              <w:rPr/>
            </w:pPr>
            <w:r>
              <w:rPr/>
              <w:t> </w:t>
            </w:r>
          </w:p>
        </w:tc>
        <w:tc>
          <w:tcPr>
            <w:tcW w:w="159" w:type="dxa"/>
            <w:tcBorders/>
            <w:shd w:fill="auto" w:val="clear"/>
            <w:vAlign w:val="center"/>
          </w:tcPr>
          <w:p>
            <w:pPr>
              <w:pStyle w:val="TableContents"/>
              <w:spacing w:lineRule="auto" w:line="252" w:before="0" w:after="0"/>
              <w:ind w:left="0" w:right="0" w:hanging="0"/>
              <w:jc w:val="left"/>
              <w:rPr/>
            </w:pPr>
            <w:r>
              <w:rPr/>
              <w:t> </w:t>
            </w:r>
          </w:p>
        </w:tc>
        <w:tc>
          <w:tcPr>
            <w:tcW w:w="229" w:type="dxa"/>
            <w:tcBorders/>
            <w:shd w:fill="auto" w:val="clear"/>
            <w:vAlign w:val="center"/>
          </w:tcPr>
          <w:p>
            <w:pPr>
              <w:pStyle w:val="TableContents"/>
              <w:spacing w:lineRule="auto" w:line="252" w:before="0" w:after="0"/>
              <w:ind w:left="0" w:right="0" w:hanging="0"/>
              <w:jc w:val="left"/>
              <w:rPr/>
            </w:pPr>
            <w:r>
              <w:rPr/>
              <w:t> </w:t>
            </w:r>
          </w:p>
        </w:tc>
        <w:tc>
          <w:tcPr>
            <w:tcW w:w="8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70,739</w:t>
            </w:r>
          </w:p>
        </w:tc>
        <w:tc>
          <w:tcPr>
            <w:tcW w:w="1336" w:type="dxa"/>
            <w:tcBorders/>
            <w:shd w:fill="auto" w:val="clear"/>
            <w:vAlign w:val="center"/>
          </w:tcPr>
          <w:p>
            <w:pPr>
              <w:pStyle w:val="TableContents"/>
              <w:spacing w:lineRule="auto" w:line="252" w:before="0" w:after="0"/>
              <w:ind w:left="0" w:right="0" w:firstLine="280"/>
              <w:jc w:val="left"/>
              <w:rPr/>
            </w:pPr>
            <w:r>
              <w:rPr/>
              <w:t> </w:t>
            </w:r>
          </w:p>
        </w:tc>
      </w:tr>
      <w:tr>
        <w:trPr/>
        <w:tc>
          <w:tcPr>
            <w:tcW w:w="6194"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Purchases of property and equipment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(745</w:t>
            </w:r>
          </w:p>
        </w:tc>
        <w:tc>
          <w:tcPr>
            <w:tcW w:w="18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5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(304</w:t>
            </w:r>
          </w:p>
        </w:tc>
        <w:tc>
          <w:tcPr>
            <w:tcW w:w="13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1120"/>
              <w:jc w:val="left"/>
              <w:rPr>
                <w:rFonts w:ascii="Arial" w:hAnsi="Arial"/>
                <w:b w:val="false"/>
                <w:sz w:val="20"/>
              </w:rPr>
            </w:pPr>
            <w:r>
              <w:rPr>
                <w:rFonts w:ascii="Arial" w:hAnsi="Arial"/>
                <w:b w:val="false"/>
                <w:sz w:val="20"/>
              </w:rPr>
              <w:t>)</w:t>
            </w:r>
          </w:p>
        </w:tc>
      </w:tr>
      <w:tr>
        <w:trPr/>
        <w:tc>
          <w:tcPr>
            <w:tcW w:w="6194" w:type="dxa"/>
            <w:tcBorders/>
            <w:shd w:fill="auto" w:val="clear"/>
            <w:vAlign w:val="center"/>
          </w:tcPr>
          <w:p>
            <w:pPr>
              <w:pStyle w:val="TableContents"/>
              <w:spacing w:lineRule="auto" w:line="252" w:before="0" w:after="0"/>
              <w:ind w:left="1120" w:right="0" w:hanging="0"/>
              <w:jc w:val="left"/>
              <w:rPr>
                <w:rFonts w:ascii="Arial" w:hAnsi="Arial"/>
                <w:b w:val="false"/>
                <w:sz w:val="20"/>
              </w:rPr>
            </w:pPr>
            <w:r>
              <w:rPr>
                <w:rFonts w:ascii="Arial" w:hAnsi="Arial"/>
                <w:b w:val="false"/>
                <w:sz w:val="20"/>
              </w:rPr>
              <w:t>Net cash provided by (used in) investing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23,846</w:t>
            </w:r>
          </w:p>
        </w:tc>
        <w:tc>
          <w:tcPr>
            <w:tcW w:w="18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(22,708</w:t>
            </w:r>
          </w:p>
        </w:tc>
        <w:tc>
          <w:tcPr>
            <w:tcW w:w="13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6194" w:type="dxa"/>
            <w:tcBorders/>
            <w:shd w:fill="auto" w:val="clear"/>
            <w:vAlign w:val="center"/>
          </w:tcPr>
          <w:p>
            <w:pPr>
              <w:pStyle w:val="TableContents"/>
              <w:spacing w:lineRule="auto" w:line="252" w:before="0" w:after="0"/>
              <w:ind w:left="0" w:right="0" w:hanging="0"/>
              <w:jc w:val="left"/>
              <w:rPr>
                <w:rFonts w:ascii="Arial" w:hAnsi="Arial"/>
                <w:b/>
                <w:sz w:val="20"/>
              </w:rPr>
            </w:pPr>
            <w:r>
              <w:rPr>
                <w:rFonts w:ascii="Arial" w:hAnsi="Arial"/>
                <w:b/>
                <w:sz w:val="20"/>
              </w:rPr>
              <w:t>Financing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right"/>
              <w:rPr/>
            </w:pPr>
            <w:r>
              <w:rPr/>
              <w:t> </w:t>
            </w:r>
          </w:p>
        </w:tc>
        <w:tc>
          <w:tcPr>
            <w:tcW w:w="180" w:type="dxa"/>
            <w:tcBorders/>
            <w:shd w:fill="auto" w:val="clear"/>
            <w:vAlign w:val="center"/>
          </w:tcPr>
          <w:p>
            <w:pPr>
              <w:pStyle w:val="TableContents"/>
              <w:spacing w:lineRule="auto" w:line="252" w:before="0" w:after="0"/>
              <w:ind w:left="0" w:right="0" w:hanging="0"/>
              <w:jc w:val="right"/>
              <w:rPr/>
            </w:pPr>
            <w:r>
              <w:rPr/>
              <w:t> </w:t>
            </w:r>
          </w:p>
        </w:tc>
        <w:tc>
          <w:tcPr>
            <w:tcW w:w="159"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right"/>
              <w:rPr/>
            </w:pPr>
            <w:r>
              <w:rPr/>
              <w:t> </w:t>
            </w:r>
          </w:p>
        </w:tc>
        <w:tc>
          <w:tcPr>
            <w:tcW w:w="1336" w:type="dxa"/>
            <w:tcBorders/>
            <w:shd w:fill="auto" w:val="clear"/>
            <w:vAlign w:val="center"/>
          </w:tcPr>
          <w:p>
            <w:pPr>
              <w:pStyle w:val="TableContents"/>
              <w:spacing w:lineRule="auto" w:line="252" w:before="0" w:after="0"/>
              <w:ind w:left="0" w:right="0" w:firstLine="280"/>
              <w:jc w:val="right"/>
              <w:rPr/>
            </w:pPr>
            <w:r>
              <w:rPr/>
              <w:t> </w:t>
            </w:r>
          </w:p>
        </w:tc>
      </w:tr>
      <w:tr>
        <w:trPr/>
        <w:tc>
          <w:tcPr>
            <w:tcW w:w="6194"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Proceeds from exercise of common stock options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9" w:type="dxa"/>
            <w:tcBorders/>
            <w:shd w:fill="auto" w:val="clear"/>
            <w:vAlign w:val="center"/>
          </w:tcPr>
          <w:p>
            <w:pPr>
              <w:pStyle w:val="TableContents"/>
              <w:spacing w:lineRule="auto" w:line="252" w:before="0" w:after="0"/>
              <w:ind w:left="0" w:right="0" w:hanging="0"/>
              <w:jc w:val="left"/>
              <w:rPr/>
            </w:pPr>
            <w:r>
              <w:rPr/>
              <w:t> </w:t>
            </w:r>
          </w:p>
        </w:tc>
        <w:tc>
          <w:tcPr>
            <w:tcW w:w="8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210</w:t>
            </w:r>
          </w:p>
        </w:tc>
        <w:tc>
          <w:tcPr>
            <w:tcW w:w="180" w:type="dxa"/>
            <w:tcBorders/>
            <w:shd w:fill="auto" w:val="clear"/>
            <w:vAlign w:val="center"/>
          </w:tcPr>
          <w:p>
            <w:pPr>
              <w:pStyle w:val="TableContents"/>
              <w:spacing w:lineRule="auto" w:line="252" w:before="0" w:after="0"/>
              <w:ind w:left="0" w:right="0" w:hanging="0"/>
              <w:jc w:val="left"/>
              <w:rPr/>
            </w:pPr>
            <w:r>
              <w:rPr/>
              <w:t> </w:t>
            </w:r>
          </w:p>
        </w:tc>
        <w:tc>
          <w:tcPr>
            <w:tcW w:w="159" w:type="dxa"/>
            <w:tcBorders/>
            <w:shd w:fill="auto" w:val="clear"/>
            <w:vAlign w:val="center"/>
          </w:tcPr>
          <w:p>
            <w:pPr>
              <w:pStyle w:val="TableContents"/>
              <w:spacing w:lineRule="auto" w:line="252" w:before="0" w:after="0"/>
              <w:ind w:left="0" w:right="0" w:hanging="0"/>
              <w:jc w:val="left"/>
              <w:rPr/>
            </w:pPr>
            <w:r>
              <w:rPr/>
              <w:t> </w:t>
            </w:r>
          </w:p>
        </w:tc>
        <w:tc>
          <w:tcPr>
            <w:tcW w:w="229" w:type="dxa"/>
            <w:tcBorders/>
            <w:shd w:fill="auto" w:val="clear"/>
            <w:vAlign w:val="center"/>
          </w:tcPr>
          <w:p>
            <w:pPr>
              <w:pStyle w:val="TableContents"/>
              <w:spacing w:lineRule="auto" w:line="252" w:before="0" w:after="0"/>
              <w:ind w:left="0" w:right="0" w:hanging="0"/>
              <w:jc w:val="left"/>
              <w:rPr/>
            </w:pPr>
            <w:r>
              <w:rPr/>
              <w:t> </w:t>
            </w:r>
          </w:p>
        </w:tc>
        <w:tc>
          <w:tcPr>
            <w:tcW w:w="8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39</w:t>
            </w:r>
          </w:p>
        </w:tc>
        <w:tc>
          <w:tcPr>
            <w:tcW w:w="1336" w:type="dxa"/>
            <w:tcBorders/>
            <w:shd w:fill="auto" w:val="clear"/>
            <w:vAlign w:val="center"/>
          </w:tcPr>
          <w:p>
            <w:pPr>
              <w:pStyle w:val="TableContents"/>
              <w:spacing w:lineRule="auto" w:line="252" w:before="0" w:after="0"/>
              <w:ind w:left="0" w:right="0" w:firstLine="280"/>
              <w:jc w:val="left"/>
              <w:rPr/>
            </w:pPr>
            <w:r>
              <w:rPr/>
              <w:t> </w:t>
            </w:r>
          </w:p>
        </w:tc>
      </w:tr>
      <w:tr>
        <w:trPr/>
        <w:tc>
          <w:tcPr>
            <w:tcW w:w="6194"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Proceeds from public offering, net of issuance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8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97,172</w:t>
            </w:r>
          </w:p>
        </w:tc>
        <w:tc>
          <w:tcPr>
            <w:tcW w:w="13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1120"/>
              <w:jc w:val="left"/>
              <w:rPr/>
            </w:pPr>
            <w:r>
              <w:rPr/>
              <w:t> </w:t>
            </w:r>
          </w:p>
        </w:tc>
      </w:tr>
      <w:tr>
        <w:trPr/>
        <w:tc>
          <w:tcPr>
            <w:tcW w:w="6194" w:type="dxa"/>
            <w:tcBorders/>
            <w:shd w:fill="auto" w:val="clear"/>
            <w:vAlign w:val="center"/>
          </w:tcPr>
          <w:p>
            <w:pPr>
              <w:pStyle w:val="TableContents"/>
              <w:spacing w:lineRule="auto" w:line="252" w:before="0" w:after="0"/>
              <w:ind w:left="1120" w:right="0" w:hanging="0"/>
              <w:jc w:val="left"/>
              <w:rPr>
                <w:rFonts w:ascii="Arial" w:hAnsi="Arial"/>
                <w:b w:val="false"/>
                <w:sz w:val="20"/>
              </w:rPr>
            </w:pPr>
            <w:r>
              <w:rPr>
                <w:rFonts w:ascii="Arial" w:hAnsi="Arial"/>
                <w:b w:val="false"/>
                <w:sz w:val="20"/>
              </w:rPr>
              <w:t>Net cash provided by financing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210</w:t>
            </w:r>
          </w:p>
        </w:tc>
        <w:tc>
          <w:tcPr>
            <w:tcW w:w="18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97,211</w:t>
            </w:r>
          </w:p>
        </w:tc>
        <w:tc>
          <w:tcPr>
            <w:tcW w:w="13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194"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Net increase in cash, cash equivalents and restricted cash</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9" w:type="dxa"/>
            <w:tcBorders/>
            <w:shd w:fill="auto" w:val="clear"/>
            <w:vAlign w:val="center"/>
          </w:tcPr>
          <w:p>
            <w:pPr>
              <w:pStyle w:val="TableContents"/>
              <w:spacing w:lineRule="auto" w:line="252" w:before="0" w:after="0"/>
              <w:ind w:left="0" w:right="0" w:hanging="0"/>
              <w:jc w:val="left"/>
              <w:rPr/>
            </w:pPr>
            <w:r>
              <w:rPr/>
              <w:t> </w:t>
            </w:r>
          </w:p>
        </w:tc>
        <w:tc>
          <w:tcPr>
            <w:tcW w:w="8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7,484</w:t>
            </w:r>
          </w:p>
        </w:tc>
        <w:tc>
          <w:tcPr>
            <w:tcW w:w="180" w:type="dxa"/>
            <w:tcBorders/>
            <w:shd w:fill="auto" w:val="clear"/>
            <w:vAlign w:val="center"/>
          </w:tcPr>
          <w:p>
            <w:pPr>
              <w:pStyle w:val="TableContents"/>
              <w:spacing w:lineRule="auto" w:line="252" w:before="0" w:after="0"/>
              <w:ind w:left="0" w:right="0" w:hanging="0"/>
              <w:jc w:val="left"/>
              <w:rPr/>
            </w:pPr>
            <w:r>
              <w:rPr/>
              <w:t> </w:t>
            </w:r>
          </w:p>
        </w:tc>
        <w:tc>
          <w:tcPr>
            <w:tcW w:w="159" w:type="dxa"/>
            <w:tcBorders/>
            <w:shd w:fill="auto" w:val="clear"/>
            <w:vAlign w:val="center"/>
          </w:tcPr>
          <w:p>
            <w:pPr>
              <w:pStyle w:val="TableContents"/>
              <w:spacing w:lineRule="auto" w:line="252" w:before="0" w:after="0"/>
              <w:ind w:left="0" w:right="0" w:hanging="0"/>
              <w:jc w:val="left"/>
              <w:rPr/>
            </w:pPr>
            <w:r>
              <w:rPr/>
              <w:t> </w:t>
            </w:r>
          </w:p>
        </w:tc>
        <w:tc>
          <w:tcPr>
            <w:tcW w:w="229" w:type="dxa"/>
            <w:tcBorders/>
            <w:shd w:fill="auto" w:val="clear"/>
            <w:vAlign w:val="center"/>
          </w:tcPr>
          <w:p>
            <w:pPr>
              <w:pStyle w:val="TableContents"/>
              <w:spacing w:lineRule="auto" w:line="252" w:before="0" w:after="0"/>
              <w:ind w:left="0" w:right="0" w:hanging="0"/>
              <w:jc w:val="left"/>
              <w:rPr/>
            </w:pPr>
            <w:r>
              <w:rPr/>
              <w:t> </w:t>
            </w:r>
          </w:p>
        </w:tc>
        <w:tc>
          <w:tcPr>
            <w:tcW w:w="8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67,198</w:t>
            </w:r>
          </w:p>
        </w:tc>
        <w:tc>
          <w:tcPr>
            <w:tcW w:w="1336" w:type="dxa"/>
            <w:tcBorders/>
            <w:shd w:fill="auto" w:val="clear"/>
            <w:vAlign w:val="center"/>
          </w:tcPr>
          <w:p>
            <w:pPr>
              <w:pStyle w:val="TableContents"/>
              <w:spacing w:lineRule="auto" w:line="252" w:before="0" w:after="0"/>
              <w:ind w:left="0" w:right="0" w:hanging="0"/>
              <w:jc w:val="left"/>
              <w:rPr/>
            </w:pPr>
            <w:r>
              <w:rPr/>
              <w:t> </w:t>
            </w:r>
          </w:p>
        </w:tc>
      </w:tr>
      <w:tr>
        <w:trPr/>
        <w:tc>
          <w:tcPr>
            <w:tcW w:w="6194"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Cash, cash equivalents and restricted cash, beginning of period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110,537</w:t>
            </w:r>
          </w:p>
        </w:tc>
        <w:tc>
          <w:tcPr>
            <w:tcW w:w="18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60,625</w:t>
            </w:r>
          </w:p>
        </w:tc>
        <w:tc>
          <w:tcPr>
            <w:tcW w:w="13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194"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Cash, cash equivalents and restricted cash, end of period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118,021</w:t>
            </w:r>
          </w:p>
        </w:tc>
        <w:tc>
          <w:tcPr>
            <w:tcW w:w="18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127,823</w:t>
            </w:r>
          </w:p>
        </w:tc>
        <w:tc>
          <w:tcPr>
            <w:tcW w:w="13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194" w:type="dxa"/>
            <w:tcBorders/>
            <w:shd w:fill="auto" w:val="clear"/>
            <w:vAlign w:val="center"/>
          </w:tcPr>
          <w:p>
            <w:pPr>
              <w:pStyle w:val="TableContents"/>
              <w:spacing w:lineRule="auto" w:line="252" w:before="0" w:after="0"/>
              <w:ind w:left="0" w:right="0" w:hanging="0"/>
              <w:jc w:val="left"/>
              <w:rPr>
                <w:rFonts w:ascii="Arial" w:hAnsi="Arial"/>
                <w:b/>
                <w:sz w:val="20"/>
              </w:rPr>
            </w:pPr>
            <w:r>
              <w:rPr>
                <w:rFonts w:ascii="Arial" w:hAnsi="Arial"/>
                <w:b/>
                <w:sz w:val="20"/>
              </w:rPr>
              <w:t>Supplemental disclosures of cash flow information: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right"/>
              <w:rPr/>
            </w:pPr>
            <w:r>
              <w:rPr/>
              <w:t> </w:t>
            </w:r>
          </w:p>
        </w:tc>
        <w:tc>
          <w:tcPr>
            <w:tcW w:w="180" w:type="dxa"/>
            <w:tcBorders/>
            <w:shd w:fill="auto" w:val="clear"/>
            <w:vAlign w:val="center"/>
          </w:tcPr>
          <w:p>
            <w:pPr>
              <w:pStyle w:val="TableContents"/>
              <w:spacing w:lineRule="auto" w:line="252" w:before="0" w:after="0"/>
              <w:ind w:left="0" w:right="0" w:hanging="0"/>
              <w:jc w:val="right"/>
              <w:rPr/>
            </w:pPr>
            <w:r>
              <w:rPr/>
              <w:t> </w:t>
            </w:r>
          </w:p>
        </w:tc>
        <w:tc>
          <w:tcPr>
            <w:tcW w:w="159"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right"/>
              <w:rPr/>
            </w:pPr>
            <w:r>
              <w:rPr/>
              <w:t> </w:t>
            </w:r>
          </w:p>
        </w:tc>
        <w:tc>
          <w:tcPr>
            <w:tcW w:w="1336" w:type="dxa"/>
            <w:tcBorders/>
            <w:shd w:fill="auto" w:val="clear"/>
            <w:vAlign w:val="center"/>
          </w:tcPr>
          <w:p>
            <w:pPr>
              <w:pStyle w:val="TableContents"/>
              <w:spacing w:lineRule="auto" w:line="252" w:before="0" w:after="0"/>
              <w:ind w:left="0" w:right="0" w:firstLine="280"/>
              <w:jc w:val="right"/>
              <w:rPr/>
            </w:pPr>
            <w:r>
              <w:rPr/>
              <w:t> </w:t>
            </w:r>
          </w:p>
        </w:tc>
      </w:tr>
      <w:tr>
        <w:trPr/>
        <w:tc>
          <w:tcPr>
            <w:tcW w:w="6194"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Purchases of property and equipment included in accounts</w:t>
              <w:br/>
              <w:t>   payable and accrued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w:t>
            </w:r>
          </w:p>
        </w:tc>
        <w:tc>
          <w:tcPr>
            <w:tcW w:w="18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57</w:t>
            </w:r>
          </w:p>
        </w:tc>
        <w:tc>
          <w:tcPr>
            <w:tcW w:w="13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firstLine="280"/>
              <w:jc w:val="left"/>
              <w:rPr/>
            </w:pPr>
            <w:r>
              <w:rPr/>
              <w:t> </w:t>
            </w:r>
          </w:p>
        </w:tc>
      </w:tr>
      <w:tr>
        <w:trPr/>
        <w:tc>
          <w:tcPr>
            <w:tcW w:w="6194"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Right-of-use asset obtained in exchange for new operating lease liability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8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518</w:t>
            </w:r>
          </w:p>
        </w:tc>
        <w:tc>
          <w:tcPr>
            <w:tcW w:w="13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40" w:after="0"/>
        <w:jc w:val="center"/>
        <w:rPr>
          <w:rFonts w:ascii="Arial" w:hAnsi="Arial"/>
          <w:b w:val="false"/>
          <w:i/>
          <w:sz w:val="20"/>
        </w:rPr>
      </w:pPr>
      <w:r>
        <w:rPr>
          <w:rFonts w:ascii="Arial" w:hAnsi="Arial"/>
          <w:b w:val="false"/>
          <w:i/>
          <w:sz w:val="20"/>
        </w:rPr>
        <w:t>The accompanying notes are an integral part of these condensed consolidated financial statements.</w:t>
      </w:r>
    </w:p>
    <w:p>
      <w:pPr>
        <w:pStyle w:val="TextBody"/>
        <w:spacing w:lineRule="auto" w:line="273" w:before="240" w:after="0"/>
        <w:jc w:val="center"/>
        <w:rPr>
          <w:rFonts w:ascii="Arial" w:hAnsi="Arial"/>
          <w:b w:val="false"/>
          <w:sz w:val="20"/>
        </w:rPr>
      </w:pPr>
      <w:r>
        <w:rPr>
          <w:rFonts w:ascii="Arial" w:hAnsi="Arial"/>
          <w:b w:val="false"/>
          <w:sz w:val="20"/>
        </w:rPr>
        <w:t>8</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Arial" w:hAnsi="Arial"/>
          <w:b/>
          <w:sz w:val="20"/>
        </w:rPr>
      </w:pPr>
      <w:r>
        <w:rPr>
          <w:rFonts w:ascii="Arial" w:hAnsi="Arial"/>
          <w:b/>
          <w:sz w:val="20"/>
        </w:rPr>
        <w:t>ATHIRA PHARMA, INC.</w:t>
      </w:r>
    </w:p>
    <w:p>
      <w:pPr>
        <w:pStyle w:val="TextBody"/>
        <w:spacing w:lineRule="auto" w:line="273" w:before="0" w:after="0"/>
        <w:jc w:val="center"/>
        <w:rPr>
          <w:rFonts w:ascii="Arial" w:hAnsi="Arial"/>
          <w:b/>
          <w:sz w:val="20"/>
        </w:rPr>
      </w:pPr>
      <w:bookmarkStart w:id="8" w:name="notes_to_unaudited_condensed_consolidate"/>
      <w:bookmarkEnd w:id="8"/>
      <w:r>
        <w:rPr>
          <w:rFonts w:ascii="Arial" w:hAnsi="Arial"/>
          <w:b/>
          <w:sz w:val="20"/>
        </w:rPr>
        <w:t>Notes to Unaudited Condensed Consolidated Financial Statements</w:t>
      </w:r>
    </w:p>
    <w:p>
      <w:pPr>
        <w:pStyle w:val="TextBody"/>
        <w:spacing w:lineRule="auto" w:line="273" w:before="240" w:after="0"/>
        <w:jc w:val="both"/>
        <w:rPr>
          <w:rFonts w:ascii="Arial" w:hAnsi="Arial"/>
          <w:b/>
          <w:sz w:val="20"/>
        </w:rPr>
      </w:pPr>
      <w:r>
        <w:rPr>
          <w:rFonts w:ascii="Arial" w:hAnsi="Arial"/>
          <w:b/>
          <w:sz w:val="20"/>
        </w:rPr>
        <w:t>1. Description of Business</w:t>
      </w:r>
    </w:p>
    <w:p>
      <w:pPr>
        <w:pStyle w:val="TextBody"/>
        <w:spacing w:lineRule="auto" w:line="273" w:before="280" w:after="0"/>
        <w:jc w:val="both"/>
        <w:rPr>
          <w:rFonts w:ascii="Arial" w:hAnsi="Arial"/>
          <w:b/>
          <w:i/>
          <w:sz w:val="20"/>
        </w:rPr>
      </w:pPr>
      <w:r>
        <w:rPr>
          <w:rFonts w:ascii="Arial" w:hAnsi="Arial"/>
          <w:b/>
          <w:i/>
          <w:sz w:val="20"/>
        </w:rPr>
        <w:t>Organization</w:t>
      </w:r>
    </w:p>
    <w:p>
      <w:pPr>
        <w:pStyle w:val="TextBody"/>
        <w:spacing w:lineRule="auto" w:line="273" w:before="280" w:after="0"/>
        <w:jc w:val="both"/>
        <w:rPr>
          <w:rFonts w:ascii="Times New Roman" w:hAnsi="Times New Roman"/>
          <w:sz w:val="20"/>
        </w:rPr>
      </w:pPr>
      <w:r>
        <w:rPr>
          <w:rFonts w:ascii="Arial" w:hAnsi="Arial"/>
          <w:b w:val="false"/>
          <w:sz w:val="20"/>
        </w:rPr>
        <w:t>Athira Pharma, Inc. (the “Company”) was incorporated as M3 Biotechnology, Inc. in the state of Washington on March 31, 2011</w:t>
      </w:r>
      <w:r>
        <w:rPr>
          <w:rFonts w:ascii="Times New Roman" w:hAnsi="Times New Roman"/>
          <w:sz w:val="20"/>
        </w:rPr>
        <w:t xml:space="preserve"> </w:t>
      </w:r>
      <w:r>
        <w:rPr>
          <w:rFonts w:ascii="Arial" w:hAnsi="Arial"/>
          <w:b w:val="false"/>
          <w:sz w:val="20"/>
        </w:rPr>
        <w:t>and reincorporated in the state of Delaware on October 27, 2015. In April 2019, the Company changed its name to Athira Pharma, Inc. The Company currently has office and laboratory space in Bothell and Seattle, Washington. The Company is a late clinical-stage biopharmaceutical company focused on developing small molecules to restore neuronal health and stop neurodegeneration.</w:t>
      </w:r>
    </w:p>
    <w:p>
      <w:pPr>
        <w:pStyle w:val="TextBody"/>
        <w:spacing w:lineRule="auto" w:line="273" w:before="280" w:after="0"/>
        <w:jc w:val="both"/>
        <w:rPr>
          <w:rFonts w:ascii="Arial" w:hAnsi="Arial"/>
          <w:b/>
          <w:i/>
          <w:sz w:val="20"/>
        </w:rPr>
      </w:pPr>
      <w:r>
        <w:rPr>
          <w:rFonts w:ascii="Arial" w:hAnsi="Arial"/>
          <w:b/>
          <w:i/>
          <w:sz w:val="20"/>
        </w:rPr>
        <w:t>Follow-on Public Offering</w:t>
      </w:r>
    </w:p>
    <w:p>
      <w:pPr>
        <w:pStyle w:val="TextBody"/>
        <w:spacing w:lineRule="auto" w:line="273" w:before="280" w:after="0"/>
        <w:jc w:val="both"/>
        <w:rPr>
          <w:rFonts w:ascii="Times New Roman" w:hAnsi="Times New Roman"/>
          <w:sz w:val="20"/>
        </w:rPr>
      </w:pPr>
      <w:r>
        <w:rPr>
          <w:rFonts w:ascii="Arial" w:hAnsi="Arial"/>
          <w:b w:val="false"/>
          <w:sz w:val="20"/>
        </w:rPr>
        <w:t>In January 2021, the Company completed a follow-on public offering of its common stock. As part of the follow-on offering, the Company issued and sold 4,000,000</w:t>
      </w:r>
      <w:r>
        <w:rPr>
          <w:rFonts w:ascii="Times New Roman" w:hAnsi="Times New Roman"/>
          <w:sz w:val="20"/>
        </w:rPr>
        <w:t xml:space="preserve"> </w:t>
      </w:r>
      <w:r>
        <w:rPr>
          <w:rFonts w:ascii="Arial" w:hAnsi="Arial"/>
          <w:b w:val="false"/>
          <w:sz w:val="20"/>
        </w:rPr>
        <w:t>shares of its common stock at a public offering price of $22.50</w:t>
      </w:r>
      <w:r>
        <w:rPr>
          <w:rFonts w:ascii="Times New Roman" w:hAnsi="Times New Roman"/>
          <w:sz w:val="20"/>
        </w:rPr>
        <w:t xml:space="preserve"> </w:t>
      </w:r>
      <w:r>
        <w:rPr>
          <w:rFonts w:ascii="Arial" w:hAnsi="Arial"/>
          <w:b w:val="false"/>
          <w:sz w:val="20"/>
        </w:rPr>
        <w:t>per share. The Company received net proceeds of approximately $84.1</w:t>
      </w:r>
      <w:r>
        <w:rPr>
          <w:rFonts w:ascii="Times New Roman" w:hAnsi="Times New Roman"/>
          <w:sz w:val="20"/>
        </w:rPr>
        <w:t xml:space="preserve"> </w:t>
      </w:r>
      <w:r>
        <w:rPr>
          <w:rFonts w:ascii="Arial" w:hAnsi="Arial"/>
          <w:b w:val="false"/>
          <w:sz w:val="20"/>
        </w:rPr>
        <w:t>million from the follow-on offering, after deducting underwriting discounts and commissions and offering costs. In February 2021, the Company sold an additional 600,000</w:t>
      </w:r>
      <w:r>
        <w:rPr>
          <w:rFonts w:ascii="Times New Roman" w:hAnsi="Times New Roman"/>
          <w:sz w:val="20"/>
        </w:rPr>
        <w:t xml:space="preserve"> </w:t>
      </w:r>
      <w:r>
        <w:rPr>
          <w:rFonts w:ascii="Arial" w:hAnsi="Arial"/>
          <w:b w:val="false"/>
          <w:sz w:val="20"/>
        </w:rPr>
        <w:t>shares of common stock to the underwriters of the follow-on public offering upon full exercise of the underwriters’ option to purchase additional shares at the follow-on public offering price of $22.50</w:t>
      </w:r>
      <w:r>
        <w:rPr>
          <w:rFonts w:ascii="Times New Roman" w:hAnsi="Times New Roman"/>
          <w:sz w:val="20"/>
        </w:rPr>
        <w:t xml:space="preserve"> </w:t>
      </w:r>
      <w:r>
        <w:rPr>
          <w:rFonts w:ascii="Arial" w:hAnsi="Arial"/>
          <w:b w:val="false"/>
          <w:sz w:val="20"/>
        </w:rPr>
        <w:t>per share, less underwriting discounts and commissions and offering costs resulting in net proceeds to the Company of approximately $12.7</w:t>
      </w:r>
      <w:r>
        <w:rPr>
          <w:rFonts w:ascii="Times New Roman" w:hAnsi="Times New Roman"/>
          <w:sz w:val="20"/>
        </w:rPr>
        <w:t xml:space="preserve"> </w:t>
      </w:r>
      <w:r>
        <w:rPr>
          <w:rFonts w:ascii="Arial" w:hAnsi="Arial"/>
          <w:b w:val="false"/>
          <w:sz w:val="20"/>
        </w:rPr>
        <w:t>million.</w:t>
      </w:r>
    </w:p>
    <w:p>
      <w:pPr>
        <w:pStyle w:val="TextBody"/>
        <w:spacing w:lineRule="auto" w:line="273" w:before="280" w:after="0"/>
        <w:jc w:val="both"/>
        <w:rPr>
          <w:rFonts w:ascii="Arial" w:hAnsi="Arial"/>
          <w:b/>
          <w:i/>
          <w:sz w:val="20"/>
        </w:rPr>
      </w:pPr>
      <w:r>
        <w:rPr>
          <w:rFonts w:ascii="Arial" w:hAnsi="Arial"/>
          <w:b/>
          <w:i/>
          <w:sz w:val="20"/>
        </w:rPr>
        <w:t>Liquidity and Capital Resources</w:t>
      </w:r>
    </w:p>
    <w:p>
      <w:pPr>
        <w:pStyle w:val="TextBody"/>
        <w:spacing w:lineRule="auto" w:line="273" w:before="280" w:after="0"/>
        <w:jc w:val="both"/>
        <w:rPr>
          <w:rFonts w:ascii="Times New Roman" w:hAnsi="Times New Roman"/>
          <w:sz w:val="20"/>
        </w:rPr>
      </w:pPr>
      <w:r>
        <w:rPr>
          <w:rFonts w:ascii="Arial" w:hAnsi="Arial"/>
          <w:b w:val="false"/>
          <w:sz w:val="20"/>
        </w:rPr>
        <w:t>Since the Company’s inception, it has funded its operations primarily with proceeds from the sale and issuance of common stock, convertible preferred stock, common stock warrants, and convertible notes, and to a lesser extent from grant income and stock option exercises. From the Company’s inception through March 31, 2022, it has raised aggregate net cash proceeds of $407.4</w:t>
      </w:r>
      <w:r>
        <w:rPr>
          <w:rFonts w:ascii="Times New Roman" w:hAnsi="Times New Roman"/>
          <w:sz w:val="20"/>
        </w:rPr>
        <w:t xml:space="preserve"> </w:t>
      </w:r>
      <w:r>
        <w:rPr>
          <w:rFonts w:ascii="Arial" w:hAnsi="Arial"/>
          <w:b w:val="false"/>
          <w:sz w:val="20"/>
        </w:rPr>
        <w:t>million primarily from the issuance of its common stock, convertible preferred stock, common stock warrants, and convertible notes. As of March 31, 2022, the Company had $301.2</w:t>
      </w:r>
      <w:r>
        <w:rPr>
          <w:rFonts w:ascii="Times New Roman" w:hAnsi="Times New Roman"/>
          <w:sz w:val="20"/>
        </w:rPr>
        <w:t xml:space="preserve"> </w:t>
      </w:r>
      <w:r>
        <w:rPr>
          <w:rFonts w:ascii="Arial" w:hAnsi="Arial"/>
          <w:b w:val="false"/>
          <w:sz w:val="20"/>
        </w:rPr>
        <w:t>million in cash, cash equivalents and investments and had not generated positive cash flows from operations. Since the Company’s inception, it has devoted substantially all of its resources to its research and development efforts such as small molecule compound discovery, nonclinical studies and clinical trials, as well as manufacturing activities, establishing and maintaining the Company’s intellectual property portfolio, hiring personnel, raising capital, and providing general and administrative support for these operations.</w:t>
      </w:r>
    </w:p>
    <w:p>
      <w:pPr>
        <w:pStyle w:val="TextBody"/>
        <w:spacing w:lineRule="auto" w:line="273" w:before="280" w:after="0"/>
        <w:jc w:val="both"/>
        <w:rPr>
          <w:rFonts w:ascii="Times New Roman" w:hAnsi="Times New Roman"/>
          <w:sz w:val="20"/>
        </w:rPr>
      </w:pPr>
      <w:r>
        <w:rPr>
          <w:rFonts w:ascii="Arial" w:hAnsi="Arial"/>
          <w:b w:val="false"/>
          <w:sz w:val="20"/>
        </w:rPr>
        <w:t>Based upon the Company’s current operating plan, it estimates that its $301.2</w:t>
      </w:r>
      <w:r>
        <w:rPr>
          <w:rFonts w:ascii="Times New Roman" w:hAnsi="Times New Roman"/>
          <w:sz w:val="20"/>
        </w:rPr>
        <w:t xml:space="preserve"> </w:t>
      </w:r>
      <w:r>
        <w:rPr>
          <w:rFonts w:ascii="Arial" w:hAnsi="Arial"/>
          <w:b w:val="false"/>
          <w:sz w:val="20"/>
        </w:rPr>
        <w:t>million of cash, cash equivalents and investments at March 31, 2022</w:t>
      </w:r>
      <w:r>
        <w:rPr>
          <w:rFonts w:ascii="Times New Roman" w:hAnsi="Times New Roman"/>
          <w:sz w:val="20"/>
        </w:rPr>
        <w:t xml:space="preserve"> </w:t>
      </w:r>
      <w:r>
        <w:rPr>
          <w:rFonts w:ascii="Arial" w:hAnsi="Arial"/>
          <w:b w:val="false"/>
          <w:sz w:val="20"/>
        </w:rPr>
        <w:t>will be sufficient to fund its operating expenses and capital expenditure requirements through at least the 12 months following the date of this Quarterly Report on Form 10-Q.</w:t>
      </w:r>
    </w:p>
    <w:p>
      <w:pPr>
        <w:pStyle w:val="TextBody"/>
        <w:spacing w:lineRule="auto" w:line="273" w:before="0" w:after="0"/>
        <w:jc w:val="both"/>
        <w:rPr/>
      </w:pPr>
      <w:r>
        <w:rPr/>
        <w:t> </w:t>
      </w:r>
    </w:p>
    <w:p>
      <w:pPr>
        <w:pStyle w:val="TextBody"/>
        <w:spacing w:lineRule="auto" w:line="273" w:before="80" w:after="0"/>
        <w:jc w:val="both"/>
        <w:rPr>
          <w:rFonts w:ascii="Arial" w:hAnsi="Arial"/>
          <w:b/>
          <w:sz w:val="20"/>
        </w:rPr>
      </w:pPr>
      <w:r>
        <w:rPr>
          <w:rFonts w:ascii="Arial" w:hAnsi="Arial"/>
          <w:b/>
          <w:sz w:val="20"/>
        </w:rPr>
        <w:t>2. Significant Accounting Policies</w:t>
      </w:r>
    </w:p>
    <w:p>
      <w:pPr>
        <w:pStyle w:val="TextBody"/>
        <w:spacing w:lineRule="auto" w:line="273" w:before="280" w:after="0"/>
        <w:jc w:val="both"/>
        <w:rPr>
          <w:rFonts w:ascii="Arial" w:hAnsi="Arial"/>
          <w:b/>
          <w:i/>
          <w:sz w:val="20"/>
        </w:rPr>
      </w:pPr>
      <w:r>
        <w:rPr>
          <w:rFonts w:ascii="Arial" w:hAnsi="Arial"/>
          <w:b/>
          <w:i/>
          <w:sz w:val="20"/>
        </w:rPr>
        <w:t>Basis of Presentation</w:t>
      </w:r>
    </w:p>
    <w:p>
      <w:pPr>
        <w:pStyle w:val="TextBody"/>
        <w:spacing w:lineRule="auto" w:line="273" w:before="280" w:after="0"/>
        <w:jc w:val="both"/>
        <w:rPr>
          <w:rFonts w:ascii="Arial" w:hAnsi="Arial"/>
          <w:b w:val="false"/>
          <w:sz w:val="20"/>
        </w:rPr>
      </w:pPr>
      <w:r>
        <w:rPr>
          <w:rFonts w:ascii="Arial" w:hAnsi="Arial"/>
          <w:b w:val="false"/>
          <w:sz w:val="20"/>
        </w:rPr>
        <w:t>The unaudited condensed consolidated financial statements have been prepared in conformity with U.S. generally accepted accounting principles (“U.S. GAAP”). During the third quarter of 2020, the Company incorporated Athira Pharma Australia PTY LTD in Australia and since its creation, the Australian subsidiary’s financial position and results of operations are consolidated in the accompanying unaudited condensed consolidated financial statements. Certain prior period amounts have been reclassified to conform to current period presentation.</w:t>
      </w:r>
    </w:p>
    <w:p>
      <w:pPr>
        <w:pStyle w:val="TextBody"/>
        <w:spacing w:lineRule="auto" w:line="273" w:before="280" w:after="0"/>
        <w:jc w:val="both"/>
        <w:rPr>
          <w:rFonts w:ascii="Arial" w:hAnsi="Arial"/>
          <w:b/>
          <w:i/>
          <w:sz w:val="20"/>
        </w:rPr>
      </w:pPr>
      <w:r>
        <w:rPr>
          <w:rFonts w:ascii="Arial" w:hAnsi="Arial"/>
          <w:b/>
          <w:i/>
          <w:sz w:val="20"/>
        </w:rPr>
        <w:t>Unaudited Interim Condensed Consolidated Financial Statements</w:t>
      </w:r>
    </w:p>
    <w:p>
      <w:pPr>
        <w:pStyle w:val="TextBody"/>
        <w:spacing w:lineRule="auto" w:line="273" w:before="280" w:after="0"/>
        <w:jc w:val="both"/>
        <w:rPr>
          <w:rFonts w:ascii="Times New Roman" w:hAnsi="Times New Roman"/>
          <w:sz w:val="20"/>
        </w:rPr>
      </w:pPr>
      <w:r>
        <w:rPr>
          <w:rFonts w:ascii="Arial" w:hAnsi="Arial"/>
          <w:b w:val="false"/>
          <w:sz w:val="20"/>
        </w:rPr>
        <w:t>The accompanying unaudited condensed consolidated balance sheet as of March 31, 2022, and condensed consolidated statements of operations and comprehensive loss, cash flows, and stockholders’ equity for the three months ended March 31, 2022 and 2021, are unaudited. The balance sheet as of December 31, 2021 was derived from the audited consolidated financial statements as of and for the year ended December 31, 2021. The unaudited interim condensed</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9</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Times New Roman" w:hAnsi="Times New Roman"/>
          <w:sz w:val="20"/>
        </w:rPr>
      </w:pPr>
      <w:r>
        <w:rPr>
          <w:rFonts w:ascii="Arial" w:hAnsi="Arial"/>
          <w:b w:val="false"/>
          <w:sz w:val="20"/>
        </w:rPr>
        <w:t>consolidated financial statements have been prepared on a basis consistent with the audited annual financial statements as of and for the year ended December 31, 2021, and, in the opinion of management, reflect all adjustments, consisting solely of normal recurring adjustments, necessary for the fair presentation of the Company’s financial position as of March 31, 2022, and the condensed consolidated results of its operations and its cash flows for the three months ended March 31, 2022 and 2021. The financial data and other information disclosed in these notes related to the three months ended March 31, 2022 and 2021 are also unaudited. The condensed consolidated results of operations for the three months ended March 31, 2022 are not necessarily indicative of the results to be expected for the full year ending December 31, 2022 or any other period. These interim condensed consolidated financial statements should be read in conjunction with the Company’s audited consolidated financial statements as of and for the year ended December 31, 2021</w:t>
      </w:r>
      <w:r>
        <w:rPr>
          <w:rFonts w:ascii="Times New Roman" w:hAnsi="Times New Roman"/>
          <w:sz w:val="20"/>
        </w:rPr>
        <w:t xml:space="preserve"> </w:t>
      </w:r>
      <w:r>
        <w:rPr>
          <w:rFonts w:ascii="Arial" w:hAnsi="Arial"/>
          <w:b w:val="false"/>
          <w:sz w:val="20"/>
        </w:rPr>
        <w:t>included in its Annual Report on Form 10-K filed with the SEC on March 28, 2022.</w:t>
      </w:r>
    </w:p>
    <w:p>
      <w:pPr>
        <w:pStyle w:val="TextBody"/>
        <w:spacing w:lineRule="auto" w:line="273" w:before="280" w:after="0"/>
        <w:jc w:val="both"/>
        <w:rPr>
          <w:rFonts w:ascii="Arial" w:hAnsi="Arial"/>
          <w:b/>
          <w:i/>
          <w:sz w:val="20"/>
        </w:rPr>
      </w:pPr>
      <w:r>
        <w:rPr>
          <w:rFonts w:ascii="Arial" w:hAnsi="Arial"/>
          <w:b/>
          <w:i/>
          <w:sz w:val="20"/>
        </w:rPr>
        <w:t>Fair Value Measurements</w:t>
      </w:r>
    </w:p>
    <w:p>
      <w:pPr>
        <w:pStyle w:val="TextBody"/>
        <w:spacing w:lineRule="auto" w:line="273" w:before="280" w:after="0"/>
        <w:jc w:val="both"/>
        <w:rPr>
          <w:rFonts w:ascii="Arial" w:hAnsi="Arial"/>
          <w:b w:val="false"/>
          <w:sz w:val="20"/>
        </w:rPr>
      </w:pPr>
      <w:r>
        <w:rPr>
          <w:rFonts w:ascii="Arial" w:hAnsi="Arial"/>
          <w:b w:val="false"/>
          <w:sz w:val="20"/>
        </w:rPr>
        <w:t>The carrying amounts of certain financial instruments, including cash, cash equivalents, restricted cash, investments, accounts payable and accrued expenses approximate their fair values due to the short-term nature of those amounts.</w:t>
      </w:r>
    </w:p>
    <w:p>
      <w:pPr>
        <w:pStyle w:val="TextBody"/>
        <w:spacing w:lineRule="auto" w:line="273" w:before="280" w:after="0"/>
        <w:jc w:val="both"/>
        <w:rPr>
          <w:rFonts w:ascii="Arial" w:hAnsi="Arial"/>
          <w:b/>
          <w:i/>
          <w:sz w:val="20"/>
        </w:rPr>
      </w:pPr>
      <w:r>
        <w:rPr>
          <w:rFonts w:ascii="Arial" w:hAnsi="Arial"/>
          <w:b/>
          <w:i/>
          <w:sz w:val="20"/>
        </w:rPr>
        <w:t>Restricted Cash</w:t>
      </w:r>
    </w:p>
    <w:p>
      <w:pPr>
        <w:pStyle w:val="TextBody"/>
        <w:spacing w:lineRule="auto" w:line="273" w:before="280" w:after="280"/>
        <w:jc w:val="both"/>
        <w:rPr>
          <w:rFonts w:ascii="Arial" w:hAnsi="Arial"/>
          <w:b w:val="false"/>
          <w:sz w:val="20"/>
        </w:rPr>
      </w:pPr>
      <w:r>
        <w:rPr>
          <w:rFonts w:ascii="Arial" w:hAnsi="Arial"/>
          <w:b w:val="false"/>
          <w:sz w:val="20"/>
        </w:rPr>
        <w:t>Restricted cash consists of collateral pledged in connection with the Company's corporate credit cards. The table below reconciles the balances of cash and cash equivalents and restricted cash reported on the condensed consolidated balance sheets to the balances of cash, cash equivalents and restricted cash reported on the condensed consolidated statements of cash flows.</w:t>
      </w:r>
    </w:p>
    <w:tbl>
      <w:tblPr>
        <w:tblW w:w="6692" w:type="dxa"/>
        <w:jc w:val="left"/>
        <w:tblInd w:w="0" w:type="dxa"/>
        <w:tblCellMar>
          <w:top w:w="28" w:type="dxa"/>
          <w:left w:w="28" w:type="dxa"/>
          <w:bottom w:w="28" w:type="dxa"/>
          <w:right w:w="28" w:type="dxa"/>
        </w:tblCellMar>
      </w:tblPr>
      <w:tblGrid>
        <w:gridCol w:w="3886"/>
        <w:gridCol w:w="146"/>
        <w:gridCol w:w="211"/>
        <w:gridCol w:w="796"/>
        <w:gridCol w:w="146"/>
        <w:gridCol w:w="146"/>
        <w:gridCol w:w="245"/>
        <w:gridCol w:w="925"/>
        <w:gridCol w:w="191"/>
      </w:tblGrid>
      <w:tr>
        <w:trPr/>
        <w:tc>
          <w:tcPr>
            <w:tcW w:w="38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8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0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7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December 31,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8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0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7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88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Cash and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9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117,811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92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110,537</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88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Restricted cash</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210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2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88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Cash, cash equivalents and restricted cash</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118,021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92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110,537</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280" w:after="0"/>
        <w:jc w:val="both"/>
        <w:rPr>
          <w:rFonts w:ascii="Arial" w:hAnsi="Arial"/>
          <w:b/>
          <w:i/>
          <w:sz w:val="20"/>
        </w:rPr>
      </w:pPr>
      <w:r>
        <w:rPr>
          <w:rFonts w:ascii="Arial" w:hAnsi="Arial"/>
          <w:b/>
          <w:i/>
          <w:sz w:val="20"/>
        </w:rPr>
        <w:t>Grant Income</w:t>
      </w:r>
    </w:p>
    <w:p>
      <w:pPr>
        <w:pStyle w:val="TextBody"/>
        <w:spacing w:lineRule="auto" w:line="264" w:before="280" w:after="0"/>
        <w:jc w:val="both"/>
        <w:rPr>
          <w:rFonts w:ascii="Times New Roman" w:hAnsi="Times New Roman"/>
          <w:sz w:val="20"/>
        </w:rPr>
      </w:pPr>
      <w:r>
        <w:rPr>
          <w:rFonts w:ascii="Arial" w:hAnsi="Arial"/>
          <w:b w:val="false"/>
          <w:sz w:val="20"/>
        </w:rPr>
        <w:t>In December 2020, the Company accepted a grant from the National Institute on Aging (“NIA”) of the National Institutes of Health (“NIH”) to support its ACT-AD Phase 2 clinical trial for fosgonimeton (then-named ATH-1017), the Company’s lead therapeutic candidate being developed for the treatment of individuals with mild-to-moderate Alzheimer’s disease. Under the terms of the agreement, the Company may potentially receive $7.8</w:t>
      </w:r>
      <w:r>
        <w:rPr>
          <w:rFonts w:ascii="Times New Roman" w:hAnsi="Times New Roman"/>
          <w:sz w:val="20"/>
        </w:rPr>
        <w:t xml:space="preserve"> </w:t>
      </w:r>
      <w:r>
        <w:rPr>
          <w:rFonts w:ascii="Arial" w:hAnsi="Arial"/>
          <w:b w:val="false"/>
          <w:sz w:val="20"/>
        </w:rPr>
        <w:t>million with the potential for an additional $7.4</w:t>
      </w:r>
      <w:r>
        <w:rPr>
          <w:rFonts w:ascii="Times New Roman" w:hAnsi="Times New Roman"/>
          <w:sz w:val="20"/>
        </w:rPr>
        <w:t xml:space="preserve"> </w:t>
      </w:r>
      <w:r>
        <w:rPr>
          <w:rFonts w:ascii="Arial" w:hAnsi="Arial"/>
          <w:b w:val="false"/>
          <w:sz w:val="20"/>
        </w:rPr>
        <w:t>million, up to an aggregate of $15.2</w:t>
      </w:r>
      <w:r>
        <w:rPr>
          <w:rFonts w:ascii="Times New Roman" w:hAnsi="Times New Roman"/>
          <w:sz w:val="20"/>
        </w:rPr>
        <w:t xml:space="preserve"> </w:t>
      </w:r>
      <w:r>
        <w:rPr>
          <w:rFonts w:ascii="Arial" w:hAnsi="Arial"/>
          <w:b w:val="false"/>
          <w:sz w:val="20"/>
        </w:rPr>
        <w:t>million. The Company recognizes income related to the NIH grant in the accompanying condensed consolidated statements of operations and comprehensive loss as qualifying expenses under the grant agreement are incurred.</w:t>
      </w:r>
    </w:p>
    <w:p>
      <w:pPr>
        <w:pStyle w:val="TextBody"/>
        <w:spacing w:lineRule="auto" w:line="264" w:before="280" w:after="0"/>
        <w:jc w:val="both"/>
        <w:rPr>
          <w:rFonts w:ascii="Times New Roman" w:hAnsi="Times New Roman"/>
          <w:sz w:val="20"/>
        </w:rPr>
      </w:pPr>
      <w:r>
        <w:rPr>
          <w:rFonts w:ascii="Arial" w:hAnsi="Arial"/>
          <w:b w:val="false"/>
          <w:sz w:val="20"/>
        </w:rPr>
        <w:t>During the three months ended March 31, 2022 and 2021, the Company recognized grant income of $2.2</w:t>
      </w:r>
      <w:r>
        <w:rPr>
          <w:rFonts w:ascii="Times New Roman" w:hAnsi="Times New Roman"/>
          <w:sz w:val="20"/>
        </w:rPr>
        <w:t xml:space="preserve"> </w:t>
      </w:r>
      <w:r>
        <w:rPr>
          <w:rFonts w:ascii="Arial" w:hAnsi="Arial"/>
          <w:b w:val="false"/>
          <w:sz w:val="20"/>
        </w:rPr>
        <w:t>million and $1.8</w:t>
      </w:r>
      <w:r>
        <w:rPr>
          <w:rFonts w:ascii="Times New Roman" w:hAnsi="Times New Roman"/>
          <w:sz w:val="20"/>
        </w:rPr>
        <w:t xml:space="preserve"> </w:t>
      </w:r>
      <w:r>
        <w:rPr>
          <w:rFonts w:ascii="Arial" w:hAnsi="Arial"/>
          <w:b w:val="false"/>
          <w:sz w:val="20"/>
        </w:rPr>
        <w:t>million, respectively, in connection with the NIH grant. As of March 31, 2022 and December 31, 2021, the Company incurred qualifying expenses in excess of cash received of approximately $2.2</w:t>
      </w:r>
      <w:r>
        <w:rPr>
          <w:rFonts w:ascii="Times New Roman" w:hAnsi="Times New Roman"/>
          <w:sz w:val="20"/>
        </w:rPr>
        <w:t xml:space="preserve"> </w:t>
      </w:r>
      <w:r>
        <w:rPr>
          <w:rFonts w:ascii="Arial" w:hAnsi="Arial"/>
          <w:b w:val="false"/>
          <w:sz w:val="20"/>
        </w:rPr>
        <w:t>million and $2.3</w:t>
      </w:r>
      <w:r>
        <w:rPr>
          <w:rFonts w:ascii="Times New Roman" w:hAnsi="Times New Roman"/>
          <w:sz w:val="20"/>
        </w:rPr>
        <w:t xml:space="preserve"> </w:t>
      </w:r>
      <w:r>
        <w:rPr>
          <w:rFonts w:ascii="Arial" w:hAnsi="Arial"/>
          <w:b w:val="false"/>
          <w:sz w:val="20"/>
        </w:rPr>
        <w:t>million, respectively, which is included in unbilled grant receivable on the condensed consolidated balance sheets. The Company received cash of $2.3</w:t>
      </w:r>
      <w:r>
        <w:rPr>
          <w:rFonts w:ascii="Times New Roman" w:hAnsi="Times New Roman"/>
          <w:sz w:val="20"/>
        </w:rPr>
        <w:t xml:space="preserve"> </w:t>
      </w:r>
      <w:r>
        <w:rPr>
          <w:rFonts w:ascii="Arial" w:hAnsi="Arial"/>
          <w:b w:val="false"/>
          <w:sz w:val="20"/>
        </w:rPr>
        <w:t>million related to the NIH grant during the three months ended March 31, 2022.</w:t>
      </w:r>
    </w:p>
    <w:p>
      <w:pPr>
        <w:pStyle w:val="TextBody"/>
        <w:spacing w:lineRule="auto" w:line="264" w:before="0" w:after="0"/>
        <w:jc w:val="both"/>
        <w:rPr/>
      </w:pPr>
      <w:r>
        <w:rPr/>
        <w:t> </w:t>
      </w:r>
    </w:p>
    <w:p>
      <w:pPr>
        <w:pStyle w:val="TextBody"/>
        <w:spacing w:lineRule="auto" w:line="264" w:before="80" w:after="0"/>
        <w:jc w:val="both"/>
        <w:rPr>
          <w:rFonts w:ascii="Arial" w:hAnsi="Arial"/>
          <w:b/>
          <w:i/>
          <w:sz w:val="20"/>
        </w:rPr>
      </w:pPr>
      <w:r>
        <w:rPr>
          <w:rFonts w:ascii="Arial" w:hAnsi="Arial"/>
          <w:b/>
          <w:i/>
          <w:sz w:val="20"/>
        </w:rPr>
        <w:t>Short-term and Long-term Investments</w:t>
      </w:r>
    </w:p>
    <w:p>
      <w:pPr>
        <w:pStyle w:val="TextBody"/>
        <w:spacing w:lineRule="auto" w:line="264" w:before="280" w:after="0"/>
        <w:jc w:val="both"/>
        <w:rPr>
          <w:rFonts w:ascii="Times New Roman" w:hAnsi="Times New Roman"/>
          <w:sz w:val="20"/>
        </w:rPr>
      </w:pPr>
      <w:r>
        <w:rPr>
          <w:rFonts w:ascii="Arial" w:hAnsi="Arial"/>
          <w:b w:val="false"/>
          <w:sz w:val="20"/>
        </w:rPr>
        <w:t>The Company generally invests its excess cash in investment grade short- to intermediate-term fixed income securities. Such investments are included in cash and cash equivalents, short-term investments, and long-term investments on the consolidated balance sheets, classified as available-for-sale, and reported at fair value with unrealized gains and losses included in accumulated other comprehensive income or loss. Realized gains and losses on the sale of these securities are recognized in net loss.</w:t>
      </w:r>
      <w:r>
        <w:rPr>
          <w:rFonts w:ascii="Times New Roman" w:hAnsi="Times New Roman"/>
          <w:sz w:val="20"/>
        </w:rPr>
        <w:t xml:space="preserve"> </w:t>
      </w:r>
    </w:p>
    <w:p>
      <w:pPr>
        <w:pStyle w:val="TextBody"/>
        <w:spacing w:lineRule="auto" w:line="264" w:before="280" w:after="0"/>
        <w:jc w:val="both"/>
        <w:rPr>
          <w:rFonts w:ascii="Times New Roman" w:hAnsi="Times New Roman"/>
          <w:sz w:val="20"/>
        </w:rPr>
      </w:pPr>
      <w:r>
        <w:rPr>
          <w:rFonts w:ascii="Arial" w:hAnsi="Arial"/>
          <w:b w:val="false"/>
          <w:sz w:val="20"/>
        </w:rPr>
        <w:t>The Company periodically evaluates whether declines in fair values of its investments below their book value are other-than-temporary. This evaluation consists of several qualitative and quantitative factors regarding the severity and duration of the unrealized loss as well as the Company’s ability and intent to hold the investment until a forecasted recovery occurs. Additionally, the Company assesses whether it has plans to sell the security or it is more likely than not it will be required to sell any investment before recovery of its amortized cost basis. Factors considered include quoted market prices,</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10</w:t>
      </w:r>
    </w:p>
    <w:p>
      <w:pPr>
        <w:pStyle w:val="HorizontalLine"/>
        <w:rPr/>
      </w:pPr>
      <w:r>
        <w:rPr/>
      </w:r>
    </w:p>
    <w:p>
      <w:pPr>
        <w:pStyle w:val="TextBody"/>
        <w:spacing w:lineRule="auto" w:line="273" w:before="0" w:after="0"/>
        <w:jc w:val="left"/>
        <w:rPr/>
      </w:pPr>
      <w:r>
        <w:rPr/>
        <w:t> </w:t>
      </w:r>
    </w:p>
    <w:p>
      <w:pPr>
        <w:pStyle w:val="TextBody"/>
        <w:spacing w:lineRule="auto" w:line="264" w:before="280" w:after="0"/>
        <w:jc w:val="both"/>
        <w:rPr>
          <w:rFonts w:ascii="Arial" w:hAnsi="Arial"/>
          <w:b w:val="false"/>
          <w:sz w:val="20"/>
        </w:rPr>
      </w:pPr>
      <w:r>
        <w:rPr>
          <w:rFonts w:ascii="Arial" w:hAnsi="Arial"/>
          <w:b w:val="false"/>
          <w:sz w:val="20"/>
        </w:rPr>
        <w:t>recent financial results and operating trends, implied values from any recent transactions or offers of investee securities, credit quality of debt instrument issuers, other publicly available information that may affect the value of the investments, duration and severity of the decline in value, and our strategy and intentions for holding the investment.</w:t>
      </w:r>
    </w:p>
    <w:p>
      <w:pPr>
        <w:pStyle w:val="TextBody"/>
        <w:spacing w:lineRule="auto" w:line="264" w:before="280" w:after="0"/>
        <w:jc w:val="both"/>
        <w:rPr>
          <w:rFonts w:ascii="Arial" w:hAnsi="Arial"/>
          <w:b/>
          <w:i/>
          <w:sz w:val="20"/>
        </w:rPr>
      </w:pPr>
      <w:r>
        <w:rPr>
          <w:rFonts w:ascii="Arial" w:hAnsi="Arial"/>
          <w:b/>
          <w:i/>
          <w:sz w:val="20"/>
        </w:rPr>
        <w:t>Use of Estimates</w:t>
      </w:r>
    </w:p>
    <w:p>
      <w:pPr>
        <w:pStyle w:val="TextBody"/>
        <w:spacing w:lineRule="auto" w:line="264" w:before="280" w:after="0"/>
        <w:jc w:val="both"/>
        <w:rPr>
          <w:rFonts w:ascii="Arial" w:hAnsi="Arial"/>
          <w:b w:val="false"/>
          <w:sz w:val="20"/>
        </w:rPr>
      </w:pPr>
      <w:r>
        <w:rPr>
          <w:rFonts w:ascii="Arial" w:hAnsi="Arial"/>
          <w:b w:val="false"/>
          <w:sz w:val="20"/>
        </w:rPr>
        <w:t>The 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expenses during the reporting period. Estimates include those used for fair value of assets and liabilities, accrued liabilities, valuation allowance for deferred tax assets, and stock-based compensation. Management evaluates related assumptions on an ongoing basis using historical experience and other factors and adjusts those estimates and assumptions when facts and circumstances dictate. Actual results could differ from those estimates.</w:t>
      </w:r>
    </w:p>
    <w:p>
      <w:pPr>
        <w:pStyle w:val="TextBody"/>
        <w:spacing w:lineRule="auto" w:line="264" w:before="280" w:after="0"/>
        <w:jc w:val="both"/>
        <w:rPr>
          <w:rFonts w:ascii="Arial" w:hAnsi="Arial"/>
          <w:b/>
          <w:i/>
          <w:sz w:val="20"/>
        </w:rPr>
      </w:pPr>
      <w:r>
        <w:rPr>
          <w:rFonts w:ascii="Arial" w:hAnsi="Arial"/>
          <w:b/>
          <w:i/>
          <w:sz w:val="20"/>
        </w:rPr>
        <w:t>Research and Development Expenses</w:t>
      </w:r>
    </w:p>
    <w:p>
      <w:pPr>
        <w:pStyle w:val="TextBody"/>
        <w:spacing w:lineRule="auto" w:line="264" w:before="280" w:after="0"/>
        <w:jc w:val="both"/>
        <w:rPr>
          <w:rFonts w:ascii="Arial" w:hAnsi="Arial"/>
          <w:b w:val="false"/>
          <w:sz w:val="20"/>
        </w:rPr>
      </w:pPr>
      <w:r>
        <w:rPr>
          <w:rFonts w:ascii="Arial" w:hAnsi="Arial"/>
          <w:b w:val="false"/>
          <w:sz w:val="20"/>
        </w:rPr>
        <w:t>Research and development expenses consist primarily of direct and indirect costs incurred for research activities, including development of the pipeline from the Company’s proprietary drug discovery platform (“ATH platform”), the Company’s drug discovery efforts and the development of its product candidates. Direct costs include laboratory materials and supplies, contracted research and manufacturing, clinical trial costs, consulting fees, and other expenses incurred to sustain the Company’s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pStyle w:val="TextBody"/>
        <w:spacing w:lineRule="auto" w:line="264" w:before="280" w:after="0"/>
        <w:jc w:val="both"/>
        <w:rPr>
          <w:rFonts w:ascii="Arial" w:hAnsi="Arial"/>
          <w:b w:val="false"/>
          <w:sz w:val="20"/>
        </w:rPr>
      </w:pPr>
      <w:r>
        <w:rPr>
          <w:rFonts w:ascii="Arial" w:hAnsi="Arial"/>
          <w:b w:val="false"/>
          <w:sz w:val="20"/>
        </w:rPr>
        <w:t>Research and development costs are expensed as incurred. In-licensing fees and other costs to acquire technologies used in research and development that have not yet received regulatory approval and that are not expected to have an alternative future use are expensed when incurred. Non-refundable advance payments for goods and services that will be used over time for research and development are capitalized and recognized as goods are delivered or as the related services are performed. The Company estimates the period over which such services will be performed and the level of effort to be expended in each period. If actual timing of performance or the level of effort varies from the estimate, the Company adjusts the amounts recorded accordingly. The Company has not experienced any material differences between accrued or prepaid costs and actual costs since inception.</w:t>
      </w:r>
    </w:p>
    <w:p>
      <w:pPr>
        <w:pStyle w:val="TextBody"/>
        <w:spacing w:lineRule="auto" w:line="273" w:before="280" w:after="0"/>
        <w:jc w:val="both"/>
        <w:rPr>
          <w:rFonts w:ascii="Arial" w:hAnsi="Arial"/>
          <w:b/>
          <w:i/>
          <w:sz w:val="20"/>
        </w:rPr>
      </w:pPr>
      <w:r>
        <w:rPr>
          <w:rFonts w:ascii="Arial" w:hAnsi="Arial"/>
          <w:b/>
          <w:i/>
          <w:sz w:val="20"/>
        </w:rPr>
        <w:t>Leases</w:t>
      </w:r>
    </w:p>
    <w:p>
      <w:pPr>
        <w:pStyle w:val="TextBody"/>
        <w:spacing w:lineRule="auto" w:line="273" w:before="280" w:after="0"/>
        <w:jc w:val="both"/>
        <w:rPr>
          <w:rFonts w:ascii="Times New Roman" w:hAnsi="Times New Roman"/>
          <w:sz w:val="20"/>
        </w:rPr>
      </w:pPr>
      <w:r>
        <w:rPr>
          <w:rFonts w:ascii="Arial" w:hAnsi="Arial"/>
          <w:b w:val="false"/>
          <w:sz w:val="20"/>
        </w:rPr>
        <w:t xml:space="preserve">The Company adopted Accounting Standards Codification (“ASC”) </w:t>
      </w:r>
      <w:r>
        <w:rPr>
          <w:rFonts w:ascii="Arial" w:hAnsi="Arial"/>
          <w:b w:val="false"/>
          <w:i/>
          <w:sz w:val="20"/>
        </w:rPr>
        <w:t>Topic 842 - Leases</w:t>
      </w:r>
      <w:r>
        <w:rPr>
          <w:rFonts w:ascii="Times New Roman" w:hAnsi="Times New Roman"/>
          <w:sz w:val="20"/>
        </w:rPr>
        <w:t xml:space="preserve"> </w:t>
      </w:r>
      <w:r>
        <w:rPr>
          <w:rFonts w:ascii="Arial" w:hAnsi="Arial"/>
          <w:b w:val="false"/>
          <w:sz w:val="20"/>
        </w:rPr>
        <w:t>effective January 1, 2020. The Company determines if an arrangement contains a lease at inception. The Company performed an evaluation of contracts in accordance with ASC 842 and has determined it has an operating lease agreement for the laboratory and office facilities that the Company occupies. Operating lease right-of-use (“ROU”) assets and operating lease liabilities are recognized at the date the underlying asset becomes available for the Company’s use. Operating lease liabilities are based on the present value of the future minimum lease payments over the lease term. ROU assets are measured at the amount of the lease liability, adjusted for any initial direct costs incurred and any lease payments made at or before the lease commencement date, less lease incentives received. As the Company’s leases generally do not provide an implicit interest rate, the present value of the future minimum lease payments is determined using the Company’s incremental borrowing rate. This rate is an estimate of the collateralized borrowing rate the Company would incur on its future lease payments over a similar term and is based on the information available to the Company at the lease commencement date, discussed in more detail below.</w:t>
      </w:r>
    </w:p>
    <w:p>
      <w:pPr>
        <w:pStyle w:val="TextBody"/>
        <w:spacing w:lineRule="auto" w:line="273" w:before="240" w:after="0"/>
        <w:jc w:val="both"/>
        <w:rPr>
          <w:rFonts w:ascii="Arial" w:hAnsi="Arial"/>
          <w:b w:val="false"/>
          <w:sz w:val="20"/>
        </w:rPr>
      </w:pPr>
      <w:r>
        <w:rPr>
          <w:rFonts w:ascii="Arial" w:hAnsi="Arial"/>
          <w:b w:val="false"/>
          <w:sz w:val="20"/>
        </w:rPr>
        <w:t>The Company’s leases contain options to extend the leases; lease terms are adjusted for these options only when it is reasonably certain the Company will exercise these options. The Company’s lease agreements do not contain residual value guarantees or covenants.</w:t>
      </w:r>
    </w:p>
    <w:p>
      <w:pPr>
        <w:pStyle w:val="TextBody"/>
        <w:spacing w:lineRule="auto" w:line="273" w:before="240" w:after="0"/>
        <w:jc w:val="both"/>
        <w:rPr>
          <w:rFonts w:ascii="Times New Roman" w:hAnsi="Times New Roman"/>
          <w:sz w:val="20"/>
        </w:rPr>
      </w:pPr>
      <w:r>
        <w:rPr>
          <w:rFonts w:ascii="Arial" w:hAnsi="Arial"/>
          <w:b w:val="false"/>
          <w:sz w:val="20"/>
        </w:rPr>
        <w:t>The Company has made a policy election regarding its real estate leases not to separate non-lease components from lease components, to the extent they are fixed. Non-lease components that are not fixed are expensed as incurred as variable lease expense. The Company’s lease includes variable non-lease components, such as common-area maintenance costs. The Company has elected not to record on the balance sheet a lease that has a lease term of 12 months or less and does not contain a purchase option that the Company is reasonably certain to exercise. The Company accounts for leases with initial terms of 12 months or less as operating expenses on a straight-line basis over the lease term.</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11</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Arial" w:hAnsi="Arial"/>
          <w:b w:val="false"/>
          <w:sz w:val="20"/>
        </w:rPr>
      </w:pPr>
      <w:r>
        <w:rPr>
          <w:rFonts w:ascii="Arial" w:hAnsi="Arial"/>
          <w:b w:val="false"/>
          <w:sz w:val="20"/>
        </w:rPr>
        <w:t>Lease expense is recognized within operating expenses on a straight-line basis over the terms of the lease. Incentives granted under the Company’s facilities lease, including rent holidays, are recognized as adjustments to lease expense on a straight-line basis over the term of the lease.</w:t>
      </w:r>
    </w:p>
    <w:p>
      <w:pPr>
        <w:pStyle w:val="TextBody"/>
        <w:spacing w:lineRule="auto" w:line="273" w:before="280" w:after="0"/>
        <w:jc w:val="both"/>
        <w:rPr>
          <w:rFonts w:ascii="Arial" w:hAnsi="Arial"/>
          <w:b/>
          <w:i/>
          <w:sz w:val="20"/>
        </w:rPr>
      </w:pPr>
      <w:r>
        <w:rPr>
          <w:rFonts w:ascii="Arial" w:hAnsi="Arial"/>
          <w:b/>
          <w:i/>
          <w:sz w:val="20"/>
        </w:rPr>
        <w:t>Stock-based Compensation</w:t>
      </w:r>
    </w:p>
    <w:p>
      <w:pPr>
        <w:pStyle w:val="TextBody"/>
        <w:spacing w:lineRule="auto" w:line="273" w:before="280" w:after="0"/>
        <w:jc w:val="both"/>
        <w:rPr>
          <w:rFonts w:ascii="Arial" w:hAnsi="Arial"/>
          <w:b w:val="false"/>
          <w:sz w:val="20"/>
        </w:rPr>
      </w:pPr>
      <w:r>
        <w:rPr>
          <w:rFonts w:ascii="Arial" w:hAnsi="Arial"/>
          <w:b w:val="false"/>
          <w:sz w:val="20"/>
        </w:rPr>
        <w:t>The Company measures compensation expense for all stock-based payments to employees, officers and directors based on the estimated fair value of the award at the grant date. For stock options, the Company estimates the grant date fair value of each option award using the Black-Scholes option-pricing model. The grant date fair value of restricted stock units is based upon the fair market value of the Company’s common stock based on its closing price as reported on the date of grant on the Nasdaq Global Select Market. Compensation expense is recognized over the requisite service period on a straight-line basis. Forfeitures are recognized as they occur.</w:t>
      </w:r>
    </w:p>
    <w:p>
      <w:pPr>
        <w:pStyle w:val="TextBody"/>
        <w:spacing w:lineRule="auto" w:line="273" w:before="240" w:after="0"/>
        <w:jc w:val="both"/>
        <w:rPr>
          <w:rFonts w:ascii="Arial" w:hAnsi="Arial"/>
          <w:b w:val="false"/>
          <w:sz w:val="20"/>
        </w:rPr>
      </w:pPr>
      <w:r>
        <w:rPr>
          <w:rFonts w:ascii="Arial" w:hAnsi="Arial"/>
          <w:b w:val="false"/>
          <w:sz w:val="20"/>
        </w:rPr>
        <w:t>The Company records compensation expense for stock option and restricted stock unit grants subject to performance-based milestone vesting over the remaining implicit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pStyle w:val="TextBody"/>
        <w:spacing w:lineRule="auto" w:line="273" w:before="280" w:after="0"/>
        <w:jc w:val="both"/>
        <w:rPr>
          <w:rFonts w:ascii="Arial" w:hAnsi="Arial"/>
          <w:b/>
          <w:i/>
          <w:sz w:val="20"/>
        </w:rPr>
      </w:pPr>
      <w:r>
        <w:rPr>
          <w:rFonts w:ascii="Arial" w:hAnsi="Arial"/>
          <w:b/>
          <w:i/>
          <w:sz w:val="20"/>
        </w:rPr>
        <w:t>Net Loss Per Share Attributable to Common Stockholders</w:t>
      </w:r>
    </w:p>
    <w:p>
      <w:pPr>
        <w:pStyle w:val="TextBody"/>
        <w:spacing w:lineRule="auto" w:line="273" w:before="280" w:after="0"/>
        <w:jc w:val="both"/>
        <w:rPr>
          <w:rFonts w:ascii="Arial" w:hAnsi="Arial"/>
          <w:b w:val="false"/>
          <w:sz w:val="20"/>
        </w:rPr>
      </w:pPr>
      <w:r>
        <w:rPr>
          <w:rFonts w:ascii="Arial" w:hAnsi="Arial"/>
          <w:b w:val="false"/>
          <w:sz w:val="20"/>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 Diluted net loss per share attributable to common stockholders is the same as basic net loss per share attributable to common stockholders since the effect of potentially dilutive securities is anti-dilutive given the net loss of the Company.</w:t>
      </w:r>
    </w:p>
    <w:p>
      <w:pPr>
        <w:pStyle w:val="TextBody"/>
        <w:spacing w:lineRule="auto" w:line="273" w:before="280" w:after="0"/>
        <w:jc w:val="both"/>
        <w:rPr>
          <w:rFonts w:ascii="Arial" w:hAnsi="Arial"/>
          <w:b/>
          <w:i/>
          <w:sz w:val="20"/>
        </w:rPr>
      </w:pPr>
      <w:r>
        <w:rPr>
          <w:rFonts w:ascii="Arial" w:hAnsi="Arial"/>
          <w:b/>
          <w:i/>
          <w:sz w:val="20"/>
        </w:rPr>
        <w:t>Segments</w:t>
      </w:r>
    </w:p>
    <w:p>
      <w:pPr>
        <w:pStyle w:val="TextBody"/>
        <w:spacing w:lineRule="auto" w:line="273" w:before="280" w:after="0"/>
        <w:jc w:val="both"/>
        <w:rPr>
          <w:rFonts w:ascii="Times New Roman" w:hAnsi="Times New Roman"/>
          <w:sz w:val="20"/>
        </w:rPr>
      </w:pPr>
      <w:r>
        <w:rPr>
          <w:rFonts w:ascii="Arial" w:hAnsi="Arial"/>
          <w:b w:val="false"/>
          <w:sz w:val="20"/>
        </w:rPr>
        <w:t>The Company has determined that it operates and manages one</w:t>
      </w:r>
      <w:r>
        <w:rPr>
          <w:rFonts w:ascii="Times New Roman" w:hAnsi="Times New Roman"/>
          <w:sz w:val="20"/>
        </w:rPr>
        <w:t xml:space="preserve"> </w:t>
      </w:r>
      <w:r>
        <w:rPr>
          <w:rFonts w:ascii="Arial" w:hAnsi="Arial"/>
          <w:b w:val="false"/>
          <w:sz w:val="20"/>
        </w:rPr>
        <w:t>operating segment, which is the business of developing and commercializing therapeutics. The Company’s chief operating decision maker, its chief executive officer, reviews financial information on an aggregate basis for the purpose of allocating resources.</w:t>
      </w:r>
    </w:p>
    <w:p>
      <w:pPr>
        <w:pStyle w:val="TextBody"/>
        <w:spacing w:lineRule="auto" w:line="273" w:before="280" w:after="0"/>
        <w:jc w:val="both"/>
        <w:rPr>
          <w:rFonts w:ascii="Arial" w:hAnsi="Arial"/>
          <w:b/>
          <w:i/>
          <w:sz w:val="20"/>
        </w:rPr>
      </w:pPr>
      <w:r>
        <w:rPr>
          <w:rFonts w:ascii="Arial" w:hAnsi="Arial"/>
          <w:b/>
          <w:i/>
          <w:sz w:val="20"/>
        </w:rPr>
        <w:t>Emerging Growth Company Status</w:t>
      </w:r>
    </w:p>
    <w:p>
      <w:pPr>
        <w:pStyle w:val="TextBody"/>
        <w:spacing w:lineRule="auto" w:line="273" w:before="280" w:after="0"/>
        <w:jc w:val="both"/>
        <w:rPr>
          <w:rFonts w:ascii="Arial" w:hAnsi="Arial"/>
          <w:b w:val="false"/>
          <w:sz w:val="20"/>
        </w:rPr>
      </w:pPr>
      <w:r>
        <w:rPr>
          <w:rFonts w:ascii="Arial" w:hAnsi="Arial"/>
          <w:b w:val="false"/>
          <w:sz w:val="20"/>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(a) no longer an emerging growth company or (b) affirmatively and irrevocably opts out of the extended transition period provided in the JOBS Act, unless early adoption is permitted. As a result, these financial statements may not be comparable to companies that comply with the new or revised accounting pronouncements as of public company effective dates.</w:t>
      </w:r>
    </w:p>
    <w:p>
      <w:pPr>
        <w:pStyle w:val="TextBody"/>
        <w:spacing w:lineRule="auto" w:line="273" w:before="0" w:after="0"/>
        <w:jc w:val="both"/>
        <w:rPr/>
      </w:pPr>
      <w:r>
        <w:rPr/>
        <w:t> </w:t>
      </w:r>
    </w:p>
    <w:p>
      <w:pPr>
        <w:pStyle w:val="TextBody"/>
        <w:spacing w:lineRule="auto" w:line="273" w:before="80" w:after="0"/>
        <w:jc w:val="both"/>
        <w:rPr>
          <w:rFonts w:ascii="Arial" w:hAnsi="Arial"/>
          <w:b/>
          <w:i/>
          <w:sz w:val="20"/>
        </w:rPr>
      </w:pPr>
      <w:r>
        <w:rPr>
          <w:rFonts w:ascii="Arial" w:hAnsi="Arial"/>
          <w:b/>
          <w:i/>
          <w:sz w:val="20"/>
        </w:rPr>
        <w:t>Recent Accounting Pronouncements Not Yet Adopted</w:t>
      </w:r>
    </w:p>
    <w:p>
      <w:pPr>
        <w:pStyle w:val="TextBody"/>
        <w:spacing w:lineRule="auto" w:line="273" w:before="280" w:after="0"/>
        <w:jc w:val="both"/>
        <w:rPr>
          <w:rFonts w:ascii="Times New Roman" w:hAnsi="Times New Roman"/>
          <w:sz w:val="20"/>
        </w:rPr>
      </w:pPr>
      <w:r>
        <w:rPr>
          <w:rFonts w:ascii="Arial" w:hAnsi="Arial"/>
          <w:b w:val="false"/>
          <w:sz w:val="20"/>
        </w:rPr>
        <w:t xml:space="preserve">In June 2016, the FASB issued ASU 2016-13, </w:t>
      </w:r>
      <w:r>
        <w:rPr>
          <w:rFonts w:ascii="Arial" w:hAnsi="Arial"/>
          <w:b w:val="false"/>
          <w:i/>
          <w:sz w:val="20"/>
        </w:rPr>
        <w:t xml:space="preserve">Financial Instruments: Credit Losses (Topic 326) </w:t>
      </w:r>
      <w:r>
        <w:rPr>
          <w:rFonts w:ascii="Arial" w:hAnsi="Arial"/>
          <w:b w:val="false"/>
          <w:sz w:val="20"/>
        </w:rPr>
        <w:t>as clarified in ASU 2019-04, ASU 2019-05, and ASU 2020-02. The objective of the standard is to provide information about expected credit losses on financial instruments at each reporting date and to change how other-than-temporary impairments on investment securities are recorded. The ASU will become effective beginning January 1, 2023, with early adoption permitted. The Company is currently evaluating the potential impacts of the ASU on its financial condition, results of operations, cash flows and financial statement disclosures.</w:t>
      </w:r>
    </w:p>
    <w:p>
      <w:pPr>
        <w:pStyle w:val="TextBody"/>
        <w:spacing w:lineRule="auto" w:line="273" w:before="280" w:after="0"/>
        <w:jc w:val="both"/>
        <w:rPr>
          <w:rFonts w:ascii="Arial" w:hAnsi="Arial"/>
          <w:b w:val="false"/>
          <w:sz w:val="20"/>
        </w:rPr>
      </w:pPr>
      <w:r>
        <w:rPr>
          <w:rFonts w:ascii="Arial" w:hAnsi="Arial"/>
          <w:b w:val="false"/>
          <w:sz w:val="20"/>
        </w:rPr>
        <w:t>Although there were several other new accounting pronouncements issued or proposed by the FASB, the Company does not believe any of these have had or will have material impact on its condensed consolidated financial statements.</w:t>
      </w:r>
    </w:p>
    <w:p>
      <w:pPr>
        <w:pStyle w:val="TextBody"/>
        <w:spacing w:lineRule="auto" w:line="273" w:before="240" w:after="0"/>
        <w:jc w:val="center"/>
        <w:rPr>
          <w:rFonts w:ascii="Arial" w:hAnsi="Arial"/>
          <w:b w:val="false"/>
          <w:sz w:val="20"/>
        </w:rPr>
      </w:pPr>
      <w:r>
        <w:rPr>
          <w:rFonts w:ascii="Arial" w:hAnsi="Arial"/>
          <w:b w:val="false"/>
          <w:sz w:val="20"/>
        </w:rPr>
        <w:t>12</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Arial" w:hAnsi="Arial"/>
          <w:b/>
          <w:sz w:val="20"/>
        </w:rPr>
      </w:pPr>
      <w:r>
        <w:rPr>
          <w:rFonts w:ascii="Arial" w:hAnsi="Arial"/>
          <w:b/>
          <w:sz w:val="20"/>
        </w:rPr>
        <w:t>3. Fair Value</w:t>
      </w:r>
    </w:p>
    <w:p>
      <w:pPr>
        <w:pStyle w:val="TextBody"/>
        <w:spacing w:lineRule="auto" w:line="273" w:before="280" w:after="0"/>
        <w:jc w:val="both"/>
        <w:rPr>
          <w:rFonts w:ascii="Arial" w:hAnsi="Arial"/>
          <w:b w:val="false"/>
          <w:sz w:val="20"/>
        </w:rPr>
      </w:pPr>
      <w:r>
        <w:rPr>
          <w:rFonts w:ascii="Arial" w:hAnsi="Arial"/>
          <w:b w:val="false"/>
          <w:sz w:val="20"/>
        </w:rPr>
        <w:t>The Company has certain assets and liabilities that are measured at fair value on a recurring basis according to a fair value hierarchy that prioritizes the inputs, assumptions and valuation techniques used to measure fair value. The three levels of the fair value hierarchy are:</w:t>
      </w:r>
    </w:p>
    <w:p>
      <w:pPr>
        <w:pStyle w:val="TextBody"/>
        <w:spacing w:lineRule="auto" w:line="273" w:before="120" w:after="0"/>
        <w:jc w:val="both"/>
        <w:rPr>
          <w:rFonts w:ascii="Times New Roman" w:hAnsi="Times New Roman"/>
          <w:sz w:val="20"/>
        </w:rPr>
      </w:pPr>
      <w:r>
        <w:rPr>
          <w:rFonts w:ascii="Arial" w:hAnsi="Arial"/>
          <w:b w:val="false"/>
          <w:i/>
          <w:sz w:val="20"/>
        </w:rPr>
        <w:t>Level 1</w:t>
      </w:r>
      <w:r>
        <w:rPr>
          <w:rFonts w:ascii="Times New Roman" w:hAnsi="Times New Roman"/>
          <w:sz w:val="20"/>
        </w:rPr>
        <w:t>—</w:t>
      </w:r>
      <w:r>
        <w:rPr>
          <w:rFonts w:ascii="Arial" w:hAnsi="Arial"/>
          <w:b w:val="false"/>
          <w:sz w:val="20"/>
        </w:rPr>
        <w:t>Unadjusted quoted prices in active markets that are accessible at the measurement date for identical, unrestricted assets or liabilities.</w:t>
      </w:r>
      <w:r>
        <w:rPr>
          <w:rFonts w:ascii="Times New Roman" w:hAnsi="Times New Roman"/>
          <w:sz w:val="20"/>
        </w:rPr>
        <w:t xml:space="preserve"> </w:t>
      </w:r>
    </w:p>
    <w:p>
      <w:pPr>
        <w:pStyle w:val="TextBody"/>
        <w:spacing w:lineRule="auto" w:line="273" w:before="120" w:after="0"/>
        <w:jc w:val="both"/>
        <w:rPr>
          <w:rFonts w:ascii="Times New Roman" w:hAnsi="Times New Roman"/>
          <w:sz w:val="20"/>
        </w:rPr>
      </w:pPr>
      <w:r>
        <w:rPr>
          <w:rFonts w:ascii="Arial" w:hAnsi="Arial"/>
          <w:b w:val="false"/>
          <w:i/>
          <w:sz w:val="20"/>
        </w:rPr>
        <w:t>Level 2</w:t>
      </w:r>
      <w:r>
        <w:rPr>
          <w:rFonts w:ascii="Times New Roman" w:hAnsi="Times New Roman"/>
          <w:sz w:val="20"/>
        </w:rPr>
        <w:t>—</w:t>
      </w:r>
      <w:r>
        <w:rPr>
          <w:rFonts w:ascii="Arial" w:hAnsi="Arial"/>
          <w:b w:val="false"/>
          <w:sz w:val="20"/>
        </w:rPr>
        <w:t>Quoted prices in markets that are not active or financial instruments for which all significant inputs are observable, either directly or indirectly.</w:t>
      </w:r>
    </w:p>
    <w:p>
      <w:pPr>
        <w:pStyle w:val="TextBody"/>
        <w:spacing w:lineRule="auto" w:line="273" w:before="120" w:after="0"/>
        <w:jc w:val="both"/>
        <w:rPr>
          <w:rFonts w:ascii="Times New Roman" w:hAnsi="Times New Roman"/>
          <w:sz w:val="20"/>
        </w:rPr>
      </w:pPr>
      <w:r>
        <w:rPr>
          <w:rFonts w:ascii="Arial" w:hAnsi="Arial"/>
          <w:b w:val="false"/>
          <w:i/>
          <w:sz w:val="20"/>
        </w:rPr>
        <w:t>Level 3</w:t>
      </w:r>
      <w:r>
        <w:rPr>
          <w:rFonts w:ascii="Times New Roman" w:hAnsi="Times New Roman"/>
          <w:sz w:val="20"/>
        </w:rPr>
        <w:t>—</w:t>
      </w:r>
      <w:r>
        <w:rPr>
          <w:rFonts w:ascii="Arial" w:hAnsi="Arial"/>
          <w:b w:val="false"/>
          <w:sz w:val="20"/>
        </w:rPr>
        <w:t>Inputs are generally unobservable and reflect management’s estimates of assumptions that market participants would use in pricing the asset or liability. The fair values are determined using model-based techniques, including probability-based simulation methodologies.</w:t>
      </w:r>
    </w:p>
    <w:p>
      <w:pPr>
        <w:pStyle w:val="TextBody"/>
        <w:spacing w:lineRule="auto" w:line="273" w:before="280" w:after="0"/>
        <w:jc w:val="both"/>
        <w:rPr>
          <w:rFonts w:ascii="Times New Roman" w:hAnsi="Times New Roman"/>
          <w:sz w:val="20"/>
        </w:rPr>
      </w:pPr>
      <w:r>
        <w:rPr>
          <w:rFonts w:ascii="Arial" w:hAnsi="Arial"/>
          <w:b w:val="false"/>
          <w:sz w:val="20"/>
        </w:rPr>
        <w:t>The determination of a financial instrument’s level within the fair value hierarchy is based on an assessment of the lowest level of any input that is significant to the fair value measurement. The Company considers observable data to be market data, which is readily available, regularly distributed or updated, reliable and verifiable, not proprietary, and provided by independent sources that are actively involved in the relevant market.</w:t>
      </w:r>
      <w:r>
        <w:rPr>
          <w:rFonts w:ascii="Times New Roman" w:hAnsi="Times New Roman"/>
          <w:sz w:val="20"/>
        </w:rPr>
        <w:t xml:space="preserve"> </w:t>
      </w:r>
    </w:p>
    <w:p>
      <w:pPr>
        <w:pStyle w:val="TextBody"/>
        <w:spacing w:lineRule="auto" w:line="273" w:before="280" w:after="0"/>
        <w:jc w:val="both"/>
        <w:rPr>
          <w:rFonts w:ascii="Arial" w:hAnsi="Arial"/>
          <w:b w:val="false"/>
          <w:sz w:val="20"/>
        </w:rPr>
      </w:pPr>
      <w:r>
        <w:rPr>
          <w:rFonts w:ascii="Arial" w:hAnsi="Arial"/>
          <w:b w:val="false"/>
          <w:sz w:val="20"/>
        </w:rPr>
        <w:t>The following tables reflect the Company’s financial asset balances measured on a recurring basis (in thousands):</w:t>
      </w:r>
    </w:p>
    <w:p>
      <w:pPr>
        <w:pStyle w:val="TextBody"/>
        <w:spacing w:lineRule="auto" w:line="273" w:before="0" w:after="0"/>
        <w:jc w:val="both"/>
        <w:rPr/>
      </w:pPr>
      <w:r>
        <w:rPr/>
        <w:t> </w:t>
      </w:r>
    </w:p>
    <w:tbl>
      <w:tblPr>
        <w:tblW w:w="9182" w:type="dxa"/>
        <w:jc w:val="left"/>
        <w:tblInd w:w="0" w:type="dxa"/>
        <w:tblCellMar>
          <w:top w:w="28" w:type="dxa"/>
          <w:left w:w="28" w:type="dxa"/>
          <w:bottom w:w="28" w:type="dxa"/>
          <w:right w:w="28" w:type="dxa"/>
        </w:tblCellMar>
      </w:tblPr>
      <w:tblGrid>
        <w:gridCol w:w="3091"/>
        <w:gridCol w:w="146"/>
        <w:gridCol w:w="526"/>
        <w:gridCol w:w="146"/>
        <w:gridCol w:w="211"/>
        <w:gridCol w:w="796"/>
        <w:gridCol w:w="146"/>
        <w:gridCol w:w="146"/>
        <w:gridCol w:w="358"/>
        <w:gridCol w:w="588"/>
        <w:gridCol w:w="146"/>
        <w:gridCol w:w="146"/>
        <w:gridCol w:w="288"/>
        <w:gridCol w:w="658"/>
        <w:gridCol w:w="166"/>
        <w:gridCol w:w="146"/>
        <w:gridCol w:w="211"/>
        <w:gridCol w:w="796"/>
        <w:gridCol w:w="471"/>
      </w:tblGrid>
      <w:tr>
        <w:trPr/>
        <w:tc>
          <w:tcPr>
            <w:tcW w:w="30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309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74" w:type="dxa"/>
            <w:gridSpan w:val="1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March 31, 2022</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09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Level</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0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Amortized</w:t>
              <w:b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Unrealized</w:t>
              <w:br/>
              <w:t>Gains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Unrealized</w:t>
              <w:br/>
              <w:t>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Fair</w:t>
              <w:br/>
              <w:t>Value</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0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Cash equivalents: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6"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6"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7" w:type="dxa"/>
            <w:gridSpan w:val="2"/>
            <w:tcBorders/>
            <w:shd w:fill="auto" w:val="clear"/>
            <w:vAlign w:val="center"/>
          </w:tcPr>
          <w:p>
            <w:pPr>
              <w:pStyle w:val="TableContents"/>
              <w:spacing w:lineRule="auto" w:line="252" w:before="0" w:after="0"/>
              <w:ind w:left="0" w:right="0" w:hanging="0"/>
              <w:jc w:val="right"/>
              <w:rPr/>
            </w:pPr>
            <w:r>
              <w:rPr/>
              <w:t> </w:t>
            </w:r>
          </w:p>
        </w:tc>
        <w:tc>
          <w:tcPr>
            <w:tcW w:w="471" w:type="dxa"/>
            <w:tcBorders/>
            <w:shd w:fill="auto" w:val="clear"/>
            <w:vAlign w:val="center"/>
          </w:tcPr>
          <w:p>
            <w:pPr>
              <w:pStyle w:val="TableContents"/>
              <w:spacing w:lineRule="auto" w:line="252" w:before="0" w:after="0"/>
              <w:ind w:left="0" w:right="0" w:firstLine="280"/>
              <w:jc w:val="right"/>
              <w:rPr/>
            </w:pPr>
            <w:r>
              <w:rPr/>
              <w:t> </w:t>
            </w:r>
          </w:p>
        </w:tc>
      </w:tr>
      <w:tr>
        <w:trPr/>
        <w:tc>
          <w:tcPr>
            <w:tcW w:w="309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Money market fund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center"/>
              <w:rPr>
                <w:rFonts w:ascii="Arial" w:hAnsi="Arial"/>
                <w:b w:val="false"/>
                <w:sz w:val="20"/>
              </w:rPr>
            </w:pPr>
            <w:r>
              <w:rPr>
                <w:rFonts w:ascii="Arial" w:hAnsi="Arial"/>
                <w:b w:val="false"/>
                <w:sz w:val="20"/>
              </w:rPr>
              <w: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9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8"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588"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8"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58"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9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71</w:t>
            </w:r>
          </w:p>
        </w:tc>
        <w:tc>
          <w:tcPr>
            <w:tcW w:w="471" w:type="dxa"/>
            <w:tcBorders/>
            <w:shd w:fill="auto" w:val="clear"/>
            <w:vAlign w:val="center"/>
          </w:tcPr>
          <w:p>
            <w:pPr>
              <w:pStyle w:val="TableContents"/>
              <w:spacing w:lineRule="auto" w:line="252" w:before="0" w:after="0"/>
              <w:ind w:left="0" w:right="0" w:firstLine="280"/>
              <w:jc w:val="left"/>
              <w:rPr/>
            </w:pPr>
            <w:r>
              <w:rPr/>
              <w:t> </w:t>
            </w:r>
          </w:p>
        </w:tc>
      </w:tr>
      <w:tr>
        <w:trPr/>
        <w:tc>
          <w:tcPr>
            <w:tcW w:w="309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Commercial paper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center"/>
              <w:rPr>
                <w:rFonts w:ascii="Arial" w:hAnsi="Arial"/>
                <w:b w:val="false"/>
                <w:sz w:val="20"/>
              </w:rPr>
            </w:pPr>
            <w:r>
              <w:rPr>
                <w:rFonts w:ascii="Arial" w:hAnsi="Arial"/>
                <w:b w:val="false"/>
                <w:sz w:val="20"/>
              </w:rPr>
              <w:t>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107,004</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8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5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107,003</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80"/>
              <w:jc w:val="left"/>
              <w:rPr/>
            </w:pPr>
            <w:r>
              <w:rPr/>
              <w:t> </w:t>
            </w:r>
          </w:p>
        </w:tc>
      </w:tr>
      <w:tr>
        <w:trPr/>
        <w:tc>
          <w:tcPr>
            <w:tcW w:w="309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Total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107,075</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58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5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107,074</w:t>
            </w:r>
          </w:p>
        </w:tc>
        <w:tc>
          <w:tcPr>
            <w:tcW w:w="4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0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Short-term investments: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6"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6"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7" w:type="dxa"/>
            <w:gridSpan w:val="2"/>
            <w:tcBorders/>
            <w:shd w:fill="auto" w:val="clear"/>
            <w:vAlign w:val="center"/>
          </w:tcPr>
          <w:p>
            <w:pPr>
              <w:pStyle w:val="TableContents"/>
              <w:spacing w:lineRule="auto" w:line="252" w:before="0" w:after="0"/>
              <w:ind w:left="0" w:right="0" w:hanging="0"/>
              <w:jc w:val="right"/>
              <w:rPr/>
            </w:pPr>
            <w:r>
              <w:rPr/>
              <w:t> </w:t>
            </w:r>
          </w:p>
        </w:tc>
        <w:tc>
          <w:tcPr>
            <w:tcW w:w="471" w:type="dxa"/>
            <w:tcBorders/>
            <w:shd w:fill="auto" w:val="clear"/>
            <w:vAlign w:val="center"/>
          </w:tcPr>
          <w:p>
            <w:pPr>
              <w:pStyle w:val="TableContents"/>
              <w:spacing w:lineRule="auto" w:line="252" w:before="0" w:after="0"/>
              <w:ind w:left="0" w:right="0" w:firstLine="280"/>
              <w:jc w:val="right"/>
              <w:rPr/>
            </w:pPr>
            <w:r>
              <w:rPr/>
              <w:t> </w:t>
            </w:r>
          </w:p>
        </w:tc>
      </w:tr>
      <w:tr>
        <w:trPr/>
        <w:tc>
          <w:tcPr>
            <w:tcW w:w="309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Commercial paper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center"/>
              <w:rPr>
                <w:rFonts w:ascii="Arial" w:hAnsi="Arial"/>
                <w:b w:val="false"/>
                <w:sz w:val="20"/>
              </w:rPr>
            </w:pPr>
            <w:r>
              <w:rPr>
                <w:rFonts w:ascii="Arial" w:hAnsi="Arial"/>
                <w:b w:val="false"/>
                <w:sz w:val="20"/>
              </w:rPr>
              <w:t>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57,069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8" w:type="dxa"/>
            <w:tcBorders/>
            <w:shd w:fill="auto" w:val="clear"/>
            <w:vAlign w:val="center"/>
          </w:tcPr>
          <w:p>
            <w:pPr>
              <w:pStyle w:val="TableContents"/>
              <w:spacing w:lineRule="auto" w:line="252" w:before="0" w:after="0"/>
              <w:ind w:left="0" w:right="0" w:hanging="0"/>
              <w:jc w:val="left"/>
              <w:rPr/>
            </w:pPr>
            <w:r>
              <w:rPr/>
              <w:t> </w:t>
            </w:r>
          </w:p>
        </w:tc>
        <w:tc>
          <w:tcPr>
            <w:tcW w:w="588"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8" w:type="dxa"/>
            <w:tcBorders/>
            <w:shd w:fill="auto" w:val="clear"/>
            <w:vAlign w:val="center"/>
          </w:tcPr>
          <w:p>
            <w:pPr>
              <w:pStyle w:val="TableContents"/>
              <w:spacing w:lineRule="auto" w:line="252" w:before="0" w:after="0"/>
              <w:ind w:left="0" w:right="0" w:hanging="0"/>
              <w:jc w:val="left"/>
              <w:rPr/>
            </w:pPr>
            <w:r>
              <w:rPr/>
              <w:t> </w:t>
            </w:r>
          </w:p>
        </w:tc>
        <w:tc>
          <w:tcPr>
            <w:tcW w:w="658"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(100</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56,971</w:t>
            </w:r>
          </w:p>
        </w:tc>
        <w:tc>
          <w:tcPr>
            <w:tcW w:w="471" w:type="dxa"/>
            <w:tcBorders/>
            <w:shd w:fill="auto" w:val="clear"/>
            <w:vAlign w:val="center"/>
          </w:tcPr>
          <w:p>
            <w:pPr>
              <w:pStyle w:val="TableContents"/>
              <w:spacing w:lineRule="auto" w:line="252" w:before="0" w:after="0"/>
              <w:ind w:left="0" w:right="0" w:firstLine="280"/>
              <w:jc w:val="left"/>
              <w:rPr/>
            </w:pPr>
            <w:r>
              <w:rPr/>
              <w:t> </w:t>
            </w:r>
          </w:p>
        </w:tc>
      </w:tr>
      <w:tr>
        <w:trPr/>
        <w:tc>
          <w:tcPr>
            <w:tcW w:w="309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U.S. government debt, municipal</w:t>
              <w:br/>
              <w:t>   bonds, and agency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center"/>
              <w:rPr>
                <w:rFonts w:ascii="Arial" w:hAnsi="Arial"/>
                <w:b w:val="false"/>
                <w:sz w:val="20"/>
              </w:rPr>
            </w:pPr>
            <w:r>
              <w:rPr>
                <w:rFonts w:ascii="Arial" w:hAnsi="Arial"/>
                <w:b w:val="false"/>
                <w:sz w:val="20"/>
              </w:rPr>
              <w:t>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82,399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8" w:type="dxa"/>
            <w:tcBorders/>
            <w:shd w:fill="auto" w:val="clear"/>
            <w:vAlign w:val="center"/>
          </w:tcPr>
          <w:p>
            <w:pPr>
              <w:pStyle w:val="TableContents"/>
              <w:spacing w:lineRule="auto" w:line="252" w:before="0" w:after="0"/>
              <w:ind w:left="0" w:right="0" w:hanging="0"/>
              <w:jc w:val="left"/>
              <w:rPr/>
            </w:pPr>
            <w:r>
              <w:rPr/>
              <w:t> </w:t>
            </w:r>
          </w:p>
        </w:tc>
        <w:tc>
          <w:tcPr>
            <w:tcW w:w="588"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8" w:type="dxa"/>
            <w:tcBorders/>
            <w:shd w:fill="auto" w:val="clear"/>
            <w:vAlign w:val="center"/>
          </w:tcPr>
          <w:p>
            <w:pPr>
              <w:pStyle w:val="TableContents"/>
              <w:spacing w:lineRule="auto" w:line="252" w:before="0" w:after="0"/>
              <w:ind w:left="0" w:right="0" w:hanging="0"/>
              <w:jc w:val="left"/>
              <w:rPr/>
            </w:pPr>
            <w:r>
              <w:rPr/>
              <w:t> </w:t>
            </w:r>
          </w:p>
        </w:tc>
        <w:tc>
          <w:tcPr>
            <w:tcW w:w="658"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(603</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81,796</w:t>
            </w:r>
          </w:p>
        </w:tc>
        <w:tc>
          <w:tcPr>
            <w:tcW w:w="471" w:type="dxa"/>
            <w:tcBorders/>
            <w:shd w:fill="auto" w:val="clear"/>
            <w:vAlign w:val="center"/>
          </w:tcPr>
          <w:p>
            <w:pPr>
              <w:pStyle w:val="TableContents"/>
              <w:spacing w:lineRule="auto" w:line="252" w:before="0" w:after="0"/>
              <w:ind w:left="0" w:right="0" w:firstLine="280"/>
              <w:jc w:val="left"/>
              <w:rPr/>
            </w:pPr>
            <w:r>
              <w:rPr/>
              <w:t> </w:t>
            </w:r>
          </w:p>
        </w:tc>
      </w:tr>
      <w:tr>
        <w:trPr/>
        <w:tc>
          <w:tcPr>
            <w:tcW w:w="309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Corporate bonds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center"/>
              <w:rPr>
                <w:rFonts w:ascii="Arial" w:hAnsi="Arial"/>
                <w:b w:val="false"/>
                <w:sz w:val="20"/>
              </w:rPr>
            </w:pPr>
            <w:r>
              <w:rPr>
                <w:rFonts w:ascii="Arial" w:hAnsi="Arial"/>
                <w:b w:val="false"/>
                <w:sz w:val="20"/>
              </w:rPr>
              <w:t>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6,979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8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5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6,948</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09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Total short-term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146,447</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58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5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(734</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145,715</w:t>
            </w:r>
          </w:p>
        </w:tc>
        <w:tc>
          <w:tcPr>
            <w:tcW w:w="4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0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Long-term investments: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6"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6"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7" w:type="dxa"/>
            <w:gridSpan w:val="2"/>
            <w:tcBorders/>
            <w:shd w:fill="auto" w:val="clear"/>
            <w:vAlign w:val="center"/>
          </w:tcPr>
          <w:p>
            <w:pPr>
              <w:pStyle w:val="TableContents"/>
              <w:spacing w:lineRule="auto" w:line="252" w:before="0" w:after="0"/>
              <w:ind w:left="0" w:right="0" w:hanging="0"/>
              <w:jc w:val="right"/>
              <w:rPr/>
            </w:pPr>
            <w:r>
              <w:rPr/>
              <w:t> </w:t>
            </w:r>
          </w:p>
        </w:tc>
        <w:tc>
          <w:tcPr>
            <w:tcW w:w="471" w:type="dxa"/>
            <w:tcBorders/>
            <w:shd w:fill="auto" w:val="clear"/>
            <w:vAlign w:val="center"/>
          </w:tcPr>
          <w:p>
            <w:pPr>
              <w:pStyle w:val="TableContents"/>
              <w:spacing w:lineRule="auto" w:line="252" w:before="0" w:after="0"/>
              <w:ind w:left="0" w:right="0" w:firstLine="280"/>
              <w:jc w:val="right"/>
              <w:rPr/>
            </w:pPr>
            <w:r>
              <w:rPr/>
              <w:t> </w:t>
            </w:r>
          </w:p>
        </w:tc>
      </w:tr>
      <w:tr>
        <w:trPr/>
        <w:tc>
          <w:tcPr>
            <w:tcW w:w="309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Corporate bonds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center"/>
              <w:rPr>
                <w:rFonts w:ascii="Arial" w:hAnsi="Arial"/>
                <w:b w:val="false"/>
                <w:sz w:val="20"/>
              </w:rPr>
            </w:pPr>
            <w:r>
              <w:rPr>
                <w:rFonts w:ascii="Arial" w:hAnsi="Arial"/>
                <w:b w:val="false"/>
                <w:sz w:val="20"/>
              </w:rPr>
              <w:t>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3,305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8" w:type="dxa"/>
            <w:tcBorders/>
            <w:shd w:fill="auto" w:val="clear"/>
            <w:vAlign w:val="center"/>
          </w:tcPr>
          <w:p>
            <w:pPr>
              <w:pStyle w:val="TableContents"/>
              <w:spacing w:lineRule="auto" w:line="252" w:before="0" w:after="0"/>
              <w:ind w:left="0" w:right="0" w:hanging="0"/>
              <w:jc w:val="left"/>
              <w:rPr/>
            </w:pPr>
            <w:r>
              <w:rPr/>
              <w:t> </w:t>
            </w:r>
          </w:p>
        </w:tc>
        <w:tc>
          <w:tcPr>
            <w:tcW w:w="588"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8" w:type="dxa"/>
            <w:tcBorders/>
            <w:shd w:fill="auto" w:val="clear"/>
            <w:vAlign w:val="center"/>
          </w:tcPr>
          <w:p>
            <w:pPr>
              <w:pStyle w:val="TableContents"/>
              <w:spacing w:lineRule="auto" w:line="252" w:before="0" w:after="0"/>
              <w:ind w:left="0" w:right="0" w:hanging="0"/>
              <w:jc w:val="left"/>
              <w:rPr/>
            </w:pPr>
            <w:r>
              <w:rPr/>
              <w:t> </w:t>
            </w:r>
          </w:p>
        </w:tc>
        <w:tc>
          <w:tcPr>
            <w:tcW w:w="658"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(70</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3,235</w:t>
            </w:r>
          </w:p>
        </w:tc>
        <w:tc>
          <w:tcPr>
            <w:tcW w:w="471" w:type="dxa"/>
            <w:tcBorders/>
            <w:shd w:fill="auto" w:val="clear"/>
            <w:vAlign w:val="center"/>
          </w:tcPr>
          <w:p>
            <w:pPr>
              <w:pStyle w:val="TableContents"/>
              <w:spacing w:lineRule="auto" w:line="252" w:before="0" w:after="0"/>
              <w:ind w:left="0" w:right="0" w:firstLine="280"/>
              <w:jc w:val="left"/>
              <w:rPr/>
            </w:pPr>
            <w:r>
              <w:rPr/>
              <w:t> </w:t>
            </w:r>
          </w:p>
        </w:tc>
      </w:tr>
      <w:tr>
        <w:trPr/>
        <w:tc>
          <w:tcPr>
            <w:tcW w:w="309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U.S. government debt and agency</w:t>
              <w:br/>
              <w:t>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center"/>
              <w:rPr>
                <w:rFonts w:ascii="Arial" w:hAnsi="Arial"/>
                <w:b w:val="false"/>
                <w:sz w:val="20"/>
              </w:rPr>
            </w:pPr>
            <w:r>
              <w:rPr>
                <w:rFonts w:ascii="Arial" w:hAnsi="Arial"/>
                <w:b w:val="false"/>
                <w:sz w:val="20"/>
              </w:rPr>
              <w:t>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35,062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8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5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(653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34,409</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09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Total long-term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38,367</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58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5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(723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37,644</w:t>
            </w:r>
          </w:p>
        </w:tc>
        <w:tc>
          <w:tcPr>
            <w:tcW w:w="4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240" w:after="0"/>
        <w:jc w:val="center"/>
        <w:rPr>
          <w:rFonts w:ascii="Arial" w:hAnsi="Arial"/>
          <w:b w:val="false"/>
          <w:sz w:val="20"/>
        </w:rPr>
      </w:pPr>
      <w:r>
        <w:rPr>
          <w:rFonts w:ascii="Arial" w:hAnsi="Arial"/>
          <w:b w:val="false"/>
          <w:sz w:val="20"/>
        </w:rPr>
        <w:t>13</w:t>
      </w:r>
    </w:p>
    <w:p>
      <w:pPr>
        <w:pStyle w:val="HorizontalLine"/>
        <w:rPr/>
      </w:pPr>
      <w:r>
        <w:rPr/>
      </w:r>
    </w:p>
    <w:p>
      <w:pPr>
        <w:pStyle w:val="TextBody"/>
        <w:spacing w:lineRule="auto" w:line="273" w:before="0" w:after="0"/>
        <w:jc w:val="left"/>
        <w:rPr/>
      </w:pPr>
      <w:r>
        <w:rPr/>
        <w:t> </w:t>
      </w:r>
    </w:p>
    <w:p>
      <w:pPr>
        <w:pStyle w:val="TextBody"/>
        <w:spacing w:lineRule="auto" w:line="273" w:before="0" w:after="0"/>
        <w:jc w:val="both"/>
        <w:rPr/>
      </w:pPr>
      <w:r>
        <w:rPr/>
        <w:t> </w:t>
      </w:r>
    </w:p>
    <w:tbl>
      <w:tblPr>
        <w:tblW w:w="9182" w:type="dxa"/>
        <w:jc w:val="left"/>
        <w:tblInd w:w="0" w:type="dxa"/>
        <w:tblCellMar>
          <w:top w:w="28" w:type="dxa"/>
          <w:left w:w="28" w:type="dxa"/>
          <w:bottom w:w="28" w:type="dxa"/>
          <w:right w:w="28" w:type="dxa"/>
        </w:tblCellMar>
      </w:tblPr>
      <w:tblGrid>
        <w:gridCol w:w="3091"/>
        <w:gridCol w:w="146"/>
        <w:gridCol w:w="526"/>
        <w:gridCol w:w="146"/>
        <w:gridCol w:w="211"/>
        <w:gridCol w:w="796"/>
        <w:gridCol w:w="146"/>
        <w:gridCol w:w="146"/>
        <w:gridCol w:w="358"/>
        <w:gridCol w:w="588"/>
        <w:gridCol w:w="146"/>
        <w:gridCol w:w="146"/>
        <w:gridCol w:w="288"/>
        <w:gridCol w:w="658"/>
        <w:gridCol w:w="166"/>
        <w:gridCol w:w="146"/>
        <w:gridCol w:w="211"/>
        <w:gridCol w:w="796"/>
        <w:gridCol w:w="471"/>
      </w:tblGrid>
      <w:tr>
        <w:trPr/>
        <w:tc>
          <w:tcPr>
            <w:tcW w:w="30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309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74" w:type="dxa"/>
            <w:gridSpan w:val="1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December 31, 2021</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09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Level</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0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Amortized</w:t>
              <w:b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Unrealized</w:t>
              <w:br/>
              <w:t>Gains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Unrealized</w:t>
              <w:br/>
              <w:t>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0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Fair</w:t>
              <w:br/>
              <w:t>Value</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0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Cash equivalents: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6"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6"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7" w:type="dxa"/>
            <w:gridSpan w:val="2"/>
            <w:tcBorders/>
            <w:shd w:fill="auto" w:val="clear"/>
            <w:vAlign w:val="center"/>
          </w:tcPr>
          <w:p>
            <w:pPr>
              <w:pStyle w:val="TableContents"/>
              <w:spacing w:lineRule="auto" w:line="252" w:before="0" w:after="0"/>
              <w:ind w:left="0" w:right="0" w:hanging="0"/>
              <w:jc w:val="right"/>
              <w:rPr/>
            </w:pPr>
            <w:r>
              <w:rPr/>
              <w:t> </w:t>
            </w:r>
          </w:p>
        </w:tc>
        <w:tc>
          <w:tcPr>
            <w:tcW w:w="471" w:type="dxa"/>
            <w:tcBorders/>
            <w:shd w:fill="auto" w:val="clear"/>
            <w:vAlign w:val="center"/>
          </w:tcPr>
          <w:p>
            <w:pPr>
              <w:pStyle w:val="TableContents"/>
              <w:spacing w:lineRule="auto" w:line="252" w:before="0" w:after="0"/>
              <w:ind w:left="0" w:right="0" w:firstLine="280"/>
              <w:jc w:val="right"/>
              <w:rPr/>
            </w:pPr>
            <w:r>
              <w:rPr/>
              <w:t> </w:t>
            </w:r>
          </w:p>
        </w:tc>
      </w:tr>
      <w:tr>
        <w:trPr/>
        <w:tc>
          <w:tcPr>
            <w:tcW w:w="309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Money market fund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center"/>
              <w:rPr>
                <w:rFonts w:ascii="Arial" w:hAnsi="Arial"/>
                <w:b w:val="false"/>
                <w:sz w:val="20"/>
              </w:rPr>
            </w:pPr>
            <w:r>
              <w:rPr>
                <w:rFonts w:ascii="Arial" w:hAnsi="Arial"/>
                <w:b w:val="false"/>
                <w:sz w:val="20"/>
              </w:rPr>
              <w: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9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8"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588"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8"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58"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9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57</w:t>
            </w:r>
          </w:p>
        </w:tc>
        <w:tc>
          <w:tcPr>
            <w:tcW w:w="471" w:type="dxa"/>
            <w:tcBorders/>
            <w:shd w:fill="auto" w:val="clear"/>
            <w:vAlign w:val="center"/>
          </w:tcPr>
          <w:p>
            <w:pPr>
              <w:pStyle w:val="TableContents"/>
              <w:spacing w:lineRule="auto" w:line="252" w:before="0" w:after="0"/>
              <w:ind w:left="0" w:right="0" w:firstLine="280"/>
              <w:jc w:val="left"/>
              <w:rPr/>
            </w:pPr>
            <w:r>
              <w:rPr/>
              <w:t> </w:t>
            </w:r>
          </w:p>
        </w:tc>
      </w:tr>
      <w:tr>
        <w:trPr/>
        <w:tc>
          <w:tcPr>
            <w:tcW w:w="309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Commercial paper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center"/>
              <w:rPr>
                <w:rFonts w:ascii="Arial" w:hAnsi="Arial"/>
                <w:b w:val="false"/>
                <w:sz w:val="20"/>
              </w:rPr>
            </w:pPr>
            <w:r>
              <w:rPr>
                <w:rFonts w:ascii="Arial" w:hAnsi="Arial"/>
                <w:b w:val="false"/>
                <w:sz w:val="20"/>
              </w:rPr>
              <w:t>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96,120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5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8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8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5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96,115</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80"/>
              <w:jc w:val="left"/>
              <w:rPr/>
            </w:pPr>
            <w:r>
              <w:rPr/>
              <w:t> </w:t>
            </w:r>
          </w:p>
        </w:tc>
      </w:tr>
      <w:tr>
        <w:trPr/>
        <w:tc>
          <w:tcPr>
            <w:tcW w:w="309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Total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96,177</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5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58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8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5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96,172</w:t>
            </w:r>
          </w:p>
        </w:tc>
        <w:tc>
          <w:tcPr>
            <w:tcW w:w="4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0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Short-term investments: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6"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6"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7" w:type="dxa"/>
            <w:gridSpan w:val="2"/>
            <w:tcBorders/>
            <w:shd w:fill="auto" w:val="clear"/>
            <w:vAlign w:val="center"/>
          </w:tcPr>
          <w:p>
            <w:pPr>
              <w:pStyle w:val="TableContents"/>
              <w:spacing w:lineRule="auto" w:line="252" w:before="0" w:after="0"/>
              <w:ind w:left="0" w:right="0" w:hanging="0"/>
              <w:jc w:val="right"/>
              <w:rPr/>
            </w:pPr>
            <w:r>
              <w:rPr/>
              <w:t> </w:t>
            </w:r>
          </w:p>
        </w:tc>
        <w:tc>
          <w:tcPr>
            <w:tcW w:w="471" w:type="dxa"/>
            <w:tcBorders/>
            <w:shd w:fill="auto" w:val="clear"/>
            <w:vAlign w:val="center"/>
          </w:tcPr>
          <w:p>
            <w:pPr>
              <w:pStyle w:val="TableContents"/>
              <w:spacing w:lineRule="auto" w:line="252" w:before="0" w:after="0"/>
              <w:ind w:left="0" w:right="0" w:firstLine="280"/>
              <w:jc w:val="right"/>
              <w:rPr/>
            </w:pPr>
            <w:r>
              <w:rPr/>
              <w:t> </w:t>
            </w:r>
          </w:p>
        </w:tc>
      </w:tr>
      <w:tr>
        <w:trPr/>
        <w:tc>
          <w:tcPr>
            <w:tcW w:w="309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Commercial paper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center"/>
              <w:rPr>
                <w:rFonts w:ascii="Arial" w:hAnsi="Arial"/>
                <w:b w:val="false"/>
                <w:sz w:val="20"/>
              </w:rPr>
            </w:pPr>
            <w:r>
              <w:rPr>
                <w:rFonts w:ascii="Arial" w:hAnsi="Arial"/>
                <w:b w:val="false"/>
                <w:sz w:val="20"/>
              </w:rPr>
              <w:t>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74,170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8" w:type="dxa"/>
            <w:tcBorders/>
            <w:shd w:fill="auto" w:val="clear"/>
            <w:vAlign w:val="center"/>
          </w:tcPr>
          <w:p>
            <w:pPr>
              <w:pStyle w:val="TableContents"/>
              <w:spacing w:lineRule="auto" w:line="252" w:before="0" w:after="0"/>
              <w:ind w:left="0" w:right="0" w:hanging="0"/>
              <w:jc w:val="left"/>
              <w:rPr/>
            </w:pPr>
            <w:r>
              <w:rPr/>
              <w:t> </w:t>
            </w:r>
          </w:p>
        </w:tc>
        <w:tc>
          <w:tcPr>
            <w:tcW w:w="588"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8" w:type="dxa"/>
            <w:tcBorders/>
            <w:shd w:fill="auto" w:val="clear"/>
            <w:vAlign w:val="center"/>
          </w:tcPr>
          <w:p>
            <w:pPr>
              <w:pStyle w:val="TableContents"/>
              <w:spacing w:lineRule="auto" w:line="252" w:before="0" w:after="0"/>
              <w:ind w:left="0" w:right="0" w:hanging="0"/>
              <w:jc w:val="left"/>
              <w:rPr/>
            </w:pPr>
            <w:r>
              <w:rPr/>
              <w:t> </w:t>
            </w:r>
          </w:p>
        </w:tc>
        <w:tc>
          <w:tcPr>
            <w:tcW w:w="658"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(35</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74,135</w:t>
            </w:r>
          </w:p>
        </w:tc>
        <w:tc>
          <w:tcPr>
            <w:tcW w:w="471" w:type="dxa"/>
            <w:tcBorders/>
            <w:shd w:fill="auto" w:val="clear"/>
            <w:vAlign w:val="center"/>
          </w:tcPr>
          <w:p>
            <w:pPr>
              <w:pStyle w:val="TableContents"/>
              <w:spacing w:lineRule="auto" w:line="252" w:before="0" w:after="0"/>
              <w:ind w:left="0" w:right="0" w:firstLine="280"/>
              <w:jc w:val="left"/>
              <w:rPr/>
            </w:pPr>
            <w:r>
              <w:rPr/>
              <w:t> </w:t>
            </w:r>
          </w:p>
        </w:tc>
      </w:tr>
      <w:tr>
        <w:trPr/>
        <w:tc>
          <w:tcPr>
            <w:tcW w:w="309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U.S. government debt, municipal</w:t>
              <w:br/>
              <w:t>   bonds, and agency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center"/>
              <w:rPr>
                <w:rFonts w:ascii="Arial" w:hAnsi="Arial"/>
                <w:b w:val="false"/>
                <w:sz w:val="20"/>
              </w:rPr>
            </w:pPr>
            <w:r>
              <w:rPr>
                <w:rFonts w:ascii="Arial" w:hAnsi="Arial"/>
                <w:b w:val="false"/>
                <w:sz w:val="20"/>
              </w:rPr>
              <w:t>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62,149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8" w:type="dxa"/>
            <w:tcBorders/>
            <w:shd w:fill="auto" w:val="clear"/>
            <w:vAlign w:val="center"/>
          </w:tcPr>
          <w:p>
            <w:pPr>
              <w:pStyle w:val="TableContents"/>
              <w:spacing w:lineRule="auto" w:line="252" w:before="0" w:after="0"/>
              <w:ind w:left="0" w:right="0" w:hanging="0"/>
              <w:jc w:val="left"/>
              <w:rPr/>
            </w:pPr>
            <w:r>
              <w:rPr/>
              <w:t> </w:t>
            </w:r>
          </w:p>
        </w:tc>
        <w:tc>
          <w:tcPr>
            <w:tcW w:w="588"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8" w:type="dxa"/>
            <w:tcBorders/>
            <w:shd w:fill="auto" w:val="clear"/>
            <w:vAlign w:val="center"/>
          </w:tcPr>
          <w:p>
            <w:pPr>
              <w:pStyle w:val="TableContents"/>
              <w:spacing w:lineRule="auto" w:line="252" w:before="0" w:after="0"/>
              <w:ind w:left="0" w:right="0" w:hanging="0"/>
              <w:jc w:val="left"/>
              <w:rPr/>
            </w:pPr>
            <w:r>
              <w:rPr/>
              <w:t> </w:t>
            </w:r>
          </w:p>
        </w:tc>
        <w:tc>
          <w:tcPr>
            <w:tcW w:w="658"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(59</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62,092</w:t>
            </w:r>
          </w:p>
        </w:tc>
        <w:tc>
          <w:tcPr>
            <w:tcW w:w="471" w:type="dxa"/>
            <w:tcBorders/>
            <w:shd w:fill="auto" w:val="clear"/>
            <w:vAlign w:val="center"/>
          </w:tcPr>
          <w:p>
            <w:pPr>
              <w:pStyle w:val="TableContents"/>
              <w:spacing w:lineRule="auto" w:line="252" w:before="0" w:after="0"/>
              <w:ind w:left="0" w:right="0" w:firstLine="280"/>
              <w:jc w:val="left"/>
              <w:rPr/>
            </w:pPr>
            <w:r>
              <w:rPr/>
              <w:t> </w:t>
            </w:r>
          </w:p>
        </w:tc>
      </w:tr>
      <w:tr>
        <w:trPr/>
        <w:tc>
          <w:tcPr>
            <w:tcW w:w="309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Corporate bonds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center"/>
              <w:rPr>
                <w:rFonts w:ascii="Arial" w:hAnsi="Arial"/>
                <w:b w:val="false"/>
                <w:sz w:val="20"/>
              </w:rPr>
            </w:pPr>
            <w:r>
              <w:rPr>
                <w:rFonts w:ascii="Arial" w:hAnsi="Arial"/>
                <w:b w:val="false"/>
                <w:sz w:val="20"/>
              </w:rPr>
              <w:t>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7,004</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5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8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8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5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6,995</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09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Total short-term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143,323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5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58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8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5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143,222</w:t>
            </w:r>
          </w:p>
        </w:tc>
        <w:tc>
          <w:tcPr>
            <w:tcW w:w="4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0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Long-term investments: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6"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6"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7" w:type="dxa"/>
            <w:gridSpan w:val="2"/>
            <w:tcBorders/>
            <w:shd w:fill="auto" w:val="clear"/>
            <w:vAlign w:val="center"/>
          </w:tcPr>
          <w:p>
            <w:pPr>
              <w:pStyle w:val="TableContents"/>
              <w:spacing w:lineRule="auto" w:line="252" w:before="0" w:after="0"/>
              <w:ind w:left="0" w:right="0" w:hanging="0"/>
              <w:jc w:val="right"/>
              <w:rPr/>
            </w:pPr>
            <w:r>
              <w:rPr/>
              <w:t> </w:t>
            </w:r>
          </w:p>
        </w:tc>
        <w:tc>
          <w:tcPr>
            <w:tcW w:w="471" w:type="dxa"/>
            <w:tcBorders/>
            <w:shd w:fill="auto" w:val="clear"/>
            <w:vAlign w:val="center"/>
          </w:tcPr>
          <w:p>
            <w:pPr>
              <w:pStyle w:val="TableContents"/>
              <w:spacing w:lineRule="auto" w:line="252" w:before="0" w:after="0"/>
              <w:ind w:left="0" w:right="0" w:firstLine="280"/>
              <w:jc w:val="right"/>
              <w:rPr/>
            </w:pPr>
            <w:r>
              <w:rPr/>
              <w:t> </w:t>
            </w:r>
          </w:p>
        </w:tc>
      </w:tr>
      <w:tr>
        <w:trPr/>
        <w:tc>
          <w:tcPr>
            <w:tcW w:w="309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Corporate bonds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center"/>
              <w:rPr>
                <w:rFonts w:ascii="Arial" w:hAnsi="Arial"/>
                <w:b w:val="false"/>
                <w:sz w:val="20"/>
              </w:rPr>
            </w:pPr>
            <w:r>
              <w:rPr>
                <w:rFonts w:ascii="Arial" w:hAnsi="Arial"/>
                <w:b w:val="false"/>
                <w:sz w:val="20"/>
              </w:rPr>
              <w:t>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3,307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8" w:type="dxa"/>
            <w:tcBorders/>
            <w:shd w:fill="auto" w:val="clear"/>
            <w:vAlign w:val="center"/>
          </w:tcPr>
          <w:p>
            <w:pPr>
              <w:pStyle w:val="TableContents"/>
              <w:spacing w:lineRule="auto" w:line="252" w:before="0" w:after="0"/>
              <w:ind w:left="0" w:right="0" w:hanging="0"/>
              <w:jc w:val="left"/>
              <w:rPr/>
            </w:pPr>
            <w:r>
              <w:rPr/>
              <w:t> </w:t>
            </w:r>
          </w:p>
        </w:tc>
        <w:tc>
          <w:tcPr>
            <w:tcW w:w="588"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8" w:type="dxa"/>
            <w:tcBorders/>
            <w:shd w:fill="auto" w:val="clear"/>
            <w:vAlign w:val="center"/>
          </w:tcPr>
          <w:p>
            <w:pPr>
              <w:pStyle w:val="TableContents"/>
              <w:spacing w:lineRule="auto" w:line="252" w:before="0" w:after="0"/>
              <w:ind w:left="0" w:right="0" w:hanging="0"/>
              <w:jc w:val="left"/>
              <w:rPr/>
            </w:pPr>
            <w:r>
              <w:rPr/>
              <w:t> </w:t>
            </w:r>
          </w:p>
        </w:tc>
        <w:tc>
          <w:tcPr>
            <w:tcW w:w="658"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(20</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3,287</w:t>
            </w:r>
          </w:p>
        </w:tc>
        <w:tc>
          <w:tcPr>
            <w:tcW w:w="471" w:type="dxa"/>
            <w:tcBorders/>
            <w:shd w:fill="auto" w:val="clear"/>
            <w:vAlign w:val="center"/>
          </w:tcPr>
          <w:p>
            <w:pPr>
              <w:pStyle w:val="TableContents"/>
              <w:spacing w:lineRule="auto" w:line="252" w:before="0" w:after="0"/>
              <w:ind w:left="0" w:right="0" w:firstLine="280"/>
              <w:jc w:val="left"/>
              <w:rPr/>
            </w:pPr>
            <w:r>
              <w:rPr/>
              <w:t> </w:t>
            </w:r>
          </w:p>
        </w:tc>
      </w:tr>
      <w:tr>
        <w:trPr/>
        <w:tc>
          <w:tcPr>
            <w:tcW w:w="309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U.S. government debt and agency</w:t>
              <w:br/>
              <w:t>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center"/>
              <w:rPr>
                <w:rFonts w:ascii="Arial" w:hAnsi="Arial"/>
                <w:b w:val="false"/>
                <w:sz w:val="20"/>
              </w:rPr>
            </w:pPr>
            <w:r>
              <w:rPr>
                <w:rFonts w:ascii="Arial" w:hAnsi="Arial"/>
                <w:b w:val="false"/>
                <w:sz w:val="20"/>
              </w:rPr>
              <w:t>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62,911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5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8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8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5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(262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62,649</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09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Total long-term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66,218</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5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58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8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5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(282</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65,936</w:t>
            </w:r>
          </w:p>
        </w:tc>
        <w:tc>
          <w:tcPr>
            <w:tcW w:w="4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both"/>
        <w:rPr/>
      </w:pPr>
      <w:r>
        <w:rPr/>
        <w:t> </w:t>
      </w:r>
    </w:p>
    <w:p>
      <w:pPr>
        <w:pStyle w:val="TextBody"/>
        <w:spacing w:lineRule="auto" w:line="273" w:before="80" w:after="0"/>
        <w:jc w:val="both"/>
        <w:rPr>
          <w:rFonts w:ascii="Times New Roman" w:hAnsi="Times New Roman"/>
          <w:sz w:val="20"/>
        </w:rPr>
      </w:pPr>
      <w:r>
        <w:rPr>
          <w:rFonts w:ascii="Arial" w:hAnsi="Arial"/>
          <w:b w:val="false"/>
          <w:sz w:val="20"/>
        </w:rPr>
        <w:t>All the commercial paper, U.S. government debt, municipal bonds and agency securities, U.S. treasury bills, and corporate bonds designated as short-term investments have an effective maturity date that is equal to or less than one year</w:t>
      </w:r>
      <w:r>
        <w:rPr>
          <w:rFonts w:ascii="Times New Roman" w:hAnsi="Times New Roman"/>
          <w:sz w:val="20"/>
        </w:rPr>
        <w:t xml:space="preserve"> </w:t>
      </w:r>
      <w:r>
        <w:rPr>
          <w:rFonts w:ascii="Arial" w:hAnsi="Arial"/>
          <w:b w:val="false"/>
          <w:sz w:val="20"/>
        </w:rPr>
        <w:t>from the respective balance sheet date. Those that are designated as long-term investments have an effective maturity date that is more than one year, but less than two years, from the respective balance sheet date.</w:t>
      </w:r>
    </w:p>
    <w:p>
      <w:pPr>
        <w:pStyle w:val="TextBody"/>
        <w:spacing w:lineRule="auto" w:line="273" w:before="80" w:after="0"/>
        <w:jc w:val="both"/>
        <w:rPr>
          <w:rFonts w:ascii="Arial" w:hAnsi="Arial"/>
          <w:b w:val="false"/>
          <w:sz w:val="20"/>
        </w:rPr>
      </w:pPr>
      <w:r>
        <w:rPr>
          <w:rFonts w:ascii="Arial" w:hAnsi="Arial"/>
          <w:b w:val="false"/>
          <w:sz w:val="20"/>
        </w:rPr>
        <w:t>The Company evaluated its investments for other-than-temporary impairment and considers the decline in market value for the securities to be primarily attributable to current economic and market conditions. For the investments, it is not more-likely-than-not that the Company will be required to sell the investments, and the Company does not intend to do so prior to the recovery of the amortized cost basis.</w:t>
      </w:r>
    </w:p>
    <w:p>
      <w:pPr>
        <w:pStyle w:val="TextBody"/>
        <w:spacing w:lineRule="auto" w:line="273" w:before="0" w:after="0"/>
        <w:jc w:val="both"/>
        <w:rPr/>
      </w:pPr>
      <w:r>
        <w:rPr/>
        <w:t> </w:t>
      </w:r>
    </w:p>
    <w:p>
      <w:pPr>
        <w:pStyle w:val="TextBody"/>
        <w:spacing w:lineRule="auto" w:line="273" w:before="0" w:after="0"/>
        <w:jc w:val="both"/>
        <w:rPr/>
      </w:pPr>
      <w:r>
        <w:rPr/>
        <w:t> </w:t>
      </w:r>
    </w:p>
    <w:p>
      <w:pPr>
        <w:pStyle w:val="TextBody"/>
        <w:spacing w:lineRule="auto" w:line="273" w:before="360" w:after="0"/>
        <w:jc w:val="both"/>
        <w:rPr>
          <w:rFonts w:ascii="Arial" w:hAnsi="Arial"/>
          <w:b/>
          <w:sz w:val="20"/>
        </w:rPr>
      </w:pPr>
      <w:r>
        <w:rPr>
          <w:rFonts w:ascii="Arial" w:hAnsi="Arial"/>
          <w:b/>
          <w:sz w:val="20"/>
        </w:rPr>
        <w:t>4. Property and Equipment, Net</w:t>
      </w:r>
    </w:p>
    <w:p>
      <w:pPr>
        <w:pStyle w:val="TextBody"/>
        <w:spacing w:lineRule="auto" w:line="273" w:before="120" w:after="0"/>
        <w:jc w:val="both"/>
        <w:rPr>
          <w:rFonts w:ascii="Arial" w:hAnsi="Arial"/>
          <w:b w:val="false"/>
          <w:sz w:val="20"/>
        </w:rPr>
      </w:pPr>
      <w:r>
        <w:rPr>
          <w:rFonts w:ascii="Arial" w:hAnsi="Arial"/>
          <w:b w:val="false"/>
          <w:sz w:val="20"/>
        </w:rPr>
        <w:t>Property and equipment consisted of the following (in thousands):</w:t>
      </w:r>
    </w:p>
    <w:p>
      <w:pPr>
        <w:pStyle w:val="TextBody"/>
        <w:spacing w:lineRule="auto" w:line="273" w:before="0" w:after="0"/>
        <w:jc w:val="both"/>
        <w:rPr/>
      </w:pPr>
      <w:r>
        <w:rPr/>
        <w:t> </w:t>
      </w:r>
    </w:p>
    <w:tbl>
      <w:tblPr>
        <w:tblW w:w="5885" w:type="dxa"/>
        <w:jc w:val="left"/>
        <w:tblInd w:w="0" w:type="dxa"/>
        <w:tblCellMar>
          <w:top w:w="28" w:type="dxa"/>
          <w:left w:w="28" w:type="dxa"/>
          <w:bottom w:w="28" w:type="dxa"/>
          <w:right w:w="28" w:type="dxa"/>
        </w:tblCellMar>
      </w:tblPr>
      <w:tblGrid>
        <w:gridCol w:w="2911"/>
        <w:gridCol w:w="146"/>
        <w:gridCol w:w="226"/>
        <w:gridCol w:w="629"/>
        <w:gridCol w:w="166"/>
        <w:gridCol w:w="146"/>
        <w:gridCol w:w="309"/>
        <w:gridCol w:w="861"/>
        <w:gridCol w:w="491"/>
      </w:tblGrid>
      <w:tr>
        <w:trPr/>
        <w:tc>
          <w:tcPr>
            <w:tcW w:w="29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29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7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December 31,</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9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7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2021</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9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Lab equipment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29"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279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9"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6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268</w:t>
            </w:r>
          </w:p>
        </w:tc>
        <w:tc>
          <w:tcPr>
            <w:tcW w:w="491" w:type="dxa"/>
            <w:tcBorders/>
            <w:shd w:fill="auto" w:val="clear"/>
            <w:vAlign w:val="center"/>
          </w:tcPr>
          <w:p>
            <w:pPr>
              <w:pStyle w:val="TableContents"/>
              <w:spacing w:lineRule="auto" w:line="252" w:before="0" w:after="0"/>
              <w:ind w:left="0" w:right="0" w:hanging="0"/>
              <w:jc w:val="left"/>
              <w:rPr/>
            </w:pPr>
            <w:r>
              <w:rPr/>
              <w:t> </w:t>
            </w:r>
          </w:p>
        </w:tc>
      </w:tr>
      <w:tr>
        <w:trPr/>
        <w:tc>
          <w:tcPr>
            <w:tcW w:w="29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Office furniture, fixtures, and</w:t>
              <w:br/>
              <w:t>   computer equipment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6" w:type="dxa"/>
            <w:tcBorders/>
            <w:shd w:fill="auto" w:val="clear"/>
            <w:vAlign w:val="center"/>
          </w:tcPr>
          <w:p>
            <w:pPr>
              <w:pStyle w:val="TableContents"/>
              <w:spacing w:lineRule="auto" w:line="252" w:before="0" w:after="0"/>
              <w:ind w:left="0" w:right="0" w:hanging="0"/>
              <w:jc w:val="left"/>
              <w:rPr/>
            </w:pPr>
            <w:r>
              <w:rPr/>
              <w:t> </w:t>
            </w:r>
          </w:p>
        </w:tc>
        <w:tc>
          <w:tcPr>
            <w:tcW w:w="629"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530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9" w:type="dxa"/>
            <w:tcBorders/>
            <w:shd w:fill="auto" w:val="clear"/>
            <w:vAlign w:val="center"/>
          </w:tcPr>
          <w:p>
            <w:pPr>
              <w:pStyle w:val="TableContents"/>
              <w:spacing w:lineRule="auto" w:line="252" w:before="0" w:after="0"/>
              <w:ind w:left="0" w:right="0" w:hanging="0"/>
              <w:jc w:val="left"/>
              <w:rPr/>
            </w:pPr>
            <w:r>
              <w:rPr/>
              <w:t> </w:t>
            </w:r>
          </w:p>
        </w:tc>
        <w:tc>
          <w:tcPr>
            <w:tcW w:w="86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325</w:t>
            </w:r>
          </w:p>
        </w:tc>
        <w:tc>
          <w:tcPr>
            <w:tcW w:w="491" w:type="dxa"/>
            <w:tcBorders/>
            <w:shd w:fill="auto" w:val="clear"/>
            <w:vAlign w:val="center"/>
          </w:tcPr>
          <w:p>
            <w:pPr>
              <w:pStyle w:val="TableContents"/>
              <w:spacing w:lineRule="auto" w:line="252" w:before="0" w:after="0"/>
              <w:ind w:left="0" w:right="0" w:hanging="0"/>
              <w:jc w:val="left"/>
              <w:rPr/>
            </w:pPr>
            <w:r>
              <w:rPr/>
              <w:t> </w:t>
            </w:r>
          </w:p>
        </w:tc>
      </w:tr>
      <w:tr>
        <w:trPr/>
        <w:tc>
          <w:tcPr>
            <w:tcW w:w="29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Leasehold improvement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6" w:type="dxa"/>
            <w:tcBorders/>
            <w:shd w:fill="auto" w:val="clear"/>
            <w:vAlign w:val="center"/>
          </w:tcPr>
          <w:p>
            <w:pPr>
              <w:pStyle w:val="TableContents"/>
              <w:spacing w:lineRule="auto" w:line="252" w:before="0" w:after="0"/>
              <w:ind w:left="0" w:right="0" w:hanging="0"/>
              <w:jc w:val="left"/>
              <w:rPr/>
            </w:pPr>
            <w:r>
              <w:rPr/>
              <w:t> </w:t>
            </w:r>
          </w:p>
        </w:tc>
        <w:tc>
          <w:tcPr>
            <w:tcW w:w="629"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4,222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9" w:type="dxa"/>
            <w:tcBorders/>
            <w:shd w:fill="auto" w:val="clear"/>
            <w:vAlign w:val="center"/>
          </w:tcPr>
          <w:p>
            <w:pPr>
              <w:pStyle w:val="TableContents"/>
              <w:spacing w:lineRule="auto" w:line="252" w:before="0" w:after="0"/>
              <w:ind w:left="0" w:right="0" w:hanging="0"/>
              <w:jc w:val="left"/>
              <w:rPr/>
            </w:pPr>
            <w:r>
              <w:rPr/>
              <w:t> </w:t>
            </w:r>
          </w:p>
        </w:tc>
        <w:tc>
          <w:tcPr>
            <w:tcW w:w="86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2,563</w:t>
            </w:r>
          </w:p>
        </w:tc>
        <w:tc>
          <w:tcPr>
            <w:tcW w:w="491" w:type="dxa"/>
            <w:tcBorders/>
            <w:shd w:fill="auto" w:val="clear"/>
            <w:vAlign w:val="center"/>
          </w:tcPr>
          <w:p>
            <w:pPr>
              <w:pStyle w:val="TableContents"/>
              <w:spacing w:lineRule="auto" w:line="252" w:before="0" w:after="0"/>
              <w:ind w:left="0" w:right="0" w:hanging="0"/>
              <w:jc w:val="left"/>
              <w:rPr/>
            </w:pPr>
            <w:r>
              <w:rPr/>
              <w:t> </w:t>
            </w:r>
          </w:p>
        </w:tc>
      </w:tr>
      <w:tr>
        <w:trPr/>
        <w:tc>
          <w:tcPr>
            <w:tcW w:w="29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Construction in progress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1,124</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9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Property and equipment, at cost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6" w:type="dxa"/>
            <w:tcBorders/>
            <w:shd w:fill="auto" w:val="clear"/>
            <w:vAlign w:val="center"/>
          </w:tcPr>
          <w:p>
            <w:pPr>
              <w:pStyle w:val="TableContents"/>
              <w:spacing w:lineRule="auto" w:line="252" w:before="0" w:after="0"/>
              <w:ind w:left="0" w:right="0" w:hanging="0"/>
              <w:jc w:val="left"/>
              <w:rPr/>
            </w:pPr>
            <w:r>
              <w:rPr/>
              <w:t> </w:t>
            </w:r>
          </w:p>
        </w:tc>
        <w:tc>
          <w:tcPr>
            <w:tcW w:w="629"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5,031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9" w:type="dxa"/>
            <w:tcBorders/>
            <w:shd w:fill="auto" w:val="clear"/>
            <w:vAlign w:val="center"/>
          </w:tcPr>
          <w:p>
            <w:pPr>
              <w:pStyle w:val="TableContents"/>
              <w:spacing w:lineRule="auto" w:line="252" w:before="0" w:after="0"/>
              <w:ind w:left="0" w:right="0" w:hanging="0"/>
              <w:jc w:val="left"/>
              <w:rPr/>
            </w:pPr>
            <w:r>
              <w:rPr/>
              <w:t> </w:t>
            </w:r>
          </w:p>
        </w:tc>
        <w:tc>
          <w:tcPr>
            <w:tcW w:w="86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4,280</w:t>
            </w:r>
          </w:p>
        </w:tc>
        <w:tc>
          <w:tcPr>
            <w:tcW w:w="491" w:type="dxa"/>
            <w:tcBorders/>
            <w:shd w:fill="auto" w:val="clear"/>
            <w:vAlign w:val="center"/>
          </w:tcPr>
          <w:p>
            <w:pPr>
              <w:pStyle w:val="TableContents"/>
              <w:spacing w:lineRule="auto" w:line="252" w:before="0" w:after="0"/>
              <w:ind w:left="0" w:right="0" w:hanging="0"/>
              <w:jc w:val="left"/>
              <w:rPr/>
            </w:pPr>
            <w:r>
              <w:rPr/>
              <w:t> </w:t>
            </w:r>
          </w:p>
        </w:tc>
      </w:tr>
      <w:tr>
        <w:trPr/>
        <w:tc>
          <w:tcPr>
            <w:tcW w:w="29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Less: accumulated depreciation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(677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(523</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80"/>
              <w:jc w:val="left"/>
              <w:rPr>
                <w:rFonts w:ascii="Arial" w:hAnsi="Arial"/>
                <w:b w:val="false"/>
                <w:sz w:val="20"/>
              </w:rPr>
            </w:pPr>
            <w:r>
              <w:rPr>
                <w:rFonts w:ascii="Arial" w:hAnsi="Arial"/>
                <w:b w:val="false"/>
                <w:sz w:val="20"/>
              </w:rPr>
              <w:t>)</w:t>
            </w:r>
          </w:p>
        </w:tc>
      </w:tr>
      <w:tr>
        <w:trPr/>
        <w:tc>
          <w:tcPr>
            <w:tcW w:w="291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Property and equipment,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2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4,354</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3,757</w:t>
            </w:r>
          </w:p>
        </w:tc>
        <w:tc>
          <w:tcPr>
            <w:tcW w:w="4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Arial" w:hAnsi="Arial"/>
          <w:b w:val="false"/>
          <w:sz w:val="20"/>
        </w:rPr>
        <w:t>Depreciation expense was $154,000</w:t>
      </w:r>
      <w:r>
        <w:rPr>
          <w:rFonts w:ascii="Times New Roman" w:hAnsi="Times New Roman"/>
          <w:sz w:val="20"/>
        </w:rPr>
        <w:t xml:space="preserve"> </w:t>
      </w:r>
      <w:r>
        <w:rPr>
          <w:rFonts w:ascii="Arial" w:hAnsi="Arial"/>
          <w:b w:val="false"/>
          <w:sz w:val="20"/>
        </w:rPr>
        <w:t>and $112,000</w:t>
      </w:r>
      <w:r>
        <w:rPr>
          <w:rFonts w:ascii="Times New Roman" w:hAnsi="Times New Roman"/>
          <w:sz w:val="20"/>
        </w:rPr>
        <w:t xml:space="preserve"> </w:t>
      </w:r>
      <w:r>
        <w:rPr>
          <w:rFonts w:ascii="Arial" w:hAnsi="Arial"/>
          <w:b w:val="false"/>
          <w:sz w:val="20"/>
        </w:rPr>
        <w:t>for the three months ended March 31, 2022 and 2021, respectively.</w:t>
      </w:r>
    </w:p>
    <w:p>
      <w:pPr>
        <w:pStyle w:val="TextBody"/>
        <w:spacing w:lineRule="auto" w:line="273" w:before="240" w:after="0"/>
        <w:jc w:val="center"/>
        <w:rPr>
          <w:rFonts w:ascii="Arial" w:hAnsi="Arial"/>
          <w:b w:val="false"/>
          <w:sz w:val="20"/>
        </w:rPr>
      </w:pPr>
      <w:r>
        <w:rPr>
          <w:rFonts w:ascii="Arial" w:hAnsi="Arial"/>
          <w:b w:val="false"/>
          <w:sz w:val="20"/>
        </w:rPr>
        <w:t>14</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Arial" w:hAnsi="Arial"/>
          <w:b/>
          <w:sz w:val="20"/>
        </w:rPr>
      </w:pPr>
      <w:r>
        <w:rPr>
          <w:rFonts w:ascii="Arial" w:hAnsi="Arial"/>
          <w:b/>
          <w:sz w:val="20"/>
        </w:rPr>
        <w:t>5. Accrued Liabilities</w:t>
      </w:r>
    </w:p>
    <w:p>
      <w:pPr>
        <w:pStyle w:val="TextBody"/>
        <w:spacing w:lineRule="auto" w:line="273" w:before="280" w:after="0"/>
        <w:jc w:val="both"/>
        <w:rPr>
          <w:rFonts w:ascii="Arial" w:hAnsi="Arial"/>
          <w:b w:val="false"/>
          <w:sz w:val="20"/>
        </w:rPr>
      </w:pPr>
      <w:r>
        <w:rPr>
          <w:rFonts w:ascii="Arial" w:hAnsi="Arial"/>
          <w:b w:val="false"/>
          <w:sz w:val="20"/>
        </w:rPr>
        <w:t>Accrued liabilities consisted of the following (in thousands):</w:t>
      </w:r>
    </w:p>
    <w:p>
      <w:pPr>
        <w:pStyle w:val="TextBody"/>
        <w:spacing w:lineRule="auto" w:line="273" w:before="0" w:after="0"/>
        <w:jc w:val="both"/>
        <w:rPr/>
      </w:pPr>
      <w:r>
        <w:rPr/>
        <w:t> </w:t>
      </w:r>
    </w:p>
    <w:tbl>
      <w:tblPr>
        <w:tblW w:w="6325" w:type="dxa"/>
        <w:jc w:val="left"/>
        <w:tblInd w:w="0" w:type="dxa"/>
        <w:tblCellMar>
          <w:top w:w="28" w:type="dxa"/>
          <w:left w:w="28" w:type="dxa"/>
          <w:bottom w:w="28" w:type="dxa"/>
          <w:right w:w="28" w:type="dxa"/>
        </w:tblCellMar>
      </w:tblPr>
      <w:tblGrid>
        <w:gridCol w:w="3391"/>
        <w:gridCol w:w="146"/>
        <w:gridCol w:w="226"/>
        <w:gridCol w:w="629"/>
        <w:gridCol w:w="146"/>
        <w:gridCol w:w="146"/>
        <w:gridCol w:w="309"/>
        <w:gridCol w:w="861"/>
        <w:gridCol w:w="471"/>
      </w:tblGrid>
      <w:tr>
        <w:trPr/>
        <w:tc>
          <w:tcPr>
            <w:tcW w:w="3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339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7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December 31,</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39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7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2021</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39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Research and development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29"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4,938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9"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6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5,723</w:t>
            </w:r>
          </w:p>
        </w:tc>
        <w:tc>
          <w:tcPr>
            <w:tcW w:w="471" w:type="dxa"/>
            <w:tcBorders/>
            <w:shd w:fill="auto" w:val="clear"/>
            <w:vAlign w:val="center"/>
          </w:tcPr>
          <w:p>
            <w:pPr>
              <w:pStyle w:val="TableContents"/>
              <w:spacing w:lineRule="auto" w:line="252" w:before="0" w:after="0"/>
              <w:ind w:left="0" w:right="0" w:hanging="0"/>
              <w:jc w:val="left"/>
              <w:rPr/>
            </w:pPr>
            <w:r>
              <w:rPr/>
              <w:t> </w:t>
            </w:r>
          </w:p>
        </w:tc>
      </w:tr>
      <w:tr>
        <w:trPr/>
        <w:tc>
          <w:tcPr>
            <w:tcW w:w="339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Employee compensation and benefits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6" w:type="dxa"/>
            <w:tcBorders/>
            <w:shd w:fill="auto" w:val="clear"/>
            <w:vAlign w:val="center"/>
          </w:tcPr>
          <w:p>
            <w:pPr>
              <w:pStyle w:val="TableContents"/>
              <w:spacing w:lineRule="auto" w:line="252" w:before="0" w:after="0"/>
              <w:ind w:left="0" w:right="0" w:hanging="0"/>
              <w:jc w:val="left"/>
              <w:rPr/>
            </w:pPr>
            <w:r>
              <w:rPr/>
              <w:t> </w:t>
            </w:r>
          </w:p>
        </w:tc>
        <w:tc>
          <w:tcPr>
            <w:tcW w:w="629"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1,229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9" w:type="dxa"/>
            <w:tcBorders/>
            <w:shd w:fill="auto" w:val="clear"/>
            <w:vAlign w:val="center"/>
          </w:tcPr>
          <w:p>
            <w:pPr>
              <w:pStyle w:val="TableContents"/>
              <w:spacing w:lineRule="auto" w:line="252" w:before="0" w:after="0"/>
              <w:ind w:left="0" w:right="0" w:hanging="0"/>
              <w:jc w:val="left"/>
              <w:rPr/>
            </w:pPr>
            <w:r>
              <w:rPr/>
              <w:t> </w:t>
            </w:r>
          </w:p>
        </w:tc>
        <w:tc>
          <w:tcPr>
            <w:tcW w:w="86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1,907</w:t>
            </w:r>
          </w:p>
        </w:tc>
        <w:tc>
          <w:tcPr>
            <w:tcW w:w="471" w:type="dxa"/>
            <w:tcBorders/>
            <w:shd w:fill="auto" w:val="clear"/>
            <w:vAlign w:val="center"/>
          </w:tcPr>
          <w:p>
            <w:pPr>
              <w:pStyle w:val="TableContents"/>
              <w:spacing w:lineRule="auto" w:line="252" w:before="0" w:after="0"/>
              <w:ind w:left="0" w:right="0" w:hanging="0"/>
              <w:jc w:val="left"/>
              <w:rPr/>
            </w:pPr>
            <w:r>
              <w:rPr/>
              <w:t> </w:t>
            </w:r>
          </w:p>
        </w:tc>
      </w:tr>
      <w:tr>
        <w:trPr/>
        <w:tc>
          <w:tcPr>
            <w:tcW w:w="339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Professional services and other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1,576</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807</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80"/>
              <w:jc w:val="left"/>
              <w:rPr/>
            </w:pPr>
            <w:r>
              <w:rPr/>
              <w:t> </w:t>
            </w:r>
          </w:p>
        </w:tc>
      </w:tr>
      <w:tr>
        <w:trPr/>
        <w:tc>
          <w:tcPr>
            <w:tcW w:w="339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Total accrued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2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7,743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8,437</w:t>
            </w:r>
          </w:p>
        </w:tc>
        <w:tc>
          <w:tcPr>
            <w:tcW w:w="4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both"/>
        <w:rPr/>
      </w:pPr>
      <w:r>
        <w:rPr/>
        <w:t> </w:t>
      </w:r>
    </w:p>
    <w:p>
      <w:pPr>
        <w:pStyle w:val="TextBody"/>
        <w:spacing w:lineRule="auto" w:line="273" w:before="0" w:after="0"/>
        <w:jc w:val="both"/>
        <w:rPr>
          <w:rFonts w:ascii="Arial" w:hAnsi="Arial"/>
          <w:b/>
          <w:sz w:val="20"/>
        </w:rPr>
      </w:pPr>
      <w:r>
        <w:rPr>
          <w:rFonts w:ascii="Arial" w:hAnsi="Arial"/>
          <w:b/>
          <w:sz w:val="20"/>
        </w:rPr>
        <w:t>6. Other Income, Net</w:t>
      </w:r>
    </w:p>
    <w:p>
      <w:pPr>
        <w:pStyle w:val="TextBody"/>
        <w:spacing w:lineRule="auto" w:line="273" w:before="280" w:after="0"/>
        <w:jc w:val="both"/>
        <w:rPr>
          <w:rFonts w:ascii="Arial" w:hAnsi="Arial"/>
          <w:b w:val="false"/>
          <w:sz w:val="20"/>
        </w:rPr>
      </w:pPr>
      <w:r>
        <w:rPr>
          <w:rFonts w:ascii="Arial" w:hAnsi="Arial"/>
          <w:b w:val="false"/>
          <w:sz w:val="20"/>
        </w:rPr>
        <w:t>Other income, net consisted of the following (in thousands):</w:t>
      </w:r>
    </w:p>
    <w:p>
      <w:pPr>
        <w:pStyle w:val="TextBody"/>
        <w:spacing w:lineRule="auto" w:line="273" w:before="0" w:after="0"/>
        <w:jc w:val="both"/>
        <w:rPr/>
      </w:pPr>
      <w:r>
        <w:rPr/>
        <w:t> </w:t>
      </w:r>
    </w:p>
    <w:tbl>
      <w:tblPr>
        <w:tblW w:w="5507" w:type="dxa"/>
        <w:jc w:val="left"/>
        <w:tblInd w:w="0" w:type="dxa"/>
        <w:tblCellMar>
          <w:top w:w="28" w:type="dxa"/>
          <w:left w:w="28" w:type="dxa"/>
          <w:bottom w:w="28" w:type="dxa"/>
          <w:right w:w="28" w:type="dxa"/>
        </w:tblCellMar>
      </w:tblPr>
      <w:tblGrid>
        <w:gridCol w:w="2341"/>
        <w:gridCol w:w="146"/>
        <w:gridCol w:w="358"/>
        <w:gridCol w:w="715"/>
        <w:gridCol w:w="282"/>
        <w:gridCol w:w="248"/>
        <w:gridCol w:w="358"/>
        <w:gridCol w:w="588"/>
        <w:gridCol w:w="471"/>
      </w:tblGrid>
      <w:tr>
        <w:trPr/>
        <w:tc>
          <w:tcPr>
            <w:tcW w:w="23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234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49"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Three Months Ended March 31,</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34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3"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2022</w:t>
            </w:r>
          </w:p>
        </w:tc>
        <w:tc>
          <w:tcPr>
            <w:tcW w:w="28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48" w:type="dxa"/>
            <w:tcBorders/>
            <w:shd w:fill="auto" w:val="clear"/>
            <w:vAlign w:val="center"/>
          </w:tcPr>
          <w:p>
            <w:pPr>
              <w:pStyle w:val="TableContents"/>
              <w:spacing w:lineRule="auto" w:line="252" w:before="0" w:after="0"/>
              <w:ind w:left="0" w:right="0" w:hanging="0"/>
              <w:jc w:val="center"/>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2021</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34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Interest and other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8"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1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175</w:t>
            </w:r>
          </w:p>
        </w:tc>
        <w:tc>
          <w:tcPr>
            <w:tcW w:w="282" w:type="dxa"/>
            <w:tcBorders/>
            <w:shd w:fill="auto" w:val="clear"/>
            <w:vAlign w:val="center"/>
          </w:tcPr>
          <w:p>
            <w:pPr>
              <w:pStyle w:val="TableContents"/>
              <w:spacing w:lineRule="auto" w:line="252" w:before="0" w:after="0"/>
              <w:ind w:left="0" w:right="0" w:hanging="0"/>
              <w:jc w:val="left"/>
              <w:rPr/>
            </w:pPr>
            <w:r>
              <w:rPr/>
              <w:t> </w:t>
            </w:r>
          </w:p>
        </w:tc>
        <w:tc>
          <w:tcPr>
            <w:tcW w:w="248" w:type="dxa"/>
            <w:tcBorders/>
            <w:shd w:fill="auto" w:val="clear"/>
            <w:vAlign w:val="center"/>
          </w:tcPr>
          <w:p>
            <w:pPr>
              <w:pStyle w:val="TableContents"/>
              <w:spacing w:lineRule="auto" w:line="252" w:before="0" w:after="0"/>
              <w:ind w:left="0" w:right="0" w:hanging="0"/>
              <w:jc w:val="left"/>
              <w:rPr/>
            </w:pPr>
            <w:r>
              <w:rPr/>
              <w:t> </w:t>
            </w:r>
          </w:p>
        </w:tc>
        <w:tc>
          <w:tcPr>
            <w:tcW w:w="358"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588"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84</w:t>
            </w:r>
          </w:p>
        </w:tc>
        <w:tc>
          <w:tcPr>
            <w:tcW w:w="471" w:type="dxa"/>
            <w:tcBorders/>
            <w:shd w:fill="auto" w:val="clear"/>
            <w:vAlign w:val="center"/>
          </w:tcPr>
          <w:p>
            <w:pPr>
              <w:pStyle w:val="TableContents"/>
              <w:spacing w:lineRule="auto" w:line="252" w:before="0" w:after="0"/>
              <w:ind w:left="0" w:right="0" w:hanging="0"/>
              <w:jc w:val="left"/>
              <w:rPr/>
            </w:pPr>
            <w:r>
              <w:rPr/>
              <w:t> </w:t>
            </w:r>
          </w:p>
        </w:tc>
      </w:tr>
      <w:tr>
        <w:trPr/>
        <w:tc>
          <w:tcPr>
            <w:tcW w:w="234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Interest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1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w:t>
            </w:r>
          </w:p>
        </w:tc>
        <w:tc>
          <w:tcPr>
            <w:tcW w:w="28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248" w:type="dxa"/>
            <w:tcBorders/>
            <w:shd w:fill="auto" w:val="clear"/>
            <w:vAlign w:val="center"/>
          </w:tcPr>
          <w:p>
            <w:pPr>
              <w:pStyle w:val="TableContents"/>
              <w:spacing w:lineRule="auto" w:line="252" w:before="0" w:after="0"/>
              <w:ind w:left="0" w:right="0" w:hanging="0"/>
              <w:jc w:val="left"/>
              <w:rPr/>
            </w:pPr>
            <w:r>
              <w:rPr/>
              <w:t> </w:t>
            </w:r>
          </w:p>
        </w:tc>
        <w:tc>
          <w:tcPr>
            <w:tcW w:w="35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8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80"/>
              <w:jc w:val="left"/>
              <w:rPr/>
            </w:pPr>
            <w:r>
              <w:rPr/>
              <w:t> </w:t>
            </w:r>
          </w:p>
        </w:tc>
      </w:tr>
      <w:tr>
        <w:trPr/>
        <w:tc>
          <w:tcPr>
            <w:tcW w:w="234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Total other income,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1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173</w:t>
            </w:r>
          </w:p>
        </w:tc>
        <w:tc>
          <w:tcPr>
            <w:tcW w:w="28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48" w:type="dxa"/>
            <w:tcBorders/>
            <w:shd w:fill="auto" w:val="clear"/>
            <w:vAlign w:val="center"/>
          </w:tcPr>
          <w:p>
            <w:pPr>
              <w:pStyle w:val="TableContents"/>
              <w:spacing w:lineRule="auto" w:line="252" w:before="0" w:after="0"/>
              <w:ind w:left="0" w:right="0" w:hanging="0"/>
              <w:jc w:val="left"/>
              <w:rPr/>
            </w:pPr>
            <w:r>
              <w:rPr/>
              <w:t> </w:t>
            </w:r>
          </w:p>
        </w:tc>
        <w:tc>
          <w:tcPr>
            <w:tcW w:w="35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58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84</w:t>
            </w:r>
          </w:p>
        </w:tc>
        <w:tc>
          <w:tcPr>
            <w:tcW w:w="4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both"/>
        <w:rPr/>
      </w:pPr>
      <w:r>
        <w:rPr/>
        <w:t> </w:t>
      </w:r>
    </w:p>
    <w:p>
      <w:pPr>
        <w:pStyle w:val="TextBody"/>
        <w:spacing w:lineRule="auto" w:line="273" w:before="0" w:after="0"/>
        <w:jc w:val="both"/>
        <w:rPr/>
      </w:pPr>
      <w:r>
        <w:rPr/>
        <w:t> </w:t>
      </w:r>
    </w:p>
    <w:p>
      <w:pPr>
        <w:pStyle w:val="TextBody"/>
        <w:spacing w:lineRule="auto" w:line="273" w:before="0" w:after="0"/>
        <w:jc w:val="both"/>
        <w:rPr>
          <w:rFonts w:ascii="Arial" w:hAnsi="Arial"/>
          <w:b/>
          <w:sz w:val="20"/>
        </w:rPr>
      </w:pPr>
      <w:r>
        <w:rPr>
          <w:rFonts w:ascii="Arial" w:hAnsi="Arial"/>
          <w:b/>
          <w:sz w:val="20"/>
        </w:rPr>
        <w:t>7. Significant Agreements</w:t>
      </w:r>
    </w:p>
    <w:p>
      <w:pPr>
        <w:pStyle w:val="TextBody"/>
        <w:spacing w:lineRule="auto" w:line="273" w:before="280" w:after="0"/>
        <w:jc w:val="both"/>
        <w:rPr>
          <w:rFonts w:ascii="Times New Roman" w:hAnsi="Times New Roman"/>
          <w:sz w:val="20"/>
        </w:rPr>
      </w:pPr>
      <w:r>
        <w:rPr>
          <w:rFonts w:ascii="Arial" w:hAnsi="Arial"/>
          <w:b/>
          <w:i/>
          <w:sz w:val="20"/>
        </w:rPr>
        <w:t>Washington State University (“WSU”) License Agreement</w:t>
      </w:r>
      <w:r>
        <w:rPr>
          <w:rFonts w:ascii="Times New Roman" w:hAnsi="Times New Roman"/>
          <w:sz w:val="20"/>
        </w:rPr>
        <w:t xml:space="preserve"> </w:t>
      </w:r>
    </w:p>
    <w:p>
      <w:pPr>
        <w:pStyle w:val="TextBody"/>
        <w:spacing w:lineRule="auto" w:line="273" w:before="280" w:after="0"/>
        <w:jc w:val="both"/>
        <w:rPr>
          <w:rFonts w:ascii="Arial" w:hAnsi="Arial"/>
          <w:b w:val="false"/>
          <w:sz w:val="20"/>
        </w:rPr>
      </w:pPr>
      <w:r>
        <w:rPr>
          <w:rFonts w:ascii="Arial" w:hAnsi="Arial"/>
          <w:b w:val="false"/>
          <w:sz w:val="20"/>
        </w:rPr>
        <w:t>The Company is party to an amended and restated exclusive license agreement with sublicensing terms between the Company and Washington State University (“WSU”) that the Company entered into in 2015. Under this agreement, the Company has an exclusive license to make, use, sell, and offer for sale products covered by certain licensed patents, including dihexa, the chemical compound into which fosgonimeton metabolizes following administration.</w:t>
      </w:r>
    </w:p>
    <w:p>
      <w:pPr>
        <w:pStyle w:val="TextBody"/>
        <w:spacing w:lineRule="auto" w:line="273" w:before="280" w:after="0"/>
        <w:jc w:val="both"/>
        <w:rPr>
          <w:rFonts w:ascii="Arial" w:hAnsi="Arial"/>
          <w:b w:val="false"/>
          <w:sz w:val="20"/>
        </w:rPr>
      </w:pPr>
      <w:r>
        <w:rPr>
          <w:rFonts w:ascii="Arial" w:hAnsi="Arial"/>
          <w:b w:val="false"/>
          <w:sz w:val="20"/>
        </w:rPr>
        <w:t>To keep in good standing, the agreement requires the Company to meet certain development milestones and pay annual maintenance fees. All contractual requirements have been met as of March 31, 2022.</w:t>
      </w:r>
    </w:p>
    <w:p>
      <w:pPr>
        <w:pStyle w:val="TextBody"/>
        <w:spacing w:lineRule="auto" w:line="247" w:before="280" w:after="0"/>
        <w:jc w:val="both"/>
        <w:rPr>
          <w:rFonts w:ascii="Times New Roman" w:hAnsi="Times New Roman"/>
          <w:sz w:val="20"/>
        </w:rPr>
      </w:pPr>
      <w:r>
        <w:rPr>
          <w:rFonts w:ascii="Arial" w:hAnsi="Arial"/>
          <w:b w:val="false"/>
          <w:sz w:val="20"/>
        </w:rPr>
        <w:t>During the year ended December 31, 2020, the Phase 2 clinical trial milestone had been reached and a payment of $50,000</w:t>
      </w:r>
      <w:r>
        <w:rPr>
          <w:rFonts w:ascii="Times New Roman" w:hAnsi="Times New Roman"/>
          <w:sz w:val="20"/>
        </w:rPr>
        <w:t xml:space="preserve"> </w:t>
      </w:r>
      <w:r>
        <w:rPr>
          <w:rFonts w:ascii="Arial" w:hAnsi="Arial"/>
          <w:b w:val="false"/>
          <w:sz w:val="20"/>
        </w:rPr>
        <w:t>to WSU was recorded.</w:t>
      </w:r>
      <w:r>
        <w:rPr>
          <w:rFonts w:ascii="Times New Roman" w:hAnsi="Times New Roman"/>
          <w:sz w:val="20"/>
        </w:rPr>
        <w:t xml:space="preserve"> </w:t>
      </w:r>
    </w:p>
    <w:p>
      <w:pPr>
        <w:pStyle w:val="TextBody"/>
        <w:spacing w:lineRule="auto" w:line="247" w:before="280" w:after="0"/>
        <w:jc w:val="both"/>
        <w:rPr>
          <w:rFonts w:ascii="Arial" w:hAnsi="Arial"/>
          <w:b w:val="false"/>
          <w:sz w:val="20"/>
        </w:rPr>
      </w:pPr>
      <w:r>
        <w:rPr>
          <w:rFonts w:ascii="Arial" w:hAnsi="Arial"/>
          <w:b w:val="false"/>
          <w:sz w:val="20"/>
        </w:rPr>
        <w:t>The Company may also be obligated to pay the following if the related milestones are reached:</w:t>
      </w:r>
    </w:p>
    <w:p>
      <w:pPr>
        <w:pStyle w:val="TextBody"/>
        <w:spacing w:lineRule="auto" w:line="247" w:before="120" w:after="0"/>
        <w:jc w:val="both"/>
        <w:rPr/>
      </w:pPr>
      <w:r>
        <w:rPr/>
        <w:t>•</w:t>
      </w:r>
    </w:p>
    <w:p>
      <w:pPr>
        <w:pStyle w:val="TextBody"/>
        <w:spacing w:lineRule="auto" w:line="247" w:before="120" w:after="0"/>
        <w:jc w:val="both"/>
        <w:rPr>
          <w:rFonts w:ascii="Arial" w:hAnsi="Arial"/>
          <w:sz w:val="20"/>
        </w:rPr>
      </w:pPr>
      <w:r>
        <w:rPr>
          <w:rFonts w:ascii="Arial" w:hAnsi="Arial"/>
          <w:b w:val="false"/>
          <w:sz w:val="20"/>
        </w:rPr>
        <w:t>$300,000</w:t>
      </w:r>
      <w:r>
        <w:rPr>
          <w:rFonts w:ascii="Arial" w:hAnsi="Arial"/>
          <w:sz w:val="20"/>
        </w:rPr>
        <w:t xml:space="preserve"> – </w:t>
      </w:r>
      <w:r>
        <w:rPr>
          <w:rFonts w:ascii="Arial" w:hAnsi="Arial"/>
          <w:b w:val="false"/>
          <w:sz w:val="20"/>
        </w:rPr>
        <w:t>At initiation of the first Phase 3 clinical trial in the United States, European Union or Japan for the first licensed product; and</w:t>
      </w:r>
    </w:p>
    <w:p>
      <w:pPr>
        <w:pStyle w:val="TextBody"/>
        <w:spacing w:lineRule="auto" w:line="247" w:before="120" w:after="0"/>
        <w:jc w:val="both"/>
        <w:rPr/>
      </w:pPr>
      <w:r>
        <w:rPr/>
        <w:t>•</w:t>
      </w:r>
    </w:p>
    <w:p>
      <w:pPr>
        <w:pStyle w:val="TextBody"/>
        <w:spacing w:lineRule="auto" w:line="247" w:before="120" w:after="283"/>
        <w:jc w:val="both"/>
        <w:rPr>
          <w:rFonts w:ascii="Arial" w:hAnsi="Arial"/>
          <w:sz w:val="20"/>
        </w:rPr>
      </w:pPr>
      <w:r>
        <w:rPr>
          <w:rFonts w:ascii="Arial" w:hAnsi="Arial"/>
          <w:b w:val="false"/>
          <w:sz w:val="20"/>
        </w:rPr>
        <w:t>$600,000</w:t>
      </w:r>
      <w:r>
        <w:rPr>
          <w:rFonts w:ascii="Arial" w:hAnsi="Arial"/>
          <w:sz w:val="20"/>
        </w:rPr>
        <w:t xml:space="preserve"> – </w:t>
      </w:r>
      <w:r>
        <w:rPr>
          <w:rFonts w:ascii="Arial" w:hAnsi="Arial"/>
          <w:b w:val="false"/>
          <w:sz w:val="20"/>
        </w:rPr>
        <w:t>Upon receipt of marketing approval in the United States, European Union or Japan for the first licensed product.</w:t>
      </w:r>
    </w:p>
    <w:p>
      <w:pPr>
        <w:pStyle w:val="TextBody"/>
        <w:spacing w:lineRule="auto" w:line="273" w:before="280" w:after="0"/>
        <w:jc w:val="both"/>
        <w:rPr>
          <w:rFonts w:ascii="Times New Roman" w:hAnsi="Times New Roman"/>
          <w:sz w:val="20"/>
        </w:rPr>
      </w:pPr>
      <w:r>
        <w:rPr>
          <w:rFonts w:ascii="Arial" w:hAnsi="Arial"/>
          <w:b w:val="false"/>
          <w:sz w:val="20"/>
        </w:rPr>
        <w:t>Under the terms of the agreement, the Company will pay a royalty in the mid-single digits of net sales, with the first $100,000</w:t>
      </w:r>
      <w:r>
        <w:rPr>
          <w:rFonts w:ascii="Times New Roman" w:hAnsi="Times New Roman"/>
          <w:sz w:val="20"/>
        </w:rPr>
        <w:t xml:space="preserve"> </w:t>
      </w:r>
      <w:r>
        <w:rPr>
          <w:rFonts w:ascii="Arial" w:hAnsi="Arial"/>
          <w:b w:val="false"/>
          <w:sz w:val="20"/>
        </w:rPr>
        <w:t>of net sales being exempt from royalty payment, and annual minimum royalty payments of $25,000</w:t>
      </w:r>
      <w:r>
        <w:rPr>
          <w:rFonts w:ascii="Times New Roman" w:hAnsi="Times New Roman"/>
          <w:sz w:val="20"/>
        </w:rPr>
        <w:t xml:space="preserve"> </w:t>
      </w:r>
      <w:r>
        <w:rPr>
          <w:rFonts w:ascii="Arial" w:hAnsi="Arial"/>
          <w:b w:val="false"/>
          <w:sz w:val="20"/>
        </w:rPr>
        <w:t>beginning after the first commercial sale of a licensed product. As of</w:t>
      </w:r>
      <w:r>
        <w:rPr>
          <w:rFonts w:ascii="Times New Roman" w:hAnsi="Times New Roman"/>
          <w:sz w:val="20"/>
        </w:rPr>
        <w:t xml:space="preserve"> </w:t>
      </w:r>
      <w:r>
        <w:rPr>
          <w:rFonts w:ascii="Arial" w:hAnsi="Arial"/>
          <w:b w:val="false"/>
          <w:sz w:val="20"/>
        </w:rPr>
        <w:t>March 31, 2022, no</w:t>
      </w:r>
      <w:r>
        <w:rPr>
          <w:rFonts w:ascii="Times New Roman" w:hAnsi="Times New Roman"/>
          <w:sz w:val="20"/>
        </w:rPr>
        <w:t xml:space="preserve"> </w:t>
      </w:r>
      <w:r>
        <w:rPr>
          <w:rFonts w:ascii="Arial" w:hAnsi="Arial"/>
          <w:b w:val="false"/>
          <w:sz w:val="20"/>
        </w:rPr>
        <w:t>sales of any licensed products had occurred and the Company had not incurred a royalty obligation under this agreement.</w:t>
      </w:r>
    </w:p>
    <w:p>
      <w:pPr>
        <w:pStyle w:val="TextBody"/>
        <w:spacing w:lineRule="auto" w:line="273" w:before="280" w:after="0"/>
        <w:jc w:val="both"/>
        <w:rPr>
          <w:rFonts w:ascii="Arial" w:hAnsi="Arial"/>
          <w:b w:val="false"/>
          <w:sz w:val="20"/>
        </w:rPr>
      </w:pPr>
      <w:r>
        <w:rPr>
          <w:rFonts w:ascii="Arial" w:hAnsi="Arial"/>
          <w:b w:val="false"/>
          <w:sz w:val="20"/>
        </w:rPr>
        <w:t>Additionally, the agreement allows the Company to sublicense the rights conveyed by the agreement, subject to additional payments to WSU based upon the sublicense consideration received in such event. Such amounts are dependent on the terms of the underlying sublicense and range from the mid-single digits to mid-teens of any non-sales based payments received, and low twenties of net sales based sublicense royalties. As of March 31, 2022, the Company has not entered into or incurred any liability from a sublicense agreement.</w:t>
      </w:r>
    </w:p>
    <w:p>
      <w:pPr>
        <w:pStyle w:val="TextBody"/>
        <w:spacing w:lineRule="auto" w:line="273" w:before="240" w:after="0"/>
        <w:jc w:val="center"/>
        <w:rPr>
          <w:rFonts w:ascii="Arial" w:hAnsi="Arial"/>
          <w:b w:val="false"/>
          <w:sz w:val="20"/>
        </w:rPr>
      </w:pPr>
      <w:r>
        <w:rPr>
          <w:rFonts w:ascii="Arial" w:hAnsi="Arial"/>
          <w:b w:val="false"/>
          <w:sz w:val="20"/>
        </w:rPr>
        <w:t>15</w:t>
      </w:r>
    </w:p>
    <w:p>
      <w:pPr>
        <w:pStyle w:val="HorizontalLine"/>
        <w:rPr/>
      </w:pPr>
      <w:r>
        <w:rPr/>
      </w:r>
    </w:p>
    <w:p>
      <w:pPr>
        <w:pStyle w:val="TextBody"/>
        <w:spacing w:lineRule="auto" w:line="273" w:before="0" w:after="0"/>
        <w:jc w:val="left"/>
        <w:rPr/>
      </w:pPr>
      <w:r>
        <w:rPr/>
        <w:t> </w:t>
      </w:r>
    </w:p>
    <w:p>
      <w:pPr>
        <w:pStyle w:val="TextBody"/>
        <w:spacing w:lineRule="auto" w:line="259" w:before="160" w:after="0"/>
        <w:jc w:val="both"/>
        <w:rPr>
          <w:rFonts w:ascii="Arial" w:hAnsi="Arial"/>
          <w:b/>
          <w:sz w:val="20"/>
        </w:rPr>
      </w:pPr>
      <w:r>
        <w:rPr>
          <w:rFonts w:ascii="Arial" w:hAnsi="Arial"/>
          <w:b/>
          <w:sz w:val="20"/>
        </w:rPr>
        <w:t>8. Commitments and Contingencies</w:t>
      </w:r>
    </w:p>
    <w:p>
      <w:pPr>
        <w:pStyle w:val="TextBody"/>
        <w:spacing w:lineRule="auto" w:line="273" w:before="280" w:after="0"/>
        <w:jc w:val="both"/>
        <w:rPr>
          <w:rFonts w:ascii="Arial" w:hAnsi="Arial"/>
          <w:b/>
          <w:i/>
          <w:sz w:val="20"/>
        </w:rPr>
      </w:pPr>
      <w:r>
        <w:rPr>
          <w:rFonts w:ascii="Arial" w:hAnsi="Arial"/>
          <w:b/>
          <w:i/>
          <w:sz w:val="20"/>
        </w:rPr>
        <w:t>Legal Proceedings</w:t>
      </w:r>
    </w:p>
    <w:p>
      <w:pPr>
        <w:pStyle w:val="TextBody"/>
        <w:spacing w:lineRule="auto" w:line="273" w:before="280" w:after="0"/>
        <w:jc w:val="both"/>
        <w:rPr>
          <w:rFonts w:ascii="Arial" w:hAnsi="Arial"/>
          <w:b w:val="false"/>
          <w:sz w:val="20"/>
        </w:rPr>
      </w:pPr>
      <w:r>
        <w:rPr>
          <w:rFonts w:ascii="Arial" w:hAnsi="Arial"/>
          <w:b w:val="false"/>
          <w:sz w:val="20"/>
        </w:rPr>
        <w:t>From time to time, the Company is subject to various legal proceedings or claims that arise in the ordinary course of business. The Company accrues a liability when the Company's management believes that it is both probable that a liability has been incurred and the amount of loss can be reasonably estimated, and as of March 31, 2022, the Company has not recorded any such liabilities. The following is a brief description of the more significant legal proceedings.</w:t>
      </w:r>
    </w:p>
    <w:p>
      <w:pPr>
        <w:pStyle w:val="TextBody"/>
        <w:spacing w:lineRule="auto" w:line="273" w:before="280" w:after="0"/>
        <w:jc w:val="both"/>
        <w:rPr>
          <w:rFonts w:ascii="Arial" w:hAnsi="Arial"/>
          <w:b/>
          <w:sz w:val="20"/>
        </w:rPr>
      </w:pPr>
      <w:r>
        <w:rPr>
          <w:rFonts w:ascii="Arial" w:hAnsi="Arial"/>
          <w:b/>
          <w:sz w:val="20"/>
        </w:rPr>
        <w:t>Securities Class Actions</w:t>
      </w:r>
    </w:p>
    <w:p>
      <w:pPr>
        <w:pStyle w:val="TextBody"/>
        <w:spacing w:lineRule="auto" w:line="273" w:before="280" w:after="0"/>
        <w:jc w:val="both"/>
        <w:rPr>
          <w:rFonts w:ascii="Times New Roman" w:hAnsi="Times New Roman"/>
          <w:sz w:val="20"/>
        </w:rPr>
      </w:pPr>
      <w:r>
        <w:rPr>
          <w:rFonts w:ascii="Arial" w:hAnsi="Arial"/>
          <w:b w:val="false"/>
          <w:sz w:val="20"/>
        </w:rPr>
        <w:t>On June 25, 2021, plaintiffs Fan Wang and Hang Gao</w:t>
      </w:r>
      <w:r>
        <w:rPr>
          <w:rFonts w:ascii="Times New Roman" w:hAnsi="Times New Roman"/>
          <w:sz w:val="20"/>
        </w:rPr>
        <w:t xml:space="preserve"> </w:t>
      </w:r>
      <w:r>
        <w:rPr>
          <w:rFonts w:ascii="Arial" w:hAnsi="Arial"/>
          <w:b w:val="false"/>
          <w:sz w:val="20"/>
        </w:rPr>
        <w:t xml:space="preserve">filed a putative securities class action lawsuit in the U.S. District Court for the Western District of Washington against the Company and the Company’s former Chief Executive Officer Dr. Leen Kawas, captioned </w:t>
      </w:r>
      <w:r>
        <w:rPr>
          <w:rFonts w:ascii="Arial" w:hAnsi="Arial"/>
          <w:b w:val="false"/>
          <w:i/>
          <w:sz w:val="20"/>
        </w:rPr>
        <w:t>Wang v. Athira Pharma, Inc., et al.</w:t>
      </w:r>
      <w:r>
        <w:rPr>
          <w:rFonts w:ascii="Arial" w:hAnsi="Arial"/>
          <w:b w:val="false"/>
          <w:sz w:val="20"/>
        </w:rPr>
        <w:t xml:space="preserve">, No. 2:21-cv-00861. Plaintiffs Wang and Gao assert claims under Sections 10(b) and 20(a) of the Securities Exchange Act of 1934 and SEC Rule 10b-5, alleging that the defendants made materially false and misleading statements and omitted material adverse facts regarding the Company’s business. Specifically, the </w:t>
      </w:r>
      <w:r>
        <w:rPr>
          <w:rFonts w:ascii="Arial" w:hAnsi="Arial"/>
          <w:b w:val="false"/>
          <w:i/>
          <w:sz w:val="20"/>
        </w:rPr>
        <w:t xml:space="preserve">Wang </w:t>
      </w:r>
      <w:r>
        <w:rPr>
          <w:rFonts w:ascii="Arial" w:hAnsi="Arial"/>
          <w:b w:val="false"/>
          <w:sz w:val="20"/>
        </w:rPr>
        <w:t xml:space="preserve">plaintiffs allege that the Company failed to disclose to investors that certain research conducted by Dr. Kawas was allegedly tainted by scientific misconduct during her doctoral work at WSU, including the manipulation of data, and that as a result, the defendants’ positive statements about the Company’s business, operations, and prospects were materially misleading. The </w:t>
      </w:r>
      <w:r>
        <w:rPr>
          <w:rFonts w:ascii="Arial" w:hAnsi="Arial"/>
          <w:b w:val="false"/>
          <w:i/>
          <w:sz w:val="20"/>
        </w:rPr>
        <w:t xml:space="preserve">Wang </w:t>
      </w:r>
      <w:r>
        <w:rPr>
          <w:rFonts w:ascii="Arial" w:hAnsi="Arial"/>
          <w:b w:val="false"/>
          <w:sz w:val="20"/>
        </w:rPr>
        <w:t>plaintiffs seek unspecified compensatory and punitive damages, and reasonable costs and expenses, including attorneys’ fees.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80" w:after="0"/>
        <w:jc w:val="both"/>
        <w:rPr>
          <w:rFonts w:ascii="Times New Roman" w:hAnsi="Times New Roman"/>
          <w:sz w:val="20"/>
        </w:rPr>
      </w:pPr>
      <w:r>
        <w:rPr>
          <w:rFonts w:ascii="Arial" w:hAnsi="Arial"/>
          <w:b w:val="false"/>
          <w:sz w:val="20"/>
        </w:rPr>
        <w:t>That same day, on June 25, 2021, plaintiff Harshdeep Jawandha</w:t>
      </w:r>
      <w:r>
        <w:rPr>
          <w:rFonts w:ascii="Times New Roman" w:hAnsi="Times New Roman"/>
          <w:sz w:val="20"/>
        </w:rPr>
        <w:t xml:space="preserve"> </w:t>
      </w:r>
      <w:r>
        <w:rPr>
          <w:rFonts w:ascii="Arial" w:hAnsi="Arial"/>
          <w:b w:val="false"/>
          <w:sz w:val="20"/>
        </w:rPr>
        <w:t xml:space="preserve">filed a putative securities class action lawsuit in the U.S. District Court for the Western District of Washington against the Company, Dr. Kawas, the Company’s Chief Financial Officer, certain members of the Company’s board of directors at the time of the Company’s IPO, as well as the IPO underwriters, captioned </w:t>
      </w:r>
      <w:r>
        <w:rPr>
          <w:rFonts w:ascii="Arial" w:hAnsi="Arial"/>
          <w:b w:val="false"/>
          <w:i/>
          <w:sz w:val="20"/>
        </w:rPr>
        <w:t>Jawandha v. Athira Pharma, Inc., et al.</w:t>
      </w:r>
      <w:r>
        <w:rPr>
          <w:rFonts w:ascii="Arial" w:hAnsi="Arial"/>
          <w:b w:val="false"/>
          <w:sz w:val="20"/>
        </w:rPr>
        <w:t xml:space="preserve">, No. 2:21-cv-00862. The </w:t>
      </w:r>
      <w:r>
        <w:rPr>
          <w:rFonts w:ascii="Arial" w:hAnsi="Arial"/>
          <w:b w:val="false"/>
          <w:i/>
          <w:sz w:val="20"/>
        </w:rPr>
        <w:t>Jawandha</w:t>
      </w:r>
      <w:r>
        <w:rPr>
          <w:rFonts w:ascii="Times New Roman" w:hAnsi="Times New Roman"/>
          <w:sz w:val="20"/>
        </w:rPr>
        <w:t xml:space="preserve"> </w:t>
      </w:r>
      <w:r>
        <w:rPr>
          <w:rFonts w:ascii="Arial" w:hAnsi="Arial"/>
          <w:b w:val="false"/>
          <w:sz w:val="20"/>
        </w:rPr>
        <w:t>complaint asserts violations of Sections 11 and 15 of the Securities Act of 1933, alleging that that the Company’s IPO registration statement was materially false and misleading because it omitted to state that certain of Dr. Kawas’s published doctoral research papers at WSU contained allegedly improperly altered images, that the research was allegedly foundational to the Company’s efforts to develop treatments for Alzheimer’s disease, and that the defendants’ positive statements about the Company’s business, operations, and prospects were materially misleading. The plaintiff seeks unspecified compensatory damages, and reasonable costs and expenses, including attorneys’ fees.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80" w:after="0"/>
        <w:jc w:val="both"/>
        <w:rPr>
          <w:rFonts w:ascii="Times New Roman" w:hAnsi="Times New Roman"/>
          <w:sz w:val="20"/>
        </w:rPr>
      </w:pPr>
      <w:r>
        <w:rPr>
          <w:rFonts w:ascii="Arial" w:hAnsi="Arial"/>
          <w:b w:val="false"/>
          <w:sz w:val="20"/>
        </w:rPr>
        <w:t>Also on June 25, 2021, plaintiffs Timothy Slyne and Tai Slyne</w:t>
      </w:r>
      <w:r>
        <w:rPr>
          <w:rFonts w:ascii="Times New Roman" w:hAnsi="Times New Roman"/>
          <w:sz w:val="20"/>
        </w:rPr>
        <w:t xml:space="preserve"> </w:t>
      </w:r>
      <w:r>
        <w:rPr>
          <w:rFonts w:ascii="Arial" w:hAnsi="Arial"/>
          <w:b w:val="false"/>
          <w:sz w:val="20"/>
        </w:rPr>
        <w:t xml:space="preserve">filed a putative securities class action lawsuit in the U.S. District Court for the Western District of Washington against the Company, Dr. Kawas, the Company’s Chief Financial Officer, and the same members of the Company’s board of directors and underwriters as in the </w:t>
      </w:r>
      <w:r>
        <w:rPr>
          <w:rFonts w:ascii="Arial" w:hAnsi="Arial"/>
          <w:b w:val="false"/>
          <w:i/>
          <w:sz w:val="20"/>
        </w:rPr>
        <w:t>Jawandha</w:t>
      </w:r>
      <w:r>
        <w:rPr>
          <w:rFonts w:ascii="Times New Roman" w:hAnsi="Times New Roman"/>
          <w:sz w:val="20"/>
        </w:rPr>
        <w:t xml:space="preserve"> </w:t>
      </w:r>
      <w:r>
        <w:rPr>
          <w:rFonts w:ascii="Arial" w:hAnsi="Arial"/>
          <w:b w:val="false"/>
          <w:sz w:val="20"/>
        </w:rPr>
        <w:t xml:space="preserve">complaint, captioned </w:t>
      </w:r>
      <w:r>
        <w:rPr>
          <w:rFonts w:ascii="Arial" w:hAnsi="Arial"/>
          <w:b w:val="false"/>
          <w:i/>
          <w:sz w:val="20"/>
        </w:rPr>
        <w:t>Slyne v. Athira Pharma, Inc. et al.</w:t>
      </w:r>
      <w:r>
        <w:rPr>
          <w:rFonts w:ascii="Arial" w:hAnsi="Arial"/>
          <w:b w:val="false"/>
          <w:sz w:val="20"/>
        </w:rPr>
        <w:t xml:space="preserve">, No. 2:21-cv-00864. The </w:t>
      </w:r>
      <w:r>
        <w:rPr>
          <w:rFonts w:ascii="Arial" w:hAnsi="Arial"/>
          <w:b w:val="false"/>
          <w:i/>
          <w:sz w:val="20"/>
        </w:rPr>
        <w:t xml:space="preserve">Slyne </w:t>
      </w:r>
      <w:r>
        <w:rPr>
          <w:rFonts w:ascii="Arial" w:hAnsi="Arial"/>
          <w:b w:val="false"/>
          <w:sz w:val="20"/>
        </w:rPr>
        <w:t xml:space="preserve">complaint asserts violations of Sections 11 and 15 of the Securities Act of 1933, alleging that purported issues with Dr. Kawas’s doctoral research at WSU should have been disclosed in the Company’s IPO registration statement. The </w:t>
      </w:r>
      <w:r>
        <w:rPr>
          <w:rFonts w:ascii="Arial" w:hAnsi="Arial"/>
          <w:b w:val="false"/>
          <w:i/>
          <w:sz w:val="20"/>
        </w:rPr>
        <w:t>Slyne</w:t>
      </w:r>
      <w:r>
        <w:rPr>
          <w:rFonts w:ascii="Times New Roman" w:hAnsi="Times New Roman"/>
          <w:sz w:val="20"/>
        </w:rPr>
        <w:t xml:space="preserve"> </w:t>
      </w:r>
      <w:r>
        <w:rPr>
          <w:rFonts w:ascii="Arial" w:hAnsi="Arial"/>
          <w:b w:val="false"/>
          <w:sz w:val="20"/>
        </w:rPr>
        <w:t>plaintiffs</w:t>
      </w:r>
      <w:r>
        <w:rPr>
          <w:rFonts w:ascii="Times New Roman" w:hAnsi="Times New Roman"/>
          <w:sz w:val="20"/>
        </w:rPr>
        <w:t xml:space="preserve"> </w:t>
      </w:r>
      <w:r>
        <w:rPr>
          <w:rFonts w:ascii="Arial" w:hAnsi="Arial"/>
          <w:b w:val="false"/>
          <w:sz w:val="20"/>
        </w:rPr>
        <w:t>seek unspecified compensatory damages, reasonable costs and expenses, including attorneys’ fees, and injunctive and other equitable relief.</w:t>
      </w:r>
    </w:p>
    <w:p>
      <w:pPr>
        <w:pStyle w:val="TextBody"/>
        <w:spacing w:lineRule="auto" w:line="273" w:before="280" w:after="0"/>
        <w:jc w:val="both"/>
        <w:rPr>
          <w:rFonts w:ascii="Times New Roman" w:hAnsi="Times New Roman"/>
          <w:sz w:val="20"/>
        </w:rPr>
      </w:pPr>
      <w:r>
        <w:rPr>
          <w:rFonts w:ascii="Arial" w:hAnsi="Arial"/>
          <w:b w:val="false"/>
          <w:sz w:val="20"/>
        </w:rPr>
        <w:t xml:space="preserve">On August 9, 2021, the district court judge presiding over </w:t>
      </w:r>
      <w:r>
        <w:rPr>
          <w:rFonts w:ascii="Arial" w:hAnsi="Arial"/>
          <w:b w:val="false"/>
          <w:i/>
          <w:sz w:val="20"/>
        </w:rPr>
        <w:t>Wang v. Athira Pharma, Inc., et al.</w:t>
      </w:r>
      <w:r>
        <w:rPr>
          <w:rFonts w:ascii="Arial" w:hAnsi="Arial"/>
          <w:b w:val="false"/>
          <w:sz w:val="20"/>
        </w:rPr>
        <w:t>, No. 2:21-cv-00861, issued an order consolidating the three cases under that case number. On October 5, 2021, the district court issued an order appointing lead plaintiffs and approved their selection of lead and liaison counsel.</w:t>
      </w:r>
    </w:p>
    <w:p>
      <w:pPr>
        <w:pStyle w:val="TextBody"/>
        <w:spacing w:lineRule="auto" w:line="273" w:before="280" w:after="0"/>
        <w:jc w:val="both"/>
        <w:rPr>
          <w:rFonts w:ascii="Arial" w:hAnsi="Arial"/>
          <w:b w:val="false"/>
          <w:sz w:val="20"/>
        </w:rPr>
      </w:pPr>
      <w:r>
        <w:rPr>
          <w:rFonts w:ascii="Arial" w:hAnsi="Arial"/>
          <w:b w:val="false"/>
          <w:sz w:val="20"/>
        </w:rPr>
        <w:t>On January 7, 2022, lead plaintiffs filed a consolidated amended complaint, which asserts violations of Sections 10(b) and 20(a) of the Securities Exchange Act of 1934 and SEC Rule 10b-5 and Sections 11, 12, and 15 of the Securities Act of 1933. The consolidated amended complaint is brought against the Company, Dr. Kawas, the Company’s chief financial officer, certain members of the Company's board of directors at the time of the Company's IPO and secondary public offering (SPO), and the IPO and SPO underwriters. As with the previous complaints, it is based on allegations that the IPO and SPO registration statements and/or other public statements were materially false and misleading because they omitted to state that certain of Dr. Kawas’s published doctoral research papers at WSU contained allegedly improperly altered images. Lead plaintiffs seek unspecified compensatory damages, as well as equitable and injunctive relief on behalf of themselves and the purported class. On March 8, 2022, the defendants filed a motion to dismiss lead plaintiffs’ consolidated amended complaint for failure to state a claim under the federal securities laws. Lead plaintiffs filed an opposition to the defendants’ motion to dismiss on May 6, 2022. The defendants’ reply in support of their motion to dismiss is due to be filed on June 6, 2022.</w:t>
      </w:r>
    </w:p>
    <w:p>
      <w:pPr>
        <w:pStyle w:val="TextBody"/>
        <w:spacing w:lineRule="auto" w:line="273" w:before="240" w:after="0"/>
        <w:jc w:val="center"/>
        <w:rPr>
          <w:rFonts w:ascii="Arial" w:hAnsi="Arial"/>
          <w:b w:val="false"/>
          <w:sz w:val="20"/>
        </w:rPr>
      </w:pPr>
      <w:r>
        <w:rPr>
          <w:rFonts w:ascii="Arial" w:hAnsi="Arial"/>
          <w:b w:val="false"/>
          <w:sz w:val="20"/>
        </w:rPr>
        <w:t>16</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Arial" w:hAnsi="Arial"/>
          <w:b/>
          <w:sz w:val="20"/>
        </w:rPr>
      </w:pPr>
      <w:r>
        <w:rPr>
          <w:rFonts w:ascii="Arial" w:hAnsi="Arial"/>
          <w:b/>
          <w:sz w:val="20"/>
        </w:rPr>
        <w:t>Shareholder Derivative Actions</w:t>
      </w:r>
    </w:p>
    <w:p>
      <w:pPr>
        <w:pStyle w:val="TextBody"/>
        <w:spacing w:lineRule="auto" w:line="273" w:before="280" w:after="0"/>
        <w:jc w:val="both"/>
        <w:rPr>
          <w:rFonts w:ascii="Times New Roman" w:hAnsi="Times New Roman"/>
          <w:sz w:val="20"/>
        </w:rPr>
      </w:pPr>
      <w:r>
        <w:rPr>
          <w:rFonts w:ascii="Arial" w:hAnsi="Arial"/>
          <w:b w:val="false"/>
          <w:sz w:val="20"/>
        </w:rPr>
        <w:t xml:space="preserve">On April 14, 2022, a shareholder derivative action was filed by plaintiff Stephen Bushansky in the U.S. District Court for the Western District of Washington against certain current and former members of the Company’s board of directors, titled </w:t>
      </w:r>
      <w:r>
        <w:rPr>
          <w:rFonts w:ascii="Arial" w:hAnsi="Arial"/>
          <w:b w:val="false"/>
          <w:i/>
          <w:sz w:val="20"/>
        </w:rPr>
        <w:t>Bushansky v. Kawas et al.</w:t>
      </w:r>
      <w:r>
        <w:rPr>
          <w:rFonts w:ascii="Arial" w:hAnsi="Arial"/>
          <w:b w:val="false"/>
          <w:sz w:val="20"/>
        </w:rPr>
        <w:t>, No. 2:22-cv-497. Plaintiff purports to bring the action derivatively on behalf of the Company, which is a nominal defendant to the action. The derivative complaint alleges that the Company’s board of directors breached its fiduciary duties by failing to prevent alleged misstatements in the Company’s public filings, failing to discover altered images in certain research papers, and failing to take appropriate action. The derivative complaint asserts claims for violations of Section 14(a) of the Exchange Act as well as claims for breach of fiduciary duty, contribution and indemnification, aiding and abetting, and waste of corporate assets. The derivative complaint seeks unspecified damages, disgorgement of profits, benefits, and other compensation received by the individual defendants, restitution, declaratory relief, and an award of costs and expenses to the derivative plaintiff, including attorneys’ fees.</w:t>
      </w:r>
    </w:p>
    <w:p>
      <w:pPr>
        <w:pStyle w:val="TextBody"/>
        <w:spacing w:lineRule="auto" w:line="273" w:before="280" w:after="0"/>
        <w:jc w:val="both"/>
        <w:rPr>
          <w:rFonts w:ascii="Times New Roman" w:hAnsi="Times New Roman"/>
          <w:sz w:val="20"/>
        </w:rPr>
      </w:pPr>
      <w:r>
        <w:rPr>
          <w:rFonts w:ascii="Arial" w:hAnsi="Arial"/>
          <w:b w:val="false"/>
          <w:sz w:val="20"/>
        </w:rPr>
        <w:t xml:space="preserve">On May 6, 2022, a second shareholder derivative action was filed by plaintiff Thomas Houlihan in the U.S. District Court for the Western District of Washington against certain current and former directors and officers of the Company, titled </w:t>
      </w:r>
      <w:r>
        <w:rPr>
          <w:rFonts w:ascii="Arial" w:hAnsi="Arial"/>
          <w:b w:val="false"/>
          <w:i/>
          <w:sz w:val="20"/>
        </w:rPr>
        <w:t>Houlihan v. Kawas et al</w:t>
      </w:r>
      <w:r>
        <w:rPr>
          <w:rFonts w:ascii="Arial" w:hAnsi="Arial"/>
          <w:b w:val="false"/>
          <w:sz w:val="20"/>
        </w:rPr>
        <w:t>., No. 2:22-cv-620. Plaintiff purports to bring the action derivatively on behalf of the Company, which is a nominal defendant to the action. The derivative complaint alleges that certain of the Company’s current and former directors and officers breached their fiduciary duties by failing to prevent alleged misstatements in the Company’s public filings and failing to take appropriate action regarding altered images in certain research papers. The derivative complaint asserts claims for violations of Section 14(a) of the Exchange Act as well as claims for breach of fiduciary duties, contribution, and indemnification. The derivative complaint seeks unspecified damages, unspecified corporate governance reforms, restitution, and an award of costs and expenses to the derivative plaintiff, including attorneys’ fees.</w:t>
      </w:r>
    </w:p>
    <w:p>
      <w:pPr>
        <w:pStyle w:val="TextBody"/>
        <w:spacing w:lineRule="auto" w:line="273" w:before="280" w:after="0"/>
        <w:jc w:val="both"/>
        <w:rPr>
          <w:rFonts w:ascii="Arial" w:hAnsi="Arial"/>
          <w:b w:val="false"/>
          <w:sz w:val="20"/>
        </w:rPr>
      </w:pPr>
      <w:r>
        <w:rPr>
          <w:rFonts w:ascii="Arial" w:hAnsi="Arial"/>
          <w:b w:val="false"/>
          <w:sz w:val="20"/>
        </w:rPr>
        <w:t>The Company cannot predict the outcome of these suits, and failure by the Company to obtain a favorable resolution of these suits could have a material adverse effect on its business, results of operations and financial condition. The Company’s chances of success on the merits are still uncertain and any possible loss or range of loss cannot be reasonably estimated and as such the Company has not recorded a liability as of March 31, 2022.</w:t>
      </w:r>
    </w:p>
    <w:p>
      <w:pPr>
        <w:pStyle w:val="TextBody"/>
        <w:spacing w:lineRule="auto" w:line="259" w:before="280" w:after="0"/>
        <w:jc w:val="both"/>
        <w:rPr>
          <w:rFonts w:ascii="Times New Roman" w:hAnsi="Times New Roman"/>
          <w:sz w:val="20"/>
        </w:rPr>
      </w:pPr>
      <w:r>
        <w:rPr>
          <w:rFonts w:ascii="Arial" w:hAnsi="Arial"/>
          <w:b/>
          <w:i/>
          <w:sz w:val="20"/>
        </w:rPr>
        <w:t>Operating Leases</w:t>
      </w:r>
      <w:r>
        <w:rPr>
          <w:rFonts w:ascii="Times New Roman" w:hAnsi="Times New Roman"/>
          <w:sz w:val="20"/>
        </w:rPr>
        <w:t xml:space="preserve"> </w:t>
      </w:r>
    </w:p>
    <w:p>
      <w:pPr>
        <w:pStyle w:val="TextBody"/>
        <w:spacing w:lineRule="auto" w:line="264" w:before="0" w:after="0"/>
        <w:jc w:val="both"/>
        <w:rPr/>
      </w:pPr>
      <w:r>
        <w:rPr/>
        <w:t> </w:t>
      </w:r>
    </w:p>
    <w:p>
      <w:pPr>
        <w:pStyle w:val="TextBody"/>
        <w:spacing w:lineRule="auto" w:line="273" w:before="160" w:after="0"/>
        <w:jc w:val="both"/>
        <w:rPr>
          <w:rFonts w:ascii="Times New Roman" w:hAnsi="Times New Roman"/>
          <w:sz w:val="20"/>
        </w:rPr>
      </w:pPr>
      <w:r>
        <w:rPr>
          <w:rFonts w:ascii="Arial" w:hAnsi="Arial"/>
          <w:b w:val="false"/>
          <w:sz w:val="20"/>
        </w:rPr>
        <w:t>The Company has operating leases for laboratory and office facilities in Bothell, Washington that expire in August 2027. The initial terms of the leases range from 6.3</w:t>
      </w:r>
      <w:r>
        <w:rPr>
          <w:rFonts w:ascii="Times New Roman" w:hAnsi="Times New Roman"/>
          <w:sz w:val="20"/>
        </w:rPr>
        <w:t xml:space="preserve"> </w:t>
      </w:r>
      <w:r>
        <w:rPr>
          <w:rFonts w:ascii="Arial" w:hAnsi="Arial"/>
          <w:b w:val="false"/>
          <w:sz w:val="20"/>
        </w:rPr>
        <w:t>to 7</w:t>
      </w:r>
      <w:r>
        <w:rPr>
          <w:rFonts w:ascii="Times New Roman" w:hAnsi="Times New Roman"/>
          <w:sz w:val="20"/>
        </w:rPr>
        <w:t xml:space="preserve"> </w:t>
      </w:r>
      <w:r>
        <w:rPr>
          <w:rFonts w:ascii="Arial" w:hAnsi="Arial"/>
          <w:b w:val="false"/>
          <w:sz w:val="20"/>
        </w:rPr>
        <w:t>years and the Company has options to extend</w:t>
      </w:r>
      <w:r>
        <w:rPr>
          <w:rFonts w:ascii="Times New Roman" w:hAnsi="Times New Roman"/>
          <w:sz w:val="20"/>
        </w:rPr>
        <w:t xml:space="preserve"> </w:t>
      </w:r>
      <w:r>
        <w:rPr>
          <w:rFonts w:ascii="Arial" w:hAnsi="Arial"/>
          <w:b w:val="false"/>
          <w:sz w:val="20"/>
        </w:rPr>
        <w:t>the leases for an additional five years</w:t>
      </w:r>
      <w:r>
        <w:rPr>
          <w:rFonts w:ascii="Times New Roman" w:hAnsi="Times New Roman"/>
          <w:sz w:val="20"/>
        </w:rPr>
        <w:t xml:space="preserve"> </w:t>
      </w:r>
      <w:r>
        <w:rPr>
          <w:rFonts w:ascii="Arial" w:hAnsi="Arial"/>
          <w:b w:val="false"/>
          <w:sz w:val="20"/>
        </w:rPr>
        <w:t>that it is not reasonably certain to exercise. As of March 31, 2022, the Company was not party to any finance leases.</w:t>
      </w:r>
    </w:p>
    <w:p>
      <w:pPr>
        <w:pStyle w:val="TextBody"/>
        <w:spacing w:lineRule="auto" w:line="273" w:before="280" w:after="0"/>
        <w:jc w:val="both"/>
        <w:rPr>
          <w:rFonts w:ascii="Arial" w:hAnsi="Arial"/>
          <w:b w:val="false"/>
          <w:sz w:val="20"/>
        </w:rPr>
      </w:pPr>
      <w:r>
        <w:rPr>
          <w:rFonts w:ascii="Arial" w:hAnsi="Arial"/>
          <w:b w:val="false"/>
          <w:sz w:val="20"/>
        </w:rPr>
        <w:t>The following table reconciles the Company’s undiscounted operating lease cash flows to its operating lease liability (in thousands):</w:t>
      </w:r>
    </w:p>
    <w:p>
      <w:pPr>
        <w:pStyle w:val="TextBody"/>
        <w:spacing w:lineRule="auto" w:line="259" w:before="0" w:after="0"/>
        <w:jc w:val="both"/>
        <w:rPr/>
      </w:pPr>
      <w:r>
        <w:rPr/>
        <w:t> </w:t>
      </w:r>
    </w:p>
    <w:tbl>
      <w:tblPr>
        <w:tblW w:w="5498" w:type="dxa"/>
        <w:jc w:val="left"/>
        <w:tblInd w:w="0" w:type="dxa"/>
        <w:tblCellMar>
          <w:top w:w="28" w:type="dxa"/>
          <w:left w:w="28" w:type="dxa"/>
          <w:bottom w:w="28" w:type="dxa"/>
          <w:right w:w="28" w:type="dxa"/>
        </w:tblCellMar>
      </w:tblPr>
      <w:tblGrid>
        <w:gridCol w:w="4006"/>
        <w:gridCol w:w="146"/>
        <w:gridCol w:w="226"/>
        <w:gridCol w:w="629"/>
        <w:gridCol w:w="491"/>
      </w:tblGrid>
      <w:tr>
        <w:trPr/>
        <w:tc>
          <w:tcPr>
            <w:tcW w:w="40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400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March 31,</w:t>
              <w:br/>
              <w:t>2022</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00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Remaining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29"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340</w:t>
            </w:r>
          </w:p>
        </w:tc>
        <w:tc>
          <w:tcPr>
            <w:tcW w:w="491" w:type="dxa"/>
            <w:tcBorders/>
            <w:shd w:fill="auto" w:val="clear"/>
            <w:vAlign w:val="center"/>
          </w:tcPr>
          <w:p>
            <w:pPr>
              <w:pStyle w:val="TableContents"/>
              <w:spacing w:lineRule="auto" w:line="252" w:before="0" w:after="0"/>
              <w:ind w:left="0" w:right="0" w:hanging="0"/>
              <w:jc w:val="left"/>
              <w:rPr/>
            </w:pPr>
            <w:r>
              <w:rPr/>
              <w:t> </w:t>
            </w:r>
          </w:p>
        </w:tc>
      </w:tr>
      <w:tr>
        <w:trPr/>
        <w:tc>
          <w:tcPr>
            <w:tcW w:w="400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2023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6" w:type="dxa"/>
            <w:tcBorders/>
            <w:shd w:fill="auto" w:val="clear"/>
            <w:vAlign w:val="center"/>
          </w:tcPr>
          <w:p>
            <w:pPr>
              <w:pStyle w:val="TableContents"/>
              <w:spacing w:lineRule="auto" w:line="252" w:before="0" w:after="0"/>
              <w:ind w:left="0" w:right="0" w:hanging="0"/>
              <w:jc w:val="left"/>
              <w:rPr/>
            </w:pPr>
            <w:r>
              <w:rPr/>
              <w:t> </w:t>
            </w:r>
          </w:p>
        </w:tc>
        <w:tc>
          <w:tcPr>
            <w:tcW w:w="629"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466</w:t>
            </w:r>
          </w:p>
        </w:tc>
        <w:tc>
          <w:tcPr>
            <w:tcW w:w="491" w:type="dxa"/>
            <w:tcBorders/>
            <w:shd w:fill="auto" w:val="clear"/>
            <w:vAlign w:val="center"/>
          </w:tcPr>
          <w:p>
            <w:pPr>
              <w:pStyle w:val="TableContents"/>
              <w:spacing w:lineRule="auto" w:line="252" w:before="0" w:after="0"/>
              <w:ind w:left="0" w:right="0" w:hanging="0"/>
              <w:jc w:val="left"/>
              <w:rPr/>
            </w:pPr>
            <w:r>
              <w:rPr/>
              <w:t> </w:t>
            </w:r>
          </w:p>
        </w:tc>
      </w:tr>
      <w:tr>
        <w:trPr/>
        <w:tc>
          <w:tcPr>
            <w:tcW w:w="400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2024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6" w:type="dxa"/>
            <w:tcBorders/>
            <w:shd w:fill="auto" w:val="clear"/>
            <w:vAlign w:val="center"/>
          </w:tcPr>
          <w:p>
            <w:pPr>
              <w:pStyle w:val="TableContents"/>
              <w:spacing w:lineRule="auto" w:line="252" w:before="0" w:after="0"/>
              <w:ind w:left="0" w:right="0" w:hanging="0"/>
              <w:jc w:val="left"/>
              <w:rPr/>
            </w:pPr>
            <w:r>
              <w:rPr/>
              <w:t> </w:t>
            </w:r>
          </w:p>
        </w:tc>
        <w:tc>
          <w:tcPr>
            <w:tcW w:w="629"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480</w:t>
            </w:r>
          </w:p>
        </w:tc>
        <w:tc>
          <w:tcPr>
            <w:tcW w:w="491" w:type="dxa"/>
            <w:tcBorders/>
            <w:shd w:fill="auto" w:val="clear"/>
            <w:vAlign w:val="center"/>
          </w:tcPr>
          <w:p>
            <w:pPr>
              <w:pStyle w:val="TableContents"/>
              <w:spacing w:lineRule="auto" w:line="252" w:before="0" w:after="0"/>
              <w:ind w:left="0" w:right="0" w:hanging="0"/>
              <w:jc w:val="left"/>
              <w:rPr/>
            </w:pPr>
            <w:r>
              <w:rPr/>
              <w:t> </w:t>
            </w:r>
          </w:p>
        </w:tc>
      </w:tr>
      <w:tr>
        <w:trPr/>
        <w:tc>
          <w:tcPr>
            <w:tcW w:w="400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2025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6" w:type="dxa"/>
            <w:tcBorders/>
            <w:shd w:fill="auto" w:val="clear"/>
            <w:vAlign w:val="center"/>
          </w:tcPr>
          <w:p>
            <w:pPr>
              <w:pStyle w:val="TableContents"/>
              <w:spacing w:lineRule="auto" w:line="252" w:before="0" w:after="0"/>
              <w:ind w:left="0" w:right="0" w:hanging="0"/>
              <w:jc w:val="left"/>
              <w:rPr/>
            </w:pPr>
            <w:r>
              <w:rPr/>
              <w:t> </w:t>
            </w:r>
          </w:p>
        </w:tc>
        <w:tc>
          <w:tcPr>
            <w:tcW w:w="629"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494</w:t>
            </w:r>
          </w:p>
        </w:tc>
        <w:tc>
          <w:tcPr>
            <w:tcW w:w="491" w:type="dxa"/>
            <w:tcBorders/>
            <w:shd w:fill="auto" w:val="clear"/>
            <w:vAlign w:val="center"/>
          </w:tcPr>
          <w:p>
            <w:pPr>
              <w:pStyle w:val="TableContents"/>
              <w:spacing w:lineRule="auto" w:line="252" w:before="0" w:after="0"/>
              <w:ind w:left="0" w:right="0" w:hanging="0"/>
              <w:jc w:val="left"/>
              <w:rPr/>
            </w:pPr>
            <w:r>
              <w:rPr/>
              <w:t> </w:t>
            </w:r>
          </w:p>
        </w:tc>
      </w:tr>
      <w:tr>
        <w:trPr/>
        <w:tc>
          <w:tcPr>
            <w:tcW w:w="400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Thereafter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856</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00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Total undiscounted lease payments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6" w:type="dxa"/>
            <w:tcBorders/>
            <w:shd w:fill="auto" w:val="clear"/>
            <w:vAlign w:val="center"/>
          </w:tcPr>
          <w:p>
            <w:pPr>
              <w:pStyle w:val="TableContents"/>
              <w:spacing w:lineRule="auto" w:line="252" w:before="0" w:after="0"/>
              <w:ind w:left="0" w:right="0" w:hanging="0"/>
              <w:jc w:val="left"/>
              <w:rPr/>
            </w:pPr>
            <w:r>
              <w:rPr/>
              <w:t> </w:t>
            </w:r>
          </w:p>
        </w:tc>
        <w:tc>
          <w:tcPr>
            <w:tcW w:w="629"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2,636</w:t>
            </w:r>
          </w:p>
        </w:tc>
        <w:tc>
          <w:tcPr>
            <w:tcW w:w="491" w:type="dxa"/>
            <w:tcBorders/>
            <w:shd w:fill="auto" w:val="clear"/>
            <w:vAlign w:val="center"/>
          </w:tcPr>
          <w:p>
            <w:pPr>
              <w:pStyle w:val="TableContents"/>
              <w:spacing w:lineRule="auto" w:line="252" w:before="0" w:after="0"/>
              <w:ind w:left="0" w:right="0" w:hanging="0"/>
              <w:jc w:val="left"/>
              <w:rPr/>
            </w:pPr>
            <w:r>
              <w:rPr/>
              <w:t> </w:t>
            </w:r>
          </w:p>
        </w:tc>
      </w:tr>
      <w:tr>
        <w:trPr/>
        <w:tc>
          <w:tcPr>
            <w:tcW w:w="400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Present value adjustment for minimum lease</w:t>
              <w:br/>
              <w:t>   commitments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6" w:type="dxa"/>
            <w:tcBorders/>
            <w:shd w:fill="auto" w:val="clear"/>
            <w:vAlign w:val="center"/>
          </w:tcPr>
          <w:p>
            <w:pPr>
              <w:pStyle w:val="TableContents"/>
              <w:spacing w:lineRule="auto" w:line="252" w:before="0" w:after="0"/>
              <w:ind w:left="0" w:right="0" w:hanging="0"/>
              <w:jc w:val="left"/>
              <w:rPr/>
            </w:pPr>
            <w:r>
              <w:rPr/>
              <w:t> </w:t>
            </w:r>
          </w:p>
        </w:tc>
        <w:tc>
          <w:tcPr>
            <w:tcW w:w="629"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(505</w:t>
            </w:r>
          </w:p>
        </w:tc>
        <w:tc>
          <w:tcPr>
            <w:tcW w:w="49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400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Tenant improvement allowance receivable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(280</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80"/>
              <w:jc w:val="left"/>
              <w:rPr>
                <w:rFonts w:ascii="Arial" w:hAnsi="Arial"/>
                <w:b w:val="false"/>
                <w:sz w:val="20"/>
              </w:rPr>
            </w:pPr>
            <w:r>
              <w:rPr>
                <w:rFonts w:ascii="Arial" w:hAnsi="Arial"/>
                <w:b w:val="false"/>
                <w:sz w:val="20"/>
              </w:rPr>
              <w:t>)</w:t>
            </w:r>
          </w:p>
        </w:tc>
      </w:tr>
      <w:tr>
        <w:trPr/>
        <w:tc>
          <w:tcPr>
            <w:tcW w:w="400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Net lease liability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2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1,851</w:t>
            </w:r>
          </w:p>
        </w:tc>
        <w:tc>
          <w:tcPr>
            <w:tcW w:w="4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59" w:before="0" w:after="0"/>
        <w:jc w:val="both"/>
        <w:rPr/>
      </w:pPr>
      <w:r>
        <w:rPr/>
        <w:t> </w:t>
      </w:r>
    </w:p>
    <w:p>
      <w:pPr>
        <w:pStyle w:val="TextBody"/>
        <w:spacing w:lineRule="auto" w:line="273" w:before="80" w:after="0"/>
        <w:jc w:val="both"/>
        <w:rPr>
          <w:rFonts w:ascii="Arial" w:hAnsi="Arial"/>
          <w:b w:val="false"/>
          <w:sz w:val="20"/>
        </w:rPr>
      </w:pPr>
      <w:r>
        <w:rPr>
          <w:rFonts w:ascii="Arial" w:hAnsi="Arial"/>
          <w:b w:val="false"/>
          <w:sz w:val="20"/>
        </w:rPr>
        <w:t>The weighted average remaining lease term and the weighted average discount rate used to determine the operating lease liability were as follows:</w:t>
      </w:r>
    </w:p>
    <w:p>
      <w:pPr>
        <w:pStyle w:val="TextBody"/>
        <w:spacing w:lineRule="auto" w:line="259" w:before="0" w:after="0"/>
        <w:jc w:val="both"/>
        <w:rPr/>
      </w:pPr>
      <w:r>
        <w:rPr/>
        <w:t> </w:t>
      </w:r>
    </w:p>
    <w:tbl>
      <w:tblPr>
        <w:tblW w:w="5548" w:type="dxa"/>
        <w:jc w:val="left"/>
        <w:tblInd w:w="0" w:type="dxa"/>
        <w:tblCellMar>
          <w:top w:w="28" w:type="dxa"/>
          <w:left w:w="28" w:type="dxa"/>
          <w:bottom w:w="28" w:type="dxa"/>
          <w:right w:w="28" w:type="dxa"/>
        </w:tblCellMar>
      </w:tblPr>
      <w:tblGrid>
        <w:gridCol w:w="4216"/>
        <w:gridCol w:w="146"/>
        <w:gridCol w:w="238"/>
        <w:gridCol w:w="617"/>
        <w:gridCol w:w="331"/>
      </w:tblGrid>
      <w:tr>
        <w:trPr/>
        <w:tc>
          <w:tcPr>
            <w:tcW w:w="42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421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March 31,</w:t>
              <w:br/>
              <w:t>2022</w:t>
            </w:r>
          </w:p>
        </w:tc>
        <w:tc>
          <w:tcPr>
            <w:tcW w:w="3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21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Weighted average remaining lease term (years)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8" w:type="dxa"/>
            <w:tcBorders/>
            <w:shd w:fill="auto" w:val="clear"/>
            <w:vAlign w:val="center"/>
          </w:tcPr>
          <w:p>
            <w:pPr>
              <w:pStyle w:val="TableContents"/>
              <w:spacing w:lineRule="auto" w:line="252" w:before="0" w:after="0"/>
              <w:ind w:left="0" w:right="0" w:hanging="0"/>
              <w:jc w:val="left"/>
              <w:rPr/>
            </w:pPr>
            <w:r>
              <w:rPr/>
              <w:t> </w:t>
            </w:r>
          </w:p>
        </w:tc>
        <w:tc>
          <w:tcPr>
            <w:tcW w:w="617"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5.9</w:t>
            </w:r>
          </w:p>
        </w:tc>
        <w:tc>
          <w:tcPr>
            <w:tcW w:w="331" w:type="dxa"/>
            <w:tcBorders/>
            <w:shd w:fill="auto" w:val="clear"/>
            <w:vAlign w:val="center"/>
          </w:tcPr>
          <w:p>
            <w:pPr>
              <w:pStyle w:val="TableContents"/>
              <w:spacing w:lineRule="auto" w:line="252" w:before="0" w:after="0"/>
              <w:ind w:left="0" w:right="0" w:hanging="0"/>
              <w:jc w:val="left"/>
              <w:rPr/>
            </w:pPr>
            <w:r>
              <w:rPr/>
              <w:t> </w:t>
            </w:r>
          </w:p>
        </w:tc>
      </w:tr>
      <w:tr>
        <w:trPr/>
        <w:tc>
          <w:tcPr>
            <w:tcW w:w="421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Weighted average discount rate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8" w:type="dxa"/>
            <w:tcBorders/>
            <w:shd w:fill="auto" w:val="clear"/>
            <w:vAlign w:val="center"/>
          </w:tcPr>
          <w:p>
            <w:pPr>
              <w:pStyle w:val="TableContents"/>
              <w:spacing w:lineRule="auto" w:line="252" w:before="0" w:after="0"/>
              <w:ind w:left="0" w:right="0" w:hanging="0"/>
              <w:jc w:val="left"/>
              <w:rPr/>
            </w:pPr>
            <w:r>
              <w:rPr/>
              <w:t> </w:t>
            </w:r>
          </w:p>
        </w:tc>
        <w:tc>
          <w:tcPr>
            <w:tcW w:w="617"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8.1</w:t>
            </w:r>
          </w:p>
        </w:tc>
        <w:tc>
          <w:tcPr>
            <w:tcW w:w="3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bl>
    <w:p>
      <w:pPr>
        <w:pStyle w:val="TextBody"/>
        <w:spacing w:lineRule="auto" w:line="273" w:before="0" w:after="0"/>
        <w:jc w:val="left"/>
        <w:rPr/>
      </w:pPr>
      <w:r>
        <w:rPr/>
        <w:t> </w:t>
      </w:r>
    </w:p>
    <w:p>
      <w:pPr>
        <w:pStyle w:val="TextBody"/>
        <w:spacing w:lineRule="auto" w:line="273" w:before="240" w:after="0"/>
        <w:jc w:val="center"/>
        <w:rPr>
          <w:rFonts w:ascii="Arial" w:hAnsi="Arial"/>
          <w:b w:val="false"/>
          <w:sz w:val="20"/>
        </w:rPr>
      </w:pPr>
      <w:r>
        <w:rPr>
          <w:rFonts w:ascii="Arial" w:hAnsi="Arial"/>
          <w:b w:val="false"/>
          <w:sz w:val="20"/>
        </w:rPr>
        <w:t>17</w:t>
      </w:r>
    </w:p>
    <w:p>
      <w:pPr>
        <w:pStyle w:val="HorizontalLine"/>
        <w:rPr/>
      </w:pPr>
      <w:r>
        <w:rPr/>
      </w:r>
    </w:p>
    <w:p>
      <w:pPr>
        <w:pStyle w:val="TextBody"/>
        <w:spacing w:lineRule="auto" w:line="273" w:before="0" w:after="0"/>
        <w:jc w:val="left"/>
        <w:rPr/>
      </w:pPr>
      <w:r>
        <w:rPr/>
        <w:t> </w:t>
      </w:r>
    </w:p>
    <w:p>
      <w:pPr>
        <w:pStyle w:val="TextBody"/>
        <w:spacing w:lineRule="auto" w:line="259" w:before="0" w:after="0"/>
        <w:jc w:val="both"/>
        <w:rPr/>
      </w:pPr>
      <w:r>
        <w:rPr/>
        <w:t> </w:t>
      </w:r>
    </w:p>
    <w:p>
      <w:pPr>
        <w:pStyle w:val="TextBody"/>
        <w:spacing w:lineRule="auto" w:line="273" w:before="80" w:after="0"/>
        <w:jc w:val="both"/>
        <w:rPr>
          <w:rFonts w:ascii="Times New Roman" w:hAnsi="Times New Roman"/>
          <w:sz w:val="20"/>
        </w:rPr>
      </w:pPr>
      <w:r>
        <w:rPr>
          <w:rFonts w:ascii="Arial" w:hAnsi="Arial"/>
          <w:b w:val="false"/>
          <w:sz w:val="20"/>
        </w:rPr>
        <w:t>Operating lease expense was $89,000</w:t>
      </w:r>
      <w:r>
        <w:rPr>
          <w:rFonts w:ascii="Times New Roman" w:hAnsi="Times New Roman"/>
          <w:sz w:val="20"/>
        </w:rPr>
        <w:t xml:space="preserve"> </w:t>
      </w:r>
      <w:r>
        <w:rPr>
          <w:rFonts w:ascii="Arial" w:hAnsi="Arial"/>
          <w:b w:val="false"/>
          <w:sz w:val="20"/>
        </w:rPr>
        <w:t>and $61,000</w:t>
      </w:r>
      <w:r>
        <w:rPr>
          <w:rFonts w:ascii="Times New Roman" w:hAnsi="Times New Roman"/>
          <w:sz w:val="20"/>
        </w:rPr>
        <w:t xml:space="preserve"> </w:t>
      </w:r>
      <w:r>
        <w:rPr>
          <w:rFonts w:ascii="Arial" w:hAnsi="Arial"/>
          <w:b w:val="false"/>
          <w:sz w:val="20"/>
        </w:rPr>
        <w:t>for the three months ended March 31, 2022 and 2021, respectively. Variable lease expense was $44,000</w:t>
      </w:r>
      <w:r>
        <w:rPr>
          <w:rFonts w:ascii="Times New Roman" w:hAnsi="Times New Roman"/>
          <w:sz w:val="20"/>
        </w:rPr>
        <w:t xml:space="preserve"> </w:t>
      </w:r>
      <w:r>
        <w:rPr>
          <w:rFonts w:ascii="Arial" w:hAnsi="Arial"/>
          <w:b w:val="false"/>
          <w:sz w:val="20"/>
        </w:rPr>
        <w:t>and $20,000</w:t>
      </w:r>
      <w:r>
        <w:rPr>
          <w:rFonts w:ascii="Times New Roman" w:hAnsi="Times New Roman"/>
          <w:sz w:val="20"/>
        </w:rPr>
        <w:t xml:space="preserve"> </w:t>
      </w:r>
      <w:r>
        <w:rPr>
          <w:rFonts w:ascii="Arial" w:hAnsi="Arial"/>
          <w:b w:val="false"/>
          <w:sz w:val="20"/>
        </w:rPr>
        <w:t>for operating leases during the three months ended March 31, 2022 and 2021, respectively.</w:t>
      </w:r>
    </w:p>
    <w:p>
      <w:pPr>
        <w:pStyle w:val="TextBody"/>
        <w:spacing w:lineRule="auto" w:line="259" w:before="0" w:after="0"/>
        <w:jc w:val="both"/>
        <w:rPr/>
      </w:pPr>
      <w:r>
        <w:rPr/>
        <w:t> </w:t>
      </w:r>
    </w:p>
    <w:p>
      <w:pPr>
        <w:pStyle w:val="TextBody"/>
        <w:spacing w:lineRule="auto" w:line="259" w:before="240" w:after="0"/>
        <w:jc w:val="both"/>
        <w:rPr>
          <w:rFonts w:ascii="Arial" w:hAnsi="Arial"/>
          <w:b/>
          <w:sz w:val="20"/>
        </w:rPr>
      </w:pPr>
      <w:r>
        <w:rPr>
          <w:rFonts w:ascii="Arial" w:hAnsi="Arial"/>
          <w:b/>
          <w:sz w:val="20"/>
        </w:rPr>
        <w:t>9. Common Stock</w:t>
      </w:r>
    </w:p>
    <w:p>
      <w:pPr>
        <w:pStyle w:val="TextBody"/>
        <w:spacing w:lineRule="auto" w:line="273" w:before="280" w:after="0"/>
        <w:jc w:val="both"/>
        <w:rPr>
          <w:rFonts w:ascii="Arial" w:hAnsi="Arial"/>
          <w:b w:val="false"/>
          <w:sz w:val="20"/>
        </w:rPr>
      </w:pPr>
      <w:r>
        <w:rPr>
          <w:rFonts w:ascii="Arial" w:hAnsi="Arial"/>
          <w:b w:val="false"/>
          <w:sz w:val="20"/>
        </w:rPr>
        <w:t>Each share of common stock has the right to one vote. The holders of common stock are also entitled to receive dividends whenever funds are legally available and if declared by the Company’s board of directors, subject to the prior rights of holders of all classes of stock outstanding having priority rights as to dividends. No cash dividends have been declared by the board of directors from inception.</w:t>
      </w:r>
    </w:p>
    <w:p>
      <w:pPr>
        <w:pStyle w:val="TextBody"/>
        <w:spacing w:lineRule="auto" w:line="273" w:before="280" w:after="0"/>
        <w:jc w:val="both"/>
        <w:rPr>
          <w:rFonts w:ascii="Arial" w:hAnsi="Arial"/>
          <w:b w:val="false"/>
          <w:sz w:val="20"/>
        </w:rPr>
      </w:pPr>
      <w:r>
        <w:rPr>
          <w:rFonts w:ascii="Arial" w:hAnsi="Arial"/>
          <w:b w:val="false"/>
          <w:sz w:val="20"/>
        </w:rPr>
        <w:t>The Company has reserved the following shares of common stock for future issuance, on an as-converted basis, as follows:</w:t>
      </w:r>
    </w:p>
    <w:p>
      <w:pPr>
        <w:pStyle w:val="TextBody"/>
        <w:spacing w:lineRule="auto" w:line="273" w:before="0" w:after="0"/>
        <w:jc w:val="both"/>
        <w:rPr/>
      </w:pPr>
      <w:r>
        <w:rPr/>
        <w:t> </w:t>
      </w:r>
    </w:p>
    <w:tbl>
      <w:tblPr>
        <w:tblW w:w="7597" w:type="dxa"/>
        <w:jc w:val="left"/>
        <w:tblInd w:w="0" w:type="dxa"/>
        <w:tblCellMar>
          <w:top w:w="28" w:type="dxa"/>
          <w:left w:w="28" w:type="dxa"/>
          <w:bottom w:w="28" w:type="dxa"/>
          <w:right w:w="28" w:type="dxa"/>
        </w:tblCellMar>
      </w:tblPr>
      <w:tblGrid>
        <w:gridCol w:w="4411"/>
        <w:gridCol w:w="146"/>
        <w:gridCol w:w="146"/>
        <w:gridCol w:w="961"/>
        <w:gridCol w:w="146"/>
        <w:gridCol w:w="146"/>
        <w:gridCol w:w="154"/>
        <w:gridCol w:w="1016"/>
        <w:gridCol w:w="471"/>
      </w:tblGrid>
      <w:tr>
        <w:trPr/>
        <w:tc>
          <w:tcPr>
            <w:tcW w:w="44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44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0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7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December 31,</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4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0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7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2021</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4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Shares issuable upon the exercise of outstanding</w:t>
              <w:br/>
              <w:t>   common stock options and the vesting of</w:t>
              <w:br/>
              <w:t>   outstanding common restricted stock</w:t>
              <w:br/>
              <w:t>   units granted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6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3,785,194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4" w:type="dxa"/>
            <w:tcBorders/>
            <w:shd w:fill="auto" w:val="clear"/>
            <w:vAlign w:val="center"/>
          </w:tcPr>
          <w:p>
            <w:pPr>
              <w:pStyle w:val="TableContents"/>
              <w:spacing w:lineRule="auto" w:line="252" w:before="0" w:after="0"/>
              <w:ind w:left="0" w:right="0" w:hanging="0"/>
              <w:jc w:val="left"/>
              <w:rPr/>
            </w:pPr>
            <w:r>
              <w:rPr/>
              <w:t> </w:t>
            </w:r>
          </w:p>
        </w:tc>
        <w:tc>
          <w:tcPr>
            <w:tcW w:w="101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2,632,396</w:t>
            </w:r>
          </w:p>
        </w:tc>
        <w:tc>
          <w:tcPr>
            <w:tcW w:w="471" w:type="dxa"/>
            <w:tcBorders/>
            <w:shd w:fill="auto" w:val="clear"/>
            <w:vAlign w:val="center"/>
          </w:tcPr>
          <w:p>
            <w:pPr>
              <w:pStyle w:val="TableContents"/>
              <w:spacing w:lineRule="auto" w:line="252" w:before="0" w:after="0"/>
              <w:ind w:left="0" w:right="0" w:hanging="0"/>
              <w:jc w:val="left"/>
              <w:rPr/>
            </w:pPr>
            <w:r>
              <w:rPr/>
              <w:t> </w:t>
            </w:r>
          </w:p>
        </w:tc>
      </w:tr>
      <w:tr>
        <w:trPr/>
        <w:tc>
          <w:tcPr>
            <w:tcW w:w="44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Shares available for future grant under the 2020</w:t>
              <w:br/>
              <w:t>   Equity Incentive Plan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6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4,913,489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4" w:type="dxa"/>
            <w:tcBorders/>
            <w:shd w:fill="auto" w:val="clear"/>
            <w:vAlign w:val="center"/>
          </w:tcPr>
          <w:p>
            <w:pPr>
              <w:pStyle w:val="TableContents"/>
              <w:spacing w:lineRule="auto" w:line="252" w:before="0" w:after="0"/>
              <w:ind w:left="0" w:right="0" w:hanging="0"/>
              <w:jc w:val="left"/>
              <w:rPr/>
            </w:pPr>
            <w:r>
              <w:rPr/>
              <w:t> </w:t>
            </w:r>
          </w:p>
        </w:tc>
        <w:tc>
          <w:tcPr>
            <w:tcW w:w="101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4,442,315</w:t>
            </w:r>
          </w:p>
        </w:tc>
        <w:tc>
          <w:tcPr>
            <w:tcW w:w="471" w:type="dxa"/>
            <w:tcBorders/>
            <w:shd w:fill="auto" w:val="clear"/>
            <w:vAlign w:val="center"/>
          </w:tcPr>
          <w:p>
            <w:pPr>
              <w:pStyle w:val="TableContents"/>
              <w:spacing w:lineRule="auto" w:line="252" w:before="0" w:after="0"/>
              <w:ind w:left="0" w:right="0" w:hanging="0"/>
              <w:jc w:val="left"/>
              <w:rPr/>
            </w:pPr>
            <w:r>
              <w:rPr/>
              <w:t> </w:t>
            </w:r>
          </w:p>
        </w:tc>
      </w:tr>
      <w:tr>
        <w:trPr/>
        <w:tc>
          <w:tcPr>
            <w:tcW w:w="44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Shares available for future grant under the</w:t>
              <w:br/>
              <w:t>   Employee Stock Purchase Plan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995,001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621,211</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80"/>
              <w:jc w:val="left"/>
              <w:rPr/>
            </w:pPr>
            <w:r>
              <w:rPr/>
              <w:t> </w:t>
            </w:r>
          </w:p>
        </w:tc>
      </w:tr>
      <w:tr>
        <w:trPr/>
        <w:tc>
          <w:tcPr>
            <w:tcW w:w="441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9,693,684</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1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7,695,922</w:t>
            </w:r>
          </w:p>
        </w:tc>
        <w:tc>
          <w:tcPr>
            <w:tcW w:w="4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both"/>
        <w:rPr/>
      </w:pPr>
      <w:r>
        <w:rPr/>
        <w:t> </w:t>
      </w:r>
    </w:p>
    <w:p>
      <w:pPr>
        <w:pStyle w:val="TextBody"/>
        <w:spacing w:lineRule="auto" w:line="273" w:before="80" w:after="0"/>
        <w:jc w:val="both"/>
        <w:rPr>
          <w:rFonts w:ascii="Times New Roman" w:hAnsi="Times New Roman"/>
          <w:sz w:val="20"/>
        </w:rPr>
      </w:pPr>
      <w:r>
        <w:rPr>
          <w:rFonts w:ascii="Arial" w:hAnsi="Arial"/>
          <w:b w:val="false"/>
          <w:sz w:val="20"/>
        </w:rPr>
        <w:t>The Company’s 2020 Equity Incentive Plan (“2020 Plan”) provides for annual increases in the number of shares that may be issued under the 2020 Plan on January 1, 2021 and each subsequent January 1, thereafter, by a number of shares equal to the least of (a) 3,230,000</w:t>
      </w:r>
      <w:r>
        <w:rPr>
          <w:rFonts w:ascii="Times New Roman" w:hAnsi="Times New Roman"/>
          <w:sz w:val="20"/>
        </w:rPr>
        <w:t xml:space="preserve"> </w:t>
      </w:r>
      <w:r>
        <w:rPr>
          <w:rFonts w:ascii="Arial" w:hAnsi="Arial"/>
          <w:b w:val="false"/>
          <w:sz w:val="20"/>
        </w:rPr>
        <w:t>shares, (b) 5% of the number of shares of common stock issued and outstanding on the immediately preceding December 31, or (c) an amount determined by the Company’s board of directors.</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80" w:after="0"/>
        <w:jc w:val="both"/>
        <w:rPr>
          <w:rFonts w:ascii="Times New Roman" w:hAnsi="Times New Roman"/>
          <w:sz w:val="20"/>
        </w:rPr>
      </w:pPr>
      <w:r>
        <w:rPr>
          <w:rFonts w:ascii="Arial" w:hAnsi="Arial"/>
          <w:b w:val="false"/>
          <w:sz w:val="20"/>
        </w:rPr>
        <w:t>The Company’s 2020 Employee Stock Purchase Plan (“ESPP”) provides for annual increases in the number of shares that may be issued under the ESPP on January 1, 2021 and each subsequent January 1, thereafter, by a number of shares equal to the least of (a) 646,000</w:t>
      </w:r>
      <w:r>
        <w:rPr>
          <w:rFonts w:ascii="Times New Roman" w:hAnsi="Times New Roman"/>
          <w:sz w:val="20"/>
        </w:rPr>
        <w:t xml:space="preserve"> </w:t>
      </w:r>
      <w:r>
        <w:rPr>
          <w:rFonts w:ascii="Arial" w:hAnsi="Arial"/>
          <w:b w:val="false"/>
          <w:sz w:val="20"/>
        </w:rPr>
        <w:t>shares, (b) 1% of the number of shares of common stock issued and outstanding on the immediately preceding December 31, or (c) an amount determined by the Company’s board of directors.</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80" w:after="0"/>
        <w:jc w:val="both"/>
        <w:rPr>
          <w:rFonts w:ascii="Times New Roman" w:hAnsi="Times New Roman"/>
          <w:sz w:val="20"/>
        </w:rPr>
      </w:pPr>
      <w:r>
        <w:rPr>
          <w:rFonts w:ascii="Arial" w:hAnsi="Arial"/>
          <w:b w:val="false"/>
          <w:sz w:val="20"/>
        </w:rPr>
        <w:t>Effective January 1, 2021, the Company’s 2020 Plan and ESPP reserves increased by 1,624,259</w:t>
      </w:r>
      <w:r>
        <w:rPr>
          <w:rFonts w:ascii="Times New Roman" w:hAnsi="Times New Roman"/>
          <w:sz w:val="20"/>
        </w:rPr>
        <w:t xml:space="preserve"> </w:t>
      </w:r>
      <w:r>
        <w:rPr>
          <w:rFonts w:ascii="Arial" w:hAnsi="Arial"/>
          <w:b w:val="false"/>
          <w:sz w:val="20"/>
        </w:rPr>
        <w:t>shares and 324,851</w:t>
      </w:r>
      <w:r>
        <w:rPr>
          <w:rFonts w:ascii="Times New Roman" w:hAnsi="Times New Roman"/>
          <w:sz w:val="20"/>
        </w:rPr>
        <w:t xml:space="preserve"> </w:t>
      </w:r>
      <w:r>
        <w:rPr>
          <w:rFonts w:ascii="Arial" w:hAnsi="Arial"/>
          <w:b w:val="false"/>
          <w:sz w:val="20"/>
        </w:rPr>
        <w:t>shares, respectively.</w:t>
      </w:r>
    </w:p>
    <w:p>
      <w:pPr>
        <w:pStyle w:val="TextBody"/>
        <w:spacing w:lineRule="auto" w:line="273" w:before="0" w:after="0"/>
        <w:jc w:val="both"/>
        <w:rPr/>
      </w:pPr>
      <w:r>
        <w:rPr/>
        <w:t> </w:t>
      </w:r>
    </w:p>
    <w:p>
      <w:pPr>
        <w:pStyle w:val="TextBody"/>
        <w:spacing w:lineRule="auto" w:line="273" w:before="80" w:after="0"/>
        <w:jc w:val="both"/>
        <w:rPr>
          <w:rFonts w:ascii="Times New Roman" w:hAnsi="Times New Roman"/>
          <w:sz w:val="20"/>
        </w:rPr>
      </w:pPr>
      <w:r>
        <w:rPr>
          <w:rFonts w:ascii="Arial" w:hAnsi="Arial"/>
          <w:b w:val="false"/>
          <w:sz w:val="20"/>
        </w:rPr>
        <w:t>Effective January 1, 2022, the Company’s 2020 Plan and ESPP reserves increased by 1,868,953</w:t>
      </w:r>
      <w:r>
        <w:rPr>
          <w:rFonts w:ascii="Times New Roman" w:hAnsi="Times New Roman"/>
          <w:sz w:val="20"/>
        </w:rPr>
        <w:t xml:space="preserve"> </w:t>
      </w:r>
      <w:r>
        <w:rPr>
          <w:rFonts w:ascii="Arial" w:hAnsi="Arial"/>
          <w:b w:val="false"/>
          <w:sz w:val="20"/>
        </w:rPr>
        <w:t>shares and 373,790</w:t>
      </w:r>
      <w:r>
        <w:rPr>
          <w:rFonts w:ascii="Times New Roman" w:hAnsi="Times New Roman"/>
          <w:sz w:val="20"/>
        </w:rPr>
        <w:t xml:space="preserve"> </w:t>
      </w:r>
      <w:r>
        <w:rPr>
          <w:rFonts w:ascii="Arial" w:hAnsi="Arial"/>
          <w:b w:val="false"/>
          <w:sz w:val="20"/>
        </w:rPr>
        <w:t>shares, respectively.</w:t>
      </w:r>
    </w:p>
    <w:p>
      <w:pPr>
        <w:pStyle w:val="TextBody"/>
        <w:spacing w:lineRule="auto" w:line="273" w:before="0" w:after="0"/>
        <w:jc w:val="both"/>
        <w:rPr/>
      </w:pPr>
      <w:r>
        <w:rPr/>
        <w:t> </w:t>
      </w:r>
    </w:p>
    <w:p>
      <w:pPr>
        <w:pStyle w:val="TextBody"/>
        <w:spacing w:lineRule="auto" w:line="273" w:before="0" w:after="0"/>
        <w:jc w:val="both"/>
        <w:rPr>
          <w:rFonts w:ascii="Arial" w:hAnsi="Arial"/>
          <w:b/>
          <w:sz w:val="20"/>
        </w:rPr>
      </w:pPr>
      <w:r>
        <w:rPr>
          <w:rFonts w:ascii="Arial" w:hAnsi="Arial"/>
          <w:b/>
          <w:sz w:val="20"/>
        </w:rPr>
        <w:t>10. Stock-based Compensation</w:t>
      </w:r>
    </w:p>
    <w:p>
      <w:pPr>
        <w:pStyle w:val="TextBody"/>
        <w:spacing w:lineRule="auto" w:line="273" w:before="280" w:after="0"/>
        <w:jc w:val="both"/>
        <w:rPr>
          <w:rFonts w:ascii="Arial" w:hAnsi="Arial"/>
          <w:b w:val="false"/>
          <w:sz w:val="20"/>
        </w:rPr>
      </w:pPr>
      <w:r>
        <w:rPr>
          <w:rFonts w:ascii="Arial" w:hAnsi="Arial"/>
          <w:b w:val="false"/>
          <w:sz w:val="20"/>
        </w:rPr>
        <w:t>Stock</w:t>
        <w:noBreakHyphen/>
        <w:t>based compensation expense recognized was as follows (in thousands):</w:t>
      </w:r>
    </w:p>
    <w:p>
      <w:pPr>
        <w:pStyle w:val="TextBody"/>
        <w:spacing w:lineRule="auto" w:line="273" w:before="0" w:after="0"/>
        <w:jc w:val="both"/>
        <w:rPr/>
      </w:pPr>
      <w:r>
        <w:rPr/>
        <w:t> </w:t>
      </w:r>
    </w:p>
    <w:tbl>
      <w:tblPr>
        <w:tblW w:w="6916" w:type="dxa"/>
        <w:jc w:val="left"/>
        <w:tblInd w:w="0" w:type="dxa"/>
        <w:tblCellMar>
          <w:top w:w="28" w:type="dxa"/>
          <w:left w:w="28" w:type="dxa"/>
          <w:bottom w:w="28" w:type="dxa"/>
          <w:right w:w="28" w:type="dxa"/>
        </w:tblCellMar>
      </w:tblPr>
      <w:tblGrid>
        <w:gridCol w:w="3751"/>
        <w:gridCol w:w="146"/>
        <w:gridCol w:w="312"/>
        <w:gridCol w:w="868"/>
        <w:gridCol w:w="216"/>
        <w:gridCol w:w="216"/>
        <w:gridCol w:w="312"/>
        <w:gridCol w:w="624"/>
        <w:gridCol w:w="471"/>
      </w:tblGrid>
      <w:tr>
        <w:trPr/>
        <w:tc>
          <w:tcPr>
            <w:tcW w:w="37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37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548"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Three Months Ended March 31,</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7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8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2022</w:t>
            </w:r>
          </w:p>
        </w:tc>
        <w:tc>
          <w:tcPr>
            <w:tcW w:w="2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16" w:type="dxa"/>
            <w:tcBorders/>
            <w:shd w:fill="auto" w:val="clear"/>
            <w:vAlign w:val="center"/>
          </w:tcPr>
          <w:p>
            <w:pPr>
              <w:pStyle w:val="TableContents"/>
              <w:spacing w:lineRule="auto" w:line="252" w:before="0" w:after="0"/>
              <w:ind w:left="0" w:right="0" w:hanging="0"/>
              <w:jc w:val="left"/>
              <w:rPr/>
            </w:pPr>
            <w:r>
              <w:rPr/>
              <w:t> </w:t>
            </w:r>
          </w:p>
        </w:tc>
        <w:tc>
          <w:tcPr>
            <w:tcW w:w="93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2021</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75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Research and development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2"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68"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785</w:t>
            </w:r>
          </w:p>
        </w:tc>
        <w:tc>
          <w:tcPr>
            <w:tcW w:w="216" w:type="dxa"/>
            <w:tcBorders/>
            <w:shd w:fill="auto" w:val="clear"/>
            <w:vAlign w:val="center"/>
          </w:tcPr>
          <w:p>
            <w:pPr>
              <w:pStyle w:val="TableContents"/>
              <w:spacing w:lineRule="auto" w:line="252" w:before="0" w:after="0"/>
              <w:ind w:left="0" w:right="0" w:hanging="0"/>
              <w:jc w:val="left"/>
              <w:rPr/>
            </w:pPr>
            <w:r>
              <w:rPr/>
              <w:t> </w:t>
            </w:r>
          </w:p>
        </w:tc>
        <w:tc>
          <w:tcPr>
            <w:tcW w:w="216" w:type="dxa"/>
            <w:tcBorders/>
            <w:shd w:fill="auto" w:val="clear"/>
            <w:vAlign w:val="center"/>
          </w:tcPr>
          <w:p>
            <w:pPr>
              <w:pStyle w:val="TableContents"/>
              <w:spacing w:lineRule="auto" w:line="252" w:before="0" w:after="0"/>
              <w:ind w:left="0" w:right="0" w:hanging="0"/>
              <w:jc w:val="left"/>
              <w:rPr/>
            </w:pPr>
            <w:r>
              <w:rPr/>
              <w:t> </w:t>
            </w:r>
          </w:p>
        </w:tc>
        <w:tc>
          <w:tcPr>
            <w:tcW w:w="312"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24"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260</w:t>
            </w:r>
          </w:p>
        </w:tc>
        <w:tc>
          <w:tcPr>
            <w:tcW w:w="471" w:type="dxa"/>
            <w:tcBorders/>
            <w:shd w:fill="auto" w:val="clear"/>
            <w:vAlign w:val="center"/>
          </w:tcPr>
          <w:p>
            <w:pPr>
              <w:pStyle w:val="TableContents"/>
              <w:spacing w:lineRule="auto" w:line="252" w:before="0" w:after="0"/>
              <w:ind w:left="0" w:right="0" w:hanging="0"/>
              <w:jc w:val="left"/>
              <w:rPr/>
            </w:pPr>
            <w:r>
              <w:rPr/>
              <w:t> </w:t>
            </w:r>
          </w:p>
        </w:tc>
      </w:tr>
      <w:tr>
        <w:trPr/>
        <w:tc>
          <w:tcPr>
            <w:tcW w:w="375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General and administrative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1,946</w:t>
            </w:r>
          </w:p>
        </w:tc>
        <w:tc>
          <w:tcPr>
            <w:tcW w:w="2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6" w:type="dxa"/>
            <w:tcBorders/>
            <w:shd w:fill="auto" w:val="clear"/>
            <w:vAlign w:val="center"/>
          </w:tcPr>
          <w:p>
            <w:pPr>
              <w:pStyle w:val="TableContents"/>
              <w:spacing w:lineRule="auto" w:line="252" w:before="0" w:after="0"/>
              <w:ind w:left="0" w:right="0" w:hanging="0"/>
              <w:jc w:val="left"/>
              <w:rPr/>
            </w:pPr>
            <w:r>
              <w:rPr/>
              <w:t> </w:t>
            </w:r>
          </w:p>
        </w:tc>
        <w:tc>
          <w:tcPr>
            <w:tcW w:w="31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2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714</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80"/>
              <w:jc w:val="left"/>
              <w:rPr/>
            </w:pPr>
            <w:r>
              <w:rPr/>
              <w:t> </w:t>
            </w:r>
          </w:p>
        </w:tc>
      </w:tr>
      <w:tr>
        <w:trPr/>
        <w:tc>
          <w:tcPr>
            <w:tcW w:w="375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Total stock-based compensation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6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2,731</w:t>
            </w:r>
          </w:p>
        </w:tc>
        <w:tc>
          <w:tcPr>
            <w:tcW w:w="21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6" w:type="dxa"/>
            <w:tcBorders/>
            <w:shd w:fill="auto" w:val="clear"/>
            <w:vAlign w:val="center"/>
          </w:tcPr>
          <w:p>
            <w:pPr>
              <w:pStyle w:val="TableContents"/>
              <w:spacing w:lineRule="auto" w:line="252" w:before="0" w:after="0"/>
              <w:ind w:left="0" w:right="0" w:hanging="0"/>
              <w:jc w:val="left"/>
              <w:rPr/>
            </w:pPr>
            <w:r>
              <w:rPr/>
              <w:t> </w:t>
            </w:r>
          </w:p>
        </w:tc>
        <w:tc>
          <w:tcPr>
            <w:tcW w:w="31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2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974</w:t>
            </w:r>
          </w:p>
        </w:tc>
        <w:tc>
          <w:tcPr>
            <w:tcW w:w="4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both"/>
        <w:rPr/>
      </w:pPr>
      <w:r>
        <w:rPr/>
        <w:t> </w:t>
      </w:r>
    </w:p>
    <w:p>
      <w:pPr>
        <w:pStyle w:val="TextBody"/>
        <w:spacing w:lineRule="auto" w:line="273" w:before="240" w:after="0"/>
        <w:jc w:val="center"/>
        <w:rPr>
          <w:rFonts w:ascii="Arial" w:hAnsi="Arial"/>
          <w:b w:val="false"/>
          <w:sz w:val="20"/>
        </w:rPr>
      </w:pPr>
      <w:r>
        <w:rPr>
          <w:rFonts w:ascii="Arial" w:hAnsi="Arial"/>
          <w:b w:val="false"/>
          <w:sz w:val="20"/>
        </w:rPr>
        <w:t>18</w:t>
      </w:r>
    </w:p>
    <w:p>
      <w:pPr>
        <w:pStyle w:val="HorizontalLine"/>
        <w:rPr/>
      </w:pPr>
      <w:r>
        <w:rPr/>
      </w:r>
    </w:p>
    <w:p>
      <w:pPr>
        <w:pStyle w:val="TextBody"/>
        <w:spacing w:lineRule="auto" w:line="273" w:before="0" w:after="0"/>
        <w:jc w:val="left"/>
        <w:rPr/>
      </w:pPr>
      <w:r>
        <w:rPr/>
        <w:t> </w:t>
      </w:r>
    </w:p>
    <w:p>
      <w:pPr>
        <w:pStyle w:val="TextBody"/>
        <w:spacing w:lineRule="auto" w:line="273" w:before="40" w:after="0"/>
        <w:jc w:val="both"/>
        <w:rPr>
          <w:rFonts w:ascii="Arial" w:hAnsi="Arial"/>
          <w:b/>
          <w:i/>
          <w:sz w:val="20"/>
        </w:rPr>
      </w:pPr>
      <w:r>
        <w:rPr>
          <w:rFonts w:ascii="Arial" w:hAnsi="Arial"/>
          <w:b/>
          <w:i/>
          <w:sz w:val="20"/>
        </w:rPr>
        <w:t>Valuation Assumptions</w:t>
      </w:r>
    </w:p>
    <w:p>
      <w:pPr>
        <w:pStyle w:val="TextBody"/>
        <w:spacing w:lineRule="auto" w:line="273" w:before="280" w:after="0"/>
        <w:jc w:val="both"/>
        <w:rPr>
          <w:rFonts w:ascii="Times New Roman" w:hAnsi="Times New Roman"/>
          <w:sz w:val="20"/>
        </w:rPr>
      </w:pPr>
      <w:r>
        <w:rPr>
          <w:rFonts w:ascii="Arial" w:hAnsi="Arial"/>
          <w:b w:val="false"/>
          <w:sz w:val="20"/>
        </w:rPr>
        <w:t>The fair value of stock options was determined using the Black-Scholes option-pricing model and the assumptions below. Each of these inputs is subjective and generally required significant judgment.</w:t>
      </w:r>
      <w:r>
        <w:rPr>
          <w:rFonts w:ascii="Times New Roman" w:hAnsi="Times New Roman"/>
          <w:sz w:val="20"/>
        </w:rPr>
        <w:t xml:space="preserve"> </w:t>
      </w:r>
    </w:p>
    <w:p>
      <w:pPr>
        <w:pStyle w:val="TextBody"/>
        <w:spacing w:lineRule="auto" w:line="273" w:before="120" w:after="0"/>
        <w:jc w:val="both"/>
        <w:rPr/>
      </w:pPr>
      <w:r>
        <w:rPr/>
        <w:t>•</w:t>
      </w:r>
    </w:p>
    <w:p>
      <w:pPr>
        <w:pStyle w:val="TextBody"/>
        <w:spacing w:lineRule="auto" w:line="273" w:before="120" w:after="0"/>
        <w:jc w:val="both"/>
        <w:rPr>
          <w:rFonts w:ascii="Arial" w:hAnsi="Arial"/>
          <w:sz w:val="24"/>
        </w:rPr>
      </w:pPr>
      <w:r>
        <w:rPr>
          <w:rFonts w:ascii="Arial" w:hAnsi="Arial"/>
          <w:b w:val="false"/>
          <w:i/>
          <w:sz w:val="20"/>
        </w:rPr>
        <w:t>Fair Value of Common Stock</w:t>
      </w:r>
      <w:r>
        <w:rPr>
          <w:rFonts w:ascii="Arial" w:hAnsi="Arial"/>
          <w:sz w:val="24"/>
        </w:rPr>
        <w:t>—</w:t>
      </w:r>
      <w:r>
        <w:rPr>
          <w:rFonts w:ascii="Arial" w:hAnsi="Arial"/>
          <w:b w:val="false"/>
          <w:sz w:val="20"/>
        </w:rPr>
        <w:t>Prior to the closing of the Company’s initial public offering, the grant date fair market value of the shares of common stock underlying stock options had historically been determined by the Company’s board of directors. Because previously there was no public market for the Company’s common stock, the board of directors exercised reasonable judgment and considered a number of objective and subjective factors to determine the best estimate of the fair market value, which include contemporaneous valuations performed by an independent third party, important developments in the Company’s operations, sales of convertible preferred stock, the rights, preferences and privileges of its convertible preferred stock relative to those of its common stock, lack of marketability of its common stock, actual operating results, financial performance, the progress of clinical development, the likelihood of achieving a liquidity event for its security holders, the trends, development and conditions in the life sciences and biotechnology sectors, the economy in general, and the stock price performance and volatility of comparable public companies. For valuations of grants made after the closing of the Company’s initial public offering, the fair value of each share of common stock is based on the closing price of the Company’s common stock on the date of grant, or other relevant determination date, as reported on The Nasdaq Global Select Market.</w:t>
      </w:r>
    </w:p>
    <w:p>
      <w:pPr>
        <w:pStyle w:val="TextBody"/>
        <w:spacing w:lineRule="auto" w:line="273" w:before="120" w:after="0"/>
        <w:jc w:val="both"/>
        <w:rPr/>
      </w:pPr>
      <w:r>
        <w:rPr/>
        <w:t>•</w:t>
      </w:r>
    </w:p>
    <w:p>
      <w:pPr>
        <w:pStyle w:val="TextBody"/>
        <w:spacing w:lineRule="auto" w:line="273" w:before="120" w:after="0"/>
        <w:jc w:val="both"/>
        <w:rPr>
          <w:rFonts w:ascii="Arial" w:hAnsi="Arial"/>
          <w:sz w:val="24"/>
        </w:rPr>
      </w:pPr>
      <w:r>
        <w:rPr>
          <w:rFonts w:ascii="Arial" w:hAnsi="Arial"/>
          <w:b w:val="false"/>
          <w:i/>
          <w:sz w:val="20"/>
        </w:rPr>
        <w:t>Risk-Free Interest Rate</w:t>
      </w:r>
      <w:r>
        <w:rPr>
          <w:rFonts w:ascii="Arial" w:hAnsi="Arial"/>
          <w:sz w:val="24"/>
        </w:rPr>
        <w:t>—</w:t>
      </w:r>
      <w:r>
        <w:rPr>
          <w:rFonts w:ascii="Arial" w:hAnsi="Arial"/>
          <w:b w:val="false"/>
          <w:sz w:val="20"/>
        </w:rPr>
        <w:t xml:space="preserve">The risk-free interest rate is based on the U.S. Treasury zero coupon issues in effect at the time of grant for periods corresponding with the expected term of the option. </w:t>
      </w:r>
    </w:p>
    <w:p>
      <w:pPr>
        <w:pStyle w:val="TextBody"/>
        <w:spacing w:lineRule="auto" w:line="273" w:before="120" w:after="0"/>
        <w:jc w:val="both"/>
        <w:rPr/>
      </w:pPr>
      <w:r>
        <w:rPr/>
        <w:t>•</w:t>
      </w:r>
    </w:p>
    <w:p>
      <w:pPr>
        <w:pStyle w:val="TextBody"/>
        <w:spacing w:lineRule="auto" w:line="273" w:before="120" w:after="0"/>
        <w:jc w:val="both"/>
        <w:rPr>
          <w:rFonts w:ascii="Arial" w:hAnsi="Arial"/>
          <w:sz w:val="24"/>
        </w:rPr>
      </w:pPr>
      <w:r>
        <w:rPr>
          <w:rFonts w:ascii="Arial" w:hAnsi="Arial"/>
          <w:b w:val="false"/>
          <w:i/>
          <w:sz w:val="20"/>
        </w:rPr>
        <w:t>Expected Volatility</w:t>
      </w:r>
      <w:r>
        <w:rPr>
          <w:rFonts w:ascii="Arial" w:hAnsi="Arial"/>
          <w:sz w:val="24"/>
        </w:rPr>
        <w:t>—</w:t>
      </w:r>
      <w:r>
        <w:rPr>
          <w:rFonts w:ascii="Arial" w:hAnsi="Arial"/>
          <w:b w:val="false"/>
          <w:sz w:val="20"/>
        </w:rPr>
        <w:t xml:space="preserve">Because the Company was previously privately held and did not have any trading history for its common 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The Company will continue to apply this process until a sufficient amount of historical information regarding the volatility of its own stock price becomes available. </w:t>
      </w:r>
    </w:p>
    <w:p>
      <w:pPr>
        <w:pStyle w:val="TextBody"/>
        <w:spacing w:lineRule="auto" w:line="273" w:before="120" w:after="0"/>
        <w:jc w:val="both"/>
        <w:rPr/>
      </w:pPr>
      <w:r>
        <w:rPr/>
        <w:t>•</w:t>
      </w:r>
    </w:p>
    <w:p>
      <w:pPr>
        <w:pStyle w:val="TextBody"/>
        <w:spacing w:lineRule="auto" w:line="273" w:before="120" w:after="0"/>
        <w:jc w:val="both"/>
        <w:rPr>
          <w:rFonts w:ascii="Arial" w:hAnsi="Arial"/>
          <w:sz w:val="24"/>
        </w:rPr>
      </w:pPr>
      <w:r>
        <w:rPr>
          <w:rFonts w:ascii="Arial" w:hAnsi="Arial"/>
          <w:b w:val="false"/>
          <w:i/>
          <w:sz w:val="20"/>
        </w:rPr>
        <w:t>Expected Term</w:t>
      </w:r>
      <w:r>
        <w:rPr>
          <w:rFonts w:ascii="Arial" w:hAnsi="Arial"/>
          <w:sz w:val="24"/>
        </w:rPr>
        <w:t>—</w:t>
      </w:r>
      <w:r>
        <w:rPr>
          <w:rFonts w:ascii="Arial" w:hAnsi="Arial"/>
          <w:b w:val="false"/>
          <w:sz w:val="20"/>
        </w:rPr>
        <w:t xml:space="preserve">The expected term represents the period that the stock-based awards are expected to be outstanding and is determined using the simplified method (based on the midpoint between the vesting date and the end of the contractual term) as the Company has limited history of relevant stock option exercise activity. </w:t>
      </w:r>
    </w:p>
    <w:p>
      <w:pPr>
        <w:pStyle w:val="TextBody"/>
        <w:spacing w:lineRule="auto" w:line="273" w:before="120" w:after="0"/>
        <w:jc w:val="both"/>
        <w:rPr/>
      </w:pPr>
      <w:r>
        <w:rPr/>
        <w:t>•</w:t>
      </w:r>
    </w:p>
    <w:p>
      <w:pPr>
        <w:pStyle w:val="TextBody"/>
        <w:spacing w:lineRule="auto" w:line="273" w:before="120" w:after="283"/>
        <w:jc w:val="both"/>
        <w:rPr>
          <w:rFonts w:ascii="Arial" w:hAnsi="Arial"/>
          <w:sz w:val="24"/>
        </w:rPr>
      </w:pPr>
      <w:r>
        <w:rPr>
          <w:rFonts w:ascii="Arial" w:hAnsi="Arial"/>
          <w:b w:val="false"/>
          <w:i/>
          <w:sz w:val="20"/>
        </w:rPr>
        <w:t>Expected Dividend Yield</w:t>
      </w:r>
      <w:r>
        <w:rPr>
          <w:rFonts w:ascii="Arial" w:hAnsi="Arial"/>
          <w:sz w:val="24"/>
        </w:rPr>
        <w:t>—</w:t>
      </w:r>
      <w:r>
        <w:rPr>
          <w:rFonts w:ascii="Arial" w:hAnsi="Arial"/>
          <w:b w:val="false"/>
          <w:sz w:val="20"/>
        </w:rPr>
        <w:t>The Company has never paid dividends on its common stock and has no plans to pay dividends going forward. Therefore, it used an expected dividend yield of zero.</w:t>
      </w:r>
    </w:p>
    <w:p>
      <w:pPr>
        <w:pStyle w:val="TextBody"/>
        <w:spacing w:lineRule="auto" w:line="273" w:before="280" w:after="0"/>
        <w:jc w:val="both"/>
        <w:rPr>
          <w:rFonts w:ascii="Times New Roman" w:hAnsi="Times New Roman"/>
          <w:sz w:val="20"/>
        </w:rPr>
      </w:pPr>
      <w:r>
        <w:rPr>
          <w:rFonts w:ascii="Arial" w:hAnsi="Arial"/>
          <w:b w:val="false"/>
          <w:sz w:val="20"/>
        </w:rPr>
        <w:t>The fair value of each stock option was estimated using the Black</w:t>
        <w:noBreakHyphen/>
        <w:t>Scholes option</w:t>
        <w:noBreakHyphen/>
        <w:t>pricing model with the following weighted-average assumptions:</w:t>
      </w:r>
      <w:r>
        <w:rPr>
          <w:rFonts w:ascii="Times New Roman" w:hAnsi="Times New Roman"/>
          <w:sz w:val="20"/>
        </w:rPr>
        <w:t xml:space="preserve"> </w:t>
      </w:r>
    </w:p>
    <w:p>
      <w:pPr>
        <w:pStyle w:val="TextBody"/>
        <w:spacing w:lineRule="auto" w:line="273" w:before="0" w:after="0"/>
        <w:jc w:val="both"/>
        <w:rPr/>
      </w:pPr>
      <w:r>
        <w:rPr/>
        <w:t> </w:t>
      </w:r>
    </w:p>
    <w:tbl>
      <w:tblPr>
        <w:tblW w:w="5291" w:type="dxa"/>
        <w:jc w:val="left"/>
        <w:tblInd w:w="0" w:type="dxa"/>
        <w:tblCellMar>
          <w:top w:w="28" w:type="dxa"/>
          <w:left w:w="28" w:type="dxa"/>
          <w:bottom w:w="28" w:type="dxa"/>
          <w:right w:w="28" w:type="dxa"/>
        </w:tblCellMar>
      </w:tblPr>
      <w:tblGrid>
        <w:gridCol w:w="2266"/>
        <w:gridCol w:w="146"/>
        <w:gridCol w:w="196"/>
        <w:gridCol w:w="788"/>
        <w:gridCol w:w="384"/>
        <w:gridCol w:w="196"/>
        <w:gridCol w:w="196"/>
        <w:gridCol w:w="788"/>
        <w:gridCol w:w="331"/>
      </w:tblGrid>
      <w:tr>
        <w:trPr/>
        <w:tc>
          <w:tcPr>
            <w:tcW w:w="22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22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48"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Three Months Ended March 31,</w:t>
            </w:r>
          </w:p>
        </w:tc>
        <w:tc>
          <w:tcPr>
            <w:tcW w:w="3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2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4"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2022</w:t>
            </w:r>
          </w:p>
        </w:tc>
        <w:tc>
          <w:tcPr>
            <w:tcW w:w="38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984"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2021</w:t>
            </w:r>
          </w:p>
        </w:tc>
        <w:tc>
          <w:tcPr>
            <w:tcW w:w="3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2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Risk-free interest rate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88"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1.73</w:t>
            </w:r>
          </w:p>
        </w:tc>
        <w:tc>
          <w:tcPr>
            <w:tcW w:w="384"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88"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0.79</w:t>
            </w:r>
          </w:p>
        </w:tc>
        <w:tc>
          <w:tcPr>
            <w:tcW w:w="3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22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Expected volatility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88"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92.65</w:t>
            </w:r>
          </w:p>
        </w:tc>
        <w:tc>
          <w:tcPr>
            <w:tcW w:w="384"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88"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89.13</w:t>
            </w:r>
          </w:p>
        </w:tc>
        <w:tc>
          <w:tcPr>
            <w:tcW w:w="3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22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Expected term (in years)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88"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6.01</w:t>
            </w:r>
          </w:p>
        </w:tc>
        <w:tc>
          <w:tcPr>
            <w:tcW w:w="384"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88"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6.17</w:t>
            </w:r>
          </w:p>
        </w:tc>
        <w:tc>
          <w:tcPr>
            <w:tcW w:w="331" w:type="dxa"/>
            <w:tcBorders/>
            <w:shd w:fill="auto" w:val="clear"/>
            <w:vAlign w:val="center"/>
          </w:tcPr>
          <w:p>
            <w:pPr>
              <w:pStyle w:val="TableContents"/>
              <w:spacing w:lineRule="auto" w:line="252" w:before="0" w:after="0"/>
              <w:ind w:left="0" w:right="0" w:hanging="0"/>
              <w:jc w:val="left"/>
              <w:rPr/>
            </w:pPr>
            <w:r>
              <w:rPr/>
              <w:t> </w:t>
            </w:r>
          </w:p>
        </w:tc>
      </w:tr>
      <w:tr>
        <w:trPr/>
        <w:tc>
          <w:tcPr>
            <w:tcW w:w="22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Expected dividend yield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88" w:type="dxa"/>
            <w:tcBorders/>
            <w:shd w:fill="auto" w:val="clear"/>
            <w:vAlign w:val="center"/>
          </w:tcPr>
          <w:p>
            <w:pPr>
              <w:pStyle w:val="TableContents"/>
              <w:spacing w:lineRule="auto" w:line="252" w:before="0" w:after="0"/>
              <w:ind w:left="0" w:right="0" w:hanging="0"/>
              <w:jc w:val="right"/>
              <w:rPr/>
            </w:pPr>
            <w:r>
              <w:rPr/>
              <w:t>—</w:t>
            </w:r>
          </w:p>
        </w:tc>
        <w:tc>
          <w:tcPr>
            <w:tcW w:w="384"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88" w:type="dxa"/>
            <w:tcBorders/>
            <w:shd w:fill="auto" w:val="clear"/>
            <w:vAlign w:val="center"/>
          </w:tcPr>
          <w:p>
            <w:pPr>
              <w:pStyle w:val="TableContents"/>
              <w:spacing w:lineRule="auto" w:line="252" w:before="0" w:after="0"/>
              <w:ind w:left="0" w:right="0" w:hanging="0"/>
              <w:jc w:val="right"/>
              <w:rPr/>
            </w:pPr>
            <w:r>
              <w:rPr/>
              <w:t>—</w:t>
            </w:r>
          </w:p>
        </w:tc>
        <w:tc>
          <w:tcPr>
            <w:tcW w:w="33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both"/>
        <w:rPr/>
      </w:pPr>
      <w:r>
        <w:rPr/>
        <w:t> </w:t>
      </w:r>
    </w:p>
    <w:p>
      <w:pPr>
        <w:pStyle w:val="TextBody"/>
        <w:spacing w:lineRule="auto" w:line="273" w:before="0" w:after="0"/>
        <w:jc w:val="both"/>
        <w:rPr>
          <w:rFonts w:ascii="Arial" w:hAnsi="Arial"/>
          <w:b w:val="false"/>
          <w:sz w:val="20"/>
        </w:rPr>
      </w:pPr>
      <w:r>
        <w:rPr>
          <w:rFonts w:ascii="Arial" w:hAnsi="Arial"/>
          <w:b w:val="false"/>
          <w:sz w:val="20"/>
        </w:rPr>
        <w:t>The grant date fair value of restricted stock units is based upon the fair market value of the Company’s common stock based on its closing price as reported on the date of grant on the Nasdaq Global Select Market.</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Arial" w:hAnsi="Arial"/>
          <w:b w:val="false"/>
          <w:sz w:val="20"/>
        </w:rPr>
        <w:t>The fair value of options granted during the three months ended March 31, 2022 and 2021</w:t>
      </w:r>
      <w:r>
        <w:rPr>
          <w:rFonts w:ascii="Times New Roman" w:hAnsi="Times New Roman"/>
          <w:sz w:val="20"/>
        </w:rPr>
        <w:t xml:space="preserve"> </w:t>
      </w:r>
      <w:r>
        <w:rPr>
          <w:rFonts w:ascii="Arial" w:hAnsi="Arial"/>
          <w:b w:val="false"/>
          <w:sz w:val="20"/>
        </w:rPr>
        <w:t>was $11.9</w:t>
      </w:r>
      <w:r>
        <w:rPr>
          <w:rFonts w:ascii="Times New Roman" w:hAnsi="Times New Roman"/>
          <w:sz w:val="20"/>
        </w:rPr>
        <w:t xml:space="preserve"> </w:t>
      </w:r>
      <w:r>
        <w:rPr>
          <w:rFonts w:ascii="Arial" w:hAnsi="Arial"/>
          <w:b w:val="false"/>
          <w:sz w:val="20"/>
        </w:rPr>
        <w:t>million and $9.3</w:t>
      </w:r>
      <w:r>
        <w:rPr>
          <w:rFonts w:ascii="Times New Roman" w:hAnsi="Times New Roman"/>
          <w:sz w:val="20"/>
        </w:rPr>
        <w:t xml:space="preserve"> </w:t>
      </w:r>
      <w:r>
        <w:rPr>
          <w:rFonts w:ascii="Arial" w:hAnsi="Arial"/>
          <w:b w:val="false"/>
          <w:sz w:val="20"/>
        </w:rPr>
        <w:t>million, respectively. The fair value of restricted stock units granted during the three months ended March 31, 2022 and 2021</w:t>
      </w:r>
      <w:r>
        <w:rPr>
          <w:rFonts w:ascii="Times New Roman" w:hAnsi="Times New Roman"/>
          <w:sz w:val="20"/>
        </w:rPr>
        <w:t xml:space="preserve"> </w:t>
      </w:r>
      <w:r>
        <w:rPr>
          <w:rFonts w:ascii="Arial" w:hAnsi="Arial"/>
          <w:b w:val="false"/>
          <w:sz w:val="20"/>
        </w:rPr>
        <w:t>was $129,000</w:t>
      </w:r>
      <w:r>
        <w:rPr>
          <w:rFonts w:ascii="Times New Roman" w:hAnsi="Times New Roman"/>
          <w:sz w:val="20"/>
        </w:rPr>
        <w:t xml:space="preserve"> </w:t>
      </w:r>
      <w:r>
        <w:rPr>
          <w:rFonts w:ascii="Arial" w:hAnsi="Arial"/>
          <w:b w:val="false"/>
          <w:sz w:val="20"/>
        </w:rPr>
        <w:t>and $67,000, respectively.</w:t>
      </w:r>
    </w:p>
    <w:p>
      <w:pPr>
        <w:pStyle w:val="TextBody"/>
        <w:spacing w:lineRule="auto" w:line="273" w:before="240" w:after="0"/>
        <w:jc w:val="center"/>
        <w:rPr>
          <w:rFonts w:ascii="Arial" w:hAnsi="Arial"/>
          <w:b w:val="false"/>
          <w:sz w:val="20"/>
        </w:rPr>
      </w:pPr>
      <w:r>
        <w:rPr>
          <w:rFonts w:ascii="Arial" w:hAnsi="Arial"/>
          <w:b w:val="false"/>
          <w:sz w:val="20"/>
        </w:rPr>
        <w:t>19</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Arial" w:hAnsi="Arial"/>
          <w:b/>
          <w:i/>
          <w:sz w:val="20"/>
        </w:rPr>
      </w:pPr>
      <w:r>
        <w:rPr>
          <w:rFonts w:ascii="Arial" w:hAnsi="Arial"/>
          <w:b/>
          <w:i/>
          <w:sz w:val="20"/>
        </w:rPr>
        <w:t>Stock Option Activity</w:t>
      </w:r>
    </w:p>
    <w:p>
      <w:pPr>
        <w:pStyle w:val="TextBody"/>
        <w:spacing w:lineRule="auto" w:line="273" w:before="280" w:after="0"/>
        <w:jc w:val="both"/>
        <w:rPr>
          <w:rFonts w:ascii="Arial" w:hAnsi="Arial"/>
          <w:b w:val="false"/>
          <w:sz w:val="20"/>
        </w:rPr>
      </w:pPr>
      <w:r>
        <w:rPr>
          <w:rFonts w:ascii="Arial" w:hAnsi="Arial"/>
          <w:b w:val="false"/>
          <w:sz w:val="20"/>
        </w:rPr>
        <w:t>Changes in shares available for grant under the 2020 Plan during the three months ended March 31, 2022 were as follows:</w:t>
      </w:r>
    </w:p>
    <w:p>
      <w:pPr>
        <w:pStyle w:val="TextBody"/>
        <w:spacing w:lineRule="auto" w:line="273" w:before="0" w:after="0"/>
        <w:jc w:val="both"/>
        <w:rPr/>
      </w:pPr>
      <w:r>
        <w:rPr/>
        <w:t> </w:t>
      </w:r>
    </w:p>
    <w:tbl>
      <w:tblPr>
        <w:tblW w:w="5845" w:type="dxa"/>
        <w:jc w:val="left"/>
        <w:tblInd w:w="0" w:type="dxa"/>
        <w:tblCellMar>
          <w:top w:w="28" w:type="dxa"/>
          <w:left w:w="28" w:type="dxa"/>
          <w:bottom w:w="28" w:type="dxa"/>
          <w:right w:w="28" w:type="dxa"/>
        </w:tblCellMar>
      </w:tblPr>
      <w:tblGrid>
        <w:gridCol w:w="4321"/>
        <w:gridCol w:w="146"/>
        <w:gridCol w:w="146"/>
        <w:gridCol w:w="1021"/>
        <w:gridCol w:w="211"/>
      </w:tblGrid>
      <w:tr>
        <w:trPr/>
        <w:tc>
          <w:tcPr>
            <w:tcW w:w="43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32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6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Shares</w:t>
              <w:br/>
              <w:t xml:space="preserve">Available </w:t>
              <w:br/>
              <w:t>for Grant</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32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Shares available for grant at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2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4,442,315</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432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2020 Plan reserve increase on January 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2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1,868,953</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432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Options and restricted stock units granted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2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(1,522,614</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432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 xml:space="preserve">Options and restricted stock units forfeited, </w:t>
              <w:br/>
              <w:t>   cancelled, or expired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124,835</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32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Shares available for grant at March 31,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2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4,913,489</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both"/>
        <w:rPr/>
      </w:pPr>
      <w:r>
        <w:rPr/>
        <w:t> </w:t>
      </w:r>
    </w:p>
    <w:p>
      <w:pPr>
        <w:pStyle w:val="TextBody"/>
        <w:spacing w:lineRule="auto" w:line="273" w:before="0" w:after="0"/>
        <w:jc w:val="both"/>
        <w:rPr>
          <w:rFonts w:ascii="Arial" w:hAnsi="Arial"/>
          <w:b w:val="false"/>
          <w:sz w:val="20"/>
        </w:rPr>
      </w:pPr>
      <w:r>
        <w:rPr>
          <w:rFonts w:ascii="Arial" w:hAnsi="Arial"/>
          <w:b w:val="false"/>
          <w:sz w:val="20"/>
        </w:rPr>
        <w:t>A summary of stock option activity under the 2020 Plan for the three months ended March 31, 2022 was as follows:</w:t>
      </w:r>
    </w:p>
    <w:p>
      <w:pPr>
        <w:pStyle w:val="TextBody"/>
        <w:spacing w:lineRule="auto" w:line="273" w:before="0" w:after="0"/>
        <w:jc w:val="both"/>
        <w:rPr/>
      </w:pPr>
      <w:r>
        <w:rPr/>
        <w:t> </w:t>
      </w:r>
    </w:p>
    <w:tbl>
      <w:tblPr>
        <w:tblW w:w="8118" w:type="dxa"/>
        <w:jc w:val="left"/>
        <w:tblInd w:w="0" w:type="dxa"/>
        <w:tblCellMar>
          <w:top w:w="28" w:type="dxa"/>
          <w:left w:w="28" w:type="dxa"/>
          <w:bottom w:w="28" w:type="dxa"/>
          <w:right w:w="28" w:type="dxa"/>
        </w:tblCellMar>
      </w:tblPr>
      <w:tblGrid>
        <w:gridCol w:w="2806"/>
        <w:gridCol w:w="146"/>
        <w:gridCol w:w="146"/>
        <w:gridCol w:w="961"/>
        <w:gridCol w:w="166"/>
        <w:gridCol w:w="146"/>
        <w:gridCol w:w="242"/>
        <w:gridCol w:w="674"/>
        <w:gridCol w:w="146"/>
        <w:gridCol w:w="146"/>
        <w:gridCol w:w="241"/>
        <w:gridCol w:w="795"/>
        <w:gridCol w:w="146"/>
        <w:gridCol w:w="146"/>
        <w:gridCol w:w="237"/>
        <w:gridCol w:w="783"/>
        <w:gridCol w:w="191"/>
      </w:tblGrid>
      <w:tr>
        <w:trPr/>
        <w:tc>
          <w:tcPr>
            <w:tcW w:w="28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80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0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Weighted-</w:t>
              <w:br/>
              <w:t>Average</w:t>
              <w:br/>
              <w:t>Exercise</w:t>
              <w:br/>
              <w:t>price</w:t>
              <w:br/>
              <w:t>per Share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Weighted-</w:t>
              <w:br/>
              <w:t>Average</w:t>
              <w:br/>
              <w:t>Remaining</w:t>
              <w:br/>
              <w:t>Contractual</w:t>
              <w:br/>
              <w:t xml:space="preserve">Term </w:t>
              <w:br/>
              <w:t>(in 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2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Aggregate</w:t>
              <w:br/>
              <w:t>Intrinsic</w:t>
              <w:br/>
              <w:t>Value</w:t>
              <w:br/>
              <w:t>(in</w:t>
              <w:br/>
              <w:t>thousands)</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80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Balance at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6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2,270,896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2"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74"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12.76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gridSpan w:val="2"/>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7.22</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7"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83"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8,306</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80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Granted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6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1,510,364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2" w:type="dxa"/>
            <w:tcBorders/>
            <w:shd w:fill="auto" w:val="clear"/>
            <w:vAlign w:val="center"/>
          </w:tcPr>
          <w:p>
            <w:pPr>
              <w:pStyle w:val="TableContents"/>
              <w:spacing w:lineRule="auto" w:line="252" w:before="0" w:after="0"/>
              <w:ind w:left="0" w:right="0" w:hanging="0"/>
              <w:jc w:val="left"/>
              <w:rPr/>
            </w:pPr>
            <w:r>
              <w:rPr/>
              <w:t> </w:t>
            </w:r>
          </w:p>
        </w:tc>
        <w:tc>
          <w:tcPr>
            <w:tcW w:w="674"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10.44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20" w:type="dxa"/>
            <w:gridSpan w:val="2"/>
            <w:tcBorders/>
            <w:shd w:fill="auto" w:val="clear"/>
            <w:vAlign w:val="center"/>
          </w:tcPr>
          <w:p>
            <w:pPr>
              <w:pStyle w:val="TableContents"/>
              <w:spacing w:lineRule="auto" w:line="252" w:before="0" w:after="0"/>
              <w:ind w:left="0" w:right="0" w:hanging="0"/>
              <w:jc w:val="right"/>
              <w:rPr/>
            </w:pPr>
            <w:r>
              <w:rPr/>
              <w:t> </w:t>
            </w:r>
          </w:p>
        </w:tc>
        <w:tc>
          <w:tcPr>
            <w:tcW w:w="191" w:type="dxa"/>
            <w:tcBorders/>
            <w:shd w:fill="auto" w:val="clear"/>
            <w:vAlign w:val="center"/>
          </w:tcPr>
          <w:p>
            <w:pPr>
              <w:pStyle w:val="TableContents"/>
              <w:spacing w:lineRule="auto" w:line="252" w:before="0" w:after="0"/>
              <w:ind w:left="0" w:right="0" w:hanging="0"/>
              <w:jc w:val="right"/>
              <w:rPr/>
            </w:pPr>
            <w:r>
              <w:rPr/>
              <w:t> </w:t>
            </w:r>
          </w:p>
        </w:tc>
      </w:tr>
      <w:tr>
        <w:trPr/>
        <w:tc>
          <w:tcPr>
            <w:tcW w:w="280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Exercised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6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(244,981</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2" w:type="dxa"/>
            <w:tcBorders/>
            <w:shd w:fill="auto" w:val="clear"/>
            <w:vAlign w:val="center"/>
          </w:tcPr>
          <w:p>
            <w:pPr>
              <w:pStyle w:val="TableContents"/>
              <w:spacing w:lineRule="auto" w:line="252" w:before="0" w:after="0"/>
              <w:ind w:left="0" w:right="0" w:hanging="0"/>
              <w:jc w:val="left"/>
              <w:rPr/>
            </w:pPr>
            <w:r>
              <w:rPr/>
              <w:t> </w:t>
            </w:r>
          </w:p>
        </w:tc>
        <w:tc>
          <w:tcPr>
            <w:tcW w:w="674"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0.86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20" w:type="dxa"/>
            <w:gridSpan w:val="2"/>
            <w:tcBorders/>
            <w:shd w:fill="auto" w:val="clear"/>
            <w:vAlign w:val="center"/>
          </w:tcPr>
          <w:p>
            <w:pPr>
              <w:pStyle w:val="TableContents"/>
              <w:spacing w:lineRule="auto" w:line="252" w:before="0" w:after="0"/>
              <w:ind w:left="0" w:right="0" w:hanging="0"/>
              <w:jc w:val="right"/>
              <w:rPr/>
            </w:pPr>
            <w:r>
              <w:rPr/>
              <w:t> </w:t>
            </w:r>
          </w:p>
        </w:tc>
        <w:tc>
          <w:tcPr>
            <w:tcW w:w="191" w:type="dxa"/>
            <w:tcBorders/>
            <w:shd w:fill="auto" w:val="clear"/>
            <w:vAlign w:val="center"/>
          </w:tcPr>
          <w:p>
            <w:pPr>
              <w:pStyle w:val="TableContents"/>
              <w:spacing w:lineRule="auto" w:line="252" w:before="0" w:after="0"/>
              <w:ind w:left="0" w:right="0" w:hanging="0"/>
              <w:jc w:val="right"/>
              <w:rPr/>
            </w:pPr>
            <w:r>
              <w:rPr/>
              <w:t> </w:t>
            </w:r>
          </w:p>
        </w:tc>
      </w:tr>
      <w:tr>
        <w:trPr/>
        <w:tc>
          <w:tcPr>
            <w:tcW w:w="280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Forfeited/expired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(110,835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2" w:type="dxa"/>
            <w:tcBorders/>
            <w:shd w:fill="auto" w:val="clear"/>
            <w:vAlign w:val="center"/>
          </w:tcPr>
          <w:p>
            <w:pPr>
              <w:pStyle w:val="TableContents"/>
              <w:spacing w:lineRule="auto" w:line="252" w:before="0" w:after="0"/>
              <w:ind w:left="0" w:right="0" w:hanging="0"/>
              <w:jc w:val="left"/>
              <w:rPr/>
            </w:pPr>
            <w:r>
              <w:rPr/>
              <w:t> </w:t>
            </w:r>
          </w:p>
        </w:tc>
        <w:tc>
          <w:tcPr>
            <w:tcW w:w="674"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17.12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20" w:type="dxa"/>
            <w:gridSpan w:val="2"/>
            <w:tcBorders/>
            <w:shd w:fill="auto" w:val="clear"/>
            <w:vAlign w:val="center"/>
          </w:tcPr>
          <w:p>
            <w:pPr>
              <w:pStyle w:val="TableContents"/>
              <w:spacing w:lineRule="auto" w:line="252" w:before="0" w:after="0"/>
              <w:ind w:left="0" w:right="0" w:hanging="0"/>
              <w:jc w:val="right"/>
              <w:rPr/>
            </w:pPr>
            <w:r>
              <w:rPr/>
              <w:t> </w:t>
            </w:r>
          </w:p>
        </w:tc>
        <w:tc>
          <w:tcPr>
            <w:tcW w:w="191" w:type="dxa"/>
            <w:tcBorders/>
            <w:shd w:fill="auto" w:val="clear"/>
            <w:vAlign w:val="center"/>
          </w:tcPr>
          <w:p>
            <w:pPr>
              <w:pStyle w:val="TableContents"/>
              <w:spacing w:lineRule="auto" w:line="252" w:before="0" w:after="0"/>
              <w:ind w:left="0" w:right="0" w:hanging="0"/>
              <w:jc w:val="right"/>
              <w:rPr/>
            </w:pPr>
            <w:r>
              <w:rPr/>
              <w:t> </w:t>
            </w:r>
          </w:p>
        </w:tc>
      </w:tr>
      <w:tr>
        <w:trPr/>
        <w:tc>
          <w:tcPr>
            <w:tcW w:w="280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Balance at March 31,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3,425,444</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2"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74"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12.44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1" w:type="dxa"/>
            <w:tcBorders/>
            <w:shd w:fill="auto" w:val="clear"/>
            <w:vAlign w:val="center"/>
          </w:tcPr>
          <w:p>
            <w:pPr>
              <w:pStyle w:val="TableContents"/>
              <w:spacing w:lineRule="auto" w:line="252" w:before="0" w:after="0"/>
              <w:ind w:left="0" w:right="0" w:hanging="0"/>
              <w:jc w:val="left"/>
              <w:rPr/>
            </w:pPr>
            <w:r>
              <w:rPr/>
              <w:t> </w:t>
            </w:r>
          </w:p>
        </w:tc>
        <w:tc>
          <w:tcPr>
            <w:tcW w:w="79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8.88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7"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83"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10,137</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80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Expected to vest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2,721,431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2"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74"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13.05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1" w:type="dxa"/>
            <w:tcBorders/>
            <w:shd w:fill="auto" w:val="clear"/>
            <w:vAlign w:val="center"/>
          </w:tcPr>
          <w:p>
            <w:pPr>
              <w:pStyle w:val="TableContents"/>
              <w:spacing w:lineRule="auto" w:line="252" w:before="0" w:after="0"/>
              <w:ind w:left="0" w:right="0" w:hanging="0"/>
              <w:jc w:val="left"/>
              <w:rPr/>
            </w:pPr>
            <w:r>
              <w:rPr/>
              <w:t> </w:t>
            </w:r>
          </w:p>
        </w:tc>
        <w:tc>
          <w:tcPr>
            <w:tcW w:w="79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9.33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7"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83"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6,035</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80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Options exercisable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704,013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2"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74"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10.11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1" w:type="dxa"/>
            <w:tcBorders/>
            <w:shd w:fill="auto" w:val="clear"/>
            <w:vAlign w:val="center"/>
          </w:tcPr>
          <w:p>
            <w:pPr>
              <w:pStyle w:val="TableContents"/>
              <w:spacing w:lineRule="auto" w:line="252" w:before="0" w:after="0"/>
              <w:ind w:left="0" w:right="0" w:hanging="0"/>
              <w:jc w:val="left"/>
              <w:rPr/>
            </w:pPr>
            <w:r>
              <w:rPr/>
              <w:t> </w:t>
            </w:r>
          </w:p>
        </w:tc>
        <w:tc>
          <w:tcPr>
            <w:tcW w:w="79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7.14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7"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83"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4,102</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both"/>
        <w:rPr/>
      </w:pPr>
      <w:r>
        <w:rPr/>
        <w:t> </w:t>
      </w:r>
    </w:p>
    <w:p>
      <w:pPr>
        <w:pStyle w:val="TextBody"/>
        <w:spacing w:lineRule="auto" w:line="273" w:before="40" w:after="0"/>
        <w:jc w:val="both"/>
        <w:rPr>
          <w:rFonts w:ascii="Times New Roman" w:hAnsi="Times New Roman"/>
          <w:sz w:val="20"/>
        </w:rPr>
      </w:pPr>
      <w:r>
        <w:rPr>
          <w:rFonts w:ascii="Arial" w:hAnsi="Arial"/>
          <w:b w:val="false"/>
          <w:sz w:val="20"/>
        </w:rPr>
        <w:t>The total fair value of options granted that vested during the three months ended March 31, 2022 and 2021</w:t>
      </w:r>
      <w:r>
        <w:rPr>
          <w:rFonts w:ascii="Times New Roman" w:hAnsi="Times New Roman"/>
          <w:sz w:val="20"/>
        </w:rPr>
        <w:t xml:space="preserve"> </w:t>
      </w:r>
      <w:r>
        <w:rPr>
          <w:rFonts w:ascii="Arial" w:hAnsi="Arial"/>
          <w:b w:val="false"/>
          <w:sz w:val="20"/>
        </w:rPr>
        <w:t>was $1.9</w:t>
      </w:r>
      <w:r>
        <w:rPr>
          <w:rFonts w:ascii="Times New Roman" w:hAnsi="Times New Roman"/>
          <w:sz w:val="20"/>
        </w:rPr>
        <w:t xml:space="preserve"> </w:t>
      </w:r>
      <w:r>
        <w:rPr>
          <w:rFonts w:ascii="Arial" w:hAnsi="Arial"/>
          <w:b w:val="false"/>
          <w:sz w:val="20"/>
        </w:rPr>
        <w:t>million and $133,000, respectively.</w:t>
      </w:r>
    </w:p>
    <w:p>
      <w:pPr>
        <w:pStyle w:val="TextBody"/>
        <w:spacing w:lineRule="auto" w:line="273" w:before="280" w:after="0"/>
        <w:jc w:val="both"/>
        <w:rPr>
          <w:rFonts w:ascii="Times New Roman" w:hAnsi="Times New Roman"/>
          <w:sz w:val="20"/>
        </w:rPr>
      </w:pPr>
      <w:r>
        <w:rPr>
          <w:rFonts w:ascii="Arial" w:hAnsi="Arial"/>
          <w:b w:val="false"/>
          <w:sz w:val="20"/>
        </w:rPr>
        <w:t>The aggregate intrinsic value in the table above is calculated as the difference between the exercise price of the underlying options and the estimated fair value of the Company’s common stock underlying all options that were in-the-money at March 31, 2022. The aggregate intrinsic value of options exercised was $2.7</w:t>
      </w:r>
      <w:r>
        <w:rPr>
          <w:rFonts w:ascii="Times New Roman" w:hAnsi="Times New Roman"/>
          <w:sz w:val="20"/>
        </w:rPr>
        <w:t xml:space="preserve"> </w:t>
      </w:r>
      <w:r>
        <w:rPr>
          <w:rFonts w:ascii="Arial" w:hAnsi="Arial"/>
          <w:b w:val="false"/>
          <w:sz w:val="20"/>
        </w:rPr>
        <w:t>million and $1.1</w:t>
      </w:r>
      <w:r>
        <w:rPr>
          <w:rFonts w:ascii="Times New Roman" w:hAnsi="Times New Roman"/>
          <w:sz w:val="20"/>
        </w:rPr>
        <w:t xml:space="preserve"> </w:t>
      </w:r>
      <w:r>
        <w:rPr>
          <w:rFonts w:ascii="Arial" w:hAnsi="Arial"/>
          <w:b w:val="false"/>
          <w:sz w:val="20"/>
        </w:rPr>
        <w:t>million during the three months ended March 31, 2022 and 2021, respectively, determined as of the date of option exercise. As of March 31, 2022, there was $20.2</w:t>
      </w:r>
      <w:r>
        <w:rPr>
          <w:rFonts w:ascii="Times New Roman" w:hAnsi="Times New Roman"/>
          <w:sz w:val="20"/>
        </w:rPr>
        <w:t xml:space="preserve"> </w:t>
      </w:r>
      <w:r>
        <w:rPr>
          <w:rFonts w:ascii="Arial" w:hAnsi="Arial"/>
          <w:b w:val="false"/>
          <w:sz w:val="20"/>
        </w:rPr>
        <w:t>million of total unrecognized compensation cost related to unvested stock options. The Company expects to recognize this cost over a remaining weighted-average period of 3.27</w:t>
      </w:r>
      <w:r>
        <w:rPr>
          <w:rFonts w:ascii="Times New Roman" w:hAnsi="Times New Roman"/>
          <w:sz w:val="20"/>
        </w:rPr>
        <w:t xml:space="preserve"> </w:t>
      </w:r>
      <w:r>
        <w:rPr>
          <w:rFonts w:ascii="Arial" w:hAnsi="Arial"/>
          <w:b w:val="false"/>
          <w:sz w:val="20"/>
        </w:rPr>
        <w:t>years. The Company utilizes newly issued shares to satisfy option exercises.</w:t>
      </w:r>
    </w:p>
    <w:p>
      <w:pPr>
        <w:pStyle w:val="TextBody"/>
        <w:spacing w:lineRule="auto" w:line="273" w:before="240" w:after="0"/>
        <w:jc w:val="center"/>
        <w:rPr>
          <w:rFonts w:ascii="Arial" w:hAnsi="Arial"/>
          <w:b w:val="false"/>
          <w:sz w:val="20"/>
        </w:rPr>
      </w:pPr>
      <w:r>
        <w:rPr>
          <w:rFonts w:ascii="Arial" w:hAnsi="Arial"/>
          <w:b w:val="false"/>
          <w:sz w:val="20"/>
        </w:rPr>
        <w:t>20</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Arial" w:hAnsi="Arial"/>
          <w:b w:val="false"/>
          <w:sz w:val="20"/>
        </w:rPr>
      </w:pPr>
      <w:r>
        <w:rPr>
          <w:rFonts w:ascii="Arial" w:hAnsi="Arial"/>
          <w:b w:val="false"/>
          <w:sz w:val="20"/>
        </w:rPr>
        <w:t>Stock options outstanding and exercisable under the 2020 Plan consisted of the following at March 31, 2022:</w:t>
      </w:r>
    </w:p>
    <w:p>
      <w:pPr>
        <w:pStyle w:val="TextBody"/>
        <w:spacing w:lineRule="auto" w:line="273" w:before="0" w:after="0"/>
        <w:jc w:val="both"/>
        <w:rPr/>
      </w:pPr>
      <w:r>
        <w:rPr/>
        <w:t> </w:t>
      </w:r>
    </w:p>
    <w:tbl>
      <w:tblPr>
        <w:tblW w:w="4497" w:type="dxa"/>
        <w:jc w:val="left"/>
        <w:tblInd w:w="0" w:type="dxa"/>
        <w:tblCellMar>
          <w:top w:w="28" w:type="dxa"/>
          <w:left w:w="28" w:type="dxa"/>
          <w:bottom w:w="28" w:type="dxa"/>
          <w:right w:w="28" w:type="dxa"/>
        </w:tblCellMar>
      </w:tblPr>
      <w:tblGrid>
        <w:gridCol w:w="1471"/>
        <w:gridCol w:w="146"/>
        <w:gridCol w:w="146"/>
        <w:gridCol w:w="965"/>
        <w:gridCol w:w="146"/>
        <w:gridCol w:w="146"/>
        <w:gridCol w:w="155"/>
        <w:gridCol w:w="851"/>
        <w:gridCol w:w="471"/>
      </w:tblGrid>
      <w:tr>
        <w:trPr/>
        <w:tc>
          <w:tcPr>
            <w:tcW w:w="14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147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09" w:type="dxa"/>
            <w:gridSpan w:val="6"/>
            <w:tcBorders/>
            <w:shd w:fill="auto" w:val="clear"/>
            <w:vAlign w:val="center"/>
          </w:tcPr>
          <w:p>
            <w:pPr>
              <w:pStyle w:val="TableContents"/>
              <w:spacing w:lineRule="auto" w:line="252" w:before="0" w:after="0"/>
              <w:ind w:left="0" w:right="0" w:hanging="0"/>
              <w:jc w:val="center"/>
              <w:rPr/>
            </w:pPr>
            <w:r>
              <w:rPr/>
              <w:t> </w:t>
            </w:r>
          </w:p>
        </w:tc>
        <w:tc>
          <w:tcPr>
            <w:tcW w:w="471" w:type="dxa"/>
            <w:tcBorders/>
            <w:shd w:fill="auto" w:val="clear"/>
            <w:vAlign w:val="center"/>
          </w:tcPr>
          <w:p>
            <w:pPr>
              <w:pStyle w:val="TableContents"/>
              <w:spacing w:lineRule="auto" w:line="252" w:before="0" w:after="0"/>
              <w:ind w:left="0" w:right="0" w:hanging="0"/>
              <w:jc w:val="center"/>
              <w:rPr/>
            </w:pPr>
            <w:r>
              <w:rPr/>
              <w:t> </w:t>
            </w:r>
          </w:p>
        </w:tc>
      </w:tr>
      <w:tr>
        <w:trPr/>
        <w:tc>
          <w:tcPr>
            <w:tcW w:w="1471" w:type="dxa"/>
            <w:tcBorders/>
            <w:shd w:fill="auto" w:val="clear"/>
            <w:vAlign w:val="center"/>
          </w:tcPr>
          <w:p>
            <w:pPr>
              <w:pStyle w:val="TableContents"/>
              <w:spacing w:lineRule="auto" w:line="252" w:before="0" w:after="0"/>
              <w:ind w:left="0" w:right="0" w:hanging="0"/>
              <w:jc w:val="left"/>
              <w:rPr>
                <w:rFonts w:ascii="Arial" w:hAnsi="Arial"/>
                <w:b/>
                <w:sz w:val="16"/>
                <w:u w:val="single"/>
              </w:rPr>
            </w:pPr>
            <w:r>
              <w:rPr>
                <w:rFonts w:ascii="Arial" w:hAnsi="Arial"/>
                <w:b/>
                <w:sz w:val="16"/>
                <w:u w:val="single"/>
              </w:rPr>
              <w:t>Exercise Price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1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Shares</w:t>
              <w:br/>
              <w:t>Outstanding</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Shares</w:t>
              <w:br/>
              <w:t>Exercisable</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1471"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Arial" w:hAnsi="Arial"/>
                <w:b w:val="false"/>
                <w:sz w:val="20"/>
              </w:rPr>
              <w:t>0.16</w:t>
            </w:r>
            <w:r>
              <w:rPr>
                <w:rFonts w:ascii="Times New Roman" w:hAnsi="Times New Roman"/>
                <w:sz w:val="20"/>
              </w:rPr>
              <w:t> </w:t>
            </w:r>
            <w:r>
              <w:rPr>
                <w:rFonts w:ascii="Arial" w:hAnsi="Arial"/>
                <w:b w:val="false"/>
                <w:sz w:val="20"/>
              </w:rPr>
              <w:t>to 1.35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6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439,813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5" w:type="dxa"/>
            <w:tcBorders/>
            <w:shd w:fill="auto" w:val="clear"/>
            <w:vAlign w:val="center"/>
          </w:tcPr>
          <w:p>
            <w:pPr>
              <w:pStyle w:val="TableContents"/>
              <w:spacing w:lineRule="auto" w:line="252" w:before="0" w:after="0"/>
              <w:ind w:left="0" w:right="0" w:hanging="0"/>
              <w:jc w:val="left"/>
              <w:rPr/>
            </w:pPr>
            <w:r>
              <w:rPr/>
              <w:t> </w:t>
            </w:r>
          </w:p>
        </w:tc>
        <w:tc>
          <w:tcPr>
            <w:tcW w:w="85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312,133</w:t>
            </w:r>
          </w:p>
        </w:tc>
        <w:tc>
          <w:tcPr>
            <w:tcW w:w="471" w:type="dxa"/>
            <w:tcBorders/>
            <w:shd w:fill="auto" w:val="clear"/>
            <w:vAlign w:val="center"/>
          </w:tcPr>
          <w:p>
            <w:pPr>
              <w:pStyle w:val="TableContents"/>
              <w:spacing w:lineRule="auto" w:line="252" w:before="0" w:after="0"/>
              <w:ind w:left="0" w:right="0" w:hanging="0"/>
              <w:jc w:val="left"/>
              <w:rPr/>
            </w:pPr>
            <w:r>
              <w:rPr/>
              <w:t> </w:t>
            </w:r>
          </w:p>
        </w:tc>
      </w:tr>
      <w:tr>
        <w:trPr/>
        <w:tc>
          <w:tcPr>
            <w:tcW w:w="1471"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Arial" w:hAnsi="Arial"/>
                <w:b w:val="false"/>
                <w:sz w:val="20"/>
              </w:rPr>
              <w:t>9.91</w:t>
            </w:r>
            <w:r>
              <w:rPr>
                <w:rFonts w:ascii="Times New Roman" w:hAnsi="Times New Roman"/>
                <w:sz w:val="20"/>
              </w:rPr>
              <w:t> </w:t>
            </w:r>
            <w:r>
              <w:rPr>
                <w:rFonts w:ascii="Arial" w:hAnsi="Arial"/>
                <w:b w:val="false"/>
                <w:sz w:val="20"/>
              </w:rPr>
              <w:t>to 19.94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6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2,602,710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5" w:type="dxa"/>
            <w:tcBorders/>
            <w:shd w:fill="auto" w:val="clear"/>
            <w:vAlign w:val="center"/>
          </w:tcPr>
          <w:p>
            <w:pPr>
              <w:pStyle w:val="TableContents"/>
              <w:spacing w:lineRule="auto" w:line="252" w:before="0" w:after="0"/>
              <w:ind w:left="0" w:right="0" w:hanging="0"/>
              <w:jc w:val="left"/>
              <w:rPr/>
            </w:pPr>
            <w:r>
              <w:rPr/>
              <w:t> </w:t>
            </w:r>
          </w:p>
        </w:tc>
        <w:tc>
          <w:tcPr>
            <w:tcW w:w="85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288,677</w:t>
            </w:r>
          </w:p>
        </w:tc>
        <w:tc>
          <w:tcPr>
            <w:tcW w:w="471" w:type="dxa"/>
            <w:tcBorders/>
            <w:shd w:fill="auto" w:val="clear"/>
            <w:vAlign w:val="center"/>
          </w:tcPr>
          <w:p>
            <w:pPr>
              <w:pStyle w:val="TableContents"/>
              <w:spacing w:lineRule="auto" w:line="252" w:before="0" w:after="0"/>
              <w:ind w:left="0" w:right="0" w:hanging="0"/>
              <w:jc w:val="left"/>
              <w:rPr/>
            </w:pPr>
            <w:r>
              <w:rPr/>
              <w:t> </w:t>
            </w:r>
          </w:p>
        </w:tc>
      </w:tr>
      <w:tr>
        <w:trPr/>
        <w:tc>
          <w:tcPr>
            <w:tcW w:w="1471"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Arial" w:hAnsi="Arial"/>
                <w:b w:val="false"/>
                <w:sz w:val="20"/>
              </w:rPr>
              <w:t>20.55</w:t>
            </w:r>
            <w:r>
              <w:rPr>
                <w:rFonts w:ascii="Times New Roman" w:hAnsi="Times New Roman"/>
                <w:sz w:val="20"/>
              </w:rPr>
              <w:t> </w:t>
            </w:r>
            <w:r>
              <w:rPr>
                <w:rFonts w:ascii="Arial" w:hAnsi="Arial"/>
                <w:b w:val="false"/>
                <w:sz w:val="20"/>
              </w:rPr>
              <w:t>to 29.41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6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382,921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103,203</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80"/>
              <w:jc w:val="left"/>
              <w:rPr/>
            </w:pPr>
            <w:r>
              <w:rPr/>
              <w:t> </w:t>
            </w:r>
          </w:p>
        </w:tc>
      </w:tr>
      <w:tr>
        <w:trPr/>
        <w:tc>
          <w:tcPr>
            <w:tcW w:w="147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6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3,425,444</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704,013</w:t>
            </w:r>
          </w:p>
        </w:tc>
        <w:tc>
          <w:tcPr>
            <w:tcW w:w="4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both"/>
        <w:rPr/>
      </w:pPr>
      <w:r>
        <w:rPr/>
        <w:t> </w:t>
      </w:r>
    </w:p>
    <w:p>
      <w:pPr>
        <w:pStyle w:val="TextBody"/>
        <w:spacing w:lineRule="auto" w:line="268" w:before="80" w:after="0"/>
        <w:jc w:val="both"/>
        <w:rPr>
          <w:rFonts w:ascii="Arial" w:hAnsi="Arial"/>
          <w:b/>
          <w:i/>
          <w:sz w:val="20"/>
        </w:rPr>
      </w:pPr>
      <w:r>
        <w:rPr>
          <w:rFonts w:ascii="Arial" w:hAnsi="Arial"/>
          <w:b/>
          <w:i/>
          <w:sz w:val="20"/>
        </w:rPr>
        <w:t>Restricted Stock Unit Activity</w:t>
      </w:r>
    </w:p>
    <w:p>
      <w:pPr>
        <w:pStyle w:val="TextBody"/>
        <w:spacing w:lineRule="auto" w:line="268" w:before="280" w:after="0"/>
        <w:jc w:val="both"/>
        <w:rPr>
          <w:rFonts w:ascii="Arial" w:hAnsi="Arial"/>
          <w:b w:val="false"/>
          <w:sz w:val="20"/>
        </w:rPr>
      </w:pPr>
      <w:r>
        <w:rPr>
          <w:rFonts w:ascii="Arial" w:hAnsi="Arial"/>
          <w:b w:val="false"/>
          <w:sz w:val="20"/>
        </w:rPr>
        <w:t>A summary of RSU activity for the three months ended March 31, 2022 is as follows:</w:t>
      </w:r>
    </w:p>
    <w:p>
      <w:pPr>
        <w:pStyle w:val="TextBody"/>
        <w:spacing w:lineRule="auto" w:line="268" w:before="0" w:after="0"/>
        <w:jc w:val="both"/>
        <w:rPr/>
      </w:pPr>
      <w:r>
        <w:rPr/>
        <w:t> </w:t>
      </w:r>
    </w:p>
    <w:tbl>
      <w:tblPr>
        <w:tblW w:w="5646" w:type="dxa"/>
        <w:jc w:val="left"/>
        <w:tblInd w:w="0" w:type="dxa"/>
        <w:tblCellMar>
          <w:top w:w="28" w:type="dxa"/>
          <w:left w:w="28" w:type="dxa"/>
          <w:bottom w:w="28" w:type="dxa"/>
          <w:right w:w="28" w:type="dxa"/>
        </w:tblCellMar>
      </w:tblPr>
      <w:tblGrid>
        <w:gridCol w:w="3091"/>
        <w:gridCol w:w="146"/>
        <w:gridCol w:w="146"/>
        <w:gridCol w:w="800"/>
        <w:gridCol w:w="166"/>
        <w:gridCol w:w="146"/>
        <w:gridCol w:w="253"/>
        <w:gridCol w:w="707"/>
        <w:gridCol w:w="191"/>
      </w:tblGrid>
      <w:tr>
        <w:trPr/>
        <w:tc>
          <w:tcPr>
            <w:tcW w:w="30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09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Share</w:t>
              <w:br/>
              <w:t>Equivalent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6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Weighted-</w:t>
              <w:br/>
              <w:t>Average</w:t>
              <w:br/>
              <w:t>Grant Date</w:t>
              <w:br/>
              <w:t>Fair Value</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09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Non-vested at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0"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361,500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3"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07"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15.32</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09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Granted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0"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12,250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3" w:type="dxa"/>
            <w:tcBorders/>
            <w:shd w:fill="auto" w:val="clear"/>
            <w:vAlign w:val="center"/>
          </w:tcPr>
          <w:p>
            <w:pPr>
              <w:pStyle w:val="TableContents"/>
              <w:spacing w:lineRule="auto" w:line="252" w:before="0" w:after="0"/>
              <w:ind w:left="0" w:right="0" w:hanging="0"/>
              <w:jc w:val="left"/>
              <w:rPr/>
            </w:pPr>
            <w:r>
              <w:rPr/>
              <w:t> </w:t>
            </w:r>
          </w:p>
        </w:tc>
        <w:tc>
          <w:tcPr>
            <w:tcW w:w="707"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10.54</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09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Cancelled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0"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(14,000</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3" w:type="dxa"/>
            <w:tcBorders/>
            <w:shd w:fill="auto" w:val="clear"/>
            <w:vAlign w:val="center"/>
          </w:tcPr>
          <w:p>
            <w:pPr>
              <w:pStyle w:val="TableContents"/>
              <w:spacing w:lineRule="auto" w:line="252" w:before="0" w:after="0"/>
              <w:ind w:left="0" w:right="0" w:hanging="0"/>
              <w:jc w:val="left"/>
              <w:rPr/>
            </w:pPr>
            <w:r>
              <w:rPr/>
              <w:t> </w:t>
            </w:r>
          </w:p>
        </w:tc>
        <w:tc>
          <w:tcPr>
            <w:tcW w:w="707"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15.34</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09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Vested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0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09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Non-vested at March 31,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0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359,750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0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15.15</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280" w:after="0"/>
        <w:jc w:val="both"/>
        <w:rPr>
          <w:rFonts w:ascii="Times New Roman" w:hAnsi="Times New Roman"/>
          <w:sz w:val="20"/>
        </w:rPr>
      </w:pPr>
      <w:r>
        <w:rPr>
          <w:rFonts w:ascii="Arial" w:hAnsi="Arial"/>
          <w:b w:val="false"/>
          <w:sz w:val="20"/>
        </w:rPr>
        <w:t>The RSUs will vest upon achievement of certain clinical development milestones, subject to continued service to the Company during the vesting period. As of March 31, 2022, there was $3.6</w:t>
      </w:r>
      <w:r>
        <w:rPr>
          <w:rFonts w:ascii="Times New Roman" w:hAnsi="Times New Roman"/>
          <w:sz w:val="20"/>
        </w:rPr>
        <w:t xml:space="preserve"> </w:t>
      </w:r>
      <w:r>
        <w:rPr>
          <w:rFonts w:ascii="Arial" w:hAnsi="Arial"/>
          <w:b w:val="false"/>
          <w:sz w:val="20"/>
        </w:rPr>
        <w:t>million of total unrecognized compensation cost related to unvested stock options. The Company expects to recognize this cost over a remaining weighted-average period of 1.26</w:t>
      </w:r>
      <w:r>
        <w:rPr>
          <w:rFonts w:ascii="Times New Roman" w:hAnsi="Times New Roman"/>
          <w:sz w:val="20"/>
        </w:rPr>
        <w:t xml:space="preserve"> </w:t>
      </w:r>
      <w:r>
        <w:rPr>
          <w:rFonts w:ascii="Arial" w:hAnsi="Arial"/>
          <w:b w:val="false"/>
          <w:sz w:val="20"/>
        </w:rPr>
        <w:t>years.</w:t>
      </w:r>
      <w:r>
        <w:rPr>
          <w:rFonts w:ascii="Times New Roman" w:hAnsi="Times New Roman"/>
          <w:sz w:val="20"/>
        </w:rPr>
        <w:t xml:space="preserve"> </w:t>
      </w:r>
    </w:p>
    <w:p>
      <w:pPr>
        <w:pStyle w:val="TextBody"/>
        <w:spacing w:lineRule="auto" w:line="268" w:before="280" w:after="0"/>
        <w:jc w:val="both"/>
        <w:rPr>
          <w:rFonts w:ascii="Arial" w:hAnsi="Arial"/>
          <w:b/>
          <w:sz w:val="20"/>
        </w:rPr>
      </w:pPr>
      <w:r>
        <w:rPr>
          <w:rFonts w:ascii="Arial" w:hAnsi="Arial"/>
          <w:b/>
          <w:sz w:val="20"/>
        </w:rPr>
        <w:t>11. Net Loss Per Share Attributable to Common Stockholders</w:t>
      </w:r>
    </w:p>
    <w:p>
      <w:pPr>
        <w:pStyle w:val="TextBody"/>
        <w:spacing w:lineRule="auto" w:line="273" w:before="280" w:after="0"/>
        <w:jc w:val="both"/>
        <w:rPr>
          <w:rFonts w:ascii="Arial" w:hAnsi="Arial"/>
          <w:b w:val="false"/>
          <w:sz w:val="20"/>
        </w:rPr>
      </w:pPr>
      <w:r>
        <w:rPr>
          <w:rFonts w:ascii="Arial" w:hAnsi="Arial"/>
          <w:b w:val="false"/>
          <w:sz w:val="20"/>
        </w:rPr>
        <w:t>The following outstanding shares of potentially dilutive securities were excluded from the computation of the diluted net loss per share attributable to common stockholders for the periods presented because their effect would have been anti-dilutive:</w:t>
      </w:r>
    </w:p>
    <w:p>
      <w:pPr>
        <w:pStyle w:val="TextBody"/>
        <w:spacing w:lineRule="auto" w:line="273" w:before="0" w:after="0"/>
        <w:jc w:val="both"/>
        <w:rPr/>
      </w:pPr>
      <w:r>
        <w:rPr/>
        <w:t> </w:t>
      </w:r>
    </w:p>
    <w:tbl>
      <w:tblPr>
        <w:tblW w:w="6916" w:type="dxa"/>
        <w:jc w:val="left"/>
        <w:tblInd w:w="0" w:type="dxa"/>
        <w:tblCellMar>
          <w:top w:w="28" w:type="dxa"/>
          <w:left w:w="28" w:type="dxa"/>
          <w:bottom w:w="28" w:type="dxa"/>
          <w:right w:w="28" w:type="dxa"/>
        </w:tblCellMar>
      </w:tblPr>
      <w:tblGrid>
        <w:gridCol w:w="3751"/>
        <w:gridCol w:w="146"/>
        <w:gridCol w:w="148"/>
        <w:gridCol w:w="978"/>
        <w:gridCol w:w="148"/>
        <w:gridCol w:w="148"/>
        <w:gridCol w:w="148"/>
        <w:gridCol w:w="978"/>
        <w:gridCol w:w="471"/>
      </w:tblGrid>
      <w:tr>
        <w:trPr/>
        <w:tc>
          <w:tcPr>
            <w:tcW w:w="37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37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548"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Three Months Ended March 31,</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7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2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2022</w:t>
            </w:r>
          </w:p>
        </w:tc>
        <w:tc>
          <w:tcPr>
            <w:tcW w:w="1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8" w:type="dxa"/>
            <w:tcBorders/>
            <w:shd w:fill="auto" w:val="clear"/>
            <w:vAlign w:val="center"/>
          </w:tcPr>
          <w:p>
            <w:pPr>
              <w:pStyle w:val="TableContents"/>
              <w:spacing w:lineRule="auto" w:line="252" w:before="0" w:after="0"/>
              <w:ind w:left="0" w:right="0" w:hanging="0"/>
              <w:jc w:val="center"/>
              <w:rPr/>
            </w:pPr>
            <w:r>
              <w:rPr/>
              <w:t> </w:t>
            </w:r>
          </w:p>
        </w:tc>
        <w:tc>
          <w:tcPr>
            <w:tcW w:w="112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2021</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75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Non-vested Restricted Stock Awards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8" w:type="dxa"/>
            <w:tcBorders/>
            <w:shd w:fill="auto" w:val="clear"/>
            <w:vAlign w:val="center"/>
          </w:tcPr>
          <w:p>
            <w:pPr>
              <w:pStyle w:val="TableContents"/>
              <w:spacing w:lineRule="auto" w:line="252" w:before="0" w:after="0"/>
              <w:ind w:left="0" w:right="0" w:hanging="0"/>
              <w:jc w:val="left"/>
              <w:rPr/>
            </w:pPr>
            <w:r>
              <w:rPr/>
              <w:t> </w:t>
            </w:r>
          </w:p>
        </w:tc>
        <w:tc>
          <w:tcPr>
            <w:tcW w:w="978" w:type="dxa"/>
            <w:tcBorders/>
            <w:shd w:fill="auto" w:val="clear"/>
            <w:vAlign w:val="center"/>
          </w:tcPr>
          <w:p>
            <w:pPr>
              <w:pStyle w:val="TableContents"/>
              <w:spacing w:lineRule="auto" w:line="252" w:before="0" w:after="0"/>
              <w:ind w:left="0" w:right="0" w:hanging="0"/>
              <w:jc w:val="right"/>
              <w:rPr/>
            </w:pPr>
            <w:r>
              <w:rPr/>
              <w:t>—</w:t>
            </w:r>
          </w:p>
        </w:tc>
        <w:tc>
          <w:tcPr>
            <w:tcW w:w="148" w:type="dxa"/>
            <w:tcBorders/>
            <w:shd w:fill="auto" w:val="clear"/>
            <w:vAlign w:val="center"/>
          </w:tcPr>
          <w:p>
            <w:pPr>
              <w:pStyle w:val="TableContents"/>
              <w:spacing w:lineRule="auto" w:line="252" w:before="0" w:after="0"/>
              <w:ind w:left="0" w:right="0" w:hanging="0"/>
              <w:jc w:val="left"/>
              <w:rPr/>
            </w:pPr>
            <w:r>
              <w:rPr/>
              <w:t> </w:t>
            </w:r>
          </w:p>
        </w:tc>
        <w:tc>
          <w:tcPr>
            <w:tcW w:w="148" w:type="dxa"/>
            <w:tcBorders/>
            <w:shd w:fill="auto" w:val="clear"/>
            <w:vAlign w:val="center"/>
          </w:tcPr>
          <w:p>
            <w:pPr>
              <w:pStyle w:val="TableContents"/>
              <w:spacing w:lineRule="auto" w:line="252" w:before="0" w:after="0"/>
              <w:ind w:left="0" w:right="0" w:hanging="0"/>
              <w:jc w:val="left"/>
              <w:rPr/>
            </w:pPr>
            <w:r>
              <w:rPr/>
              <w:t> </w:t>
            </w:r>
          </w:p>
        </w:tc>
        <w:tc>
          <w:tcPr>
            <w:tcW w:w="148" w:type="dxa"/>
            <w:tcBorders/>
            <w:shd w:fill="auto" w:val="clear"/>
            <w:vAlign w:val="center"/>
          </w:tcPr>
          <w:p>
            <w:pPr>
              <w:pStyle w:val="TableContents"/>
              <w:spacing w:lineRule="auto" w:line="252" w:before="0" w:after="0"/>
              <w:ind w:left="0" w:right="0" w:hanging="0"/>
              <w:jc w:val="left"/>
              <w:rPr/>
            </w:pPr>
            <w:r>
              <w:rPr/>
              <w:t> </w:t>
            </w:r>
          </w:p>
        </w:tc>
        <w:tc>
          <w:tcPr>
            <w:tcW w:w="978"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4,204</w:t>
            </w:r>
          </w:p>
        </w:tc>
        <w:tc>
          <w:tcPr>
            <w:tcW w:w="471" w:type="dxa"/>
            <w:tcBorders/>
            <w:shd w:fill="auto" w:val="clear"/>
            <w:vAlign w:val="center"/>
          </w:tcPr>
          <w:p>
            <w:pPr>
              <w:pStyle w:val="TableContents"/>
              <w:spacing w:lineRule="auto" w:line="252" w:before="0" w:after="0"/>
              <w:ind w:left="0" w:right="0" w:hanging="0"/>
              <w:jc w:val="left"/>
              <w:rPr/>
            </w:pPr>
            <w:r>
              <w:rPr/>
              <w:t> </w:t>
            </w:r>
          </w:p>
        </w:tc>
      </w:tr>
      <w:tr>
        <w:trPr/>
        <w:tc>
          <w:tcPr>
            <w:tcW w:w="375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Non-vested Restricted Stock Units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8" w:type="dxa"/>
            <w:tcBorders/>
            <w:shd w:fill="auto" w:val="clear"/>
            <w:vAlign w:val="center"/>
          </w:tcPr>
          <w:p>
            <w:pPr>
              <w:pStyle w:val="TableContents"/>
              <w:spacing w:lineRule="auto" w:line="252" w:before="0" w:after="0"/>
              <w:ind w:left="0" w:right="0" w:hanging="0"/>
              <w:jc w:val="left"/>
              <w:rPr/>
            </w:pPr>
            <w:r>
              <w:rPr/>
              <w:t> </w:t>
            </w:r>
          </w:p>
        </w:tc>
        <w:tc>
          <w:tcPr>
            <w:tcW w:w="978"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359,750</w:t>
            </w:r>
          </w:p>
        </w:tc>
        <w:tc>
          <w:tcPr>
            <w:tcW w:w="148" w:type="dxa"/>
            <w:tcBorders/>
            <w:shd w:fill="auto" w:val="clear"/>
            <w:vAlign w:val="center"/>
          </w:tcPr>
          <w:p>
            <w:pPr>
              <w:pStyle w:val="TableContents"/>
              <w:spacing w:lineRule="auto" w:line="252" w:before="0" w:after="0"/>
              <w:ind w:left="0" w:right="0" w:hanging="0"/>
              <w:jc w:val="left"/>
              <w:rPr/>
            </w:pPr>
            <w:r>
              <w:rPr/>
              <w:t> </w:t>
            </w:r>
          </w:p>
        </w:tc>
        <w:tc>
          <w:tcPr>
            <w:tcW w:w="148" w:type="dxa"/>
            <w:tcBorders/>
            <w:shd w:fill="auto" w:val="clear"/>
            <w:vAlign w:val="center"/>
          </w:tcPr>
          <w:p>
            <w:pPr>
              <w:pStyle w:val="TableContents"/>
              <w:spacing w:lineRule="auto" w:line="252" w:before="0" w:after="0"/>
              <w:ind w:left="0" w:right="0" w:hanging="0"/>
              <w:jc w:val="left"/>
              <w:rPr/>
            </w:pPr>
            <w:r>
              <w:rPr/>
              <w:t> </w:t>
            </w:r>
          </w:p>
        </w:tc>
        <w:tc>
          <w:tcPr>
            <w:tcW w:w="148" w:type="dxa"/>
            <w:tcBorders/>
            <w:shd w:fill="auto" w:val="clear"/>
            <w:vAlign w:val="center"/>
          </w:tcPr>
          <w:p>
            <w:pPr>
              <w:pStyle w:val="TableContents"/>
              <w:spacing w:lineRule="auto" w:line="252" w:before="0" w:after="0"/>
              <w:ind w:left="0" w:right="0" w:hanging="0"/>
              <w:jc w:val="left"/>
              <w:rPr/>
            </w:pPr>
            <w:r>
              <w:rPr/>
              <w:t> </w:t>
            </w:r>
          </w:p>
        </w:tc>
        <w:tc>
          <w:tcPr>
            <w:tcW w:w="978"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1,576</w:t>
            </w:r>
          </w:p>
        </w:tc>
        <w:tc>
          <w:tcPr>
            <w:tcW w:w="471" w:type="dxa"/>
            <w:tcBorders/>
            <w:shd w:fill="auto" w:val="clear"/>
            <w:vAlign w:val="center"/>
          </w:tcPr>
          <w:p>
            <w:pPr>
              <w:pStyle w:val="TableContents"/>
              <w:spacing w:lineRule="auto" w:line="252" w:before="0" w:after="0"/>
              <w:ind w:left="0" w:right="0" w:hanging="0"/>
              <w:jc w:val="left"/>
              <w:rPr/>
            </w:pPr>
            <w:r>
              <w:rPr/>
              <w:t> </w:t>
            </w:r>
          </w:p>
        </w:tc>
      </w:tr>
      <w:tr>
        <w:trPr/>
        <w:tc>
          <w:tcPr>
            <w:tcW w:w="375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Stock options to purchase common stock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8" w:type="dxa"/>
            <w:tcBorders/>
            <w:shd w:fill="auto" w:val="clear"/>
            <w:vAlign w:val="center"/>
          </w:tcPr>
          <w:p>
            <w:pPr>
              <w:pStyle w:val="TableContents"/>
              <w:spacing w:lineRule="auto" w:line="252" w:before="0" w:after="0"/>
              <w:ind w:left="0" w:right="0" w:hanging="0"/>
              <w:jc w:val="left"/>
              <w:rPr/>
            </w:pPr>
            <w:r>
              <w:rPr/>
              <w:t> </w:t>
            </w:r>
          </w:p>
        </w:tc>
        <w:tc>
          <w:tcPr>
            <w:tcW w:w="978"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3,425,444</w:t>
            </w:r>
          </w:p>
        </w:tc>
        <w:tc>
          <w:tcPr>
            <w:tcW w:w="148" w:type="dxa"/>
            <w:tcBorders/>
            <w:shd w:fill="auto" w:val="clear"/>
            <w:vAlign w:val="center"/>
          </w:tcPr>
          <w:p>
            <w:pPr>
              <w:pStyle w:val="TableContents"/>
              <w:spacing w:lineRule="auto" w:line="252" w:before="0" w:after="0"/>
              <w:ind w:left="0" w:right="0" w:hanging="0"/>
              <w:jc w:val="left"/>
              <w:rPr/>
            </w:pPr>
            <w:r>
              <w:rPr/>
              <w:t> </w:t>
            </w:r>
          </w:p>
        </w:tc>
        <w:tc>
          <w:tcPr>
            <w:tcW w:w="148" w:type="dxa"/>
            <w:tcBorders/>
            <w:shd w:fill="auto" w:val="clear"/>
            <w:vAlign w:val="center"/>
          </w:tcPr>
          <w:p>
            <w:pPr>
              <w:pStyle w:val="TableContents"/>
              <w:spacing w:lineRule="auto" w:line="252" w:before="0" w:after="0"/>
              <w:ind w:left="0" w:right="0" w:hanging="0"/>
              <w:jc w:val="left"/>
              <w:rPr/>
            </w:pPr>
            <w:r>
              <w:rPr/>
              <w:t> </w:t>
            </w:r>
          </w:p>
        </w:tc>
        <w:tc>
          <w:tcPr>
            <w:tcW w:w="148" w:type="dxa"/>
            <w:tcBorders/>
            <w:shd w:fill="auto" w:val="clear"/>
            <w:vAlign w:val="center"/>
          </w:tcPr>
          <w:p>
            <w:pPr>
              <w:pStyle w:val="TableContents"/>
              <w:spacing w:lineRule="auto" w:line="252" w:before="0" w:after="0"/>
              <w:ind w:left="0" w:right="0" w:hanging="0"/>
              <w:jc w:val="left"/>
              <w:rPr/>
            </w:pPr>
            <w:r>
              <w:rPr/>
              <w:t> </w:t>
            </w:r>
          </w:p>
        </w:tc>
        <w:tc>
          <w:tcPr>
            <w:tcW w:w="978"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2,509,811</w:t>
            </w:r>
          </w:p>
        </w:tc>
        <w:tc>
          <w:tcPr>
            <w:tcW w:w="471" w:type="dxa"/>
            <w:tcBorders/>
            <w:shd w:fill="auto" w:val="clear"/>
            <w:vAlign w:val="center"/>
          </w:tcPr>
          <w:p>
            <w:pPr>
              <w:pStyle w:val="TableContents"/>
              <w:spacing w:lineRule="auto" w:line="252" w:before="0" w:after="0"/>
              <w:ind w:left="0" w:right="0" w:hanging="0"/>
              <w:jc w:val="left"/>
              <w:rPr/>
            </w:pPr>
            <w:r>
              <w:rPr/>
              <w:t> </w:t>
            </w:r>
          </w:p>
        </w:tc>
      </w:tr>
      <w:tr>
        <w:trPr/>
        <w:tc>
          <w:tcPr>
            <w:tcW w:w="375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Employee stock purchase plan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7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2,955</w:t>
            </w:r>
          </w:p>
        </w:tc>
        <w:tc>
          <w:tcPr>
            <w:tcW w:w="1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8" w:type="dxa"/>
            <w:tcBorders/>
            <w:shd w:fill="auto" w:val="clear"/>
            <w:vAlign w:val="center"/>
          </w:tcPr>
          <w:p>
            <w:pPr>
              <w:pStyle w:val="TableContents"/>
              <w:spacing w:lineRule="auto" w:line="252" w:before="0" w:after="0"/>
              <w:ind w:left="0" w:right="0" w:hanging="0"/>
              <w:jc w:val="left"/>
              <w:rPr/>
            </w:pPr>
            <w:r>
              <w:rPr/>
              <w:t> </w:t>
            </w:r>
          </w:p>
        </w:tc>
        <w:tc>
          <w:tcPr>
            <w:tcW w:w="1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7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2,943</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80"/>
              <w:jc w:val="left"/>
              <w:rPr/>
            </w:pPr>
            <w:r>
              <w:rPr/>
              <w:t> </w:t>
            </w:r>
          </w:p>
        </w:tc>
      </w:tr>
      <w:tr>
        <w:trPr/>
        <w:tc>
          <w:tcPr>
            <w:tcW w:w="375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7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3,788,149</w:t>
            </w:r>
          </w:p>
        </w:tc>
        <w:tc>
          <w:tcPr>
            <w:tcW w:w="14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8" w:type="dxa"/>
            <w:tcBorders/>
            <w:shd w:fill="auto" w:val="clear"/>
            <w:vAlign w:val="center"/>
          </w:tcPr>
          <w:p>
            <w:pPr>
              <w:pStyle w:val="TableContents"/>
              <w:spacing w:lineRule="auto" w:line="252" w:before="0" w:after="0"/>
              <w:ind w:left="0" w:right="0" w:hanging="0"/>
              <w:jc w:val="left"/>
              <w:rPr/>
            </w:pPr>
            <w:r>
              <w:rPr/>
              <w:t> </w:t>
            </w:r>
          </w:p>
        </w:tc>
        <w:tc>
          <w:tcPr>
            <w:tcW w:w="14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7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2,518,534</w:t>
            </w:r>
          </w:p>
        </w:tc>
        <w:tc>
          <w:tcPr>
            <w:tcW w:w="4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68" w:before="0" w:after="0"/>
        <w:jc w:val="both"/>
        <w:rPr/>
      </w:pPr>
      <w:r>
        <w:rPr/>
        <w:t> </w:t>
      </w:r>
    </w:p>
    <w:p>
      <w:pPr>
        <w:pStyle w:val="TextBody"/>
        <w:spacing w:lineRule="auto" w:line="268" w:before="0" w:after="0"/>
        <w:jc w:val="both"/>
        <w:rPr/>
      </w:pPr>
      <w:r>
        <w:rPr/>
        <w:t> </w:t>
      </w:r>
    </w:p>
    <w:p>
      <w:pPr>
        <w:pStyle w:val="TextBody"/>
        <w:spacing w:lineRule="auto" w:line="273" w:before="240" w:after="0"/>
        <w:jc w:val="center"/>
        <w:rPr>
          <w:rFonts w:ascii="Arial" w:hAnsi="Arial"/>
          <w:b w:val="false"/>
          <w:sz w:val="20"/>
        </w:rPr>
      </w:pPr>
      <w:r>
        <w:rPr>
          <w:rFonts w:ascii="Arial" w:hAnsi="Arial"/>
          <w:b w:val="false"/>
          <w:sz w:val="20"/>
        </w:rPr>
        <w:t>21</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bookmarkStart w:id="9" w:name="item_2_managements_discussion_analysis_f"/>
      <w:bookmarkEnd w:id="9"/>
      <w:r>
        <w:rPr>
          <w:rFonts w:ascii="Arial" w:hAnsi="Arial"/>
          <w:b/>
          <w:sz w:val="20"/>
        </w:rPr>
        <w:t>Item 2. Management’s Discussion and Analysis of Financial Condition and Results of Operations.</w:t>
      </w:r>
      <w:r>
        <w:rPr>
          <w:rFonts w:ascii="Times New Roman" w:hAnsi="Times New Roman"/>
          <w:sz w:val="20"/>
        </w:rPr>
        <w:t xml:space="preserve"> </w:t>
      </w:r>
    </w:p>
    <w:p>
      <w:pPr>
        <w:pStyle w:val="TextBody"/>
        <w:spacing w:lineRule="auto" w:line="273" w:before="280" w:after="0"/>
        <w:jc w:val="both"/>
        <w:rPr>
          <w:rFonts w:ascii="Arial" w:hAnsi="Arial"/>
          <w:b w:val="false"/>
          <w:i/>
          <w:sz w:val="20"/>
        </w:rPr>
      </w:pPr>
      <w:r>
        <w:rPr>
          <w:rFonts w:ascii="Arial" w:hAnsi="Arial"/>
          <w:b w:val="false"/>
          <w:i/>
          <w:sz w:val="20"/>
        </w:rPr>
        <w:t>You should read the following management’s discussion and analysis of financial condition and results of operations in conjunction with our unaudited condensed consolidated financial statements and notes thereto included in Part I, Item 1 of this Quarterly Report on Form 10-Q and with our audited financial statements and related notes thereto and Management’s Discussion and Analysis of Financial Condition and Results of Operations included in our Annual Report on Form 10-K, filed with the Securities and Exchange Commission, or the SEC, on March 28, 2022.</w:t>
      </w:r>
    </w:p>
    <w:p>
      <w:pPr>
        <w:pStyle w:val="TextBody"/>
        <w:spacing w:lineRule="auto" w:line="273" w:before="280" w:after="0"/>
        <w:jc w:val="both"/>
        <w:rPr>
          <w:rFonts w:ascii="Arial" w:hAnsi="Arial"/>
          <w:b/>
          <w:sz w:val="20"/>
        </w:rPr>
      </w:pPr>
      <w:r>
        <w:rPr>
          <w:rFonts w:ascii="Arial" w:hAnsi="Arial"/>
          <w:b/>
          <w:sz w:val="20"/>
        </w:rPr>
        <w:t>Special Note Regarding Forward-Looking Statements</w:t>
      </w:r>
    </w:p>
    <w:p>
      <w:pPr>
        <w:pStyle w:val="TextBody"/>
        <w:spacing w:lineRule="auto" w:line="273" w:before="280" w:after="0"/>
        <w:jc w:val="both"/>
        <w:rPr>
          <w:rFonts w:ascii="Arial" w:hAnsi="Arial"/>
          <w:b w:val="false"/>
          <w:sz w:val="20"/>
        </w:rPr>
      </w:pPr>
      <w:r>
        <w:rPr>
          <w:rFonts w:ascii="Arial" w:hAnsi="Arial"/>
          <w:b w:val="false"/>
          <w:sz w:val="20"/>
        </w:rPr>
        <w:t>This Quarterly Report on Form 10-Q contains forward-looking statements that are based on our management’s beliefs and assumptions and on information currently available to our management. This section should be read in conjunction with our unaudited condensed consolidated financial statements and related notes included in Part I, Item 1 of this report. The statements contained in this report that are not purely historical are forward-looking statements within the meaning of Section 27A of the Securities Act of 1933, as amended, and Section 21E of the Securities Exchange Act of 1934, as amended.</w:t>
      </w:r>
    </w:p>
    <w:p>
      <w:pPr>
        <w:pStyle w:val="TextBody"/>
        <w:spacing w:lineRule="auto" w:line="273" w:before="280" w:after="0"/>
        <w:jc w:val="both"/>
        <w:rPr>
          <w:rFonts w:ascii="Arial" w:hAnsi="Arial"/>
          <w:b w:val="false"/>
          <w:sz w:val="20"/>
        </w:rPr>
      </w:pPr>
      <w:r>
        <w:rPr>
          <w:rFonts w:ascii="Arial" w:hAnsi="Arial"/>
          <w:b w:val="false"/>
          <w:sz w:val="20"/>
        </w:rPr>
        <w:t>In some cases, you can identify forward- looking statements by the following words: “anticipate,” “believe,” “continue,” “could,” “estimate,” “expect,” “intend,” “may,” “ongoing,” “plan,” “potential,” “predict,” “project,” “should,” “target”, “will,” “would” or the negative of these terms or other comparable terminology, although not all forward-looking statements contain these words.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include, but are not limited to, statements about:</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our financial performance;</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sufficiency of our existing cash, cash equivalents and investments to fund our future operating expenses and capital expenditure requirements;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our ability to obtain funding for our operations, including funding necessary to develop and commercialize our product candidates;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ability of our nonclinical studies and clinical trials to demonstrate safety and efficacy of our product candidates;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success, cost and timing of our development activities, nonclinical studies and clinical trials;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the rate and degree of market acceptance of our product candidates;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the timing or likelihood of regulatory filings and approvals;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timing and focus of our future clinical trials, and the reporting of data from those trials;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our plans relating to commercializing our product candidates, if approved;</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our plans and ability to establish sales, marketing and distribution infrastructure to commercialize any product candidates for which we obtain approval;</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our ability to attract and retain key managerial, scientific and clinical personnel;</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our ability to contract with third-party suppliers and manufacturers and their ability to perform adequately;</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the accuracy of our estimates regarding expenses, future revenue, capital requirements and needs for additional financing;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the pricing and reimbursement of our product candidates, if approved;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our reliance on third parties to conduct clinical trials of our product candidates, and for the manufacture of our product candidates for nonclinical studies and clinical trials;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our ability to expand our product candidates into additional indications and patient populations;</w:t>
      </w:r>
    </w:p>
    <w:p>
      <w:pPr>
        <w:pStyle w:val="TextBody"/>
        <w:spacing w:lineRule="auto" w:line="273" w:before="120" w:after="0"/>
        <w:jc w:val="both"/>
        <w:rPr/>
      </w:pPr>
      <w:r>
        <w:rPr/>
        <w:t>•</w:t>
      </w:r>
    </w:p>
    <w:p>
      <w:pPr>
        <w:pStyle w:val="TextBody"/>
        <w:spacing w:lineRule="auto" w:line="273" w:before="120" w:after="283"/>
        <w:jc w:val="both"/>
        <w:rPr>
          <w:rFonts w:ascii="Arial" w:hAnsi="Arial"/>
          <w:b w:val="false"/>
          <w:sz w:val="20"/>
        </w:rPr>
      </w:pPr>
      <w:r>
        <w:rPr>
          <w:rFonts w:ascii="Arial" w:hAnsi="Arial"/>
          <w:b w:val="false"/>
          <w:sz w:val="20"/>
        </w:rPr>
        <w:t>the success of competing therapies that are or may become available;</w:t>
      </w:r>
    </w:p>
    <w:p>
      <w:pPr>
        <w:pStyle w:val="TextBody"/>
        <w:spacing w:lineRule="auto" w:line="273" w:before="240" w:after="0"/>
        <w:jc w:val="center"/>
        <w:rPr>
          <w:rFonts w:ascii="Arial" w:hAnsi="Arial"/>
          <w:b w:val="false"/>
          <w:sz w:val="20"/>
        </w:rPr>
      </w:pPr>
      <w:r>
        <w:rPr>
          <w:rFonts w:ascii="Arial" w:hAnsi="Arial"/>
          <w:b w:val="false"/>
          <w:sz w:val="20"/>
        </w:rPr>
        <w:t>22</w:t>
      </w:r>
    </w:p>
    <w:p>
      <w:pPr>
        <w:pStyle w:val="HorizontalLine"/>
        <w:rPr/>
      </w:pPr>
      <w:r>
        <w:rPr/>
      </w:r>
    </w:p>
    <w:p>
      <w:pPr>
        <w:pStyle w:val="TextBody"/>
        <w:spacing w:lineRule="auto" w:line="273" w:before="0" w:after="0"/>
        <w:jc w:val="left"/>
        <w:rPr/>
      </w:pPr>
      <w:r>
        <w:rPr/>
        <w:t>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beneficial characteristics, safety and efficacy of our product candidates;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regulatory developments in the United States and other jurisdictions;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our ability to obtain and maintain regulatory approval of our product candidates in the United States and other jurisdictions, and any related restrictions, limitations and/or warnings in the label of any approved product candidate;</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future agreements with third parties in connection with the commercialization of our product candidates;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our plans relating to the further development and manufacturing of our product candidates, including additional indications for which we may pursue regulatory approval;</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our plans and ability to obtain or protect intellectual property rights, including extensions of existing patent terms where available;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scope of protection we are able to establish and maintain for intellectual property rights covering our product candidates and technology;</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outcome of legal proceedings which have been or may in the future be instituted against us and certain of our directors and officers, including the legal proceedings discussed in Part II, Item 1 — "Legal Proceedings,” and elsewhere in this report;</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actions by an activist stockholder, which have been disruptive, and the proxy contest being waged by that stockholder, which could cause uncertainty about the strategic direction of our business;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our expectations regarding the continuing impact of COVID-19 on our business;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the size and growth potential of the markets for our product candidates, if approved for commercial use, and our ability to serve those markets;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potential benefits of any strategic collaboration agreements we may enter into; and</w:t>
      </w:r>
    </w:p>
    <w:p>
      <w:pPr>
        <w:pStyle w:val="TextBody"/>
        <w:spacing w:lineRule="auto" w:line="273" w:before="120" w:after="0"/>
        <w:jc w:val="both"/>
        <w:rPr/>
      </w:pPr>
      <w:r>
        <w:rPr/>
        <w:t>•</w:t>
      </w:r>
    </w:p>
    <w:p>
      <w:pPr>
        <w:pStyle w:val="TextBody"/>
        <w:spacing w:lineRule="auto" w:line="273" w:before="120" w:after="283"/>
        <w:jc w:val="both"/>
        <w:rPr>
          <w:rFonts w:ascii="Arial" w:hAnsi="Arial"/>
          <w:b w:val="false"/>
          <w:sz w:val="20"/>
        </w:rPr>
      </w:pPr>
      <w:r>
        <w:rPr>
          <w:rFonts w:ascii="Arial" w:hAnsi="Arial"/>
          <w:b w:val="false"/>
          <w:sz w:val="20"/>
        </w:rPr>
        <w:t>our expectations regarding the time during which we will be an emerging growth company under the JOBS Act.</w:t>
      </w:r>
    </w:p>
    <w:p>
      <w:pPr>
        <w:pStyle w:val="TextBody"/>
        <w:spacing w:lineRule="auto" w:line="273" w:before="280" w:after="0"/>
        <w:jc w:val="both"/>
        <w:rPr>
          <w:rFonts w:ascii="Arial" w:hAnsi="Arial"/>
          <w:b w:val="false"/>
          <w:sz w:val="20"/>
        </w:rPr>
      </w:pPr>
      <w:r>
        <w:rPr>
          <w:rFonts w:ascii="Arial" w:hAnsi="Arial"/>
          <w:b w:val="false"/>
          <w:sz w:val="20"/>
        </w:rPr>
        <w:t>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1A—Risk Factors,” and elsewhere in this report. These statements, like all statements in this report, speak only as of their date, and we undertake no obligation to update or revise these statements in light of future developments. Our Risk Factors are not guarantees that no such conditions exist as of the date of this report and should not be interpreted as an affirmative statement that such risks or conditions have not materialized, in whole or in part.</w:t>
      </w:r>
    </w:p>
    <w:p>
      <w:pPr>
        <w:pStyle w:val="TextBody"/>
        <w:spacing w:lineRule="auto" w:line="273" w:before="280" w:after="0"/>
        <w:jc w:val="both"/>
        <w:rPr>
          <w:rFonts w:ascii="Arial" w:hAnsi="Arial"/>
          <w:b w:val="false"/>
          <w:sz w:val="20"/>
        </w:rPr>
      </w:pPr>
      <w:r>
        <w:rPr>
          <w:rFonts w:ascii="Arial" w:hAnsi="Arial"/>
          <w:b w:val="false"/>
          <w:sz w:val="20"/>
        </w:rPr>
        <w:t>In addition, statements that “we believe” and similar statements reflect our beliefs and opinions on the relevant subject. These statements are based upon information available to us as of the date of this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w:t>
      </w:r>
    </w:p>
    <w:p>
      <w:pPr>
        <w:pStyle w:val="TextBody"/>
        <w:spacing w:lineRule="auto" w:line="273" w:before="280" w:after="0"/>
        <w:jc w:val="both"/>
        <w:rPr>
          <w:rFonts w:ascii="Arial" w:hAnsi="Arial"/>
          <w:b w:val="false"/>
          <w:sz w:val="20"/>
        </w:rPr>
      </w:pPr>
      <w:r>
        <w:rPr>
          <w:rFonts w:ascii="Arial" w:hAnsi="Arial"/>
          <w:b w:val="false"/>
          <w:sz w:val="20"/>
        </w:rPr>
        <w:t>This report includes our trademarks and registered trademarks, including Athira, Athira Pharma, the Athira logo, and other trademarks or service marks of Athira. Each other trademark, trade name or service mark appearing in this report belongs to its holder.</w:t>
      </w:r>
    </w:p>
    <w:p>
      <w:pPr>
        <w:pStyle w:val="TextBody"/>
        <w:spacing w:lineRule="auto" w:line="273" w:before="280" w:after="0"/>
        <w:jc w:val="both"/>
        <w:rPr>
          <w:rFonts w:ascii="Arial" w:hAnsi="Arial"/>
          <w:b w:val="false"/>
          <w:sz w:val="20"/>
        </w:rPr>
      </w:pPr>
      <w:r>
        <w:rPr>
          <w:rFonts w:ascii="Arial" w:hAnsi="Arial"/>
          <w:b w:val="false"/>
          <w:sz w:val="20"/>
        </w:rPr>
        <w:t>In this report, “we,” “our,” “us,” “Athira,” and “the Company” refer to Athira Pharma, Inc.</w:t>
      </w:r>
    </w:p>
    <w:p>
      <w:pPr>
        <w:pStyle w:val="TextBody"/>
        <w:spacing w:lineRule="auto" w:line="273" w:before="280" w:after="0"/>
        <w:jc w:val="both"/>
        <w:rPr>
          <w:rFonts w:ascii="Arial" w:hAnsi="Arial"/>
          <w:b/>
          <w:sz w:val="20"/>
        </w:rPr>
      </w:pPr>
      <w:r>
        <w:rPr>
          <w:rFonts w:ascii="Arial" w:hAnsi="Arial"/>
          <w:b/>
          <w:sz w:val="20"/>
        </w:rPr>
        <w:t>Overview</w:t>
      </w:r>
    </w:p>
    <w:p>
      <w:pPr>
        <w:pStyle w:val="TextBody"/>
        <w:spacing w:lineRule="auto" w:line="273" w:before="280" w:after="0"/>
        <w:jc w:val="both"/>
        <w:rPr>
          <w:rFonts w:ascii="Times New Roman" w:hAnsi="Times New Roman"/>
          <w:sz w:val="20"/>
        </w:rPr>
      </w:pPr>
      <w:r>
        <w:rPr>
          <w:rFonts w:ascii="Arial" w:hAnsi="Arial"/>
          <w:b w:val="false"/>
          <w:sz w:val="20"/>
        </w:rPr>
        <w:t>We are a late clinical-stage biopharmaceutical company focused on developing small molecules to restore neuronal health and slow neurodegeneration. With our product candidates, we aim to provide rapid cognitive improvement and alter the course of neurological diseases, leveraging our novel mechanism of action. Our approach is designed to augment neuronal growth factor signaling through the hepatocyte growth factor/MET, or HGF/MET, a naturally occurring, repair and regenerative system. We believe enhancing HGF/MET signaling has the potential to protect existing neurons from damage,</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23</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Times New Roman" w:hAnsi="Times New Roman"/>
          <w:sz w:val="20"/>
        </w:rPr>
      </w:pPr>
      <w:r>
        <w:rPr>
          <w:rFonts w:ascii="Arial" w:hAnsi="Arial"/>
          <w:b w:val="false"/>
          <w:sz w:val="20"/>
        </w:rPr>
        <w:t>reduce inflammation, promote regeneration, and benefit brain physiology. We anticipate that all of these characteristics may improve neuronal health and translate into clinical benefits. Our pipeline is built from our proprietary drug discovery platform, or ATH platform, and consists of a series of small molecules that are designed to target either (1) the central nervous system, or CNS, by crossing the blood brain barrier, or BBB, or (2) the peripheral nervous system.</w:t>
      </w:r>
      <w:r>
        <w:rPr>
          <w:rFonts w:ascii="Times New Roman" w:hAnsi="Times New Roman"/>
          <w:sz w:val="20"/>
        </w:rPr>
        <w:t xml:space="preserve"> </w:t>
      </w:r>
    </w:p>
    <w:p>
      <w:pPr>
        <w:pStyle w:val="TextBody"/>
        <w:spacing w:lineRule="auto" w:line="273" w:before="280" w:after="0"/>
        <w:jc w:val="both"/>
        <w:rPr>
          <w:rFonts w:ascii="Arial" w:hAnsi="Arial"/>
          <w:b w:val="false"/>
          <w:sz w:val="20"/>
        </w:rPr>
      </w:pPr>
      <w:r>
        <w:rPr>
          <w:rFonts w:ascii="Arial" w:hAnsi="Arial"/>
          <w:b w:val="false"/>
          <w:sz w:val="20"/>
        </w:rPr>
        <w:t>Our lead candidate, fosgonimeton (ATH-1017), is a subcutaneously administered, BBB-penetrating, small molecule HGF/MET positive modulator. The primary target indication is Alzheimer’s disease (AD). In our Phase 1a/b clinical trial, fosgonimeton was well tolerated in healthy young and elderly volunteers and AD subjects, without serious adverse events. This clinical trial recruited 88 subjects, including 11 AD subjects with mild-to-moderate AD, who were randomly assigned to active and control groups. Nonclinical studies and Phase 1 clinical trials with fosgonimeton demonstrated improvements in brain network activity indicating potentially positive effects on brain function. In AD subjects, multiple dosing of fosgonimeton significantly improved Event Related Potential (ERP) P300 latency. ERP P300 latency is a functional measure that is highly correlated with cognition; however, we have not yet established a connection between these ERP P300 latency results and improved cognition. In September 2020, we began site initiation and patient screening for LIFT-AD, our Phase 2/3 clinical trial with fosgonimeton designed with the potential to provide pivotal data in support of registration, for the treatment of mild-to-moderate AD, with topline results expected in the first half of 2023. In November 2020, we also initiated ACT-AD, a proof-of-concept Phase 2 clinical trial with ERP P300 latency as the primary endpoint, in mild-to-moderate AD, which trial is designed to better characterize the overall effects of fosgonimeton on working memory processing speed and cognitive measures, with topline results expected by the end of the second quarter of 2022. In July 2021, we announced that we are enrolling patients into a 26-week open-label extension study for our LIFT-AD and ACT-AD clinical trials, which will allow us to collect up to a total of one year of safety data with fosgonimeton. In October 2021, we announced that we completed patient enrollment in our ACT-AD clinical trial. In January 2022, we increased the LIFT-AD study sample size by approximately 120 participants, from 300 to 420, to strengthen the statistical power of co-key secondary endpoints, including ADAS-Cog11. In May 2022, we announced that we are extending the 26-week open-label extension study for our LIFT-AD and ACT-AD clinical trials for an additional 12 months, enabling eligible patients who have completed either trial, and elect to participate in the ongoing open label extension, to now receive up to 18 months of open-label treatment with fosgonimeton.</w:t>
      </w:r>
    </w:p>
    <w:p>
      <w:pPr>
        <w:pStyle w:val="TextBody"/>
        <w:spacing w:lineRule="auto" w:line="273" w:before="280" w:after="0"/>
        <w:jc w:val="both"/>
        <w:rPr>
          <w:rFonts w:ascii="Arial" w:hAnsi="Arial"/>
          <w:b w:val="false"/>
          <w:sz w:val="20"/>
        </w:rPr>
      </w:pPr>
      <w:r>
        <w:rPr>
          <w:rFonts w:ascii="Arial" w:hAnsi="Arial"/>
          <w:b w:val="false"/>
          <w:sz w:val="20"/>
        </w:rPr>
        <w:t>The following figure illustrates the current development stage of our ATH compounds and discovery and development programs. In addition, we are expanding our ATH platform to additional indications in the CNS and peripheral nervous system as we aim to improve neuronal health in multiple disorders. Our drug discovery efforts are focused on exploring the potential of ATH technology, which is designed to promote HGF/MET activity for a variety of clinical applications.</w:t>
      </w:r>
    </w:p>
    <w:p>
      <w:pPr>
        <w:pStyle w:val="TextBody"/>
        <w:spacing w:lineRule="auto" w:line="273" w:before="0" w:after="0"/>
        <w:jc w:val="both"/>
        <w:rPr/>
      </w:pPr>
      <w:r>
        <w:rPr/>
        <w:t> </w:t>
      </w:r>
    </w:p>
    <w:p>
      <w:pPr>
        <w:pStyle w:val="TextBody"/>
        <w:spacing w:lineRule="auto" w:line="273" w:before="0" w:after="0"/>
        <w:jc w:val="center"/>
        <w:rPr/>
      </w:pPr>
      <w:r>
        <w:rPr/>
        <w:drawing>
          <wp:inline distT="0" distB="0" distL="0" distR="0">
            <wp:extent cx="6858000" cy="2752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2752725"/>
                    </a:xfrm>
                    <a:prstGeom prst="rect">
                      <a:avLst/>
                    </a:prstGeom>
                  </pic:spPr>
                </pic:pic>
              </a:graphicData>
            </a:graphic>
          </wp:inline>
        </w:drawing>
      </w:r>
      <w:r>
        <w:rPr/>
        <w:t> </w:t>
      </w:r>
    </w:p>
    <w:p>
      <w:pPr>
        <w:pStyle w:val="TextBody"/>
        <w:pBdr>
          <w:bottom w:val="single" w:sz="4" w:space="1" w:color="000000"/>
        </w:pBdr>
        <w:spacing w:lineRule="auto" w:line="273" w:before="0" w:after="0"/>
        <w:jc w:val="both"/>
        <w:rPr/>
      </w:pPr>
      <w:r>
        <w:rPr/>
        <w:t> </w:t>
      </w:r>
    </w:p>
    <w:p>
      <w:pPr>
        <w:pStyle w:val="TextBody"/>
        <w:spacing w:lineRule="auto" w:line="273" w:before="0" w:after="0"/>
        <w:jc w:val="both"/>
        <w:rPr>
          <w:rFonts w:ascii="Arial" w:hAnsi="Arial"/>
          <w:b w:val="false"/>
          <w:sz w:val="16"/>
        </w:rPr>
      </w:pPr>
      <w:r>
        <w:rPr>
          <w:rFonts w:ascii="Arial" w:hAnsi="Arial"/>
          <w:b w:val="false"/>
          <w:sz w:val="16"/>
        </w:rPr>
        <w:t>The fosgonimeton LIFT-AD Phase 3 clinical trial may provide pivotal data in support of registration with the FDA.</w:t>
      </w:r>
    </w:p>
    <w:p>
      <w:pPr>
        <w:pStyle w:val="TextBody"/>
        <w:spacing w:lineRule="auto" w:line="273" w:before="280" w:after="0"/>
        <w:jc w:val="both"/>
        <w:rPr>
          <w:rFonts w:ascii="Arial" w:hAnsi="Arial"/>
          <w:b w:val="false"/>
          <w:sz w:val="20"/>
        </w:rPr>
      </w:pPr>
      <w:r>
        <w:rPr>
          <w:rFonts w:ascii="Arial" w:hAnsi="Arial"/>
          <w:b w:val="false"/>
          <w:sz w:val="20"/>
        </w:rPr>
        <w:t>We constantly strive to grow and optimize our portfolio through in-house discovery and plan on additional external business development activities enabled by our innovative internal research and development capabilities.</w:t>
      </w:r>
    </w:p>
    <w:p>
      <w:pPr>
        <w:pStyle w:val="TextBody"/>
        <w:spacing w:lineRule="auto" w:line="273" w:before="240" w:after="0"/>
        <w:jc w:val="center"/>
        <w:rPr>
          <w:rFonts w:ascii="Arial" w:hAnsi="Arial"/>
          <w:b w:val="false"/>
          <w:sz w:val="20"/>
        </w:rPr>
      </w:pPr>
      <w:r>
        <w:rPr>
          <w:rFonts w:ascii="Arial" w:hAnsi="Arial"/>
          <w:b w:val="false"/>
          <w:sz w:val="20"/>
        </w:rPr>
        <w:t>24</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Times New Roman" w:hAnsi="Times New Roman"/>
          <w:sz w:val="20"/>
        </w:rPr>
      </w:pPr>
      <w:r>
        <w:rPr>
          <w:rFonts w:ascii="Arial" w:hAnsi="Arial"/>
          <w:b w:val="false"/>
          <w:sz w:val="20"/>
        </w:rPr>
        <w:t>We were incorporated in March 2011 and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 We do not have any products approved for commercial sale, and we have not generated any revenues related to our products since inception. Our ability to generate product revenue sufficient to achieve profitability, if ever, will depend on the successful development of one or more of our product candidates which we expect will take a number of years.</w:t>
      </w:r>
      <w:r>
        <w:rPr>
          <w:rFonts w:ascii="Times New Roman" w:hAnsi="Times New Roman"/>
          <w:sz w:val="20"/>
        </w:rPr>
        <w:t xml:space="preserve"> </w:t>
      </w:r>
    </w:p>
    <w:p>
      <w:pPr>
        <w:pStyle w:val="TextBody"/>
        <w:spacing w:lineRule="auto" w:line="273" w:before="280" w:after="0"/>
        <w:jc w:val="both"/>
        <w:rPr>
          <w:rFonts w:ascii="Arial" w:hAnsi="Arial"/>
          <w:b w:val="false"/>
          <w:sz w:val="20"/>
        </w:rPr>
      </w:pPr>
      <w:r>
        <w:rPr>
          <w:rFonts w:ascii="Arial" w:hAnsi="Arial"/>
          <w:b w:val="false"/>
          <w:sz w:val="20"/>
        </w:rPr>
        <w:t>We are focused on the development of small molecule therapeutics which enables us to use well-established and widely available manufacturing processes and infrastructure, formulation compositions and drug administration technologies or devices. We do not currently operate our own facilities for manufacturing, storing, or distributing our product candidates. We utilize third-party contract manufacturing organizations, or CMOs, to manufacture and supply our preclinical and clinical materials during the development of our product candidates. We believe the synthesis of fosgonimeton is reliable and reproducible and the synthetic methods can be further optimized to enable large-scale production that continues to avoid use of toxic materials or specialized equipment or handling during the manufacturing process. We plan to continue to optimize the manufacturing process to support future large-scale and commercial supply. Our goal is to identify and develop small molecule product candidates that are cost-effective to manufacture and easily transferable to third party CMOs. We expect to use similar contract resources for commercialization of our products, at least until our resources and operations are at a scale that justifies investment in internal manufacturing capabilities.</w:t>
      </w:r>
    </w:p>
    <w:p>
      <w:pPr>
        <w:pStyle w:val="TextBody"/>
        <w:spacing w:lineRule="auto" w:line="273" w:before="280" w:after="0"/>
        <w:jc w:val="both"/>
        <w:rPr>
          <w:rFonts w:ascii="Arial" w:hAnsi="Arial"/>
          <w:b w:val="false"/>
          <w:sz w:val="20"/>
        </w:rPr>
      </w:pPr>
      <w:r>
        <w:rPr>
          <w:rFonts w:ascii="Arial" w:hAnsi="Arial"/>
          <w:b w:val="false"/>
          <w:sz w:val="20"/>
        </w:rPr>
        <w:t>Given our stage of development, we have not yet established a commercial organization or distribution capabilities. We intend to build a commercial infrastructure to support sales of our product candidates. We expect to manage sales, marketing and distribution through internal resources and third-party relationships. While we may commit significant financial and management resources to commercial activities, we will also consider collaborating with one or more pharmaceutical companies to enhance our commercial capabilities.</w:t>
      </w:r>
    </w:p>
    <w:p>
      <w:pPr>
        <w:pStyle w:val="TextBody"/>
        <w:spacing w:lineRule="auto" w:line="273" w:before="280" w:after="0"/>
        <w:jc w:val="both"/>
        <w:rPr>
          <w:rFonts w:ascii="Times New Roman" w:hAnsi="Times New Roman"/>
          <w:sz w:val="20"/>
        </w:rPr>
      </w:pPr>
      <w:r>
        <w:rPr>
          <w:rFonts w:ascii="Arial" w:hAnsi="Arial"/>
          <w:b w:val="false"/>
          <w:sz w:val="20"/>
        </w:rPr>
        <w:t>To date, we have funded our operations primarily through proceeds from the sale of equity securities, including proceeds from the sale and issuance of common stock in our IPO and in a subsequent follow-on public offering, the sale and issuance of convertible preferred stock, common stock warrants, and convertible notes, and to a lesser extent from grant income and stock option exercises. From inception to March 31, 2022, we have raised aggregate net cash proceeds of approximately $407.4 million primarily from the issuance of our common stock, convertible preferred stock, common stock warrants, and convertible notes. We have incurred significant operating losses to date. Our net losses were $21.0 million and $8.9 million for the three months ended March 31, 2022 and 2021, respectively. As of March 31, 2022, we had an accumulated deficit of $116.9 million and cash, cash equivalents and investments of $301.2 million.</w:t>
      </w:r>
      <w:r>
        <w:rPr>
          <w:rFonts w:ascii="Times New Roman" w:hAnsi="Times New Roman"/>
          <w:sz w:val="20"/>
        </w:rPr>
        <w:t xml:space="preserve"> </w:t>
      </w:r>
    </w:p>
    <w:p>
      <w:pPr>
        <w:pStyle w:val="TextBody"/>
        <w:spacing w:lineRule="auto" w:line="273" w:before="280" w:after="0"/>
        <w:jc w:val="both"/>
        <w:rPr>
          <w:rFonts w:ascii="Arial" w:hAnsi="Arial"/>
          <w:b w:val="false"/>
          <w:sz w:val="20"/>
        </w:rPr>
      </w:pPr>
      <w:r>
        <w:rPr>
          <w:rFonts w:ascii="Arial" w:hAnsi="Arial"/>
          <w:b w:val="false"/>
          <w:sz w:val="20"/>
        </w:rPr>
        <w:t>We expect to continue to incur increasing operating losses for the foreseeable future as we:</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continue to advance fosgonimeton and our other product candidates through preclinical studies and clinical trials, and further extend the open label extension of the ACT-AD and LIFT-AD trials;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expand our pipeline of product candidates;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continue to grow our discovery organization and invest in the ATH platform;</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ramp up manufacturing activities;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attract, hire and retain additional personnel;</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obtain, maintain, expand and protect our intellectual property portfolio;</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operate as a public company;</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expand our laboratory and office facilities;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implement operational, financial and management information systems;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seek regulatory approval for any product candidates that successfully complete clinical trials;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establish a sales, marketing and distribution infrastructure to commercialize any product candidate for which we may obtain marketing approval; and</w:t>
      </w:r>
    </w:p>
    <w:p>
      <w:pPr>
        <w:pStyle w:val="TextBody"/>
        <w:spacing w:lineRule="auto" w:line="273" w:before="120" w:after="0"/>
        <w:jc w:val="both"/>
        <w:rPr/>
      </w:pPr>
      <w:r>
        <w:rPr/>
        <w:t>•</w:t>
      </w:r>
    </w:p>
    <w:p>
      <w:pPr>
        <w:pStyle w:val="TextBody"/>
        <w:spacing w:lineRule="auto" w:line="273" w:before="120" w:after="283"/>
        <w:jc w:val="both"/>
        <w:rPr>
          <w:rFonts w:ascii="Arial" w:hAnsi="Arial"/>
          <w:b w:val="false"/>
          <w:sz w:val="20"/>
        </w:rPr>
      </w:pPr>
      <w:r>
        <w:rPr>
          <w:rFonts w:ascii="Arial" w:hAnsi="Arial"/>
          <w:b w:val="false"/>
          <w:sz w:val="20"/>
        </w:rPr>
        <w:t>incur legal expenses associated with ongoing litigation, as further described in “Part II, Item 1—Legal Proceedings,” and elsewhere in this report.</w:t>
      </w:r>
    </w:p>
    <w:p>
      <w:pPr>
        <w:pStyle w:val="TextBody"/>
        <w:spacing w:lineRule="auto" w:line="273" w:before="240" w:after="0"/>
        <w:jc w:val="center"/>
        <w:rPr>
          <w:rFonts w:ascii="Arial" w:hAnsi="Arial"/>
          <w:b w:val="false"/>
          <w:sz w:val="20"/>
        </w:rPr>
      </w:pPr>
      <w:r>
        <w:rPr>
          <w:rFonts w:ascii="Arial" w:hAnsi="Arial"/>
          <w:b w:val="false"/>
          <w:sz w:val="20"/>
        </w:rPr>
        <w:t>25</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Times New Roman" w:hAnsi="Times New Roman"/>
          <w:sz w:val="20"/>
        </w:rPr>
      </w:pPr>
      <w:r>
        <w:rPr>
          <w:rFonts w:ascii="Arial" w:hAnsi="Arial"/>
          <w:b w:val="false"/>
          <w:sz w:val="20"/>
        </w:rPr>
        <w:t>Our net losses may fluctuate significantly from quarter-to-quarter and year-to-year, depending on the timing of our clinical trials and our expenditures on other research and development activities.</w:t>
      </w:r>
      <w:r>
        <w:rPr>
          <w:rFonts w:ascii="Times New Roman" w:hAnsi="Times New Roman"/>
          <w:sz w:val="20"/>
        </w:rPr>
        <w:t xml:space="preserve"> </w:t>
      </w:r>
    </w:p>
    <w:p>
      <w:pPr>
        <w:pStyle w:val="TextBody"/>
        <w:spacing w:lineRule="auto" w:line="273" w:before="280" w:after="0"/>
        <w:jc w:val="both"/>
        <w:rPr>
          <w:rFonts w:ascii="Arial" w:hAnsi="Arial"/>
          <w:b w:val="false"/>
          <w:sz w:val="20"/>
        </w:rPr>
      </w:pPr>
      <w:r>
        <w:rPr>
          <w:rFonts w:ascii="Arial" w:hAnsi="Arial"/>
          <w:b w:val="false"/>
          <w:sz w:val="20"/>
        </w:rPr>
        <w:t>We will require substantial additional funding to support our continuing operations and further the development of our product candidates. Until such time as we can generate significant revenue from product sales, if ever, we expect to finance our operations through the sale of equity, debt financings, or other capital sources, which could include income from collaboration, licensing or similar arrangements, for the foreseeable future. Adequate funding may not be available when needed or on terms acceptable to us, or at all. If we are unable to raise additional capital as needed, we may have to significantly delay, scale back or discontinue development of our product candidates. Our ability to raise additional funds may be adversely impacted by potential worsening global economic conditions and the recent disruptions to, and volatility in, the credit and financial markets in the United States and worldwide resulting from the COVID-19 pandemic and otherwise.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 from operating activities. Based upon our current operating plan, we estimate that our existing cash, cash equivalents and investments will be sufficient to fund our operating expenses and capital expenditure requirements through at least the next 12 months following the date of this report.</w:t>
      </w:r>
    </w:p>
    <w:p>
      <w:pPr>
        <w:pStyle w:val="TextBody"/>
        <w:spacing w:lineRule="auto" w:line="273" w:before="280" w:after="0"/>
        <w:jc w:val="both"/>
        <w:rPr>
          <w:rFonts w:ascii="Arial" w:hAnsi="Arial"/>
          <w:b w:val="false"/>
          <w:sz w:val="20"/>
        </w:rPr>
      </w:pPr>
      <w:r>
        <w:rPr>
          <w:rFonts w:ascii="Arial" w:hAnsi="Arial"/>
          <w:b w:val="false"/>
          <w:sz w:val="20"/>
        </w:rPr>
        <w:t>The global COVID-19 pandemic continues to evolve, and we will continue to monitor the COVID-19 situation closely. While COVID-19 related restrictions have been eased in many locations around the globe, including in Bothell, Washington, where our principal offices are located, a resurgence in cases of COVID-19 or similar health epidemic could occur at any time, and the ultimate impact of the COVID-19 pandemic or a similar health epidemic is highly uncertain and subject to change. In particular, new and highly contagious variants of COVID</w:t>
        <w:noBreakHyphen/>
        <w:t>19 continue to emerge and spread quickly throughout certain areas of the United States and elsewhere, and at this point we are unable to determine when and to what extent any such resurgence will affect our business. We will continue to actively monitor the evolving situation and ongoing impacts on our clinical trial enrollment, trial sites, contract research organizations, or CROs, third-party manufacturers, and other third parties with whom we do business, as well as on regulatory authorities and our key scientific and management personnel. As the situation evolves, we may take further actions that alter our operations, including those that may be required by federal, state or local authorities, or that we determine are in the best interests of our employees and other third parties with whom we do business. At this point, the ultimate extent to which the COVID-19 pandemic, or any potential resurgence of a variant thereof, may affect our business, operations and clinical development timelines and plans, including the resulting impact on our expenditures and capital needs, remains uncertain.</w:t>
      </w:r>
    </w:p>
    <w:p>
      <w:pPr>
        <w:pStyle w:val="TextBody"/>
        <w:spacing w:lineRule="auto" w:line="273" w:before="280" w:after="0"/>
        <w:jc w:val="both"/>
        <w:rPr>
          <w:rFonts w:ascii="Arial" w:hAnsi="Arial"/>
          <w:b/>
          <w:i/>
          <w:sz w:val="20"/>
        </w:rPr>
      </w:pPr>
      <w:r>
        <w:rPr>
          <w:rFonts w:ascii="Arial" w:hAnsi="Arial"/>
          <w:b/>
          <w:i/>
          <w:sz w:val="20"/>
        </w:rPr>
        <w:t>Our Collaboration and Grant Agreements</w:t>
      </w:r>
    </w:p>
    <w:p>
      <w:pPr>
        <w:pStyle w:val="TextBody"/>
        <w:spacing w:lineRule="auto" w:line="273" w:before="280" w:after="0"/>
        <w:jc w:val="both"/>
        <w:rPr>
          <w:rFonts w:ascii="Arial" w:hAnsi="Arial"/>
          <w:b w:val="false"/>
          <w:sz w:val="20"/>
        </w:rPr>
      </w:pPr>
      <w:r>
        <w:rPr>
          <w:rFonts w:ascii="Arial" w:hAnsi="Arial"/>
          <w:b w:val="false"/>
          <w:sz w:val="20"/>
        </w:rPr>
        <w:t>We are party to certain collaboration and grant agreements, as described in the section titled “Part I, Item 1 – Business—Our Collaboration and Grant Agreements” in our Annual Report on Form 10-K filed with the SEC on March 28, 2022.</w:t>
      </w:r>
    </w:p>
    <w:p>
      <w:pPr>
        <w:pStyle w:val="TextBody"/>
        <w:spacing w:lineRule="auto" w:line="273" w:before="280" w:after="0"/>
        <w:jc w:val="both"/>
        <w:rPr>
          <w:rFonts w:ascii="Arial" w:hAnsi="Arial"/>
          <w:b/>
          <w:sz w:val="20"/>
        </w:rPr>
      </w:pPr>
      <w:r>
        <w:rPr>
          <w:rFonts w:ascii="Arial" w:hAnsi="Arial"/>
          <w:b/>
          <w:sz w:val="20"/>
        </w:rPr>
        <w:t>Components of Operating Results</w:t>
      </w:r>
    </w:p>
    <w:p>
      <w:pPr>
        <w:pStyle w:val="TextBody"/>
        <w:spacing w:lineRule="auto" w:line="273" w:before="280" w:after="0"/>
        <w:jc w:val="both"/>
        <w:rPr>
          <w:rFonts w:ascii="Arial" w:hAnsi="Arial"/>
          <w:b/>
          <w:i/>
          <w:sz w:val="20"/>
        </w:rPr>
      </w:pPr>
      <w:r>
        <w:rPr>
          <w:rFonts w:ascii="Arial" w:hAnsi="Arial"/>
          <w:b/>
          <w:i/>
          <w:sz w:val="20"/>
        </w:rPr>
        <w:t>Operating Expenses</w:t>
      </w:r>
    </w:p>
    <w:p>
      <w:pPr>
        <w:pStyle w:val="TextBody"/>
        <w:spacing w:lineRule="auto" w:line="273" w:before="280" w:after="0"/>
        <w:jc w:val="both"/>
        <w:rPr>
          <w:rFonts w:ascii="Times New Roman" w:hAnsi="Times New Roman"/>
          <w:sz w:val="20"/>
        </w:rPr>
      </w:pPr>
      <w:r>
        <w:rPr>
          <w:rFonts w:ascii="Arial" w:hAnsi="Arial"/>
          <w:b/>
          <w:i/>
          <w:sz w:val="20"/>
        </w:rPr>
        <w:t>Research and Development</w:t>
      </w:r>
      <w:r>
        <w:rPr>
          <w:rFonts w:ascii="Times New Roman" w:hAnsi="Times New Roman"/>
          <w:sz w:val="20"/>
        </w:rPr>
        <w:t xml:space="preserve"> </w:t>
      </w:r>
    </w:p>
    <w:p>
      <w:pPr>
        <w:pStyle w:val="TextBody"/>
        <w:spacing w:lineRule="auto" w:line="273" w:before="280" w:after="0"/>
        <w:jc w:val="both"/>
        <w:rPr>
          <w:rFonts w:ascii="Arial" w:hAnsi="Arial"/>
          <w:b w:val="false"/>
          <w:sz w:val="20"/>
        </w:rPr>
      </w:pPr>
      <w:r>
        <w:rPr>
          <w:rFonts w:ascii="Arial" w:hAnsi="Arial"/>
          <w:b w:val="false"/>
          <w:sz w:val="20"/>
        </w:rPr>
        <w:t>Research and development expenses consist primarily of direct and indirect costs incurred for our research activities, including development of the ATH platform, our drug discovery efforts and the development of our product candidates. Direct costs include laboratory materials and supplies, contracted research and manufacturing, clinical trial costs, consulting fees, and other expenses incurred to sustain our research and development program. Indirect costs include personnel-related expenses, consisting of employee salaries, related benefits, and stock-based compensation expense for employees engaged in research and development activities, and facilities, including expenses associated with relocating to and building out our new lab space, and other expenses consisting of direct and allocated expenses for rent and depreciation, and lab consumables.</w:t>
      </w:r>
    </w:p>
    <w:p>
      <w:pPr>
        <w:pStyle w:val="TextBody"/>
        <w:spacing w:lineRule="auto" w:line="273" w:before="280" w:after="0"/>
        <w:jc w:val="both"/>
        <w:rPr>
          <w:rFonts w:ascii="Times New Roman" w:hAnsi="Times New Roman"/>
          <w:sz w:val="20"/>
        </w:rPr>
      </w:pPr>
      <w:r>
        <w:rPr>
          <w:rFonts w:ascii="Arial" w:hAnsi="Arial"/>
          <w:b w:val="false"/>
          <w:sz w:val="20"/>
        </w:rPr>
        <w:t>We expense research and development costs as incurred. Non-refundable advance payments for goods and services that will be used over time for research and development are capitalized and recognized as goods are delivered or as the</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26</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Times New Roman" w:hAnsi="Times New Roman"/>
          <w:sz w:val="20"/>
        </w:rPr>
      </w:pPr>
      <w:r>
        <w:rPr>
          <w:rFonts w:ascii="Arial" w:hAnsi="Arial"/>
          <w:b w:val="false"/>
          <w:sz w:val="20"/>
        </w:rPr>
        <w:t>related services are performed. In-licensing fees and other costs to acquire technologies used in research and development that have not yet received regulatory approval and that are not expected to have an alternative future use are expensed when incurred. We track direct costs by stage of program, clinical or preclinical. However, we do not track indirect costs on a program specific basis because these costs are deployed across multiple programs and, as such, are not separately classified.</w:t>
      </w:r>
      <w:r>
        <w:rPr>
          <w:rFonts w:ascii="Times New Roman" w:hAnsi="Times New Roman"/>
          <w:sz w:val="20"/>
        </w:rPr>
        <w:t xml:space="preserve"> </w:t>
      </w:r>
    </w:p>
    <w:p>
      <w:pPr>
        <w:pStyle w:val="TextBody"/>
        <w:spacing w:lineRule="auto" w:line="273" w:before="280" w:after="0"/>
        <w:jc w:val="both"/>
        <w:rPr>
          <w:rFonts w:ascii="Arial" w:hAnsi="Arial"/>
          <w:b w:val="false"/>
          <w:sz w:val="20"/>
        </w:rPr>
      </w:pPr>
      <w:r>
        <w:rPr>
          <w:rFonts w:ascii="Arial" w:hAnsi="Arial"/>
          <w:b w:val="false"/>
          <w:sz w:val="20"/>
        </w:rPr>
        <w:t>As of the date of this report, we cannot reasonably determine the nature, timing, and estimated costs of the efforts that will be necessary to complete the development of, and obtain regulatory approval for, any of our product candidates. Product candidates in later stages of development generally have higher development costs than those in earlier stages. We expect that our research and development expenses will increase substantially for the foreseeable future as we continue to invest in research and development activities related to developing our product candidates, as our product candidates advance into later stages of development, as we begin to conduct larger clinical trials, as we seek regulatory approvals for any product candidates that successfully complete clinical trials, as we expand our product pipeline, as we maintain, expand, protect and enforce our intellectual property portfolio, and as we incur expenses associated with hiring additional personnel to support our research and development efforts. In particular, we expect our research and development expenses will increase substantially as we conduct our Phase 2 and Phase 3 clinical trials for fosgonimeton, including open-label extensions for those trials. Additionally, we may experience an overall increase in research and development expenses as a result of inflation.</w:t>
      </w:r>
    </w:p>
    <w:p>
      <w:pPr>
        <w:pStyle w:val="TextBody"/>
        <w:spacing w:lineRule="auto" w:line="273" w:before="280" w:after="0"/>
        <w:jc w:val="both"/>
        <w:rPr>
          <w:rFonts w:ascii="Times New Roman" w:hAnsi="Times New Roman"/>
          <w:sz w:val="20"/>
        </w:rPr>
      </w:pPr>
      <w:r>
        <w:rPr>
          <w:rFonts w:ascii="Arial" w:hAnsi="Arial"/>
          <w:b w:val="false"/>
          <w:sz w:val="20"/>
        </w:rPr>
        <w:t>The process of conducting the necessary clinical research to obtain regulatory approval is costly and time-consuming, and the successful development of our product candidates is highly uncertain. Our research and development expenses may vary significantly based on factors such as:</w:t>
      </w:r>
      <w:r>
        <w:rPr>
          <w:rFonts w:ascii="Times New Roman" w:hAnsi="Times New Roman"/>
          <w:sz w:val="20"/>
        </w:rPr>
        <w:t xml:space="preserve">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number and scope of preclinical and IND-enabling studies;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phases of development of our product candidates;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progress and results of our research and development activities;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per subject trial costs;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number of trials required for regulatory approval, in particular with respect to fosgonimeton for the treatment of mild-to-moderate AD;</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further extension of the open label extension of the ACT-AD and LIFT-AD trials;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number of sites included in the trials;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countries in which the trials are conducted;</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length of time required to enroll eligible subjects and initiate clinical trials;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number of subjects that participate in the trials;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drop-out and discontinuation rate of subjects;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potential additional safety monitoring requested by regulatory agencies;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duration of subject participation in the trials and follow-up;</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cost and timing of manufacturing of our product candidates;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receipt of regulatory approvals from applicable regulatory authorities;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timing, receipt and terms of any marketing approvals from applicable regulatory authorities;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hiring and retention of research and development personnel;</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the degree to which we obtain, maintain, defend and enforce our intellectual property rights;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impact of COVID-19 on timelines and clinical operations, which may lead to increased costs; and</w:t>
      </w:r>
    </w:p>
    <w:p>
      <w:pPr>
        <w:pStyle w:val="TextBody"/>
        <w:spacing w:lineRule="auto" w:line="273" w:before="120" w:after="0"/>
        <w:jc w:val="both"/>
        <w:rPr/>
      </w:pPr>
      <w:r>
        <w:rPr/>
        <w:t>•</w:t>
      </w:r>
    </w:p>
    <w:p>
      <w:pPr>
        <w:pStyle w:val="TextBody"/>
        <w:spacing w:lineRule="auto" w:line="273" w:before="120" w:after="283"/>
        <w:jc w:val="both"/>
        <w:rPr>
          <w:rFonts w:ascii="Arial" w:hAnsi="Arial"/>
          <w:b w:val="false"/>
          <w:sz w:val="20"/>
        </w:rPr>
      </w:pPr>
      <w:r>
        <w:rPr>
          <w:rFonts w:ascii="Arial" w:hAnsi="Arial"/>
          <w:b w:val="false"/>
          <w:sz w:val="20"/>
        </w:rPr>
        <w:t>the extent to which we establish collaboration, licensing or similar arrangements and the performance of any related third parties.</w:t>
      </w:r>
    </w:p>
    <w:p>
      <w:pPr>
        <w:pStyle w:val="TextBody"/>
        <w:spacing w:lineRule="auto" w:line="273" w:before="280" w:after="0"/>
        <w:jc w:val="both"/>
        <w:rPr>
          <w:rFonts w:ascii="Times New Roman" w:hAnsi="Times New Roman"/>
          <w:sz w:val="20"/>
        </w:rPr>
      </w:pPr>
      <w:r>
        <w:rPr>
          <w:rFonts w:ascii="Arial" w:hAnsi="Arial"/>
          <w:b w:val="false"/>
          <w:sz w:val="20"/>
        </w:rPr>
        <w:t>A change in the outcome of any of these variables with respect to the development of any of our product candidates could significantly change the costs and timing associated with the development of that product candidate.</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27</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Arial" w:hAnsi="Arial"/>
          <w:b/>
          <w:i/>
          <w:sz w:val="20"/>
        </w:rPr>
      </w:pPr>
      <w:r>
        <w:rPr>
          <w:rFonts w:ascii="Arial" w:hAnsi="Arial"/>
          <w:b/>
          <w:i/>
          <w:sz w:val="20"/>
        </w:rPr>
        <w:t>General and Administrative</w:t>
      </w:r>
    </w:p>
    <w:p>
      <w:pPr>
        <w:pStyle w:val="TextBody"/>
        <w:spacing w:lineRule="auto" w:line="273" w:before="280" w:after="0"/>
        <w:jc w:val="both"/>
        <w:rPr>
          <w:rFonts w:ascii="Arial" w:hAnsi="Arial"/>
          <w:b w:val="false"/>
          <w:sz w:val="20"/>
        </w:rPr>
      </w:pPr>
      <w:r>
        <w:rPr>
          <w:rFonts w:ascii="Arial" w:hAnsi="Arial"/>
          <w:b w:val="false"/>
          <w:sz w:val="20"/>
        </w:rPr>
        <w:t>General and administrative expenses consist primarily of personnel-related costs, consisting of employee salaries, related benefits, and stock-based compensation expense for our employees in the executive, legal, finance and accounting, human resources, and other administrative functions. General and administrative expenses also include third-party costs such as legal costs, insurance costs, accounting, auditing and tax related fees, consulting fees and facilities and other expenses not otherwise included as research and development expenses. We expense general and administrative costs as incurred.</w:t>
      </w:r>
    </w:p>
    <w:p>
      <w:pPr>
        <w:pStyle w:val="TextBody"/>
        <w:spacing w:lineRule="auto" w:line="273" w:before="280" w:after="0"/>
        <w:jc w:val="both"/>
        <w:rPr>
          <w:rFonts w:ascii="Arial" w:hAnsi="Arial"/>
          <w:b w:val="false"/>
          <w:sz w:val="20"/>
        </w:rPr>
      </w:pPr>
      <w:r>
        <w:rPr>
          <w:rFonts w:ascii="Arial" w:hAnsi="Arial"/>
          <w:b w:val="false"/>
          <w:sz w:val="20"/>
        </w:rPr>
        <w:t>We expect that our general and administrative expenses will increase substantially for the foreseeable future as we increase our headcount to support our continued research activities and development of our programs. We also anticipate that we will incur substantially increased expenses as a result of operating as a public company, including expenses related to compliance with the rules and regulations of the SEC, and those of any national securities exchange on which our securities are traded, legal, auditing, additional insurance expenses, investor relations activities, and other administrative and professional services. We expect an increase in legal expenses related to our ongoing class action litigation and proxy contest. We also expect to continue to increase the size of our administrative function to support the growth of our business. Additionally, we may experience an overall increase in general and administrative expenses as a result of inflation.</w:t>
      </w:r>
    </w:p>
    <w:p>
      <w:pPr>
        <w:pStyle w:val="TextBody"/>
        <w:spacing w:lineRule="auto" w:line="273" w:before="280" w:after="0"/>
        <w:jc w:val="both"/>
        <w:rPr>
          <w:rFonts w:ascii="Arial" w:hAnsi="Arial"/>
          <w:b/>
          <w:i/>
          <w:sz w:val="20"/>
        </w:rPr>
      </w:pPr>
      <w:r>
        <w:rPr>
          <w:rFonts w:ascii="Arial" w:hAnsi="Arial"/>
          <w:b/>
          <w:i/>
          <w:sz w:val="20"/>
        </w:rPr>
        <w:t>Grant Income</w:t>
      </w:r>
    </w:p>
    <w:p>
      <w:pPr>
        <w:pStyle w:val="TextBody"/>
        <w:spacing w:lineRule="auto" w:line="273" w:before="280" w:after="0"/>
        <w:jc w:val="both"/>
        <w:rPr>
          <w:rFonts w:ascii="Arial" w:hAnsi="Arial"/>
          <w:b w:val="false"/>
          <w:sz w:val="20"/>
        </w:rPr>
      </w:pPr>
      <w:r>
        <w:rPr>
          <w:rFonts w:ascii="Arial" w:hAnsi="Arial"/>
          <w:b w:val="false"/>
          <w:sz w:val="20"/>
        </w:rPr>
        <w:t>Grant income consists of income related to the NIH grant and is recognized as qualifying expenses under the grant agreement are incurred. Under the terms of the agreement, we may receive approximately $7.8 million, with the potential for an additional $7.4 million, up to an aggregate of $15.2 million. As of March 31, 2022, we recognized aggregate grant income of $12.1 million in connection with the NIH grant. We expect to recognize the remaining $3.1 million of grant income during the current year.</w:t>
      </w:r>
    </w:p>
    <w:p>
      <w:pPr>
        <w:pStyle w:val="TextBody"/>
        <w:spacing w:lineRule="auto" w:line="273" w:before="280" w:after="0"/>
        <w:jc w:val="both"/>
        <w:rPr>
          <w:rFonts w:ascii="Arial" w:hAnsi="Arial"/>
          <w:b/>
          <w:i/>
          <w:sz w:val="20"/>
        </w:rPr>
      </w:pPr>
      <w:r>
        <w:rPr>
          <w:rFonts w:ascii="Arial" w:hAnsi="Arial"/>
          <w:b/>
          <w:i/>
          <w:sz w:val="20"/>
        </w:rPr>
        <w:t>Other Income, Net</w:t>
      </w:r>
    </w:p>
    <w:p>
      <w:pPr>
        <w:pStyle w:val="TextBody"/>
        <w:spacing w:lineRule="auto" w:line="273" w:before="280" w:after="0"/>
        <w:jc w:val="both"/>
        <w:rPr>
          <w:rFonts w:ascii="Times New Roman" w:hAnsi="Times New Roman"/>
          <w:sz w:val="20"/>
        </w:rPr>
      </w:pPr>
      <w:r>
        <w:rPr>
          <w:rFonts w:ascii="Arial" w:hAnsi="Arial"/>
          <w:b w:val="false"/>
          <w:sz w:val="20"/>
        </w:rPr>
        <w:t>Other income, net consists primarily of interest earned on our cash, cash equivalents and investments. Absent further fundraising, we expect interest earned on our cash, cash equivalents and investments to decrease over the long term as we continue to expend our cash balances to fund our ongoing operations.</w:t>
      </w:r>
      <w:r>
        <w:rPr>
          <w:rFonts w:ascii="Times New Roman" w:hAnsi="Times New Roman"/>
          <w:sz w:val="20"/>
        </w:rPr>
        <w:t xml:space="preserve"> </w:t>
      </w:r>
    </w:p>
    <w:p>
      <w:pPr>
        <w:pStyle w:val="TextBody"/>
        <w:spacing w:lineRule="auto" w:line="273" w:before="280" w:after="0"/>
        <w:jc w:val="both"/>
        <w:rPr>
          <w:rFonts w:ascii="Arial" w:hAnsi="Arial"/>
          <w:b/>
          <w:sz w:val="20"/>
        </w:rPr>
      </w:pPr>
      <w:r>
        <w:rPr>
          <w:rFonts w:ascii="Arial" w:hAnsi="Arial"/>
          <w:b/>
          <w:sz w:val="20"/>
        </w:rPr>
        <w:t>Results of Operations</w:t>
      </w:r>
    </w:p>
    <w:p>
      <w:pPr>
        <w:pStyle w:val="TextBody"/>
        <w:spacing w:lineRule="auto" w:line="273" w:before="280" w:after="0"/>
        <w:jc w:val="both"/>
        <w:rPr>
          <w:rFonts w:ascii="Arial" w:hAnsi="Arial"/>
          <w:b/>
          <w:i/>
          <w:sz w:val="20"/>
        </w:rPr>
      </w:pPr>
      <w:r>
        <w:rPr>
          <w:rFonts w:ascii="Arial" w:hAnsi="Arial"/>
          <w:b/>
          <w:i/>
          <w:sz w:val="20"/>
        </w:rPr>
        <w:t>Comparison of the Three Months Ended March 31, 2022 and 2021</w:t>
      </w:r>
    </w:p>
    <w:p>
      <w:pPr>
        <w:pStyle w:val="TextBody"/>
        <w:spacing w:lineRule="auto" w:line="273" w:before="280" w:after="0"/>
        <w:jc w:val="both"/>
        <w:rPr>
          <w:rFonts w:ascii="Arial" w:hAnsi="Arial"/>
          <w:b w:val="false"/>
          <w:sz w:val="20"/>
        </w:rPr>
      </w:pPr>
      <w:r>
        <w:rPr>
          <w:rFonts w:ascii="Arial" w:hAnsi="Arial"/>
          <w:b w:val="false"/>
          <w:sz w:val="20"/>
        </w:rPr>
        <w:t>The following table summarizes our results of operations for the periods presented:</w:t>
      </w:r>
    </w:p>
    <w:p>
      <w:pPr>
        <w:pStyle w:val="TextBody"/>
        <w:spacing w:lineRule="auto" w:line="264" w:before="0" w:after="0"/>
        <w:jc w:val="both"/>
        <w:rPr/>
      </w:pPr>
      <w:r>
        <w:rPr/>
        <w:t> </w:t>
      </w:r>
    </w:p>
    <w:tbl>
      <w:tblPr>
        <w:tblW w:w="7931" w:type="dxa"/>
        <w:jc w:val="left"/>
        <w:tblInd w:w="0" w:type="dxa"/>
        <w:tblCellMar>
          <w:top w:w="28" w:type="dxa"/>
          <w:left w:w="28" w:type="dxa"/>
          <w:bottom w:w="28" w:type="dxa"/>
          <w:right w:w="28" w:type="dxa"/>
        </w:tblCellMar>
      </w:tblPr>
      <w:tblGrid>
        <w:gridCol w:w="2491"/>
        <w:gridCol w:w="146"/>
        <w:gridCol w:w="211"/>
        <w:gridCol w:w="751"/>
        <w:gridCol w:w="166"/>
        <w:gridCol w:w="146"/>
        <w:gridCol w:w="211"/>
        <w:gridCol w:w="751"/>
        <w:gridCol w:w="166"/>
        <w:gridCol w:w="146"/>
        <w:gridCol w:w="211"/>
        <w:gridCol w:w="751"/>
        <w:gridCol w:w="166"/>
        <w:gridCol w:w="146"/>
        <w:gridCol w:w="185"/>
        <w:gridCol w:w="536"/>
        <w:gridCol w:w="751"/>
      </w:tblGrid>
      <w:tr>
        <w:trPr/>
        <w:tc>
          <w:tcPr>
            <w:tcW w:w="24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r>
      <w:tr>
        <w:trPr/>
        <w:tc>
          <w:tcPr>
            <w:tcW w:w="249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4543" w:type="dxa"/>
            <w:gridSpan w:val="14"/>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Three Months Ended March 31,</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49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62" w:type="dxa"/>
            <w:gridSpan w:val="2"/>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62" w:type="dxa"/>
            <w:gridSpan w:val="2"/>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62" w:type="dxa"/>
            <w:gridSpan w:val="2"/>
            <w:tcBorders/>
            <w:shd w:fill="auto" w:val="clear"/>
            <w:vAlign w:val="center"/>
          </w:tcPr>
          <w:p>
            <w:pPr>
              <w:pStyle w:val="TableContents"/>
              <w:spacing w:lineRule="auto" w:line="252" w:before="0" w:after="0"/>
              <w:ind w:left="0" w:right="0" w:hanging="0"/>
              <w:jc w:val="center"/>
              <w:rPr>
                <w:rFonts w:ascii="Arial" w:hAnsi="Arial"/>
                <w:b/>
                <w:sz w:val="16"/>
              </w:rPr>
            </w:pPr>
            <w:r>
              <w:rPr>
                <w:rFonts w:ascii="Arial" w:hAnsi="Arial"/>
                <w:b/>
                <w:sz w:val="16"/>
              </w:rPr>
              <w:t>Dollar</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21" w:type="dxa"/>
            <w:gridSpan w:val="2"/>
            <w:tcBorders/>
            <w:shd w:fill="auto" w:val="clear"/>
            <w:vAlign w:val="center"/>
          </w:tcPr>
          <w:p>
            <w:pPr>
              <w:pStyle w:val="TableContents"/>
              <w:spacing w:lineRule="auto" w:line="252" w:before="0" w:after="0"/>
              <w:ind w:left="0" w:right="0" w:hanging="0"/>
              <w:jc w:val="center"/>
              <w:rPr>
                <w:rFonts w:ascii="Arial" w:hAnsi="Arial"/>
                <w:b/>
                <w:sz w:val="16"/>
              </w:rPr>
            </w:pPr>
            <w:r>
              <w:rPr>
                <w:rFonts w:ascii="Arial" w:hAnsi="Arial"/>
                <w:b/>
                <w:sz w:val="16"/>
              </w:rPr>
              <w:t>%</w:t>
            </w:r>
          </w:p>
        </w:tc>
        <w:tc>
          <w:tcPr>
            <w:tcW w:w="751" w:type="dxa"/>
            <w:tcBorders/>
            <w:shd w:fill="auto" w:val="clear"/>
            <w:vAlign w:val="center"/>
          </w:tcPr>
          <w:p>
            <w:pPr>
              <w:pStyle w:val="TableContents"/>
              <w:spacing w:lineRule="auto" w:line="252" w:before="0" w:after="0"/>
              <w:ind w:left="0" w:right="0" w:hanging="0"/>
              <w:jc w:val="center"/>
              <w:rPr/>
            </w:pPr>
            <w:r>
              <w:rPr/>
              <w:t> </w:t>
            </w:r>
          </w:p>
        </w:tc>
      </w:tr>
      <w:tr>
        <w:trPr/>
        <w:tc>
          <w:tcPr>
            <w:tcW w:w="249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6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6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6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2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Change</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49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510" w:type="dxa"/>
            <w:gridSpan w:val="10"/>
            <w:tcBorders/>
            <w:shd w:fill="auto" w:val="clear"/>
            <w:vAlign w:val="center"/>
          </w:tcPr>
          <w:p>
            <w:pPr>
              <w:pStyle w:val="TableContents"/>
              <w:spacing w:lineRule="auto" w:line="252" w:before="0" w:after="0"/>
              <w:ind w:left="0" w:right="0" w:hanging="0"/>
              <w:jc w:val="center"/>
              <w:rPr>
                <w:rFonts w:ascii="Arial" w:hAnsi="Arial"/>
                <w:b/>
                <w:sz w:val="16"/>
              </w:rPr>
            </w:pPr>
            <w:r>
              <w:rPr>
                <w:rFonts w:ascii="Arial" w:hAnsi="Arial"/>
                <w:b/>
                <w:sz w:val="16"/>
              </w:rPr>
              <w:t>(in thousands)</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21" w:type="dxa"/>
            <w:gridSpan w:val="2"/>
            <w:tcBorders/>
            <w:shd w:fill="auto" w:val="clear"/>
            <w:vAlign w:val="center"/>
          </w:tcPr>
          <w:p>
            <w:pPr>
              <w:pStyle w:val="TableContents"/>
              <w:spacing w:lineRule="auto" w:line="252" w:before="0" w:after="0"/>
              <w:ind w:left="0" w:right="0" w:hanging="0"/>
              <w:jc w:val="center"/>
              <w:rPr/>
            </w:pPr>
            <w:r>
              <w:rPr/>
              <w:t> </w:t>
            </w:r>
          </w:p>
        </w:tc>
        <w:tc>
          <w:tcPr>
            <w:tcW w:w="751" w:type="dxa"/>
            <w:tcBorders/>
            <w:shd w:fill="auto" w:val="clear"/>
            <w:vAlign w:val="center"/>
          </w:tcPr>
          <w:p>
            <w:pPr>
              <w:pStyle w:val="TableContents"/>
              <w:spacing w:lineRule="auto" w:line="252" w:before="0" w:after="0"/>
              <w:ind w:left="0" w:right="0" w:hanging="0"/>
              <w:jc w:val="center"/>
              <w:rPr/>
            </w:pPr>
            <w:r>
              <w:rPr/>
              <w:t> </w:t>
            </w:r>
          </w:p>
        </w:tc>
      </w:tr>
      <w:tr>
        <w:trPr/>
        <w:tc>
          <w:tcPr>
            <w:tcW w:w="249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6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6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6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21" w:type="dxa"/>
            <w:gridSpan w:val="2"/>
            <w:tcBorders/>
            <w:shd w:fill="auto" w:val="clear"/>
            <w:vAlign w:val="center"/>
          </w:tcPr>
          <w:p>
            <w:pPr>
              <w:pStyle w:val="TableContents"/>
              <w:spacing w:lineRule="auto" w:line="252" w:before="0" w:after="0"/>
              <w:ind w:left="0" w:right="0" w:hanging="0"/>
              <w:jc w:val="right"/>
              <w:rPr/>
            </w:pPr>
            <w:r>
              <w:rPr/>
              <w:t> </w:t>
            </w:r>
          </w:p>
        </w:tc>
        <w:tc>
          <w:tcPr>
            <w:tcW w:w="751" w:type="dxa"/>
            <w:tcBorders/>
            <w:shd w:fill="auto" w:val="clear"/>
            <w:vAlign w:val="center"/>
          </w:tcPr>
          <w:p>
            <w:pPr>
              <w:pStyle w:val="TableContents"/>
              <w:spacing w:lineRule="auto" w:line="252" w:before="0" w:after="0"/>
              <w:ind w:left="0" w:right="0" w:firstLine="280"/>
              <w:jc w:val="right"/>
              <w:rPr/>
            </w:pPr>
            <w:r>
              <w:rPr/>
              <w:t> </w:t>
            </w:r>
          </w:p>
        </w:tc>
      </w:tr>
      <w:tr>
        <w:trPr/>
        <w:tc>
          <w:tcPr>
            <w:tcW w:w="249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Research and development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5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14,460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5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7,445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5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7,015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53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94</w:t>
            </w:r>
          </w:p>
        </w:tc>
        <w:tc>
          <w:tcPr>
            <w:tcW w:w="751" w:type="dxa"/>
            <w:tcBorders/>
            <w:shd w:fill="auto" w:val="clear"/>
            <w:vAlign w:val="center"/>
          </w:tcPr>
          <w:p>
            <w:pPr>
              <w:pStyle w:val="TableContents"/>
              <w:spacing w:lineRule="auto" w:line="252" w:before="0" w:after="0"/>
              <w:ind w:left="0" w:right="0" w:firstLine="280"/>
              <w:jc w:val="left"/>
              <w:rPr>
                <w:rFonts w:ascii="Arial" w:hAnsi="Arial"/>
                <w:b w:val="false"/>
                <w:sz w:val="20"/>
              </w:rPr>
            </w:pPr>
            <w:r>
              <w:rPr>
                <w:rFonts w:ascii="Arial" w:hAnsi="Arial"/>
                <w:b w:val="false"/>
                <w:sz w:val="20"/>
              </w:rPr>
              <w:t>%</w:t>
            </w:r>
          </w:p>
        </w:tc>
      </w:tr>
      <w:tr>
        <w:trPr/>
        <w:tc>
          <w:tcPr>
            <w:tcW w:w="249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General and administrative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8,927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3,336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5,591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53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168</w:t>
            </w:r>
          </w:p>
        </w:tc>
        <w:tc>
          <w:tcPr>
            <w:tcW w:w="751" w:type="dxa"/>
            <w:tcBorders/>
            <w:shd w:fill="auto" w:val="clear"/>
            <w:vAlign w:val="center"/>
          </w:tcPr>
          <w:p>
            <w:pPr>
              <w:pStyle w:val="TableContents"/>
              <w:spacing w:lineRule="auto" w:line="252" w:before="0" w:after="0"/>
              <w:ind w:left="0" w:right="0" w:firstLine="560"/>
              <w:jc w:val="left"/>
              <w:rPr/>
            </w:pPr>
            <w:r>
              <w:rPr/>
              <w:t> </w:t>
            </w:r>
          </w:p>
        </w:tc>
      </w:tr>
      <w:tr>
        <w:trPr/>
        <w:tc>
          <w:tcPr>
            <w:tcW w:w="2491" w:type="dxa"/>
            <w:tcBorders/>
            <w:shd w:fill="auto" w:val="clear"/>
            <w:vAlign w:val="center"/>
          </w:tcPr>
          <w:p>
            <w:pPr>
              <w:pStyle w:val="TableContents"/>
              <w:spacing w:lineRule="auto" w:line="252" w:before="0" w:after="0"/>
              <w:ind w:left="560" w:right="0" w:hanging="0"/>
              <w:jc w:val="left"/>
              <w:rPr>
                <w:rFonts w:ascii="Arial" w:hAnsi="Arial"/>
                <w:b w:val="false"/>
                <w:sz w:val="20"/>
              </w:rPr>
            </w:pPr>
            <w:r>
              <w:rPr>
                <w:rFonts w:ascii="Arial" w:hAnsi="Arial"/>
                <w:b w:val="false"/>
                <w:sz w:val="20"/>
              </w:rPr>
              <w:t>Total 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23,387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10,781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12,606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53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117</w:t>
            </w:r>
          </w:p>
        </w:tc>
        <w:tc>
          <w:tcPr>
            <w:tcW w:w="751" w:type="dxa"/>
            <w:tcBorders/>
            <w:shd w:fill="auto" w:val="clear"/>
            <w:vAlign w:val="center"/>
          </w:tcPr>
          <w:p>
            <w:pPr>
              <w:pStyle w:val="TableContents"/>
              <w:spacing w:lineRule="auto" w:line="252" w:before="0" w:after="0"/>
              <w:ind w:left="0" w:right="0" w:hanging="0"/>
              <w:jc w:val="left"/>
              <w:rPr/>
            </w:pPr>
            <w:r>
              <w:rPr/>
              <w:t> </w:t>
            </w:r>
          </w:p>
        </w:tc>
      </w:tr>
      <w:tr>
        <w:trPr/>
        <w:tc>
          <w:tcPr>
            <w:tcW w:w="249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Loss from operations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(23,387</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(10,781</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(12,606</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53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117</w:t>
            </w:r>
          </w:p>
        </w:tc>
        <w:tc>
          <w:tcPr>
            <w:tcW w:w="751" w:type="dxa"/>
            <w:tcBorders/>
            <w:shd w:fill="auto" w:val="clear"/>
            <w:vAlign w:val="center"/>
          </w:tcPr>
          <w:p>
            <w:pPr>
              <w:pStyle w:val="TableContents"/>
              <w:spacing w:lineRule="auto" w:line="252" w:before="0" w:after="0"/>
              <w:ind w:left="0" w:right="0" w:hanging="0"/>
              <w:jc w:val="left"/>
              <w:rPr/>
            </w:pPr>
            <w:r>
              <w:rPr/>
              <w:t> </w:t>
            </w:r>
          </w:p>
        </w:tc>
      </w:tr>
      <w:tr>
        <w:trPr/>
        <w:tc>
          <w:tcPr>
            <w:tcW w:w="249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Grant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2,234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1,831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403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53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22</w:t>
            </w:r>
          </w:p>
        </w:tc>
        <w:tc>
          <w:tcPr>
            <w:tcW w:w="751" w:type="dxa"/>
            <w:tcBorders/>
            <w:shd w:fill="auto" w:val="clear"/>
            <w:vAlign w:val="center"/>
          </w:tcPr>
          <w:p>
            <w:pPr>
              <w:pStyle w:val="TableContents"/>
              <w:spacing w:lineRule="auto" w:line="252" w:before="0" w:after="0"/>
              <w:ind w:left="0" w:right="0" w:hanging="0"/>
              <w:jc w:val="left"/>
              <w:rPr/>
            </w:pPr>
            <w:r>
              <w:rPr/>
              <w:t> </w:t>
            </w:r>
          </w:p>
        </w:tc>
      </w:tr>
      <w:tr>
        <w:trPr/>
        <w:tc>
          <w:tcPr>
            <w:tcW w:w="249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Other income,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173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53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106</w:t>
            </w:r>
          </w:p>
        </w:tc>
        <w:tc>
          <w:tcPr>
            <w:tcW w:w="751" w:type="dxa"/>
            <w:tcBorders/>
            <w:shd w:fill="auto" w:val="clear"/>
            <w:vAlign w:val="center"/>
          </w:tcPr>
          <w:p>
            <w:pPr>
              <w:pStyle w:val="TableContents"/>
              <w:spacing w:lineRule="auto" w:line="252" w:before="0" w:after="0"/>
              <w:ind w:left="0" w:right="0" w:hanging="0"/>
              <w:jc w:val="left"/>
              <w:rPr/>
            </w:pPr>
            <w:r>
              <w:rPr/>
              <w:t> </w:t>
            </w:r>
          </w:p>
        </w:tc>
      </w:tr>
      <w:tr>
        <w:trPr/>
        <w:tc>
          <w:tcPr>
            <w:tcW w:w="249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(20,980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(8,866</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(12,114</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53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137</w:t>
            </w:r>
          </w:p>
        </w:tc>
        <w:tc>
          <w:tcPr>
            <w:tcW w:w="75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40" w:after="0"/>
        <w:jc w:val="both"/>
        <w:rPr/>
      </w:pPr>
      <w:r>
        <w:rPr/>
        <w:t> </w:t>
      </w:r>
    </w:p>
    <w:p>
      <w:pPr>
        <w:pStyle w:val="TextBody"/>
        <w:spacing w:lineRule="auto" w:line="273" w:before="240" w:after="0"/>
        <w:jc w:val="center"/>
        <w:rPr>
          <w:rFonts w:ascii="Arial" w:hAnsi="Arial"/>
          <w:b w:val="false"/>
          <w:sz w:val="20"/>
        </w:rPr>
      </w:pPr>
      <w:r>
        <w:rPr>
          <w:rFonts w:ascii="Arial" w:hAnsi="Arial"/>
          <w:b w:val="false"/>
          <w:sz w:val="20"/>
        </w:rPr>
        <w:t>28</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Arial" w:hAnsi="Arial"/>
          <w:b/>
          <w:i/>
          <w:sz w:val="20"/>
        </w:rPr>
      </w:pPr>
      <w:r>
        <w:rPr>
          <w:rFonts w:ascii="Arial" w:hAnsi="Arial"/>
          <w:b/>
          <w:i/>
          <w:sz w:val="20"/>
        </w:rPr>
        <w:t>Research and Development Expenses</w:t>
      </w:r>
    </w:p>
    <w:p>
      <w:pPr>
        <w:pStyle w:val="TextBody"/>
        <w:spacing w:lineRule="auto" w:line="273" w:before="280" w:after="0"/>
        <w:jc w:val="both"/>
        <w:rPr>
          <w:rFonts w:ascii="Arial" w:hAnsi="Arial"/>
          <w:b w:val="false"/>
          <w:sz w:val="20"/>
        </w:rPr>
      </w:pPr>
      <w:r>
        <w:rPr>
          <w:rFonts w:ascii="Arial" w:hAnsi="Arial"/>
          <w:b w:val="false"/>
          <w:sz w:val="20"/>
        </w:rPr>
        <w:t>The following table shows the primary components of our research and development expenses for the periods presented:</w:t>
      </w:r>
    </w:p>
    <w:p>
      <w:pPr>
        <w:pStyle w:val="TextBody"/>
        <w:spacing w:lineRule="auto" w:line="273" w:before="0" w:after="0"/>
        <w:jc w:val="both"/>
        <w:rPr/>
      </w:pPr>
      <w:r>
        <w:rPr/>
        <w:t> </w:t>
      </w:r>
    </w:p>
    <w:tbl>
      <w:tblPr>
        <w:tblW w:w="8691" w:type="dxa"/>
        <w:jc w:val="left"/>
        <w:tblInd w:w="0" w:type="dxa"/>
        <w:tblCellMar>
          <w:top w:w="28" w:type="dxa"/>
          <w:left w:w="28" w:type="dxa"/>
          <w:bottom w:w="28" w:type="dxa"/>
          <w:right w:w="28" w:type="dxa"/>
        </w:tblCellMar>
      </w:tblPr>
      <w:tblGrid>
        <w:gridCol w:w="3841"/>
        <w:gridCol w:w="146"/>
        <w:gridCol w:w="211"/>
        <w:gridCol w:w="691"/>
        <w:gridCol w:w="146"/>
        <w:gridCol w:w="146"/>
        <w:gridCol w:w="211"/>
        <w:gridCol w:w="586"/>
        <w:gridCol w:w="146"/>
        <w:gridCol w:w="146"/>
        <w:gridCol w:w="211"/>
        <w:gridCol w:w="586"/>
        <w:gridCol w:w="146"/>
        <w:gridCol w:w="146"/>
        <w:gridCol w:w="185"/>
        <w:gridCol w:w="536"/>
        <w:gridCol w:w="611"/>
      </w:tblGrid>
      <w:tr>
        <w:trPr/>
        <w:tc>
          <w:tcPr>
            <w:tcW w:w="38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384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4093" w:type="dxa"/>
            <w:gridSpan w:val="14"/>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Three Months Ended March 31,</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84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02"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97"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97" w:type="dxa"/>
            <w:gridSpan w:val="2"/>
            <w:tcBorders/>
            <w:shd w:fill="auto" w:val="clear"/>
            <w:vAlign w:val="center"/>
          </w:tcPr>
          <w:p>
            <w:pPr>
              <w:pStyle w:val="TableContents"/>
              <w:spacing w:lineRule="auto" w:line="252" w:before="0" w:after="0"/>
              <w:ind w:left="0" w:right="0" w:hanging="0"/>
              <w:jc w:val="center"/>
              <w:rPr>
                <w:rFonts w:ascii="Arial" w:hAnsi="Arial"/>
                <w:b/>
                <w:sz w:val="16"/>
              </w:rPr>
            </w:pPr>
            <w:r>
              <w:rPr>
                <w:rFonts w:ascii="Arial" w:hAnsi="Arial"/>
                <w:b/>
                <w:sz w:val="16"/>
              </w:rPr>
              <w:t>Dollar</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21" w:type="dxa"/>
            <w:gridSpan w:val="2"/>
            <w:tcBorders/>
            <w:shd w:fill="auto" w:val="clear"/>
            <w:vAlign w:val="center"/>
          </w:tcPr>
          <w:p>
            <w:pPr>
              <w:pStyle w:val="TableContents"/>
              <w:spacing w:lineRule="auto" w:line="252" w:before="0" w:after="0"/>
              <w:ind w:left="0" w:right="0" w:hanging="0"/>
              <w:jc w:val="center"/>
              <w:rPr>
                <w:rFonts w:ascii="Arial" w:hAnsi="Arial"/>
                <w:b/>
                <w:sz w:val="16"/>
              </w:rPr>
            </w:pPr>
            <w:r>
              <w:rPr>
                <w:rFonts w:ascii="Arial" w:hAnsi="Arial"/>
                <w:b/>
                <w:sz w:val="16"/>
              </w:rPr>
              <w:t>%</w:t>
            </w:r>
          </w:p>
        </w:tc>
        <w:tc>
          <w:tcPr>
            <w:tcW w:w="611" w:type="dxa"/>
            <w:tcBorders/>
            <w:shd w:fill="auto" w:val="clear"/>
            <w:vAlign w:val="center"/>
          </w:tcPr>
          <w:p>
            <w:pPr>
              <w:pStyle w:val="TableContents"/>
              <w:spacing w:lineRule="auto" w:line="252" w:before="0" w:after="0"/>
              <w:ind w:left="0" w:right="0" w:hanging="0"/>
              <w:jc w:val="center"/>
              <w:rPr/>
            </w:pPr>
            <w:r>
              <w:rPr/>
              <w:t> </w:t>
            </w:r>
          </w:p>
        </w:tc>
      </w:tr>
      <w:tr>
        <w:trPr/>
        <w:tc>
          <w:tcPr>
            <w:tcW w:w="384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0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2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Change</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84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080" w:type="dxa"/>
            <w:gridSpan w:val="10"/>
            <w:tcBorders/>
            <w:shd w:fill="auto" w:val="clear"/>
            <w:vAlign w:val="center"/>
          </w:tcPr>
          <w:p>
            <w:pPr>
              <w:pStyle w:val="TableContents"/>
              <w:spacing w:lineRule="auto" w:line="252" w:before="0" w:after="0"/>
              <w:ind w:left="0" w:right="0" w:hanging="0"/>
              <w:jc w:val="center"/>
              <w:rPr>
                <w:rFonts w:ascii="Arial" w:hAnsi="Arial"/>
                <w:b/>
                <w:sz w:val="16"/>
              </w:rPr>
            </w:pPr>
            <w:r>
              <w:rPr>
                <w:rFonts w:ascii="Arial" w:hAnsi="Arial"/>
                <w:b/>
                <w:sz w:val="16"/>
              </w:rPr>
              <w:t>(in thousands)</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21" w:type="dxa"/>
            <w:gridSpan w:val="2"/>
            <w:tcBorders/>
            <w:shd w:fill="auto" w:val="clear"/>
            <w:vAlign w:val="center"/>
          </w:tcPr>
          <w:p>
            <w:pPr>
              <w:pStyle w:val="TableContents"/>
              <w:spacing w:lineRule="auto" w:line="252" w:before="0" w:after="0"/>
              <w:ind w:left="0" w:right="0" w:hanging="0"/>
              <w:jc w:val="center"/>
              <w:rPr/>
            </w:pPr>
            <w:r>
              <w:rPr/>
              <w:t> </w:t>
            </w:r>
          </w:p>
        </w:tc>
        <w:tc>
          <w:tcPr>
            <w:tcW w:w="611" w:type="dxa"/>
            <w:tcBorders/>
            <w:shd w:fill="auto" w:val="clear"/>
            <w:vAlign w:val="center"/>
          </w:tcPr>
          <w:p>
            <w:pPr>
              <w:pStyle w:val="TableContents"/>
              <w:spacing w:lineRule="auto" w:line="252" w:before="0" w:after="0"/>
              <w:ind w:left="0" w:right="0" w:hanging="0"/>
              <w:jc w:val="center"/>
              <w:rPr/>
            </w:pPr>
            <w:r>
              <w:rPr/>
              <w:t> </w:t>
            </w:r>
          </w:p>
        </w:tc>
      </w:tr>
      <w:tr>
        <w:trPr/>
        <w:tc>
          <w:tcPr>
            <w:tcW w:w="384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Direct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0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21" w:type="dxa"/>
            <w:gridSpan w:val="2"/>
            <w:tcBorders/>
            <w:shd w:fill="auto" w:val="clear"/>
            <w:vAlign w:val="center"/>
          </w:tcPr>
          <w:p>
            <w:pPr>
              <w:pStyle w:val="TableContents"/>
              <w:spacing w:lineRule="auto" w:line="252" w:before="0" w:after="0"/>
              <w:ind w:left="0" w:right="0" w:hanging="0"/>
              <w:jc w:val="right"/>
              <w:rPr/>
            </w:pPr>
            <w:r>
              <w:rPr/>
              <w:t> </w:t>
            </w:r>
          </w:p>
        </w:tc>
        <w:tc>
          <w:tcPr>
            <w:tcW w:w="611" w:type="dxa"/>
            <w:tcBorders/>
            <w:shd w:fill="auto" w:val="clear"/>
            <w:vAlign w:val="center"/>
          </w:tcPr>
          <w:p>
            <w:pPr>
              <w:pStyle w:val="TableContents"/>
              <w:spacing w:lineRule="auto" w:line="252" w:before="0" w:after="0"/>
              <w:ind w:left="0" w:right="0" w:firstLine="280"/>
              <w:jc w:val="right"/>
              <w:rPr/>
            </w:pPr>
            <w:r>
              <w:rPr/>
              <w:t> </w:t>
            </w:r>
          </w:p>
        </w:tc>
      </w:tr>
      <w:tr>
        <w:trPr/>
        <w:tc>
          <w:tcPr>
            <w:tcW w:w="384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Fosgonimeton (ATH-1017)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9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10,185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58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6,188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58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3,997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53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65</w:t>
            </w:r>
          </w:p>
        </w:tc>
        <w:tc>
          <w:tcPr>
            <w:tcW w:w="611" w:type="dxa"/>
            <w:tcBorders/>
            <w:shd w:fill="auto" w:val="clear"/>
            <w:vAlign w:val="center"/>
          </w:tcPr>
          <w:p>
            <w:pPr>
              <w:pStyle w:val="TableContents"/>
              <w:spacing w:lineRule="auto" w:line="252" w:before="0" w:after="0"/>
              <w:ind w:left="0" w:right="0" w:firstLine="280"/>
              <w:jc w:val="left"/>
              <w:rPr>
                <w:rFonts w:ascii="Arial" w:hAnsi="Arial"/>
                <w:b w:val="false"/>
                <w:sz w:val="20"/>
              </w:rPr>
            </w:pPr>
            <w:r>
              <w:rPr>
                <w:rFonts w:ascii="Arial" w:hAnsi="Arial"/>
                <w:b w:val="false"/>
                <w:sz w:val="20"/>
              </w:rPr>
              <w:t>%</w:t>
            </w:r>
          </w:p>
        </w:tc>
      </w:tr>
      <w:tr>
        <w:trPr/>
        <w:tc>
          <w:tcPr>
            <w:tcW w:w="384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ATH-1020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372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372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21" w:type="dxa"/>
            <w:gridSpan w:val="2"/>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w:t>
            </w:r>
          </w:p>
        </w:tc>
        <w:tc>
          <w:tcPr>
            <w:tcW w:w="611" w:type="dxa"/>
            <w:tcBorders/>
            <w:shd w:fill="auto" w:val="clear"/>
            <w:vAlign w:val="center"/>
          </w:tcPr>
          <w:p>
            <w:pPr>
              <w:pStyle w:val="TableContents"/>
              <w:spacing w:lineRule="auto" w:line="252" w:before="0" w:after="0"/>
              <w:ind w:left="0" w:right="0" w:firstLine="280"/>
              <w:jc w:val="right"/>
              <w:rPr/>
            </w:pPr>
            <w:r>
              <w:rPr/>
              <w:t> </w:t>
            </w:r>
          </w:p>
        </w:tc>
      </w:tr>
      <w:tr>
        <w:trPr/>
        <w:tc>
          <w:tcPr>
            <w:tcW w:w="384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Preclinical programs and other direct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861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312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549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53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176</w:t>
            </w:r>
          </w:p>
        </w:tc>
        <w:tc>
          <w:tcPr>
            <w:tcW w:w="611" w:type="dxa"/>
            <w:tcBorders/>
            <w:shd w:fill="auto" w:val="clear"/>
            <w:vAlign w:val="center"/>
          </w:tcPr>
          <w:p>
            <w:pPr>
              <w:pStyle w:val="TableContents"/>
              <w:spacing w:lineRule="auto" w:line="252" w:before="0" w:after="0"/>
              <w:ind w:left="0" w:right="0" w:hanging="0"/>
              <w:jc w:val="left"/>
              <w:rPr/>
            </w:pPr>
            <w:r>
              <w:rPr/>
              <w:t> </w:t>
            </w:r>
          </w:p>
        </w:tc>
      </w:tr>
      <w:tr>
        <w:trPr/>
        <w:tc>
          <w:tcPr>
            <w:tcW w:w="384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Total direct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11,418</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6,500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4,918</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53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70</w:t>
            </w:r>
          </w:p>
        </w:tc>
        <w:tc>
          <w:tcPr>
            <w:tcW w:w="611" w:type="dxa"/>
            <w:tcBorders/>
            <w:shd w:fill="auto" w:val="clear"/>
            <w:vAlign w:val="center"/>
          </w:tcPr>
          <w:p>
            <w:pPr>
              <w:pStyle w:val="TableContents"/>
              <w:spacing w:lineRule="auto" w:line="252" w:before="0" w:after="0"/>
              <w:ind w:left="0" w:right="0" w:hanging="0"/>
              <w:jc w:val="left"/>
              <w:rPr/>
            </w:pPr>
            <w:r>
              <w:rPr/>
              <w:t> </w:t>
            </w:r>
          </w:p>
        </w:tc>
      </w:tr>
      <w:tr>
        <w:trPr/>
        <w:tc>
          <w:tcPr>
            <w:tcW w:w="384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Indirect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0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21" w:type="dxa"/>
            <w:gridSpan w:val="2"/>
            <w:tcBorders/>
            <w:shd w:fill="auto" w:val="clear"/>
            <w:vAlign w:val="center"/>
          </w:tcPr>
          <w:p>
            <w:pPr>
              <w:pStyle w:val="TableContents"/>
              <w:spacing w:lineRule="auto" w:line="252" w:before="0" w:after="0"/>
              <w:ind w:left="0" w:right="0" w:hanging="0"/>
              <w:jc w:val="right"/>
              <w:rPr/>
            </w:pPr>
            <w:r>
              <w:rPr/>
              <w:t> </w:t>
            </w:r>
          </w:p>
        </w:tc>
        <w:tc>
          <w:tcPr>
            <w:tcW w:w="611" w:type="dxa"/>
            <w:tcBorders/>
            <w:shd w:fill="auto" w:val="clear"/>
            <w:vAlign w:val="center"/>
          </w:tcPr>
          <w:p>
            <w:pPr>
              <w:pStyle w:val="TableContents"/>
              <w:spacing w:lineRule="auto" w:line="252" w:before="0" w:after="0"/>
              <w:ind w:left="0" w:right="0" w:firstLine="280"/>
              <w:jc w:val="right"/>
              <w:rPr/>
            </w:pPr>
            <w:r>
              <w:rPr/>
              <w:t> </w:t>
            </w:r>
          </w:p>
        </w:tc>
      </w:tr>
      <w:tr>
        <w:trPr/>
        <w:tc>
          <w:tcPr>
            <w:tcW w:w="384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Personnel-related costs, including stock-</w:t>
              <w:br/>
              <w:t>   based compensation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2,686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852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1,834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53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215</w:t>
            </w:r>
          </w:p>
        </w:tc>
        <w:tc>
          <w:tcPr>
            <w:tcW w:w="611" w:type="dxa"/>
            <w:tcBorders/>
            <w:shd w:fill="auto" w:val="clear"/>
            <w:vAlign w:val="center"/>
          </w:tcPr>
          <w:p>
            <w:pPr>
              <w:pStyle w:val="TableContents"/>
              <w:spacing w:lineRule="auto" w:line="252" w:before="0" w:after="0"/>
              <w:ind w:left="0" w:right="0" w:firstLine="280"/>
              <w:jc w:val="left"/>
              <w:rPr/>
            </w:pPr>
            <w:r>
              <w:rPr/>
              <w:t> </w:t>
            </w:r>
          </w:p>
        </w:tc>
      </w:tr>
      <w:tr>
        <w:trPr/>
        <w:tc>
          <w:tcPr>
            <w:tcW w:w="384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Facilities and other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356</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93</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263</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53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283</w:t>
            </w:r>
          </w:p>
        </w:tc>
        <w:tc>
          <w:tcPr>
            <w:tcW w:w="611" w:type="dxa"/>
            <w:tcBorders/>
            <w:shd w:fill="auto" w:val="clear"/>
            <w:vAlign w:val="center"/>
          </w:tcPr>
          <w:p>
            <w:pPr>
              <w:pStyle w:val="TableContents"/>
              <w:spacing w:lineRule="auto" w:line="252" w:before="0" w:after="0"/>
              <w:ind w:left="0" w:right="0" w:hanging="0"/>
              <w:jc w:val="left"/>
              <w:rPr/>
            </w:pPr>
            <w:r>
              <w:rPr/>
              <w:t> </w:t>
            </w:r>
          </w:p>
        </w:tc>
      </w:tr>
      <w:tr>
        <w:trPr/>
        <w:tc>
          <w:tcPr>
            <w:tcW w:w="384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Total research and development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14,460</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58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7,445</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58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7,015</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53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89</w:t>
            </w:r>
          </w:p>
        </w:tc>
        <w:tc>
          <w:tcPr>
            <w:tcW w:w="61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40" w:after="0"/>
        <w:jc w:val="both"/>
        <w:rPr>
          <w:rFonts w:ascii="Arial" w:hAnsi="Arial"/>
          <w:b w:val="false"/>
          <w:sz w:val="16"/>
        </w:rPr>
      </w:pPr>
      <w:r>
        <w:rPr>
          <w:rFonts w:ascii="Arial" w:hAnsi="Arial"/>
          <w:b w:val="false"/>
          <w:sz w:val="16"/>
        </w:rPr>
        <w:t>* Not meaningful</w:t>
      </w:r>
    </w:p>
    <w:p>
      <w:pPr>
        <w:pStyle w:val="TextBody"/>
        <w:spacing w:lineRule="auto" w:line="273" w:before="280" w:after="0"/>
        <w:jc w:val="both"/>
        <w:rPr>
          <w:rFonts w:ascii="Arial" w:hAnsi="Arial"/>
          <w:b w:val="false"/>
          <w:sz w:val="20"/>
        </w:rPr>
      </w:pPr>
      <w:r>
        <w:rPr>
          <w:rFonts w:ascii="Arial" w:hAnsi="Arial"/>
          <w:b w:val="false"/>
          <w:sz w:val="20"/>
        </w:rPr>
        <w:t>Research and development expenses increased by $7.0 million, from $7.4 million for the three months ended March 31, 2021 to $14.4 million for the three months ended March 31, 2022. The increase was driven primarily by an increase in expenses for fosgonimeton of $4.0 million related to continued patient enrollment and clinical site visit activity for our Phase 2 and Phase 3 clinical trials and the corresponding open-label extension for our Phase 2 and Phase 3 clinical trials, an increase in personnel-related costs of $1.8 million due to an increase in headcount and stock-based compensation expense in connection with current period equity grants to new hires and existing employees, an increase in preclinical research and development expenses of $0.5 million, and $0.4 million of expense associated with our ATH-1020 Phase 1 clinical trial, which commenced in the first quarter of 2022.</w:t>
      </w:r>
    </w:p>
    <w:p>
      <w:pPr>
        <w:pStyle w:val="TextBody"/>
        <w:spacing w:lineRule="auto" w:line="264" w:before="280" w:after="0"/>
        <w:jc w:val="both"/>
        <w:rPr>
          <w:rFonts w:ascii="Arial" w:hAnsi="Arial"/>
          <w:b/>
          <w:i/>
          <w:sz w:val="20"/>
        </w:rPr>
      </w:pPr>
      <w:r>
        <w:rPr>
          <w:rFonts w:ascii="Arial" w:hAnsi="Arial"/>
          <w:b/>
          <w:i/>
          <w:sz w:val="20"/>
        </w:rPr>
        <w:t>General and Administrative Expenses</w:t>
      </w:r>
    </w:p>
    <w:p>
      <w:pPr>
        <w:pStyle w:val="TextBody"/>
        <w:spacing w:lineRule="auto" w:line="264" w:before="280" w:after="0"/>
        <w:jc w:val="both"/>
        <w:rPr>
          <w:rFonts w:ascii="Arial" w:hAnsi="Arial"/>
          <w:b w:val="false"/>
          <w:sz w:val="20"/>
        </w:rPr>
      </w:pPr>
      <w:r>
        <w:rPr>
          <w:rFonts w:ascii="Arial" w:hAnsi="Arial"/>
          <w:b w:val="false"/>
          <w:sz w:val="20"/>
        </w:rPr>
        <w:t>General and administrative expenses increased by $5.6 million, from $3.3 million for the three months ended March 31, 2021 to $8.9 million for the three months ended March 31, 2022. The increase was primarily due to an increase in personnel-related costs of $2.3 million, due primarily to increases in headcount to support our continued growth and in stock-based compensation expense in connection with current period equity grants to new hires and existing employees, an increase in legal costs of $1.8 million, which includes costs related to our ongoing legal proceedings and proxy contest, an increase in professional services expenses of $0.8 million, an increase in business development expenses of $0.5 million, and to lesser extents, increases in insurance and facilities costs.</w:t>
      </w:r>
    </w:p>
    <w:p>
      <w:pPr>
        <w:pStyle w:val="TextBody"/>
        <w:spacing w:lineRule="auto" w:line="264" w:before="280" w:after="0"/>
        <w:jc w:val="both"/>
        <w:rPr>
          <w:rFonts w:ascii="Arial" w:hAnsi="Arial"/>
          <w:b/>
          <w:i/>
          <w:sz w:val="20"/>
        </w:rPr>
      </w:pPr>
      <w:r>
        <w:rPr>
          <w:rFonts w:ascii="Arial" w:hAnsi="Arial"/>
          <w:b/>
          <w:i/>
          <w:sz w:val="20"/>
        </w:rPr>
        <w:t>Grant Income</w:t>
      </w:r>
    </w:p>
    <w:p>
      <w:pPr>
        <w:pStyle w:val="TextBody"/>
        <w:spacing w:lineRule="auto" w:line="264" w:before="280" w:after="0"/>
        <w:jc w:val="both"/>
        <w:rPr>
          <w:rFonts w:ascii="Arial" w:hAnsi="Arial"/>
          <w:b w:val="false"/>
          <w:sz w:val="20"/>
        </w:rPr>
      </w:pPr>
      <w:r>
        <w:rPr>
          <w:rFonts w:ascii="Arial" w:hAnsi="Arial"/>
          <w:b w:val="false"/>
          <w:sz w:val="20"/>
        </w:rPr>
        <w:t>Grant income increased by $0.4 million, from $1.8 million for the three months ended March 31, 2021 to $2.2 million for the three months ended March 31, 2022. The increase was solely driven by an increase in research and development expenses qualifying for reimbursement under the grant agreement.</w:t>
      </w:r>
    </w:p>
    <w:p>
      <w:pPr>
        <w:pStyle w:val="TextBody"/>
        <w:spacing w:lineRule="auto" w:line="264" w:before="0" w:after="0"/>
        <w:jc w:val="both"/>
        <w:rPr/>
      </w:pPr>
      <w:r>
        <w:rPr/>
        <w:t> </w:t>
      </w:r>
    </w:p>
    <w:p>
      <w:pPr>
        <w:pStyle w:val="TextBody"/>
        <w:spacing w:lineRule="auto" w:line="264" w:before="80" w:after="0"/>
        <w:jc w:val="both"/>
        <w:rPr>
          <w:rFonts w:ascii="Arial" w:hAnsi="Arial"/>
          <w:b/>
          <w:i/>
          <w:sz w:val="20"/>
        </w:rPr>
      </w:pPr>
      <w:r>
        <w:rPr>
          <w:rFonts w:ascii="Arial" w:hAnsi="Arial"/>
          <w:b/>
          <w:i/>
          <w:sz w:val="20"/>
        </w:rPr>
        <w:t>Other Income, Net</w:t>
      </w:r>
    </w:p>
    <w:p>
      <w:pPr>
        <w:pStyle w:val="TextBody"/>
        <w:spacing w:lineRule="auto" w:line="264" w:before="280" w:after="0"/>
        <w:jc w:val="both"/>
        <w:rPr>
          <w:rFonts w:ascii="Times New Roman" w:hAnsi="Times New Roman"/>
          <w:sz w:val="20"/>
        </w:rPr>
      </w:pPr>
      <w:r>
        <w:rPr>
          <w:rFonts w:ascii="Arial" w:hAnsi="Arial"/>
          <w:b w:val="false"/>
          <w:sz w:val="20"/>
        </w:rPr>
        <w:t>Other income, net, increased by $0.1 million, from $0.1 million for the three months ended March 31, 2021 to $0.2 million for the three months ended March 31, 2022 due to higher interest income earned on our available-for-sale securities.</w:t>
      </w:r>
      <w:r>
        <w:rPr>
          <w:rFonts w:ascii="Times New Roman" w:hAnsi="Times New Roman"/>
          <w:sz w:val="20"/>
        </w:rPr>
        <w:t xml:space="preserve"> </w:t>
      </w:r>
    </w:p>
    <w:p>
      <w:pPr>
        <w:pStyle w:val="TextBody"/>
        <w:spacing w:lineRule="auto" w:line="264" w:before="280" w:after="0"/>
        <w:jc w:val="both"/>
        <w:rPr>
          <w:rFonts w:ascii="Arial" w:hAnsi="Arial"/>
          <w:b/>
          <w:sz w:val="20"/>
        </w:rPr>
      </w:pPr>
      <w:r>
        <w:rPr>
          <w:rFonts w:ascii="Arial" w:hAnsi="Arial"/>
          <w:b/>
          <w:sz w:val="20"/>
        </w:rPr>
        <w:t>Liquidity and Capital Resources</w:t>
      </w:r>
    </w:p>
    <w:p>
      <w:pPr>
        <w:pStyle w:val="TextBody"/>
        <w:spacing w:lineRule="auto" w:line="264" w:before="280" w:after="0"/>
        <w:jc w:val="both"/>
        <w:rPr>
          <w:rFonts w:ascii="Arial" w:hAnsi="Arial"/>
          <w:b/>
          <w:i/>
          <w:sz w:val="20"/>
        </w:rPr>
      </w:pPr>
      <w:r>
        <w:rPr>
          <w:rFonts w:ascii="Arial" w:hAnsi="Arial"/>
          <w:b/>
          <w:i/>
          <w:sz w:val="20"/>
        </w:rPr>
        <w:t>Sources of Liquidity</w:t>
      </w:r>
    </w:p>
    <w:p>
      <w:pPr>
        <w:pStyle w:val="TextBody"/>
        <w:spacing w:lineRule="auto" w:line="264" w:before="280" w:after="0"/>
        <w:jc w:val="both"/>
        <w:rPr>
          <w:rFonts w:ascii="Times New Roman" w:hAnsi="Times New Roman"/>
          <w:sz w:val="20"/>
        </w:rPr>
      </w:pPr>
      <w:r>
        <w:rPr>
          <w:rFonts w:ascii="Arial" w:hAnsi="Arial"/>
          <w:b w:val="false"/>
          <w:sz w:val="20"/>
        </w:rPr>
        <w:t>Since our inception, we have funded our operations primarily with proceeds from the sale and issuance of common stock, convertible preferred stock, common stock warrants, and convertible notes, and to a lesser extent from grant income and stock option exercises. From our inception through March 31, 2022, we have raised aggregate net cash proceeds of</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29</w:t>
      </w:r>
    </w:p>
    <w:p>
      <w:pPr>
        <w:pStyle w:val="HorizontalLine"/>
        <w:rPr/>
      </w:pPr>
      <w:r>
        <w:rPr/>
      </w:r>
    </w:p>
    <w:p>
      <w:pPr>
        <w:pStyle w:val="TextBody"/>
        <w:spacing w:lineRule="auto" w:line="273" w:before="0" w:after="0"/>
        <w:jc w:val="left"/>
        <w:rPr/>
      </w:pPr>
      <w:r>
        <w:rPr/>
        <w:t> </w:t>
      </w:r>
    </w:p>
    <w:p>
      <w:pPr>
        <w:pStyle w:val="TextBody"/>
        <w:spacing w:lineRule="auto" w:line="264" w:before="280" w:after="0"/>
        <w:jc w:val="both"/>
        <w:rPr>
          <w:rFonts w:ascii="Times New Roman" w:hAnsi="Times New Roman"/>
          <w:sz w:val="20"/>
        </w:rPr>
      </w:pPr>
      <w:r>
        <w:rPr>
          <w:rFonts w:ascii="Arial" w:hAnsi="Arial"/>
          <w:b w:val="false"/>
          <w:sz w:val="20"/>
        </w:rPr>
        <w:t>$407.4 million primarily from the issuance of our common stock, convertible preferred stock, common stock warrants, and convertible notes.</w:t>
      </w:r>
      <w:r>
        <w:rPr>
          <w:rFonts w:ascii="Times New Roman" w:hAnsi="Times New Roman"/>
          <w:sz w:val="20"/>
        </w:rPr>
        <w:t xml:space="preserve"> </w:t>
      </w:r>
    </w:p>
    <w:p>
      <w:pPr>
        <w:pStyle w:val="TextBody"/>
        <w:spacing w:lineRule="auto" w:line="273" w:before="280" w:after="0"/>
        <w:jc w:val="both"/>
        <w:rPr>
          <w:rFonts w:ascii="Arial" w:hAnsi="Arial"/>
          <w:b w:val="false"/>
          <w:sz w:val="20"/>
        </w:rPr>
      </w:pPr>
      <w:r>
        <w:rPr>
          <w:rFonts w:ascii="Arial" w:hAnsi="Arial"/>
          <w:b w:val="false"/>
          <w:sz w:val="20"/>
        </w:rPr>
        <w:t>Recent sales of our common stock were as follows.</w:t>
      </w:r>
    </w:p>
    <w:p>
      <w:pPr>
        <w:pStyle w:val="TextBody"/>
        <w:spacing w:lineRule="auto" w:line="273" w:before="0" w:after="0"/>
        <w:jc w:val="both"/>
        <w:rPr/>
      </w:pPr>
      <w:r>
        <w:rPr/>
        <w:t> </w:t>
      </w:r>
    </w:p>
    <w:tbl>
      <w:tblPr>
        <w:tblW w:w="7709" w:type="dxa"/>
        <w:jc w:val="left"/>
        <w:tblInd w:w="0" w:type="dxa"/>
        <w:tblCellMar>
          <w:top w:w="28" w:type="dxa"/>
          <w:left w:w="28" w:type="dxa"/>
          <w:bottom w:w="28" w:type="dxa"/>
          <w:right w:w="28" w:type="dxa"/>
        </w:tblCellMar>
      </w:tblPr>
      <w:tblGrid>
        <w:gridCol w:w="3391"/>
        <w:gridCol w:w="146"/>
        <w:gridCol w:w="146"/>
        <w:gridCol w:w="1066"/>
        <w:gridCol w:w="146"/>
        <w:gridCol w:w="146"/>
        <w:gridCol w:w="226"/>
        <w:gridCol w:w="629"/>
        <w:gridCol w:w="146"/>
        <w:gridCol w:w="146"/>
        <w:gridCol w:w="277"/>
        <w:gridCol w:w="773"/>
        <w:gridCol w:w="471"/>
      </w:tblGrid>
      <w:tr>
        <w:trPr/>
        <w:tc>
          <w:tcPr>
            <w:tcW w:w="3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339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12" w:type="dxa"/>
            <w:gridSpan w:val="2"/>
            <w:tcBorders/>
            <w:shd w:fill="auto" w:val="clear"/>
            <w:vAlign w:val="center"/>
          </w:tcPr>
          <w:p>
            <w:pPr>
              <w:pStyle w:val="TableContents"/>
              <w:spacing w:lineRule="auto" w:line="252" w:before="0" w:after="0"/>
              <w:ind w:left="0" w:right="0" w:hanging="0"/>
              <w:jc w:val="center"/>
              <w:rPr>
                <w:rFonts w:ascii="Arial" w:hAnsi="Arial"/>
                <w:b/>
                <w:sz w:val="16"/>
              </w:rPr>
            </w:pPr>
            <w:r>
              <w:rPr>
                <w:rFonts w:ascii="Arial" w:hAnsi="Arial"/>
                <w:b/>
                <w:sz w:val="16"/>
              </w:rPr>
              <w:t>Common</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5"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50" w:type="dxa"/>
            <w:gridSpan w:val="2"/>
            <w:tcBorders/>
            <w:shd w:fill="auto" w:val="clear"/>
            <w:vAlign w:val="center"/>
          </w:tcPr>
          <w:p>
            <w:pPr>
              <w:pStyle w:val="TableContents"/>
              <w:spacing w:lineRule="auto" w:line="252" w:before="0" w:after="0"/>
              <w:ind w:left="0" w:right="0" w:hanging="0"/>
              <w:jc w:val="center"/>
              <w:rPr>
                <w:rFonts w:ascii="Arial" w:hAnsi="Arial"/>
                <w:b/>
                <w:sz w:val="16"/>
              </w:rPr>
            </w:pPr>
            <w:r>
              <w:rPr>
                <w:rFonts w:ascii="Arial" w:hAnsi="Arial"/>
                <w:b/>
                <w:sz w:val="16"/>
              </w:rPr>
              <w:t>Net</w:t>
            </w:r>
          </w:p>
        </w:tc>
        <w:tc>
          <w:tcPr>
            <w:tcW w:w="471" w:type="dxa"/>
            <w:tcBorders/>
            <w:shd w:fill="auto" w:val="clear"/>
            <w:vAlign w:val="center"/>
          </w:tcPr>
          <w:p>
            <w:pPr>
              <w:pStyle w:val="TableContents"/>
              <w:spacing w:lineRule="auto" w:line="252" w:before="0" w:after="0"/>
              <w:ind w:left="0" w:right="0" w:hanging="0"/>
              <w:jc w:val="center"/>
              <w:rPr/>
            </w:pPr>
            <w:r>
              <w:rPr/>
              <w:t> </w:t>
            </w:r>
          </w:p>
        </w:tc>
      </w:tr>
      <w:tr>
        <w:trPr/>
        <w:tc>
          <w:tcPr>
            <w:tcW w:w="339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12" w:type="dxa"/>
            <w:gridSpan w:val="2"/>
            <w:tcBorders/>
            <w:shd w:fill="auto" w:val="clear"/>
            <w:vAlign w:val="center"/>
          </w:tcPr>
          <w:p>
            <w:pPr>
              <w:pStyle w:val="TableContents"/>
              <w:spacing w:lineRule="auto" w:line="252" w:before="0" w:after="0"/>
              <w:ind w:left="0" w:right="0" w:hanging="0"/>
              <w:jc w:val="center"/>
              <w:rPr>
                <w:rFonts w:ascii="Arial" w:hAnsi="Arial"/>
                <w:b/>
                <w:sz w:val="16"/>
              </w:rPr>
            </w:pPr>
            <w:r>
              <w:rPr>
                <w:rFonts w:ascii="Arial" w:hAnsi="Arial"/>
                <w:b/>
                <w:sz w:val="16"/>
              </w:rPr>
              <w:t>Shares</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5" w:type="dxa"/>
            <w:gridSpan w:val="2"/>
            <w:tcBorders/>
            <w:shd w:fill="auto" w:val="clear"/>
            <w:vAlign w:val="center"/>
          </w:tcPr>
          <w:p>
            <w:pPr>
              <w:pStyle w:val="TableContents"/>
              <w:spacing w:lineRule="auto" w:line="252" w:before="0" w:after="0"/>
              <w:ind w:left="0" w:right="0" w:hanging="0"/>
              <w:jc w:val="center"/>
              <w:rPr>
                <w:rFonts w:ascii="Arial" w:hAnsi="Arial"/>
                <w:b/>
                <w:sz w:val="16"/>
              </w:rPr>
            </w:pPr>
            <w:r>
              <w:rPr>
                <w:rFonts w:ascii="Arial" w:hAnsi="Arial"/>
                <w:b/>
                <w:sz w:val="16"/>
              </w:rPr>
              <w:t>Price</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0" w:type="dxa"/>
            <w:gridSpan w:val="2"/>
            <w:tcBorders/>
            <w:shd w:fill="auto" w:val="clear"/>
            <w:vAlign w:val="center"/>
          </w:tcPr>
          <w:p>
            <w:pPr>
              <w:pStyle w:val="TableContents"/>
              <w:spacing w:lineRule="auto" w:line="252" w:before="0" w:after="0"/>
              <w:ind w:left="0" w:right="0" w:hanging="0"/>
              <w:jc w:val="center"/>
              <w:rPr>
                <w:rFonts w:ascii="Arial" w:hAnsi="Arial"/>
                <w:b/>
                <w:sz w:val="16"/>
              </w:rPr>
            </w:pPr>
            <w:r>
              <w:rPr>
                <w:rFonts w:ascii="Arial" w:hAnsi="Arial"/>
                <w:b/>
                <w:sz w:val="16"/>
              </w:rPr>
              <w:t>Proceeds</w:t>
            </w:r>
          </w:p>
        </w:tc>
        <w:tc>
          <w:tcPr>
            <w:tcW w:w="471" w:type="dxa"/>
            <w:tcBorders/>
            <w:shd w:fill="auto" w:val="clear"/>
            <w:vAlign w:val="center"/>
          </w:tcPr>
          <w:p>
            <w:pPr>
              <w:pStyle w:val="TableContents"/>
              <w:spacing w:lineRule="auto" w:line="252" w:before="0" w:after="0"/>
              <w:ind w:left="0" w:right="0" w:hanging="0"/>
              <w:jc w:val="center"/>
              <w:rPr/>
            </w:pPr>
            <w:r>
              <w:rPr/>
              <w:t> </w:t>
            </w:r>
          </w:p>
        </w:tc>
      </w:tr>
      <w:tr>
        <w:trPr/>
        <w:tc>
          <w:tcPr>
            <w:tcW w:w="339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1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Issued</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Per Share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5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(in millions)</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39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September 2020 IPO</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12,000,000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2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29"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17.00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7"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73"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186.4</w:t>
            </w:r>
          </w:p>
        </w:tc>
        <w:tc>
          <w:tcPr>
            <w:tcW w:w="471" w:type="dxa"/>
            <w:tcBorders/>
            <w:shd w:fill="auto" w:val="clear"/>
            <w:vAlign w:val="center"/>
          </w:tcPr>
          <w:p>
            <w:pPr>
              <w:pStyle w:val="TableContents"/>
              <w:spacing w:lineRule="auto" w:line="252" w:before="0" w:after="0"/>
              <w:ind w:left="0" w:right="0" w:hanging="0"/>
              <w:jc w:val="left"/>
              <w:rPr/>
            </w:pPr>
            <w:r>
              <w:rPr/>
              <w:t> </w:t>
            </w:r>
          </w:p>
        </w:tc>
      </w:tr>
      <w:tr>
        <w:trPr/>
        <w:tc>
          <w:tcPr>
            <w:tcW w:w="339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October 2020 overallotment exercise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1,397,712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26" w:type="dxa"/>
            <w:tcBorders/>
            <w:shd w:fill="auto" w:val="clear"/>
            <w:vAlign w:val="center"/>
          </w:tcPr>
          <w:p>
            <w:pPr>
              <w:pStyle w:val="TableContents"/>
              <w:spacing w:lineRule="auto" w:line="252" w:before="0" w:after="0"/>
              <w:ind w:left="0" w:right="0" w:hanging="0"/>
              <w:jc w:val="left"/>
              <w:rPr/>
            </w:pPr>
            <w:r>
              <w:rPr/>
              <w:t> </w:t>
            </w:r>
          </w:p>
        </w:tc>
        <w:tc>
          <w:tcPr>
            <w:tcW w:w="629"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17.00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7" w:type="dxa"/>
            <w:tcBorders/>
            <w:shd w:fill="auto" w:val="clear"/>
            <w:vAlign w:val="center"/>
          </w:tcPr>
          <w:p>
            <w:pPr>
              <w:pStyle w:val="TableContents"/>
              <w:spacing w:lineRule="auto" w:line="252" w:before="0" w:after="0"/>
              <w:ind w:left="0" w:right="0" w:hanging="0"/>
              <w:jc w:val="left"/>
              <w:rPr/>
            </w:pPr>
            <w:r>
              <w:rPr/>
              <w:t> </w:t>
            </w:r>
          </w:p>
        </w:tc>
        <w:tc>
          <w:tcPr>
            <w:tcW w:w="773"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22.1</w:t>
            </w:r>
          </w:p>
        </w:tc>
        <w:tc>
          <w:tcPr>
            <w:tcW w:w="471" w:type="dxa"/>
            <w:tcBorders/>
            <w:shd w:fill="auto" w:val="clear"/>
            <w:vAlign w:val="center"/>
          </w:tcPr>
          <w:p>
            <w:pPr>
              <w:pStyle w:val="TableContents"/>
              <w:spacing w:lineRule="auto" w:line="252" w:before="0" w:after="0"/>
              <w:ind w:left="0" w:right="0" w:hanging="0"/>
              <w:jc w:val="left"/>
              <w:rPr/>
            </w:pPr>
            <w:r>
              <w:rPr/>
              <w:t> </w:t>
            </w:r>
          </w:p>
        </w:tc>
      </w:tr>
      <w:tr>
        <w:trPr/>
        <w:tc>
          <w:tcPr>
            <w:tcW w:w="339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January 2021 follow-on public offering</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4,000,000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26" w:type="dxa"/>
            <w:tcBorders/>
            <w:shd w:fill="auto" w:val="clear"/>
            <w:vAlign w:val="center"/>
          </w:tcPr>
          <w:p>
            <w:pPr>
              <w:pStyle w:val="TableContents"/>
              <w:spacing w:lineRule="auto" w:line="252" w:before="0" w:after="0"/>
              <w:ind w:left="0" w:right="0" w:hanging="0"/>
              <w:jc w:val="left"/>
              <w:rPr/>
            </w:pPr>
            <w:r>
              <w:rPr/>
              <w:t> </w:t>
            </w:r>
          </w:p>
        </w:tc>
        <w:tc>
          <w:tcPr>
            <w:tcW w:w="629"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22.50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7" w:type="dxa"/>
            <w:tcBorders/>
            <w:shd w:fill="auto" w:val="clear"/>
            <w:vAlign w:val="center"/>
          </w:tcPr>
          <w:p>
            <w:pPr>
              <w:pStyle w:val="TableContents"/>
              <w:spacing w:lineRule="auto" w:line="252" w:before="0" w:after="0"/>
              <w:ind w:left="0" w:right="0" w:hanging="0"/>
              <w:jc w:val="left"/>
              <w:rPr/>
            </w:pPr>
            <w:r>
              <w:rPr/>
              <w:t> </w:t>
            </w:r>
          </w:p>
        </w:tc>
        <w:tc>
          <w:tcPr>
            <w:tcW w:w="773"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84.1</w:t>
            </w:r>
          </w:p>
        </w:tc>
        <w:tc>
          <w:tcPr>
            <w:tcW w:w="471" w:type="dxa"/>
            <w:tcBorders/>
            <w:shd w:fill="auto" w:val="clear"/>
            <w:vAlign w:val="center"/>
          </w:tcPr>
          <w:p>
            <w:pPr>
              <w:pStyle w:val="TableContents"/>
              <w:spacing w:lineRule="auto" w:line="252" w:before="0" w:after="0"/>
              <w:ind w:left="0" w:right="0" w:hanging="0"/>
              <w:jc w:val="left"/>
              <w:rPr/>
            </w:pPr>
            <w:r>
              <w:rPr/>
              <w:t> </w:t>
            </w:r>
          </w:p>
        </w:tc>
      </w:tr>
      <w:tr>
        <w:trPr/>
        <w:tc>
          <w:tcPr>
            <w:tcW w:w="339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February 2021 overallotment exercise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600,000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26" w:type="dxa"/>
            <w:tcBorders/>
            <w:shd w:fill="auto" w:val="clear"/>
            <w:vAlign w:val="center"/>
          </w:tcPr>
          <w:p>
            <w:pPr>
              <w:pStyle w:val="TableContents"/>
              <w:spacing w:lineRule="auto" w:line="252" w:before="0" w:after="0"/>
              <w:ind w:left="0" w:right="0" w:hanging="0"/>
              <w:jc w:val="left"/>
              <w:rPr/>
            </w:pPr>
            <w:r>
              <w:rPr/>
              <w:t> </w:t>
            </w:r>
          </w:p>
        </w:tc>
        <w:tc>
          <w:tcPr>
            <w:tcW w:w="629"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22.50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7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12.7</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80"/>
              <w:jc w:val="left"/>
              <w:rPr/>
            </w:pPr>
            <w:r>
              <w:rPr/>
              <w:t> </w:t>
            </w:r>
          </w:p>
        </w:tc>
      </w:tr>
      <w:tr>
        <w:trPr/>
        <w:tc>
          <w:tcPr>
            <w:tcW w:w="339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17,997,712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855"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7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305.3</w:t>
            </w:r>
          </w:p>
        </w:tc>
        <w:tc>
          <w:tcPr>
            <w:tcW w:w="4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both"/>
        <w:rPr/>
      </w:pPr>
      <w:r>
        <w:rPr/>
        <w:t> </w:t>
      </w:r>
    </w:p>
    <w:p>
      <w:pPr>
        <w:pStyle w:val="TextBody"/>
        <w:spacing w:lineRule="auto" w:line="273" w:before="80" w:after="0"/>
        <w:jc w:val="both"/>
        <w:rPr>
          <w:rFonts w:ascii="Arial" w:hAnsi="Arial"/>
          <w:b w:val="false"/>
          <w:sz w:val="20"/>
        </w:rPr>
      </w:pPr>
      <w:r>
        <w:rPr>
          <w:rFonts w:ascii="Arial" w:hAnsi="Arial"/>
          <w:b w:val="false"/>
          <w:sz w:val="20"/>
        </w:rPr>
        <w:t>As of March 31, 2022, we had $301.2 million in cash, cash equivalents and investments and have not generated positive cash flows from operations.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w:t>
      </w:r>
    </w:p>
    <w:p>
      <w:pPr>
        <w:pStyle w:val="TextBody"/>
        <w:spacing w:lineRule="auto" w:line="273" w:before="280" w:after="0"/>
        <w:jc w:val="both"/>
        <w:rPr>
          <w:rFonts w:ascii="Arial" w:hAnsi="Arial"/>
          <w:b/>
          <w:i/>
          <w:sz w:val="20"/>
        </w:rPr>
      </w:pPr>
      <w:r>
        <w:rPr>
          <w:rFonts w:ascii="Arial" w:hAnsi="Arial"/>
          <w:b/>
          <w:i/>
          <w:sz w:val="20"/>
        </w:rPr>
        <w:t>Material Cash and Future Funding Requirements</w:t>
      </w:r>
    </w:p>
    <w:p>
      <w:pPr>
        <w:pStyle w:val="TextBody"/>
        <w:spacing w:lineRule="auto" w:line="273" w:before="280" w:after="0"/>
        <w:jc w:val="both"/>
        <w:rPr>
          <w:rFonts w:ascii="Arial" w:hAnsi="Arial"/>
          <w:b w:val="false"/>
          <w:sz w:val="20"/>
        </w:rPr>
      </w:pPr>
      <w:r>
        <w:rPr>
          <w:rFonts w:ascii="Arial" w:hAnsi="Arial"/>
          <w:b w:val="false"/>
          <w:sz w:val="20"/>
        </w:rPr>
        <w:t>Our material cash requirements include our operating leases for laboratory and office facilities. As of March 31, 2022, we had lease payment obligations of $2.6 million, with $0.4 million payable within 12 months. For additional information regarding our lease commitments, see Note 8 to our unaudited condensed consolidated financial statements included elsewhere in this report. We are contingently committed to $0.9 million of potential future research and development milestone payments, in addition to sales-based payments and royalties, under our license agreement with WSU. Payments generally are due and payable only upon achievement of certain developmental, regulatory, and sales milestones for which the specific timing cannot be predicted. Refer to Note 7 to our unaudited condensed consolidated financial statements for additional information regarding the WSU license agreement. Additionally, we have purchase obligations and open purchase orders that support normal operations and are primarily due in the next 12 months. These purchase obligations and open purchase orders are generally cancellable in full or in part through the contractual provisions. We also anticipate that our research and development expenses and our general and administrative expenses will increase over at least the near-term as we advance our clinical development and our product candidates through clinical trials, increase our headcount to support our operations, and incur legal and other professional expenses related to our ongoing class action litigation and proxy contest. We cannot predict with certainty the amount and timing of these increased expenses.</w:t>
      </w:r>
    </w:p>
    <w:p>
      <w:pPr>
        <w:pStyle w:val="TextBody"/>
        <w:spacing w:lineRule="auto" w:line="273" w:before="280" w:after="0"/>
        <w:jc w:val="both"/>
        <w:rPr>
          <w:rFonts w:ascii="Arial" w:hAnsi="Arial"/>
          <w:b w:val="false"/>
          <w:sz w:val="20"/>
        </w:rPr>
      </w:pPr>
      <w:r>
        <w:rPr>
          <w:rFonts w:ascii="Arial" w:hAnsi="Arial"/>
          <w:b w:val="false"/>
          <w:sz w:val="20"/>
        </w:rPr>
        <w:t>Based upon our current operating plan, we estimate that our $301.2 million of cash, cash equivalents and investments at March 31, 2022 will be sufficient to fund our operating expenses and capital expenditure requirements through at least the next 12 months following the date of this report. We will need to raise substantial additional capital to fund the development of our product candidates. Until such time as we can generate significant revenue from product sales, we expect to finance our operations through the sale of equity securities, debt financings, or other capital, which could include income from collaboration, licensing or similar arrangements with third parties, or receiving research contributions, or grants.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 If we raise funds through collaborations, licenses and other similar arrangements with third parties, we may have to relinquish valuable rights to our technologies, future revenue streams, research programs or product candidates or grant licenses on terms that may not be favorable to us and/or may reduce the value of our common stock. Adequate funding may not be available when needed or on terms acceptable to us, or at all.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flows from operating activities.</w:t>
      </w:r>
    </w:p>
    <w:p>
      <w:pPr>
        <w:pStyle w:val="TextBody"/>
        <w:spacing w:lineRule="auto" w:line="273" w:before="240" w:after="0"/>
        <w:jc w:val="center"/>
        <w:rPr>
          <w:rFonts w:ascii="Arial" w:hAnsi="Arial"/>
          <w:b w:val="false"/>
          <w:sz w:val="20"/>
        </w:rPr>
      </w:pPr>
      <w:r>
        <w:rPr>
          <w:rFonts w:ascii="Arial" w:hAnsi="Arial"/>
          <w:b w:val="false"/>
          <w:sz w:val="20"/>
        </w:rPr>
        <w:t>30</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Arial" w:hAnsi="Arial"/>
          <w:b w:val="false"/>
          <w:sz w:val="20"/>
        </w:rPr>
      </w:pPr>
      <w:r>
        <w:rPr>
          <w:rFonts w:ascii="Arial" w:hAnsi="Arial"/>
          <w:b w:val="false"/>
          <w:sz w:val="20"/>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biotechnology products, we are unable to estimate the exact amount of our operating capital requirements. Our future funding requirements will depend on many factors, including, but not limited to:</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scope, timing, progress and results of our ongoing preclinical studies and clinical trials of our product candidates;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number of trials required for regulatory approval, in particular with respect to fosgonimeton for the treatment of mild-to-moderate AD;</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scope, progress, results and costs of preclinical development, laboratory testing and clinical trials of other product candidates that we may pursue;</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our ability to establish and maintain collaboration, licensing or other similar arrangements, and the financial terms of any such arrangements, including the timing and amount of any future milestone, royalty or other payments due thereunder;</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costs, timing and outcome of regulatory review of our product candidates;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costs and timing of future commercialization activities, including product manufacturing, marketing, sales and distribution, for any of our product candidates for which we receive marketing approval;</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revenue, if any, received from commercial sales of our product candidates for which we receive marketing approval;</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costs and timing of preparing, filing and prosecuting patent applications, maintaining and enforcing our intellectual property rights and defending any intellectual property-related claims;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costs related to ongoing legal proceedings;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any expenses needed to attract, hire and retain skilled personnel;</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costs of operating as a public company;</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costs associated with expanding our laboratory and office facilities; and</w:t>
      </w:r>
    </w:p>
    <w:p>
      <w:pPr>
        <w:pStyle w:val="TextBody"/>
        <w:spacing w:lineRule="auto" w:line="273" w:before="120" w:after="0"/>
        <w:jc w:val="both"/>
        <w:rPr/>
      </w:pPr>
      <w:r>
        <w:rPr/>
        <w:t>•</w:t>
      </w:r>
    </w:p>
    <w:p>
      <w:pPr>
        <w:pStyle w:val="TextBody"/>
        <w:spacing w:lineRule="auto" w:line="273" w:before="120" w:after="283"/>
        <w:jc w:val="both"/>
        <w:rPr>
          <w:rFonts w:ascii="Arial" w:hAnsi="Arial"/>
          <w:b w:val="false"/>
          <w:sz w:val="20"/>
        </w:rPr>
      </w:pPr>
      <w:r>
        <w:rPr>
          <w:rFonts w:ascii="Arial" w:hAnsi="Arial"/>
          <w:b w:val="false"/>
          <w:sz w:val="20"/>
        </w:rPr>
        <w:t>the extent to which we acquire or in-license other companies’ product candidates and technologies.</w:t>
      </w:r>
    </w:p>
    <w:p>
      <w:pPr>
        <w:pStyle w:val="TextBody"/>
        <w:spacing w:lineRule="auto" w:line="273" w:before="280" w:after="0"/>
        <w:jc w:val="both"/>
        <w:rPr>
          <w:rFonts w:ascii="Arial" w:hAnsi="Arial"/>
          <w:b w:val="false"/>
          <w:sz w:val="20"/>
        </w:rPr>
      </w:pPr>
      <w:r>
        <w:rPr>
          <w:rFonts w:ascii="Arial" w:hAnsi="Arial"/>
          <w:b w:val="false"/>
          <w:sz w:val="20"/>
        </w:rPr>
        <w:t>A change in the outcome of any of these or other factors with respect to the development of any of our product candidates could significantly change the costs and timing associated with the development of that product candidate. Furthermore, our operating plan may change in the future, and we may need additional funds to meet operational needs and capital requirements associated with such operating plan.</w:t>
      </w:r>
    </w:p>
    <w:p>
      <w:pPr>
        <w:pStyle w:val="TextBody"/>
        <w:spacing w:lineRule="auto" w:line="273" w:before="280" w:after="0"/>
        <w:jc w:val="both"/>
        <w:rPr>
          <w:rFonts w:ascii="Arial" w:hAnsi="Arial"/>
          <w:b/>
          <w:i/>
          <w:sz w:val="20"/>
        </w:rPr>
      </w:pPr>
      <w:r>
        <w:rPr>
          <w:rFonts w:ascii="Arial" w:hAnsi="Arial"/>
          <w:b/>
          <w:i/>
          <w:sz w:val="20"/>
        </w:rPr>
        <w:t>Cash Flows</w:t>
      </w:r>
    </w:p>
    <w:p>
      <w:pPr>
        <w:pStyle w:val="TextBody"/>
        <w:spacing w:lineRule="auto" w:line="273" w:before="280" w:after="0"/>
        <w:jc w:val="both"/>
        <w:rPr>
          <w:rFonts w:ascii="Arial" w:hAnsi="Arial"/>
          <w:b w:val="false"/>
          <w:sz w:val="20"/>
        </w:rPr>
      </w:pPr>
      <w:r>
        <w:rPr>
          <w:rFonts w:ascii="Arial" w:hAnsi="Arial"/>
          <w:b w:val="false"/>
          <w:sz w:val="20"/>
        </w:rPr>
        <w:t>The following table summarizes our cash flows for the periods indicated:</w:t>
      </w:r>
    </w:p>
    <w:p>
      <w:pPr>
        <w:pStyle w:val="TextBody"/>
        <w:spacing w:lineRule="auto" w:line="273" w:before="0" w:after="0"/>
        <w:jc w:val="both"/>
        <w:rPr/>
      </w:pPr>
      <w:r>
        <w:rPr/>
        <w:t> </w:t>
      </w:r>
    </w:p>
    <w:tbl>
      <w:tblPr>
        <w:tblW w:w="8405" w:type="dxa"/>
        <w:jc w:val="left"/>
        <w:tblInd w:w="0" w:type="dxa"/>
        <w:tblCellMar>
          <w:top w:w="28" w:type="dxa"/>
          <w:left w:w="28" w:type="dxa"/>
          <w:bottom w:w="28" w:type="dxa"/>
          <w:right w:w="28" w:type="dxa"/>
        </w:tblCellMar>
      </w:tblPr>
      <w:tblGrid>
        <w:gridCol w:w="5221"/>
        <w:gridCol w:w="146"/>
        <w:gridCol w:w="240"/>
        <w:gridCol w:w="856"/>
        <w:gridCol w:w="189"/>
        <w:gridCol w:w="166"/>
        <w:gridCol w:w="240"/>
        <w:gridCol w:w="856"/>
        <w:gridCol w:w="491"/>
      </w:tblGrid>
      <w:tr>
        <w:trPr/>
        <w:tc>
          <w:tcPr>
            <w:tcW w:w="52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522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547"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Three Months Ended March 31,</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22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9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2022</w:t>
            </w:r>
          </w:p>
        </w:tc>
        <w:tc>
          <w:tcPr>
            <w:tcW w:w="18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09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2021</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22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547" w:type="dxa"/>
            <w:gridSpan w:val="6"/>
            <w:tcBorders/>
            <w:shd w:fill="auto" w:val="clear"/>
            <w:vAlign w:val="center"/>
          </w:tcPr>
          <w:p>
            <w:pPr>
              <w:pStyle w:val="TableContents"/>
              <w:spacing w:lineRule="auto" w:line="252" w:before="0" w:after="0"/>
              <w:ind w:left="0" w:right="0" w:hanging="0"/>
              <w:jc w:val="center"/>
              <w:rPr>
                <w:rFonts w:ascii="Arial" w:hAnsi="Arial"/>
                <w:b/>
                <w:sz w:val="16"/>
              </w:rPr>
            </w:pPr>
            <w:r>
              <w:rPr>
                <w:rFonts w:ascii="Arial" w:hAnsi="Arial"/>
                <w:b/>
                <w:sz w:val="16"/>
              </w:rPr>
              <w:t>(in thousands)</w:t>
            </w:r>
          </w:p>
        </w:tc>
        <w:tc>
          <w:tcPr>
            <w:tcW w:w="491" w:type="dxa"/>
            <w:tcBorders/>
            <w:shd w:fill="auto" w:val="clear"/>
            <w:vAlign w:val="center"/>
          </w:tcPr>
          <w:p>
            <w:pPr>
              <w:pStyle w:val="TableContents"/>
              <w:spacing w:lineRule="auto" w:line="252" w:before="0" w:after="0"/>
              <w:ind w:left="0" w:right="0" w:hanging="0"/>
              <w:jc w:val="center"/>
              <w:rPr/>
            </w:pPr>
            <w:r>
              <w:rPr/>
              <w:t> </w:t>
            </w:r>
          </w:p>
        </w:tc>
      </w:tr>
      <w:tr>
        <w:trPr/>
        <w:tc>
          <w:tcPr>
            <w:tcW w:w="522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Net cash (used in) provided by: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6" w:type="dxa"/>
            <w:gridSpan w:val="2"/>
            <w:tcBorders/>
            <w:shd w:fill="auto" w:val="clear"/>
            <w:vAlign w:val="center"/>
          </w:tcPr>
          <w:p>
            <w:pPr>
              <w:pStyle w:val="TableContents"/>
              <w:spacing w:lineRule="auto" w:line="252" w:before="0" w:after="0"/>
              <w:ind w:left="0" w:right="0" w:hanging="0"/>
              <w:jc w:val="left"/>
              <w:rPr/>
            </w:pPr>
            <w:r>
              <w:rPr/>
              <w:t> </w:t>
            </w:r>
          </w:p>
        </w:tc>
        <w:tc>
          <w:tcPr>
            <w:tcW w:w="189"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096" w:type="dxa"/>
            <w:gridSpan w:val="2"/>
            <w:tcBorders/>
            <w:shd w:fill="auto" w:val="clear"/>
            <w:vAlign w:val="center"/>
          </w:tcPr>
          <w:p>
            <w:pPr>
              <w:pStyle w:val="TableContents"/>
              <w:spacing w:lineRule="auto" w:line="252" w:before="0" w:after="0"/>
              <w:ind w:left="0" w:right="0" w:hanging="0"/>
              <w:jc w:val="left"/>
              <w:rPr/>
            </w:pPr>
            <w:r>
              <w:rPr/>
              <w:t> </w:t>
            </w:r>
          </w:p>
        </w:tc>
        <w:tc>
          <w:tcPr>
            <w:tcW w:w="491" w:type="dxa"/>
            <w:tcBorders/>
            <w:shd w:fill="auto" w:val="clear"/>
            <w:vAlign w:val="center"/>
          </w:tcPr>
          <w:p>
            <w:pPr>
              <w:pStyle w:val="TableContents"/>
              <w:spacing w:lineRule="auto" w:line="252" w:before="0" w:after="0"/>
              <w:ind w:left="0" w:right="0" w:firstLine="280"/>
              <w:jc w:val="left"/>
              <w:rPr/>
            </w:pPr>
            <w:r>
              <w:rPr/>
              <w:t> </w:t>
            </w:r>
          </w:p>
        </w:tc>
      </w:tr>
      <w:tr>
        <w:trPr/>
        <w:tc>
          <w:tcPr>
            <w:tcW w:w="522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0"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5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(16,572</w:t>
            </w:r>
          </w:p>
        </w:tc>
        <w:tc>
          <w:tcPr>
            <w:tcW w:w="189"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240"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5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(7,305</w:t>
            </w:r>
          </w:p>
        </w:tc>
        <w:tc>
          <w:tcPr>
            <w:tcW w:w="491" w:type="dxa"/>
            <w:tcBorders/>
            <w:shd w:fill="auto" w:val="clear"/>
            <w:vAlign w:val="center"/>
          </w:tcPr>
          <w:p>
            <w:pPr>
              <w:pStyle w:val="TableContents"/>
              <w:spacing w:lineRule="auto" w:line="252" w:before="0" w:after="0"/>
              <w:ind w:left="0" w:right="0" w:firstLine="280"/>
              <w:jc w:val="left"/>
              <w:rPr>
                <w:rFonts w:ascii="Arial" w:hAnsi="Arial"/>
                <w:b w:val="false"/>
                <w:sz w:val="20"/>
              </w:rPr>
            </w:pPr>
            <w:r>
              <w:rPr>
                <w:rFonts w:ascii="Arial" w:hAnsi="Arial"/>
                <w:b w:val="false"/>
                <w:sz w:val="20"/>
              </w:rPr>
              <w:t>)</w:t>
            </w:r>
          </w:p>
        </w:tc>
      </w:tr>
      <w:tr>
        <w:trPr/>
        <w:tc>
          <w:tcPr>
            <w:tcW w:w="522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Investing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0"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23,846</w:t>
            </w:r>
          </w:p>
        </w:tc>
        <w:tc>
          <w:tcPr>
            <w:tcW w:w="189"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240"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(22,708</w:t>
            </w:r>
          </w:p>
        </w:tc>
        <w:tc>
          <w:tcPr>
            <w:tcW w:w="491" w:type="dxa"/>
            <w:tcBorders/>
            <w:shd w:fill="auto" w:val="clear"/>
            <w:vAlign w:val="center"/>
          </w:tcPr>
          <w:p>
            <w:pPr>
              <w:pStyle w:val="TableContents"/>
              <w:spacing w:lineRule="auto" w:line="252" w:before="0" w:after="0"/>
              <w:ind w:left="0" w:right="0" w:firstLine="280"/>
              <w:jc w:val="left"/>
              <w:rPr>
                <w:rFonts w:ascii="Arial" w:hAnsi="Arial"/>
                <w:b w:val="false"/>
                <w:sz w:val="20"/>
              </w:rPr>
            </w:pPr>
            <w:r>
              <w:rPr>
                <w:rFonts w:ascii="Arial" w:hAnsi="Arial"/>
                <w:b w:val="false"/>
                <w:sz w:val="20"/>
              </w:rPr>
              <w:t>)</w:t>
            </w:r>
          </w:p>
        </w:tc>
      </w:tr>
      <w:tr>
        <w:trPr/>
        <w:tc>
          <w:tcPr>
            <w:tcW w:w="522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Financing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210</w:t>
            </w:r>
          </w:p>
        </w:tc>
        <w:tc>
          <w:tcPr>
            <w:tcW w:w="18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97,211</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22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Net increase in cash, cash equivalents and restricted cash</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5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7,484</w:t>
            </w:r>
          </w:p>
        </w:tc>
        <w:tc>
          <w:tcPr>
            <w:tcW w:w="18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24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5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67,198</w:t>
            </w:r>
          </w:p>
        </w:tc>
        <w:tc>
          <w:tcPr>
            <w:tcW w:w="4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both"/>
        <w:rPr/>
      </w:pPr>
      <w:r>
        <w:rPr/>
        <w:t> </w:t>
      </w:r>
    </w:p>
    <w:p>
      <w:pPr>
        <w:pStyle w:val="TextBody"/>
        <w:spacing w:lineRule="auto" w:line="273" w:before="80" w:after="0"/>
        <w:jc w:val="both"/>
        <w:rPr>
          <w:rFonts w:ascii="Arial" w:hAnsi="Arial"/>
          <w:b/>
          <w:i/>
          <w:sz w:val="20"/>
        </w:rPr>
      </w:pPr>
      <w:r>
        <w:rPr>
          <w:rFonts w:ascii="Arial" w:hAnsi="Arial"/>
          <w:b/>
          <w:i/>
          <w:sz w:val="20"/>
        </w:rPr>
        <w:t>Operating Activities</w:t>
      </w:r>
    </w:p>
    <w:p>
      <w:pPr>
        <w:pStyle w:val="TextBody"/>
        <w:spacing w:lineRule="auto" w:line="273" w:before="280" w:after="0"/>
        <w:jc w:val="both"/>
        <w:rPr>
          <w:rFonts w:ascii="Times New Roman" w:hAnsi="Times New Roman"/>
          <w:sz w:val="20"/>
        </w:rPr>
      </w:pPr>
      <w:r>
        <w:rPr>
          <w:rFonts w:ascii="Arial" w:hAnsi="Arial"/>
          <w:b w:val="false"/>
          <w:sz w:val="20"/>
        </w:rPr>
        <w:t>During the three months ended March 31, 2022, net cash used in operating activities was $16.6 million. This consisted primarily of a net loss of $21.0 million, partially offset by non-cash charges of $3.1 million and a decrease in our net operating assets of $1.3 million. The non-cash charges primarily consisted of stock-based compensation expense, depreciation</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31</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Arial" w:hAnsi="Arial"/>
          <w:b w:val="false"/>
          <w:sz w:val="20"/>
        </w:rPr>
      </w:pPr>
      <w:r>
        <w:rPr>
          <w:rFonts w:ascii="Arial" w:hAnsi="Arial"/>
          <w:b w:val="false"/>
          <w:sz w:val="20"/>
        </w:rPr>
        <w:t>expense, and accretion of discounts on our convertible notes. The decrease in our net operating assets was due to a decrease in prepaid expenses and other current assets, a decrease in unbilled grant receivable, and an increase in accounts payable, partially offset by a decrease in accrued liabilities.</w:t>
      </w:r>
    </w:p>
    <w:p>
      <w:pPr>
        <w:pStyle w:val="TextBody"/>
        <w:spacing w:lineRule="auto" w:line="273" w:before="280" w:after="0"/>
        <w:jc w:val="both"/>
        <w:rPr>
          <w:rFonts w:ascii="Arial" w:hAnsi="Arial"/>
          <w:b w:val="false"/>
          <w:sz w:val="20"/>
        </w:rPr>
      </w:pPr>
      <w:r>
        <w:rPr>
          <w:rFonts w:ascii="Arial" w:hAnsi="Arial"/>
          <w:b w:val="false"/>
          <w:sz w:val="20"/>
        </w:rPr>
        <w:t>During the three months ended March 31, 2021, net cash used in operating activities was $7.3 million. This consisted primarily of a net loss of $8.9 million, partially offset by non-cash charges of $1.2 million and an increase in our net operating assets of $0.3 million. The non-cash charges primarily consisted of stock-based compensation expense, depreciation expense, and accretion of discounts on our convertible notes, changes in the carrying value of liabilities stated at fair value, and the gain on extinguishment of our convertible notes. The increase in our net operating assets was due to an increase in prepaid expenses and other current assets, partially offset by a decrease in accounts payable and accrued expenses.</w:t>
      </w:r>
    </w:p>
    <w:p>
      <w:pPr>
        <w:pStyle w:val="TextBody"/>
        <w:spacing w:lineRule="auto" w:line="273" w:before="280" w:after="0"/>
        <w:jc w:val="both"/>
        <w:rPr>
          <w:rFonts w:ascii="Arial" w:hAnsi="Arial"/>
          <w:b/>
          <w:i/>
          <w:sz w:val="20"/>
        </w:rPr>
      </w:pPr>
      <w:r>
        <w:rPr>
          <w:rFonts w:ascii="Arial" w:hAnsi="Arial"/>
          <w:b/>
          <w:i/>
          <w:sz w:val="20"/>
        </w:rPr>
        <w:t>Investing Activities</w:t>
      </w:r>
    </w:p>
    <w:p>
      <w:pPr>
        <w:pStyle w:val="TextBody"/>
        <w:spacing w:lineRule="auto" w:line="273" w:before="280" w:after="0"/>
        <w:jc w:val="both"/>
        <w:rPr>
          <w:rFonts w:ascii="Arial" w:hAnsi="Arial"/>
          <w:b w:val="false"/>
          <w:sz w:val="20"/>
        </w:rPr>
      </w:pPr>
      <w:r>
        <w:rPr>
          <w:rFonts w:ascii="Arial" w:hAnsi="Arial"/>
          <w:b w:val="false"/>
          <w:sz w:val="20"/>
        </w:rPr>
        <w:t>During the three months ended March 31, 2022, net cash provided by investing was $23.8 million. This consisted of maturities of available-for-sale securities, partially offset by purchases of available-for-sale securities and property and equipment.</w:t>
      </w:r>
    </w:p>
    <w:p>
      <w:pPr>
        <w:pStyle w:val="TextBody"/>
        <w:spacing w:lineRule="auto" w:line="273" w:before="280" w:after="0"/>
        <w:jc w:val="both"/>
        <w:rPr>
          <w:rFonts w:ascii="Arial" w:hAnsi="Arial"/>
          <w:b w:val="false"/>
          <w:sz w:val="20"/>
        </w:rPr>
      </w:pPr>
      <w:r>
        <w:rPr>
          <w:rFonts w:ascii="Arial" w:hAnsi="Arial"/>
          <w:b w:val="false"/>
          <w:sz w:val="20"/>
        </w:rPr>
        <w:t>During the three months ended March 31, 2021, net cash used in investing was $22.7 million. This consisted of purchases of available-for-sale securities and property and equipment, partially offset by maturities of available-for-sale securities.</w:t>
      </w:r>
    </w:p>
    <w:p>
      <w:pPr>
        <w:pStyle w:val="TextBody"/>
        <w:spacing w:lineRule="auto" w:line="273" w:before="280" w:after="0"/>
        <w:jc w:val="both"/>
        <w:rPr>
          <w:rFonts w:ascii="Arial" w:hAnsi="Arial"/>
          <w:b/>
          <w:i/>
          <w:sz w:val="20"/>
        </w:rPr>
      </w:pPr>
      <w:r>
        <w:rPr>
          <w:rFonts w:ascii="Arial" w:hAnsi="Arial"/>
          <w:b/>
          <w:i/>
          <w:sz w:val="20"/>
        </w:rPr>
        <w:t>Financing Activities</w:t>
      </w:r>
    </w:p>
    <w:p>
      <w:pPr>
        <w:pStyle w:val="TextBody"/>
        <w:spacing w:lineRule="auto" w:line="273" w:before="280" w:after="0"/>
        <w:jc w:val="both"/>
        <w:rPr>
          <w:rFonts w:ascii="Arial" w:hAnsi="Arial"/>
          <w:b w:val="false"/>
          <w:sz w:val="20"/>
        </w:rPr>
      </w:pPr>
      <w:r>
        <w:rPr>
          <w:rFonts w:ascii="Arial" w:hAnsi="Arial"/>
          <w:b w:val="false"/>
          <w:sz w:val="20"/>
        </w:rPr>
        <w:t>During the three months ended March 31, 2022, net cash provided by financing activities was $0.2 million, consisting of proceeds received from exercises of stock options.</w:t>
      </w:r>
    </w:p>
    <w:p>
      <w:pPr>
        <w:pStyle w:val="TextBody"/>
        <w:spacing w:lineRule="auto" w:line="273" w:before="280" w:after="0"/>
        <w:jc w:val="both"/>
        <w:rPr>
          <w:rFonts w:ascii="Arial" w:hAnsi="Arial"/>
          <w:b w:val="false"/>
          <w:sz w:val="20"/>
        </w:rPr>
      </w:pPr>
      <w:r>
        <w:rPr>
          <w:rFonts w:ascii="Arial" w:hAnsi="Arial"/>
          <w:b w:val="false"/>
          <w:sz w:val="20"/>
        </w:rPr>
        <w:t>During the three months ended March 31, 2021, net cash provided by financing activities was $97.2 million, primarily driven by proceeds received from our follow-on public offering, and to a lesser extent from exercises of stock options.</w:t>
      </w:r>
    </w:p>
    <w:p>
      <w:pPr>
        <w:pStyle w:val="TextBody"/>
        <w:spacing w:lineRule="auto" w:line="273" w:before="280" w:after="0"/>
        <w:jc w:val="both"/>
        <w:rPr>
          <w:rFonts w:ascii="Arial" w:hAnsi="Arial"/>
          <w:b/>
          <w:sz w:val="20"/>
        </w:rPr>
      </w:pPr>
      <w:r>
        <w:rPr>
          <w:rFonts w:ascii="Arial" w:hAnsi="Arial"/>
          <w:b/>
          <w:sz w:val="20"/>
        </w:rPr>
        <w:t>Critical Accounting Policies, Significant Judgments and Use of Estimates</w:t>
      </w:r>
    </w:p>
    <w:p>
      <w:pPr>
        <w:pStyle w:val="TextBody"/>
        <w:spacing w:lineRule="auto" w:line="273" w:before="280" w:after="0"/>
        <w:jc w:val="both"/>
        <w:rPr>
          <w:rFonts w:ascii="Times New Roman" w:hAnsi="Times New Roman"/>
          <w:sz w:val="20"/>
        </w:rPr>
      </w:pPr>
      <w:r>
        <w:rPr>
          <w:rFonts w:ascii="Arial" w:hAnsi="Arial"/>
          <w:b w:val="false"/>
          <w:sz w:val="20"/>
        </w:rPr>
        <w:t>Our financial statements have been prepared in accordance with U.S. generally accepted accounting principles,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val="false"/>
          <w:sz w:val="20"/>
        </w:rPr>
        <w:t>Critical accounting policies and significant judgments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w:t>
      </w:r>
      <w:r>
        <w:rPr>
          <w:rFonts w:ascii="Times New Roman" w:hAnsi="Times New Roman"/>
          <w:sz w:val="20"/>
        </w:rPr>
        <w:t xml:space="preserve"> </w:t>
      </w:r>
    </w:p>
    <w:p>
      <w:pPr>
        <w:pStyle w:val="TextBody"/>
        <w:spacing w:lineRule="auto" w:line="273" w:before="280" w:after="0"/>
        <w:jc w:val="both"/>
        <w:rPr>
          <w:rFonts w:ascii="Arial" w:hAnsi="Arial"/>
          <w:b w:val="false"/>
          <w:sz w:val="20"/>
        </w:rPr>
      </w:pPr>
      <w:r>
        <w:rPr>
          <w:rFonts w:ascii="Arial" w:hAnsi="Arial"/>
          <w:b w:val="false"/>
          <w:sz w:val="20"/>
        </w:rPr>
        <w:t>During the three months ended March 31, 2022, there were no material changes to our critical accounting policies. Our critical accounting policies are described under the heading “Management’s Discussion and Analysis of Financial Condition and Results of Operations—Critical Accounting Policies, Significant Judgments and Use of Estimates” in our Annual Report on Form 10-K filed with the SEC on March 28, 2022 and Note 2 to our unaudited condensed consolidated financial statements included in “Part I, Item 1—Financial Statements (Unaudited)” of this Quarterly Report on Form 10-Q. We believe that of our critical accounting policies, the following accounting policies involve the most judgment and complexity:</w:t>
      </w:r>
    </w:p>
    <w:p>
      <w:pPr>
        <w:pStyle w:val="TextBody"/>
        <w:spacing w:lineRule="auto" w:line="273" w:before="240" w:after="0"/>
        <w:jc w:val="center"/>
        <w:rPr>
          <w:rFonts w:ascii="Arial" w:hAnsi="Arial"/>
          <w:b w:val="false"/>
          <w:sz w:val="20"/>
        </w:rPr>
      </w:pPr>
      <w:r>
        <w:rPr>
          <w:rFonts w:ascii="Arial" w:hAnsi="Arial"/>
          <w:b w:val="false"/>
          <w:sz w:val="20"/>
        </w:rPr>
        <w:t>32</w:t>
      </w:r>
    </w:p>
    <w:p>
      <w:pPr>
        <w:pStyle w:val="HorizontalLine"/>
        <w:rPr/>
      </w:pPr>
      <w:r>
        <w:rPr/>
      </w:r>
    </w:p>
    <w:p>
      <w:pPr>
        <w:pStyle w:val="TextBody"/>
        <w:spacing w:lineRule="auto" w:line="273" w:before="0" w:after="0"/>
        <w:jc w:val="left"/>
        <w:rPr/>
      </w:pPr>
      <w:r>
        <w:rPr/>
        <w:t>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Research and Development Costs;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Stock-based Compensation;</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Income Taxes;</w:t>
      </w:r>
    </w:p>
    <w:p>
      <w:pPr>
        <w:pStyle w:val="TextBody"/>
        <w:spacing w:lineRule="auto" w:line="273" w:before="120" w:after="0"/>
        <w:jc w:val="both"/>
        <w:rPr/>
      </w:pPr>
      <w:r>
        <w:rPr/>
        <w:t>•</w:t>
      </w:r>
    </w:p>
    <w:p>
      <w:pPr>
        <w:pStyle w:val="TextBody"/>
        <w:spacing w:lineRule="auto" w:line="273" w:before="120" w:after="283"/>
        <w:jc w:val="both"/>
        <w:rPr>
          <w:rFonts w:ascii="Arial" w:hAnsi="Arial"/>
          <w:b w:val="false"/>
          <w:sz w:val="20"/>
        </w:rPr>
      </w:pPr>
      <w:r>
        <w:rPr>
          <w:rFonts w:ascii="Arial" w:hAnsi="Arial"/>
          <w:b w:val="false"/>
          <w:sz w:val="20"/>
        </w:rPr>
        <w:t>Grant Income.</w:t>
      </w:r>
    </w:p>
    <w:p>
      <w:pPr>
        <w:pStyle w:val="TextBody"/>
        <w:spacing w:lineRule="auto" w:line="273" w:before="280" w:after="0"/>
        <w:jc w:val="both"/>
        <w:rPr>
          <w:rFonts w:ascii="Arial" w:hAnsi="Arial"/>
          <w:b/>
          <w:sz w:val="20"/>
        </w:rPr>
      </w:pPr>
      <w:r>
        <w:rPr>
          <w:rFonts w:ascii="Arial" w:hAnsi="Arial"/>
          <w:b/>
          <w:sz w:val="20"/>
        </w:rPr>
        <w:t>Recent Accounting Pronouncements</w:t>
      </w:r>
    </w:p>
    <w:p>
      <w:pPr>
        <w:pStyle w:val="TextBody"/>
        <w:spacing w:lineRule="auto" w:line="273" w:before="280" w:after="0"/>
        <w:jc w:val="both"/>
        <w:rPr>
          <w:rFonts w:ascii="Arial" w:hAnsi="Arial"/>
          <w:b w:val="false"/>
          <w:sz w:val="20"/>
        </w:rPr>
      </w:pPr>
      <w:r>
        <w:rPr>
          <w:rFonts w:ascii="Arial" w:hAnsi="Arial"/>
          <w:b w:val="false"/>
          <w:sz w:val="20"/>
        </w:rPr>
        <w:t>See Note 2 to our unaudited interim condensed consolidated financial statements included elsewhere in this Quarterly Report on Form 10-Q for additional information.</w:t>
      </w:r>
    </w:p>
    <w:p>
      <w:pPr>
        <w:pStyle w:val="TextBody"/>
        <w:spacing w:lineRule="auto" w:line="273" w:before="280" w:after="0"/>
        <w:jc w:val="both"/>
        <w:rPr>
          <w:rFonts w:ascii="Arial" w:hAnsi="Arial"/>
          <w:b/>
          <w:sz w:val="20"/>
        </w:rPr>
      </w:pPr>
      <w:r>
        <w:rPr>
          <w:rFonts w:ascii="Arial" w:hAnsi="Arial"/>
          <w:b/>
          <w:sz w:val="20"/>
        </w:rPr>
        <w:t>Emerging Growth Company Status</w:t>
      </w:r>
    </w:p>
    <w:p>
      <w:pPr>
        <w:pStyle w:val="TextBody"/>
        <w:spacing w:lineRule="auto" w:line="273" w:before="280" w:after="0"/>
        <w:jc w:val="both"/>
        <w:rPr>
          <w:rFonts w:ascii="Times New Roman" w:hAnsi="Times New Roman"/>
          <w:sz w:val="20"/>
        </w:rPr>
      </w:pPr>
      <w:r>
        <w:rPr>
          <w:rFonts w:ascii="Arial" w:hAnsi="Arial"/>
          <w:b w:val="false"/>
          <w:sz w:val="20"/>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(1) are no longer an emerging growth company or (2) affirmatively and irrevocably opt out of the extended transition period provided in the JOBS Act. As a result, our financial statements may not be comparable to companies that comply with the new or revised accounting pronouncements as of public company effective dates.</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val="false"/>
          <w:sz w:val="20"/>
        </w:rPr>
        <w:t>We will remain an emerging growth company until the earliest to occur of: (1) the last day of the fiscal year in which we have at least $1.07 billion in annual revenue; (2) the last day of the fiscal year in which we are deemed to be a “large accelerated filer,” as defined in Rule 12b-2 under the Securities Exchange Act of 1934, as amended, which would occur if the market value of our common stock held by non-affiliates exceeded $700.0 million as of the last business day of the second fiscal quarter of such year; (3) the date on which we have issued more than $1.0 billion in non-convertible debt securities during the prior three-year period; and (4) the last day of the fiscal year in which the fifth anniversary of our initial public offering occurred.</w:t>
      </w:r>
      <w:r>
        <w:rPr>
          <w:rFonts w:ascii="Times New Roman" w:hAnsi="Times New Roman"/>
          <w:sz w:val="20"/>
        </w:rPr>
        <w:t xml:space="preserve"> </w:t>
      </w:r>
    </w:p>
    <w:p>
      <w:pPr>
        <w:pStyle w:val="TextBody"/>
        <w:spacing w:lineRule="auto" w:line="273" w:before="80" w:after="0"/>
        <w:jc w:val="both"/>
        <w:rPr>
          <w:rFonts w:ascii="Arial" w:hAnsi="Arial"/>
          <w:b/>
          <w:sz w:val="20"/>
        </w:rPr>
      </w:pPr>
      <w:bookmarkStart w:id="10" w:name="item_3_quantitative_qualitative_disclos"/>
      <w:bookmarkEnd w:id="10"/>
      <w:r>
        <w:rPr>
          <w:rFonts w:ascii="Arial" w:hAnsi="Arial"/>
          <w:b/>
          <w:sz w:val="20"/>
        </w:rPr>
        <w:t>Item 3. Quantitative and Qualitative Disclosures About Market Risk.</w:t>
      </w:r>
    </w:p>
    <w:p>
      <w:pPr>
        <w:pStyle w:val="TextBody"/>
        <w:spacing w:lineRule="auto" w:line="273" w:before="280" w:after="0"/>
        <w:jc w:val="both"/>
        <w:rPr>
          <w:rFonts w:ascii="Arial" w:hAnsi="Arial"/>
          <w:b w:val="false"/>
          <w:sz w:val="20"/>
        </w:rPr>
      </w:pPr>
      <w:r>
        <w:rPr>
          <w:rFonts w:ascii="Arial" w:hAnsi="Arial"/>
          <w:b w:val="false"/>
          <w:sz w:val="20"/>
        </w:rPr>
        <w:t>As a smaller reporting company, we are not required to provide the information requested by this item pursuant to Item 305 of Regulation S-K.</w:t>
      </w:r>
    </w:p>
    <w:p>
      <w:pPr>
        <w:pStyle w:val="TextBody"/>
        <w:spacing w:lineRule="auto" w:line="273" w:before="280" w:after="0"/>
        <w:jc w:val="both"/>
        <w:rPr>
          <w:rFonts w:ascii="Arial" w:hAnsi="Arial"/>
          <w:b/>
          <w:sz w:val="20"/>
        </w:rPr>
      </w:pPr>
      <w:bookmarkStart w:id="11" w:name="item_4_controls_procedures"/>
      <w:bookmarkEnd w:id="11"/>
      <w:r>
        <w:rPr>
          <w:rFonts w:ascii="Arial" w:hAnsi="Arial"/>
          <w:b/>
          <w:sz w:val="20"/>
        </w:rPr>
        <w:t>Item 4. Controls and Procedures.</w:t>
      </w:r>
    </w:p>
    <w:p>
      <w:pPr>
        <w:pStyle w:val="TextBody"/>
        <w:spacing w:lineRule="auto" w:line="273" w:before="280" w:after="0"/>
        <w:jc w:val="both"/>
        <w:rPr>
          <w:rFonts w:ascii="Arial" w:hAnsi="Arial"/>
          <w:b/>
          <w:i/>
          <w:sz w:val="20"/>
        </w:rPr>
      </w:pPr>
      <w:r>
        <w:rPr>
          <w:rFonts w:ascii="Arial" w:hAnsi="Arial"/>
          <w:b/>
          <w:i/>
          <w:sz w:val="20"/>
        </w:rPr>
        <w:t>Evaluation of Disclosure Controls and Procedures</w:t>
      </w:r>
    </w:p>
    <w:p>
      <w:pPr>
        <w:pStyle w:val="TextBody"/>
        <w:spacing w:lineRule="auto" w:line="273" w:before="280" w:after="0"/>
        <w:jc w:val="both"/>
        <w:rPr>
          <w:rFonts w:ascii="Arial" w:hAnsi="Arial"/>
          <w:b w:val="false"/>
          <w:sz w:val="20"/>
        </w:rPr>
      </w:pPr>
      <w:r>
        <w:rPr>
          <w:rFonts w:ascii="Arial" w:hAnsi="Arial"/>
          <w:b w:val="false"/>
          <w:sz w:val="20"/>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pStyle w:val="TextBody"/>
        <w:spacing w:lineRule="auto" w:line="273" w:before="280" w:after="0"/>
        <w:jc w:val="both"/>
        <w:rPr>
          <w:rFonts w:ascii="Arial" w:hAnsi="Arial"/>
          <w:b w:val="false"/>
          <w:sz w:val="20"/>
        </w:rPr>
      </w:pPr>
      <w:r>
        <w:rPr>
          <w:rFonts w:ascii="Arial" w:hAnsi="Arial"/>
          <w:b w:val="false"/>
          <w:sz w:val="20"/>
        </w:rPr>
        <w:t>Our management, with the participation of our principal executive officer and principal financial and accounting officer, evaluated the effectiveness of our disclosure controls and procedures at the end of the period covered by this Quarterly Report on Form 10-Q. Based upon such evaluation, our principal executive officer and principal financial and accounting officer have concluded that our disclosure controls and procedures were effective at the reasonable assurance level as of such date.</w:t>
      </w:r>
    </w:p>
    <w:p>
      <w:pPr>
        <w:pStyle w:val="TextBody"/>
        <w:spacing w:lineRule="auto" w:line="273" w:before="240" w:after="0"/>
        <w:jc w:val="center"/>
        <w:rPr>
          <w:rFonts w:ascii="Arial" w:hAnsi="Arial"/>
          <w:b w:val="false"/>
          <w:sz w:val="20"/>
        </w:rPr>
      </w:pPr>
      <w:r>
        <w:rPr>
          <w:rFonts w:ascii="Arial" w:hAnsi="Arial"/>
          <w:b w:val="false"/>
          <w:sz w:val="20"/>
        </w:rPr>
        <w:t>33</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Arial" w:hAnsi="Arial"/>
          <w:b/>
          <w:i/>
          <w:sz w:val="20"/>
        </w:rPr>
      </w:pPr>
      <w:r>
        <w:rPr>
          <w:rFonts w:ascii="Arial" w:hAnsi="Arial"/>
          <w:b/>
          <w:i/>
          <w:sz w:val="20"/>
        </w:rPr>
        <w:t>Changes in Internal Control Over Financial Reporting</w:t>
      </w:r>
    </w:p>
    <w:p>
      <w:pPr>
        <w:pStyle w:val="TextBody"/>
        <w:spacing w:lineRule="auto" w:line="273" w:before="280" w:after="0"/>
        <w:jc w:val="both"/>
        <w:rPr>
          <w:rFonts w:ascii="Arial" w:hAnsi="Arial"/>
          <w:b w:val="false"/>
          <w:sz w:val="20"/>
        </w:rPr>
      </w:pPr>
      <w:r>
        <w:rPr>
          <w:rFonts w:ascii="Arial" w:hAnsi="Arial"/>
          <w:b w:val="false"/>
          <w:sz w:val="20"/>
        </w:rPr>
        <w:t>There have been no changes in our internal control over financial reporting (as defined in Rules 13a-15(f) and 15d-15(f) under the Exchange Act) during the quarter ended March 31, 2022, that have materially affected, or are reasonably likely to materially affect, our internal control over financial reporting.</w:t>
      </w:r>
    </w:p>
    <w:p>
      <w:pPr>
        <w:pStyle w:val="TextBody"/>
        <w:spacing w:lineRule="auto" w:line="273" w:before="240" w:after="0"/>
        <w:jc w:val="center"/>
        <w:rPr>
          <w:rFonts w:ascii="Arial" w:hAnsi="Arial"/>
          <w:b w:val="false"/>
          <w:sz w:val="20"/>
        </w:rPr>
      </w:pPr>
      <w:r>
        <w:rPr>
          <w:rFonts w:ascii="Arial" w:hAnsi="Arial"/>
          <w:b w:val="false"/>
          <w:sz w:val="20"/>
        </w:rPr>
        <w:t>34</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sz w:val="20"/>
        </w:rPr>
      </w:pPr>
      <w:bookmarkStart w:id="12" w:name="part_iior_information"/>
      <w:bookmarkEnd w:id="12"/>
      <w:r>
        <w:rPr>
          <w:rFonts w:ascii="Arial" w:hAnsi="Arial"/>
          <w:b/>
          <w:sz w:val="20"/>
        </w:rPr>
        <w:t>PART II—OTHER</w:t>
      </w:r>
      <w:r>
        <w:rPr>
          <w:rFonts w:ascii="Times New Roman" w:hAnsi="Times New Roman"/>
          <w:sz w:val="20"/>
        </w:rPr>
        <w:t xml:space="preserve"> </w:t>
      </w:r>
      <w:r>
        <w:rPr>
          <w:rFonts w:ascii="Arial" w:hAnsi="Arial"/>
          <w:b/>
          <w:sz w:val="20"/>
        </w:rPr>
        <w:t>INFORMATION</w:t>
      </w:r>
    </w:p>
    <w:p>
      <w:pPr>
        <w:pStyle w:val="TextBody"/>
        <w:spacing w:lineRule="auto" w:line="273" w:before="240" w:after="0"/>
        <w:jc w:val="both"/>
        <w:rPr>
          <w:rFonts w:ascii="Arial" w:hAnsi="Arial"/>
          <w:b/>
          <w:sz w:val="20"/>
        </w:rPr>
      </w:pPr>
      <w:bookmarkStart w:id="13" w:name="item_1_legal_proceedings"/>
      <w:bookmarkEnd w:id="13"/>
      <w:r>
        <w:rPr>
          <w:rFonts w:ascii="Arial" w:hAnsi="Arial"/>
          <w:b/>
          <w:sz w:val="20"/>
        </w:rPr>
        <w:t>Item 1. Legal Proceedings.</w:t>
      </w:r>
    </w:p>
    <w:p>
      <w:pPr>
        <w:pStyle w:val="TextBody"/>
        <w:spacing w:lineRule="auto" w:line="273" w:before="280" w:after="0"/>
        <w:jc w:val="both"/>
        <w:rPr>
          <w:rFonts w:ascii="Arial" w:hAnsi="Arial"/>
          <w:b w:val="false"/>
          <w:sz w:val="20"/>
        </w:rPr>
      </w:pPr>
      <w:r>
        <w:rPr>
          <w:rFonts w:ascii="Arial" w:hAnsi="Arial"/>
          <w:b w:val="false"/>
          <w:sz w:val="20"/>
        </w:rPr>
        <w:t>From time to time, we are subject to various legal proceedings or claims that arise in the ordinary course of business. The following is a brief description of the more significant legal proceedings.</w:t>
      </w:r>
    </w:p>
    <w:p>
      <w:pPr>
        <w:pStyle w:val="TextBody"/>
        <w:spacing w:lineRule="auto" w:line="273" w:before="280" w:after="0"/>
        <w:jc w:val="left"/>
        <w:rPr>
          <w:rFonts w:ascii="Times New Roman" w:hAnsi="Times New Roman"/>
          <w:sz w:val="20"/>
        </w:rPr>
      </w:pPr>
      <w:r>
        <w:rPr>
          <w:rFonts w:ascii="Arial" w:hAnsi="Arial"/>
          <w:b/>
          <w:sz w:val="20"/>
        </w:rPr>
        <w:t>Securities Class Actions</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val="false"/>
          <w:sz w:val="20"/>
        </w:rPr>
        <w:t xml:space="preserve">On June 25, 2021, plaintiffs Fan Wang and Hang Gao filed a putative securities class action lawsuit in the U.S. District Court for the Western District of Washington against us and our former Chief Executive Officer, Dr. Leen Kawas, captioned </w:t>
      </w:r>
      <w:r>
        <w:rPr>
          <w:rFonts w:ascii="Arial" w:hAnsi="Arial"/>
          <w:b w:val="false"/>
          <w:i/>
          <w:sz w:val="20"/>
        </w:rPr>
        <w:t>Wang v. Athira Pharma, Inc., et al.</w:t>
      </w:r>
      <w:r>
        <w:rPr>
          <w:rFonts w:ascii="Arial" w:hAnsi="Arial"/>
          <w:b w:val="false"/>
          <w:sz w:val="20"/>
        </w:rPr>
        <w:t xml:space="preserve">, No. 2:21-cv-00861. Plaintiffs Wang and Gao assert claims under Sections 10(b) and 20(a) of the Securities Exchange Act of 1934 and SEC Rule 10b-5, alleging that the defendants made materially false and misleading statements and omitted material adverse facts regarding our business. Specifically, the </w:t>
      </w:r>
      <w:r>
        <w:rPr>
          <w:rFonts w:ascii="Arial" w:hAnsi="Arial"/>
          <w:b w:val="false"/>
          <w:i/>
          <w:sz w:val="20"/>
        </w:rPr>
        <w:t xml:space="preserve">Wang </w:t>
      </w:r>
      <w:r>
        <w:rPr>
          <w:rFonts w:ascii="Arial" w:hAnsi="Arial"/>
          <w:b w:val="false"/>
          <w:sz w:val="20"/>
        </w:rPr>
        <w:t xml:space="preserve">plaintiffs allege that we failed to disclose to investors that certain research conducted by Dr. Kawas was allegedly tainted by scientific misconduct during her doctoral work at Washington State University, or WSU, including the manipulation of data, and that as a result, the defendants’ positive statements about our business, operations, and prospects were materially misleading. The </w:t>
      </w:r>
      <w:r>
        <w:rPr>
          <w:rFonts w:ascii="Arial" w:hAnsi="Arial"/>
          <w:b w:val="false"/>
          <w:i/>
          <w:sz w:val="20"/>
        </w:rPr>
        <w:t xml:space="preserve">Wang </w:t>
      </w:r>
      <w:r>
        <w:rPr>
          <w:rFonts w:ascii="Arial" w:hAnsi="Arial"/>
          <w:b w:val="false"/>
          <w:sz w:val="20"/>
        </w:rPr>
        <w:t>plaintiffs seek unspecified compensatory and punitive damages, and reasonable costs and expenses, including attorneys’ fees.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 xml:space="preserve">That same day, on June 25, 2021, plaintiff Harshdeep Jawandha filed a putative securities class action lawsuit in the U.S. District Court for the Western District of Washington against us, Dr. Kawas, the Company’s Chief Financial Officer, certain members of our board of directors at the time of our IPO, as well as the IPO underwriters, captioned </w:t>
      </w:r>
      <w:r>
        <w:rPr>
          <w:rFonts w:ascii="Arial" w:hAnsi="Arial"/>
          <w:b w:val="false"/>
          <w:i/>
          <w:sz w:val="20"/>
        </w:rPr>
        <w:t>Jawandha v. Athira Pharma, Inc., et al.</w:t>
      </w:r>
      <w:r>
        <w:rPr>
          <w:rFonts w:ascii="Arial" w:hAnsi="Arial"/>
          <w:b w:val="false"/>
          <w:sz w:val="20"/>
        </w:rPr>
        <w:t xml:space="preserve">, No. 2:21-cv-00862. The </w:t>
      </w:r>
      <w:r>
        <w:rPr>
          <w:rFonts w:ascii="Arial" w:hAnsi="Arial"/>
          <w:b w:val="false"/>
          <w:i/>
          <w:sz w:val="20"/>
        </w:rPr>
        <w:t>Jawandha</w:t>
      </w:r>
      <w:r>
        <w:rPr>
          <w:rFonts w:ascii="Times New Roman" w:hAnsi="Times New Roman"/>
          <w:sz w:val="20"/>
        </w:rPr>
        <w:t xml:space="preserve"> </w:t>
      </w:r>
      <w:r>
        <w:rPr>
          <w:rFonts w:ascii="Arial" w:hAnsi="Arial"/>
          <w:b w:val="false"/>
          <w:sz w:val="20"/>
        </w:rPr>
        <w:t>complaint asserts violations of Sections 11 and 15 of the Securities Act of 1933, alleging that that our IPO registration statement was materially false and misleading because it omitted to state that certain of Dr. Kawas’s published doctoral research papers at WSU contained allegedly improperly altered images, that the research was allegedly foundational to Athira’s efforts to develop treatments for Alzheimer’s, that, as a result, and that the defendants’ positive statements about our business, operations, and prospects were materially misleading. The plaintiff seeks unspecified compensatory damages, and reasonable costs and expenses, including attorneys’ fees.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 xml:space="preserve">Also on June 25, 2021, plaintiffs Timothy Slyne and Tai Slyne filed a putative securities class action lawsuit in the U.S. District Court for the Western District of Washington against us, Dr. Kawas, our Chief Financial Officer, and the same members of our board of directors and underwriters as in the </w:t>
      </w:r>
      <w:r>
        <w:rPr>
          <w:rFonts w:ascii="Arial" w:hAnsi="Arial"/>
          <w:b w:val="false"/>
          <w:i/>
          <w:sz w:val="20"/>
        </w:rPr>
        <w:t>Jawandha</w:t>
      </w:r>
      <w:r>
        <w:rPr>
          <w:rFonts w:ascii="Times New Roman" w:hAnsi="Times New Roman"/>
          <w:sz w:val="20"/>
        </w:rPr>
        <w:t xml:space="preserve"> </w:t>
      </w:r>
      <w:r>
        <w:rPr>
          <w:rFonts w:ascii="Arial" w:hAnsi="Arial"/>
          <w:b w:val="false"/>
          <w:sz w:val="20"/>
        </w:rPr>
        <w:t xml:space="preserve">complaint, captioned </w:t>
      </w:r>
      <w:r>
        <w:rPr>
          <w:rFonts w:ascii="Arial" w:hAnsi="Arial"/>
          <w:b w:val="false"/>
          <w:i/>
          <w:sz w:val="20"/>
        </w:rPr>
        <w:t>Slyne v. Athira Pharma, Inc. et al.</w:t>
      </w:r>
      <w:r>
        <w:rPr>
          <w:rFonts w:ascii="Arial" w:hAnsi="Arial"/>
          <w:b w:val="false"/>
          <w:sz w:val="20"/>
        </w:rPr>
        <w:t xml:space="preserve">, No. 2:21-cv-00864. The </w:t>
      </w:r>
      <w:r>
        <w:rPr>
          <w:rFonts w:ascii="Arial" w:hAnsi="Arial"/>
          <w:b w:val="false"/>
          <w:i/>
          <w:sz w:val="20"/>
        </w:rPr>
        <w:t xml:space="preserve">Slyne </w:t>
      </w:r>
      <w:r>
        <w:rPr>
          <w:rFonts w:ascii="Arial" w:hAnsi="Arial"/>
          <w:b w:val="false"/>
          <w:sz w:val="20"/>
        </w:rPr>
        <w:t xml:space="preserve">complaint asserts violations of Sections 11 and 15 of the Securities Act of 1933, alleging that purported issues with Dr. Kawas’s doctoral research at WSU should have been disclosed in our IPO registration statement. The </w:t>
      </w:r>
      <w:r>
        <w:rPr>
          <w:rFonts w:ascii="Arial" w:hAnsi="Arial"/>
          <w:b w:val="false"/>
          <w:i/>
          <w:sz w:val="20"/>
        </w:rPr>
        <w:t>Slyne</w:t>
      </w:r>
      <w:r>
        <w:rPr>
          <w:rFonts w:ascii="Times New Roman" w:hAnsi="Times New Roman"/>
          <w:sz w:val="20"/>
        </w:rPr>
        <w:t xml:space="preserve"> </w:t>
      </w:r>
      <w:r>
        <w:rPr>
          <w:rFonts w:ascii="Arial" w:hAnsi="Arial"/>
          <w:b w:val="false"/>
          <w:sz w:val="20"/>
        </w:rPr>
        <w:t>plaintiffs</w:t>
      </w:r>
      <w:r>
        <w:rPr>
          <w:rFonts w:ascii="Times New Roman" w:hAnsi="Times New Roman"/>
          <w:sz w:val="20"/>
        </w:rPr>
        <w:t xml:space="preserve"> </w:t>
      </w:r>
      <w:r>
        <w:rPr>
          <w:rFonts w:ascii="Arial" w:hAnsi="Arial"/>
          <w:b w:val="false"/>
          <w:sz w:val="20"/>
        </w:rPr>
        <w:t>seek unspecified compensatory damages, reasonable costs and expenses, including attorneys’ fees, and injunctive and other equitable relief.</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 xml:space="preserve">On August 9, 2021, the Honorable Thomas S. Zilly, the district court judge presiding over </w:t>
      </w:r>
      <w:r>
        <w:rPr>
          <w:rFonts w:ascii="Arial" w:hAnsi="Arial"/>
          <w:b w:val="false"/>
          <w:i/>
          <w:sz w:val="20"/>
        </w:rPr>
        <w:t>Wang v. Athira Pharma, Inc., et al.</w:t>
      </w:r>
      <w:r>
        <w:rPr>
          <w:rFonts w:ascii="Arial" w:hAnsi="Arial"/>
          <w:b w:val="false"/>
          <w:sz w:val="20"/>
        </w:rPr>
        <w:t>, No. 2:21-cv-00861, issued an order consolidating the three cases under that case number. On October 5, 2021, the district court issued an order appointing lead plaintiffs and approved their selection of lead and liaison counsel.</w:t>
      </w:r>
    </w:p>
    <w:p>
      <w:pPr>
        <w:pStyle w:val="TextBody"/>
        <w:spacing w:lineRule="auto" w:line="273" w:before="280" w:after="0"/>
        <w:jc w:val="both"/>
        <w:rPr>
          <w:rFonts w:ascii="Times New Roman" w:hAnsi="Times New Roman"/>
          <w:sz w:val="20"/>
        </w:rPr>
      </w:pPr>
      <w:r>
        <w:rPr>
          <w:rFonts w:ascii="Arial" w:hAnsi="Arial"/>
          <w:b w:val="false"/>
          <w:sz w:val="20"/>
        </w:rPr>
        <w:t>On January 7, 2022, lead plaintiffs filed a consolidated amended complaint, which asserts violations of Sections 10(b) and 20(a) of the Securities Exchange Act of 1934 and SEC Rule 10b-5 and Sections 11, 12, and 15 of the Securities Act of 1933. The consolidated amended complaint is brought against us, Dr. Kawas, our chief financial officer, certain members of our board of directors at the time of our IPO and secondary public offering (SPO), and the IPO and SPO underwriters. As with the previous complaints, it is based on allegations that the IPO and SPO registration statements and/or other public statements were materially false and misleading because they omitted to state that certain of Dr. Kawas’s published doctoral research papers at WSU contained allegedly improperly altered images. Lead plaintiffs seek unspecified compensatory damages, as well as equitable and injunctive relief on behalf of themselves and the purported class. On March 8, 2022, the defendants filed a motion to dismiss lead plaintiffs’ consolidated amended complaint for failure to state a claim under the federal securities laws.</w:t>
      </w:r>
      <w:r>
        <w:rPr>
          <w:rFonts w:ascii="Times New Roman" w:hAnsi="Times New Roman"/>
          <w:sz w:val="20"/>
        </w:rPr>
        <w:t xml:space="preserve"> </w:t>
      </w:r>
      <w:r>
        <w:rPr>
          <w:rFonts w:ascii="Arial" w:hAnsi="Arial"/>
          <w:b w:val="false"/>
          <w:sz w:val="20"/>
        </w:rPr>
        <w:t>Lead plaintiffs filed an opposition to the defendants’ motion to dismiss on May 6, 2022. The defendants’ reply in support of their motion to dismiss is due to be filed on June 6, 2022.</w:t>
      </w:r>
    </w:p>
    <w:p>
      <w:pPr>
        <w:pStyle w:val="TextBody"/>
        <w:spacing w:lineRule="auto" w:line="273" w:before="240" w:after="0"/>
        <w:jc w:val="center"/>
        <w:rPr>
          <w:rFonts w:ascii="Arial" w:hAnsi="Arial"/>
          <w:b w:val="false"/>
          <w:sz w:val="20"/>
        </w:rPr>
      </w:pPr>
      <w:r>
        <w:rPr>
          <w:rFonts w:ascii="Arial" w:hAnsi="Arial"/>
          <w:b w:val="false"/>
          <w:sz w:val="20"/>
        </w:rPr>
        <w:t>35</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Arial" w:hAnsi="Arial"/>
          <w:b/>
          <w:sz w:val="20"/>
        </w:rPr>
      </w:pPr>
      <w:r>
        <w:rPr>
          <w:rFonts w:ascii="Arial" w:hAnsi="Arial"/>
          <w:b/>
          <w:sz w:val="20"/>
        </w:rPr>
        <w:t>Shareholder Derivative Actions</w:t>
      </w:r>
    </w:p>
    <w:p>
      <w:pPr>
        <w:pStyle w:val="TextBody"/>
        <w:spacing w:lineRule="auto" w:line="273" w:before="280" w:after="0"/>
        <w:jc w:val="both"/>
        <w:rPr>
          <w:rFonts w:ascii="Times New Roman" w:hAnsi="Times New Roman"/>
          <w:sz w:val="20"/>
        </w:rPr>
      </w:pPr>
      <w:r>
        <w:rPr>
          <w:rFonts w:ascii="Arial" w:hAnsi="Arial"/>
          <w:b w:val="false"/>
          <w:sz w:val="20"/>
        </w:rPr>
        <w:t xml:space="preserve">On April 14, 2022, a shareholder derivative action was filed by plaintiff Stephen Bushansky in the U.S. District Court for the Western District of Washington against certain current and former members of our board of directors, titled </w:t>
      </w:r>
      <w:r>
        <w:rPr>
          <w:rFonts w:ascii="Arial" w:hAnsi="Arial"/>
          <w:b w:val="false"/>
          <w:i/>
          <w:sz w:val="20"/>
        </w:rPr>
        <w:t>Bushansky v. Kawas et al.</w:t>
      </w:r>
      <w:r>
        <w:rPr>
          <w:rFonts w:ascii="Arial" w:hAnsi="Arial"/>
          <w:b w:val="false"/>
          <w:sz w:val="20"/>
        </w:rPr>
        <w:t>, No. 2:22-cv-497. Plaintiff purports to bring the action derivatively on our behalf, and we are a nominal defendant to the action. The derivative complaint alleges that our board of directors breached its fiduciary duties by failing to prevent alleged misstatements in our public filings, failing to discover altered images in certain research papers, and failing to take appropriate action. The derivative complaint asserts claims for violations of Section 14(a) of the Exchange Act as well as claims for breach of fiduciary duty, contribution and indemnification, aiding and abetting, and waste of corporate assets. The derivative complaint seeks unspecified damages, disgorgement of profits, benefits, and other compensation received by the individual defendants, restitution, declaratory relief, and an award of costs and expenses to the derivative plaintiff, including attorneys’ fees.</w:t>
      </w:r>
    </w:p>
    <w:p>
      <w:pPr>
        <w:pStyle w:val="TextBody"/>
        <w:spacing w:lineRule="auto" w:line="273" w:before="280" w:after="0"/>
        <w:jc w:val="both"/>
        <w:rPr>
          <w:rFonts w:ascii="Times New Roman" w:hAnsi="Times New Roman"/>
          <w:sz w:val="20"/>
        </w:rPr>
      </w:pPr>
      <w:r>
        <w:rPr>
          <w:rFonts w:ascii="Arial" w:hAnsi="Arial"/>
          <w:b w:val="false"/>
          <w:sz w:val="20"/>
        </w:rPr>
        <w:t xml:space="preserve">On May 6, 2022, a second shareholder derivative action was filed by plaintiff Thomas Houlihan in the U.S. District Court for the Western District of Washington against certain of our current and former directors and officers, titled </w:t>
      </w:r>
      <w:r>
        <w:rPr>
          <w:rFonts w:ascii="Arial" w:hAnsi="Arial"/>
          <w:b w:val="false"/>
          <w:i/>
          <w:sz w:val="20"/>
        </w:rPr>
        <w:t>Houlihan v. Kawas et al</w:t>
      </w:r>
      <w:r>
        <w:rPr>
          <w:rFonts w:ascii="Arial" w:hAnsi="Arial"/>
          <w:b w:val="false"/>
          <w:sz w:val="20"/>
        </w:rPr>
        <w:t>., No. 2:22-cv-620. Plaintiff purports to bring the action derivatively on our behalf, and we are a nominal defendant to the action. The derivative complaint alleges that certain of our current and former directors and officers breached their fiduciary duties by failing to prevent alleged misstatements in our public filings and failing to take appropriate action regarding altered images in certain research papers. The derivative complaint asserts claims for violations of Section 14(a) of the Exchange Act as well as claims for breach of fiduciary duties, contribution, and indemnification. The derivative complaint seeks unspecified damages, unspecified corporate governance reforms, restitution, and an award of costs and expenses to the derivative plaintiff, including attorneys’ fees.</w:t>
      </w:r>
    </w:p>
    <w:p>
      <w:pPr>
        <w:pStyle w:val="TextBody"/>
        <w:spacing w:lineRule="auto" w:line="273" w:before="280" w:after="0"/>
        <w:jc w:val="both"/>
        <w:rPr>
          <w:rFonts w:ascii="Times New Roman" w:hAnsi="Times New Roman"/>
          <w:sz w:val="20"/>
        </w:rPr>
      </w:pPr>
      <w:r>
        <w:rPr>
          <w:rFonts w:ascii="Arial" w:hAnsi="Arial"/>
          <w:b w:val="false"/>
          <w:sz w:val="20"/>
        </w:rPr>
        <w:t>We cannot predict the outcome of these suits. Failure by us to obtain a favorable resolution of these suits could have a material adverse effect on our business, results of operations and financial condition.</w:t>
      </w:r>
      <w:r>
        <w:rPr>
          <w:rFonts w:ascii="Times New Roman" w:hAnsi="Times New Roman"/>
          <w:sz w:val="20"/>
        </w:rPr>
        <w:t xml:space="preserve"> </w:t>
      </w:r>
    </w:p>
    <w:p>
      <w:pPr>
        <w:pStyle w:val="TextBody"/>
        <w:spacing w:lineRule="auto" w:line="273" w:before="280" w:after="0"/>
        <w:jc w:val="both"/>
        <w:rPr>
          <w:rFonts w:ascii="Arial" w:hAnsi="Arial"/>
          <w:b/>
          <w:sz w:val="20"/>
        </w:rPr>
      </w:pPr>
      <w:bookmarkStart w:id="14" w:name="item_1a_risk_factors"/>
      <w:bookmarkEnd w:id="14"/>
      <w:r>
        <w:rPr>
          <w:rFonts w:ascii="Arial" w:hAnsi="Arial"/>
          <w:b/>
          <w:sz w:val="20"/>
        </w:rPr>
        <w:t>Item 1A. Risk Factors.</w:t>
      </w:r>
    </w:p>
    <w:p>
      <w:pPr>
        <w:pStyle w:val="TextBody"/>
        <w:spacing w:lineRule="auto" w:line="273" w:before="280" w:after="0"/>
        <w:jc w:val="both"/>
        <w:rPr>
          <w:rFonts w:ascii="Times New Roman" w:hAnsi="Times New Roman"/>
          <w:sz w:val="20"/>
        </w:rPr>
      </w:pPr>
      <w:r>
        <w:rPr>
          <w:rFonts w:ascii="Arial" w:hAnsi="Arial"/>
          <w:b w:val="false"/>
          <w:sz w:val="20"/>
        </w:rPr>
        <w:t xml:space="preserve">You should carefully consider the </w:t>
      </w:r>
      <w:r>
        <w:rPr>
          <w:rFonts w:ascii="Arial" w:hAnsi="Arial"/>
          <w:b w:val="false"/>
          <w:i/>
          <w:sz w:val="20"/>
        </w:rPr>
        <w:t xml:space="preserve">following risk factors, in addition to </w:t>
      </w:r>
      <w:r>
        <w:rPr>
          <w:rFonts w:ascii="Arial" w:hAnsi="Arial"/>
          <w:b w:val="false"/>
          <w:sz w:val="20"/>
        </w:rPr>
        <w:t xml:space="preserve">the other information </w:t>
      </w:r>
      <w:r>
        <w:rPr>
          <w:rFonts w:ascii="Arial" w:hAnsi="Arial"/>
          <w:b w:val="false"/>
          <w:i/>
          <w:sz w:val="20"/>
        </w:rPr>
        <w:t>contained in this Quarterly Report on Form 10-Q, or Quarterly Report</w:t>
      </w:r>
      <w:r>
        <w:rPr>
          <w:rFonts w:ascii="Arial" w:hAnsi="Arial"/>
          <w:b w:val="false"/>
          <w:sz w:val="20"/>
        </w:rPr>
        <w:t xml:space="preserve">, including the “Management’s Discussion and Analysis of Financial Condition and Results of Operations” </w:t>
      </w:r>
      <w:r>
        <w:rPr>
          <w:rFonts w:ascii="Arial" w:hAnsi="Arial"/>
          <w:b w:val="false"/>
          <w:i/>
          <w:sz w:val="20"/>
        </w:rPr>
        <w:t>section and our unaudited condensed consolidated financial statements and related notes. If any of the events described in the following risk factors and the risks described elsewhere in this report occurs, our business, operating results and financial condition could be seriously harmed. This Quarterly Report also contains forward-looking statements that involve risks and uncertainties. Our actual results could differ materially from those anticipated in the forward-looking statements as a result of factors that are described below and elsewhere in this Quarterly Report. Our Risk Factors are not guarantees that no such conditions exist as of the date of this Quarterly Report and should not be interpreted as an affirmative statement that such risks or conditions have not materialized, in whole or in part.</w:t>
      </w:r>
    </w:p>
    <w:p>
      <w:pPr>
        <w:pStyle w:val="TextBody"/>
        <w:spacing w:lineRule="auto" w:line="273" w:before="0" w:after="0"/>
        <w:jc w:val="both"/>
        <w:rPr/>
      </w:pPr>
      <w:r>
        <w:rPr/>
        <w:t> </w:t>
      </w:r>
    </w:p>
    <w:p>
      <w:pPr>
        <w:pStyle w:val="TextBody"/>
        <w:spacing w:lineRule="auto" w:line="273" w:before="80" w:after="0"/>
        <w:jc w:val="both"/>
        <w:rPr>
          <w:rFonts w:ascii="Arial" w:hAnsi="Arial"/>
          <w:b/>
          <w:sz w:val="20"/>
        </w:rPr>
      </w:pPr>
      <w:r>
        <w:rPr>
          <w:rFonts w:ascii="Arial" w:hAnsi="Arial"/>
          <w:b/>
          <w:sz w:val="20"/>
        </w:rPr>
        <w:t>Risks Relating to Our Business and the Development of Our Product Candidates</w:t>
      </w:r>
    </w:p>
    <w:p>
      <w:pPr>
        <w:pStyle w:val="TextBody"/>
        <w:spacing w:lineRule="auto" w:line="273" w:before="280" w:after="0"/>
        <w:jc w:val="both"/>
        <w:rPr>
          <w:rFonts w:ascii="Arial" w:hAnsi="Arial"/>
          <w:b/>
          <w:i/>
          <w:sz w:val="20"/>
        </w:rPr>
      </w:pPr>
      <w:r>
        <w:rPr>
          <w:rFonts w:ascii="Arial" w:hAnsi="Arial"/>
          <w:b/>
          <w:i/>
          <w:sz w:val="20"/>
        </w:rPr>
        <w:t>We are a late clinical-stage biopharmaceutical company with a limited operating history.</w:t>
      </w:r>
    </w:p>
    <w:p>
      <w:pPr>
        <w:pStyle w:val="TextBody"/>
        <w:spacing w:lineRule="auto" w:line="273" w:before="280" w:after="0"/>
        <w:jc w:val="both"/>
        <w:rPr>
          <w:rFonts w:ascii="Times New Roman" w:hAnsi="Times New Roman"/>
          <w:sz w:val="20"/>
        </w:rPr>
      </w:pPr>
      <w:r>
        <w:rPr>
          <w:rFonts w:ascii="Arial" w:hAnsi="Arial"/>
          <w:b w:val="false"/>
          <w:sz w:val="20"/>
        </w:rPr>
        <w:t>We are a late clinical-stage biopharmaceutical company focused on developing small molecules to restore neuronal health and stop neurodegeneration. Our limited operating history may make it difficult to evaluate the success of our business. Drug development is a highly uncertain undertaking and involves a substantial degree of risk. To date, we have not initiated or completed a pivotal clinical trial, obtained marketing approval for any product candidate, manufactured a commercial scale product candidate, arranged for a third party to do so on our behalf, or conducted sales and marketing activities necessary for successful product candidate commercialization. Our history as a company makes any assessment of our future success and viability subject to significant uncertainty. We will encounter risks and difficulties frequently experienced by clinical-stage biopharmaceutical companies in rapidly evolving fields, and we have not yet demonstrated an ability to overcome such risks and difficulties successfully. If we do not address these risks and difficulties successfully, our business will suffer.</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val="false"/>
          <w:sz w:val="20"/>
        </w:rPr>
        <w:t>We may fail to or be unable to design and execute clinical trials to support marketing approval of fosgonimeton or any of our other product candidates. We cannot be certain that our current or planned clinical trials or any other future clinical trials will be completed on time or be successful. We cannot guarantee that the U.S. Food and Drug Administration, or FDA, or foreign regulatory authorities will interpret clinical trial results as we do, and more clinical trials could be required before</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36</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Arial" w:hAnsi="Arial"/>
          <w:b w:val="false"/>
          <w:sz w:val="20"/>
        </w:rPr>
      </w:pPr>
      <w:r>
        <w:rPr>
          <w:rFonts w:ascii="Arial" w:hAnsi="Arial"/>
          <w:b w:val="false"/>
          <w:sz w:val="20"/>
        </w:rPr>
        <w:t>we are able to submit applications seeking approval of our product candidates.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product candidates. Even if regulatory approval is secured for any of our product candidates, the terms of such approval may limit the scope and use of our product candidate, which may also limit its commercial potential.</w:t>
      </w:r>
    </w:p>
    <w:p>
      <w:pPr>
        <w:pStyle w:val="TextBody"/>
        <w:spacing w:lineRule="auto" w:line="273" w:before="280" w:after="0"/>
        <w:jc w:val="both"/>
        <w:rPr>
          <w:rFonts w:ascii="Times New Roman" w:hAnsi="Times New Roman"/>
          <w:sz w:val="20"/>
        </w:rPr>
      </w:pPr>
      <w:r>
        <w:rPr>
          <w:rFonts w:ascii="Arial" w:hAnsi="Arial"/>
          <w:b/>
          <w:i/>
          <w:sz w:val="20"/>
        </w:rPr>
        <w:t>Our ability to generate revenue and achieve profitability depends significantly on our ability to achieve a number of objectives.</w:t>
      </w:r>
      <w:r>
        <w:rPr>
          <w:rFonts w:ascii="Times New Roman" w:hAnsi="Times New Roman"/>
          <w:sz w:val="20"/>
        </w:rPr>
        <w:t xml:space="preserve"> </w:t>
      </w:r>
    </w:p>
    <w:p>
      <w:pPr>
        <w:pStyle w:val="TextBody"/>
        <w:spacing w:lineRule="auto" w:line="273" w:before="280" w:after="0"/>
        <w:jc w:val="both"/>
        <w:rPr>
          <w:rFonts w:ascii="Arial" w:hAnsi="Arial"/>
          <w:b w:val="false"/>
          <w:sz w:val="20"/>
        </w:rPr>
      </w:pPr>
      <w:r>
        <w:rPr>
          <w:rFonts w:ascii="Arial" w:hAnsi="Arial"/>
          <w:b w:val="false"/>
          <w:sz w:val="20"/>
        </w:rPr>
        <w:t>Our business depends entirely on the successful discovery, development and commercialization of our product candidates. We have no products approved for commercial sale and do not anticipate generating any revenue from product sales for the next several years, if ever. Our ability to generate product revenue will depend heavily on the successful clinical development and eventual commercialization of fosgonimeton and one or more of our other future product candidates. Our ability to generate revenue and achieve profitability depends significantly on our ability to achieve a number of objectives, including:</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successful and timely completion of nonclinical and clinical development of our product candidates and any future product candidates, as well as the associated costs, including any unforeseen costs we may incur as a result of nonclinical study or clinical trial delays due to COVID-19 or other causes;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establishing and maintaining relationships with contract research organizations, or CROs, and clinical sites for the clinical development, both in the United States and internationally, of our product candidates and any future product candidates;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timely receipt of marketing approvals from applicable regulatory authorities for any product candidates for which we successfully complete clinical development;</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making any required post-marketing approval commitments to applicable regulatory authorities;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developing an efficient and scalable manufacturing process for our product candidates, including obtaining finished products that are appropriately packaged for sale;</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successful commercial launch following any marketing approval, including the development of a commercial infrastructure, whether inhouse or with one or more collaborators;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a continued acceptable safety profile following any marketing approval of our product candidates;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commercial acceptance of our product candidates by patients, the medical community and third-party payors;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identifying, assessing and developing new product candidates;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obtaining, maintaining and expanding patent protection, trade secret protection and regulatory exclusivity, both in the United States and internationally;</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protecting our rights in our intellectual property portfolio;</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defending against third-party interference or infringement claims, if any;</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negotiating favorable terms in any collaboration, licensing or other arrangements that may be necessary or desirable to develop, manufacture or commercialize our product candidates;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obtaining coverage and adequate reimbursement by hospitals, government and third-party payors for product candidates that we develop;</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addressing any competing therapies and technological and market developments; and</w:t>
      </w:r>
    </w:p>
    <w:p>
      <w:pPr>
        <w:pStyle w:val="TextBody"/>
        <w:spacing w:lineRule="auto" w:line="273" w:before="120" w:after="0"/>
        <w:jc w:val="both"/>
        <w:rPr/>
      </w:pPr>
      <w:r>
        <w:rPr/>
        <w:t>•</w:t>
      </w:r>
    </w:p>
    <w:p>
      <w:pPr>
        <w:pStyle w:val="TextBody"/>
        <w:spacing w:lineRule="auto" w:line="273" w:before="120" w:after="283"/>
        <w:jc w:val="both"/>
        <w:rPr>
          <w:rFonts w:ascii="Arial" w:hAnsi="Arial"/>
          <w:b w:val="false"/>
          <w:sz w:val="20"/>
        </w:rPr>
      </w:pPr>
      <w:r>
        <w:rPr>
          <w:rFonts w:ascii="Arial" w:hAnsi="Arial"/>
          <w:b w:val="false"/>
          <w:sz w:val="20"/>
        </w:rPr>
        <w:t>attracting, hiring and retaining qualified personnel.</w:t>
      </w:r>
    </w:p>
    <w:p>
      <w:pPr>
        <w:pStyle w:val="TextBody"/>
        <w:spacing w:lineRule="auto" w:line="273" w:before="280" w:after="0"/>
        <w:jc w:val="both"/>
        <w:rPr>
          <w:rFonts w:ascii="Times New Roman" w:hAnsi="Times New Roman"/>
          <w:sz w:val="20"/>
        </w:rPr>
      </w:pPr>
      <w:r>
        <w:rPr>
          <w:rFonts w:ascii="Arial" w:hAnsi="Arial"/>
          <w:b w:val="false"/>
          <w:sz w:val="20"/>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may decrease the value of our</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37</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Arial" w:hAnsi="Arial"/>
          <w:b w:val="false"/>
          <w:sz w:val="20"/>
        </w:rPr>
      </w:pPr>
      <w:r>
        <w:rPr>
          <w:rFonts w:ascii="Arial" w:hAnsi="Arial"/>
          <w:b w:val="false"/>
          <w:sz w:val="20"/>
        </w:rPr>
        <w:t>company and could impair our ability to maintain or further our research and development efforts, raise additional necessary capital, grow our business and continue our operations.</w:t>
      </w:r>
    </w:p>
    <w:p>
      <w:pPr>
        <w:pStyle w:val="TextBody"/>
        <w:spacing w:lineRule="auto" w:line="273" w:before="280" w:after="0"/>
        <w:jc w:val="both"/>
        <w:rPr>
          <w:rFonts w:ascii="Arial" w:hAnsi="Arial"/>
          <w:b w:val="false"/>
          <w:sz w:val="20"/>
        </w:rPr>
      </w:pPr>
      <w:r>
        <w:rPr>
          <w:rFonts w:ascii="Arial" w:hAnsi="Arial"/>
          <w:b w:val="false"/>
          <w:sz w:val="20"/>
        </w:rPr>
        <w:t>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Changes in the manufacturing process or facilities will require further comparability analysis and approval by the FDA before implementation, which could delay our clinical trials and product candidate development, and could require additional clinical trials, including bridging studies, to demonstrate consistent and continued safety and efficacy.</w:t>
      </w:r>
    </w:p>
    <w:p>
      <w:pPr>
        <w:pStyle w:val="TextBody"/>
        <w:spacing w:lineRule="auto" w:line="273" w:before="280" w:after="0"/>
        <w:jc w:val="both"/>
        <w:rPr>
          <w:rFonts w:ascii="Arial" w:hAnsi="Arial"/>
          <w:b w:val="false"/>
          <w:sz w:val="20"/>
        </w:rPr>
      </w:pPr>
      <w:r>
        <w:rPr>
          <w:rFonts w:ascii="Arial" w:hAnsi="Arial"/>
          <w:b w:val="false"/>
          <w:sz w:val="20"/>
        </w:rPr>
        <w:t>We have not previously submitted a new drug application, or NDA, to the FDA or similar approval filings to a comparable foreign regulatory authority, for any product candidate. An NDA or other relevant regulatory filing must include extensive nonclinical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w:t>
      </w:r>
    </w:p>
    <w:p>
      <w:pPr>
        <w:pStyle w:val="TextBody"/>
        <w:spacing w:lineRule="auto" w:line="273" w:before="280" w:after="0"/>
        <w:jc w:val="both"/>
        <w:rPr>
          <w:rFonts w:ascii="Times New Roman" w:hAnsi="Times New Roman"/>
          <w:sz w:val="20"/>
        </w:rPr>
      </w:pPr>
      <w:r>
        <w:rPr>
          <w:rFonts w:ascii="Arial" w:hAnsi="Arial"/>
          <w:b/>
          <w:i/>
          <w:sz w:val="20"/>
        </w:rPr>
        <w:t>Our development of fosgonimeton may never lead to a marketable product.</w:t>
      </w:r>
      <w:r>
        <w:rPr>
          <w:rFonts w:ascii="Times New Roman" w:hAnsi="Times New Roman"/>
          <w:sz w:val="20"/>
        </w:rPr>
        <w:t xml:space="preserve"> </w:t>
      </w:r>
    </w:p>
    <w:p>
      <w:pPr>
        <w:pStyle w:val="TextBody"/>
        <w:spacing w:lineRule="auto" w:line="273" w:before="280" w:after="0"/>
        <w:jc w:val="both"/>
        <w:rPr>
          <w:rFonts w:ascii="Arial" w:hAnsi="Arial"/>
          <w:b w:val="false"/>
          <w:sz w:val="20"/>
        </w:rPr>
      </w:pPr>
      <w:r>
        <w:rPr>
          <w:rFonts w:ascii="Arial" w:hAnsi="Arial"/>
          <w:b w:val="false"/>
          <w:sz w:val="20"/>
        </w:rPr>
        <w:t>We are developing fosgonimeton as a small molecule aimed at restoring neuronal health. We have not received regulatory approval for fosgonimeton and cannot be certain that our approach will lead to the development of an approvable or marketable product, alone or in combination with other therapies. We may not succeed in demonstrating safety and efficacy of fosgonimeton in our LIFT-AD trial or in other clinical trials.</w:t>
      </w:r>
    </w:p>
    <w:p>
      <w:pPr>
        <w:pStyle w:val="TextBody"/>
        <w:spacing w:lineRule="auto" w:line="273" w:before="280" w:after="0"/>
        <w:jc w:val="both"/>
        <w:rPr>
          <w:rFonts w:ascii="Arial" w:hAnsi="Arial"/>
          <w:b w:val="false"/>
          <w:sz w:val="20"/>
        </w:rPr>
      </w:pPr>
      <w:r>
        <w:rPr>
          <w:rFonts w:ascii="Arial" w:hAnsi="Arial"/>
          <w:b w:val="false"/>
          <w:sz w:val="20"/>
        </w:rPr>
        <w:t>Advancing fosgonimeton as a small molecule aimed at restoring neuronal health creates significant challenges for us, including:</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obtaining marketing approval;</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if fosgonimeton is approved, educating medical personnel regarding the potential efficacy and safety benefits, as well as the challenges, of incorporating fosgonimeton into existing treatment regimens, including in combination with other treatments for AD; and</w:t>
      </w:r>
    </w:p>
    <w:p>
      <w:pPr>
        <w:pStyle w:val="TextBody"/>
        <w:spacing w:lineRule="auto" w:line="247" w:before="120" w:after="0"/>
        <w:jc w:val="both"/>
        <w:rPr/>
      </w:pPr>
      <w:r>
        <w:rPr/>
        <w:t>•</w:t>
      </w:r>
    </w:p>
    <w:p>
      <w:pPr>
        <w:pStyle w:val="TextBody"/>
        <w:spacing w:lineRule="auto" w:line="247" w:before="120" w:after="283"/>
        <w:jc w:val="both"/>
        <w:rPr>
          <w:rFonts w:ascii="Arial" w:hAnsi="Arial"/>
          <w:b w:val="false"/>
          <w:sz w:val="20"/>
        </w:rPr>
      </w:pPr>
      <w:r>
        <w:rPr>
          <w:rFonts w:ascii="Arial" w:hAnsi="Arial"/>
          <w:b w:val="false"/>
          <w:sz w:val="20"/>
        </w:rPr>
        <w:t>establishing the sales and marketing capabilities upon obtaining any marketing approvals to gain market acceptance.</w:t>
      </w:r>
    </w:p>
    <w:p>
      <w:pPr>
        <w:pStyle w:val="TextBody"/>
        <w:spacing w:lineRule="auto" w:line="247" w:before="280" w:after="0"/>
        <w:jc w:val="both"/>
        <w:rPr>
          <w:rFonts w:ascii="Times New Roman" w:hAnsi="Times New Roman"/>
          <w:sz w:val="20"/>
        </w:rPr>
      </w:pPr>
      <w:r>
        <w:rPr>
          <w:rFonts w:ascii="Arial" w:hAnsi="Arial"/>
          <w:b/>
          <w:i/>
          <w:sz w:val="20"/>
        </w:rPr>
        <w:t>Our approach to targeting brain growth factors through the use of small molecules is based on a novel therapeutic approach, which exposes us to unforeseen risks. We have limited data from our Phase 1a/1b clinical trial, including only 11 patients with mild to moderate AD, and we cannot be certain that future trials will yield similar data. In addition, our use of EEG methods to gather data requires placement of electrodes on a subject’s scalp and, if not properly placed, we may be unable to obtain the data sought or data obtained may be unreliable.</w:t>
      </w:r>
      <w:r>
        <w:rPr>
          <w:rFonts w:ascii="Times New Roman" w:hAnsi="Times New Roman"/>
          <w:sz w:val="20"/>
        </w:rPr>
        <w:t xml:space="preserve"> </w:t>
      </w:r>
    </w:p>
    <w:p>
      <w:pPr>
        <w:pStyle w:val="TextBody"/>
        <w:spacing w:lineRule="auto" w:line="247" w:before="280" w:after="0"/>
        <w:jc w:val="both"/>
        <w:rPr>
          <w:rFonts w:ascii="Times New Roman" w:hAnsi="Times New Roman"/>
          <w:sz w:val="20"/>
        </w:rPr>
      </w:pPr>
      <w:r>
        <w:rPr>
          <w:rFonts w:ascii="Arial" w:hAnsi="Arial"/>
          <w:b w:val="false"/>
          <w:sz w:val="20"/>
        </w:rPr>
        <w:t>We have discovered and are developing a platform of small molecule product candidates from which we have selected our lead product candidate, fosgonimeton, which is under development to treat Alzheimer’s disease, or AD, and Parkinson’s disease dementia, or PDD. Our product candidates target a brain growth factor which is expected to increase synaptic density, recovery in the network and information transmission in the brain, which we believe could ultimately result in improvement in cognition and clinical symptoms. The therapeutic promise of brain growth factors in neurodegenerative disorders had been hampered in earlier therapies by the lack of efficient and non-invasive delivery to the brain. Our small molecule product candidates are designed to penetrate the blood brain barrier and enhance the activity of a brain growth factor, but we cannot be certain that our clinical trials will provide sufficient evidence that our design approach results in the intended therapeutic effect.</w:t>
      </w:r>
      <w:r>
        <w:rPr>
          <w:rFonts w:ascii="Times New Roman" w:hAnsi="Times New Roman"/>
          <w:sz w:val="20"/>
        </w:rPr>
        <w:t xml:space="preserve"> </w:t>
      </w:r>
    </w:p>
    <w:p>
      <w:pPr>
        <w:pStyle w:val="TextBody"/>
        <w:spacing w:lineRule="auto" w:line="247" w:before="280" w:after="0"/>
        <w:jc w:val="both"/>
        <w:rPr>
          <w:rFonts w:ascii="Times New Roman" w:hAnsi="Times New Roman"/>
          <w:sz w:val="20"/>
        </w:rPr>
      </w:pPr>
      <w:r>
        <w:rPr>
          <w:rFonts w:ascii="Arial" w:hAnsi="Arial"/>
          <w:b w:val="false"/>
          <w:sz w:val="20"/>
        </w:rPr>
        <w:t>Based on the results of our nonclinical and clinical studies to date, we believe fosgonimeton has the potential to rapidly improve cognition and durably restore the lives of patients suffering from AD. However, these ideas and this approach are novel, and we currently have limited data based on our Phase 1a/b clinical trial, which enrolled 88 subjects, including only 11 patients with mild to moderate AD, of whom seven patients were treated with fosgonimeton and the other four patients</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38</w:t>
      </w:r>
    </w:p>
    <w:p>
      <w:pPr>
        <w:pStyle w:val="HorizontalLine"/>
        <w:rPr/>
      </w:pPr>
      <w:r>
        <w:rPr/>
      </w:r>
    </w:p>
    <w:p>
      <w:pPr>
        <w:pStyle w:val="TextBody"/>
        <w:spacing w:lineRule="auto" w:line="273" w:before="0" w:after="0"/>
        <w:jc w:val="left"/>
        <w:rPr/>
      </w:pPr>
      <w:r>
        <w:rPr/>
        <w:t> </w:t>
      </w:r>
    </w:p>
    <w:p>
      <w:pPr>
        <w:pStyle w:val="TextBody"/>
        <w:spacing w:lineRule="auto" w:line="247" w:before="280" w:after="0"/>
        <w:jc w:val="both"/>
        <w:rPr>
          <w:rFonts w:ascii="Arial" w:hAnsi="Arial"/>
          <w:b w:val="false"/>
          <w:sz w:val="20"/>
        </w:rPr>
      </w:pPr>
      <w:r>
        <w:rPr>
          <w:rFonts w:ascii="Arial" w:hAnsi="Arial"/>
          <w:b w:val="false"/>
          <w:sz w:val="20"/>
        </w:rPr>
        <w:t>were randomized to the control. Data from our Phase 1a/1b clinical trial, while promising, were obtained from a relatively small number of subjects and a single clinical site and we cannot be certain that future trials involving a larger number of subjects and clinical sites will yield similar data. Additionally, in our Phase 1a/1b clinical trial, we used electroencephalogram, or EEG, methods to gather data that we believe provide valuable insight into cognitive processing of the subjects evaluated. These EEG methods require the placement of electrodes on a subject’s scalp and, if these electrodes are not properly placed, we may be unable to obtain the data sought or the data obtained may be compromised and unreliable. In our Phase 1a/1b clinical trial, data from certain subjects were not obtained due to problems encountered with the placement of the EEG electrodes and other technical issues, such as subject movement. While we believe the lack of data from these subjects did not impact the reliability or interpretation of the remaining data from this trial, we may in the future face similar issues with EEG methods, which could compromise future clinical trial results. We may ultimately discover that fosgonimeton, or any of our other small molecules, do not possess certain properties required for therapeutic effectiveness. We have no long-term evidence regarding the efficacy, safety and tolerability of fosgonimeton or other small molecules in our product platform. We may spend substantial funds attempting to develop these product candidates and never succeed in doing so.</w:t>
      </w:r>
    </w:p>
    <w:p>
      <w:pPr>
        <w:pStyle w:val="TextBody"/>
        <w:spacing w:lineRule="auto" w:line="247" w:before="280" w:after="0"/>
        <w:jc w:val="both"/>
        <w:rPr>
          <w:rFonts w:ascii="Times New Roman" w:hAnsi="Times New Roman"/>
          <w:sz w:val="20"/>
        </w:rPr>
      </w:pPr>
      <w:r>
        <w:rPr>
          <w:rFonts w:ascii="Arial" w:hAnsi="Arial"/>
          <w:b/>
          <w:i/>
          <w:sz w:val="20"/>
        </w:rPr>
        <w:t>We have concentrated our research and development efforts on the treatment of central nervous system and peripheral degenerative disorders, a field that has seen very limited success in product development.</w:t>
      </w:r>
      <w:r>
        <w:rPr>
          <w:rFonts w:ascii="Times New Roman" w:hAnsi="Times New Roman"/>
          <w:sz w:val="20"/>
        </w:rPr>
        <w:t xml:space="preserve"> </w:t>
      </w:r>
    </w:p>
    <w:p>
      <w:pPr>
        <w:pStyle w:val="TextBody"/>
        <w:spacing w:lineRule="auto" w:line="273" w:before="280" w:after="0"/>
        <w:jc w:val="both"/>
        <w:rPr>
          <w:rFonts w:ascii="Arial" w:hAnsi="Arial"/>
          <w:b w:val="false"/>
          <w:sz w:val="20"/>
        </w:rPr>
      </w:pPr>
      <w:r>
        <w:rPr>
          <w:rFonts w:ascii="Arial" w:hAnsi="Arial"/>
          <w:b w:val="false"/>
          <w:sz w:val="20"/>
        </w:rPr>
        <w:t>We have focused our research and development efforts on addressing central nervous system, or CNS, and peripheral degenerative disorders. Collectively, efforts by pharmaceutical companies in the field of CNS and peripheral degenerative disorders have seen very limited successes in product development. The development of CNS therapies presents unique challenges, including an imperfect understanding of the biology, the presence of the blood brain barrier, or BBB, that can restrict the flow of drugs to the brain, a frequent lack of translatability of preclinical study results in subsequent clinical trials and dose selection, and the product candidate having an effect that may be too small to be detected using the outcome measures selected in clinical trials or if the outcomes measured do not reach statistical significance. There are few effective therapeutic options available for patients with AD and other CNS or peripheral disorders. Our future success is highly dependent on the successful development of our technology and our product candidates for treating CNS and peripheral disorders. Developing and, if approved, commercializing our product candidates for treatment of CNS and peripheral disorders subjects us to a number of challenges, including ensuring that we have selected the optimal doses, executing an appropriate clinical trial to test for efficacy and obtaining regulatory approval from the FDA and other regulatory authorities.</w:t>
      </w:r>
    </w:p>
    <w:p>
      <w:pPr>
        <w:pStyle w:val="TextBody"/>
        <w:spacing w:lineRule="auto" w:line="273" w:before="280" w:after="0"/>
        <w:jc w:val="both"/>
        <w:rPr>
          <w:rFonts w:ascii="Times New Roman" w:hAnsi="Times New Roman"/>
          <w:sz w:val="20"/>
        </w:rPr>
      </w:pPr>
      <w:r>
        <w:rPr>
          <w:rFonts w:ascii="Arial" w:hAnsi="Arial"/>
          <w:b/>
          <w:i/>
          <w:sz w:val="20"/>
        </w:rPr>
        <w:t>An independent special committee of our board of directors engaged in a review of papers co-authored by our former chief executive officer in connection with her doctoral research at Washington State University. The special committee’s findings included that (i) our former chief executive office altered images in her 2011 doctoral dissertation and at least four research papers that she co-authored while a graduate student at Washington State University, and published from 2011 to 2014, (ii) that we cited challenged research papers in certain communications and applications, and (iii) that WSU’s dihexa patent, exclusively licensed to us, incorporated certain of these altered images. Washington State University has undertaken a review of claims of potential research misconduct involving our former chief executive officer’s doctoral research at Washington State University. We cannot predict when WSU’s investigation will be completed or what conclusions WSU will reach.</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val="false"/>
          <w:sz w:val="20"/>
        </w:rPr>
        <w:t>An independent special committee of our board of directors engaged in a review of papers co-authored by our former chief executive officer, Dr. Leen Kawas, in connection with her doctoral research at WSU, including, among other things, an investigation of allegations that Dr. Kawas altered images used in research published by Dr. Kawas in connection with her doctoral studies.</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val="false"/>
          <w:sz w:val="20"/>
        </w:rPr>
        <w:t>The independent special committee’s primary finding was that our former chief executive officer altered images in her 2011 doctoral dissertation and at least four research papers that she co-authored while a graduate student at WSU, and published from 2011 to 2014. While the conduct that was the subject of the allegations is not related to any of our current product candidates or ongoing clinical research, this finding could have a material adverse effect on our reputation, our in-licensed patents and pending patent applications, licenses and grants, and could lead to further investigation from government agencies, including the FDA, any of which could have a material adverse impact on our business and prospects. As discussed under “</w:t>
      </w:r>
      <w:r>
        <w:rPr>
          <w:rFonts w:ascii="Times New Roman" w:hAnsi="Times New Roman"/>
          <w:sz w:val="20"/>
        </w:rPr>
        <w:t>—</w:t>
      </w:r>
      <w:r>
        <w:rPr>
          <w:rFonts w:ascii="Arial" w:hAnsi="Arial"/>
          <w:b w:val="false"/>
          <w:i/>
          <w:sz w:val="20"/>
        </w:rPr>
        <w:t>The loss of any of our key personnel could significantly harm our business, results of operations and competitive position,</w:t>
      </w:r>
      <w:r>
        <w:rPr>
          <w:rFonts w:ascii="Times New Roman" w:hAnsi="Times New Roman"/>
          <w:sz w:val="20"/>
        </w:rPr>
        <w:t xml:space="preserve">” </w:t>
      </w:r>
      <w:r>
        <w:rPr>
          <w:rFonts w:ascii="Arial" w:hAnsi="Arial"/>
          <w:b w:val="false"/>
          <w:sz w:val="20"/>
        </w:rPr>
        <w:t>on October 18, 2021, Dr. Kawas submitted her resignation as president and chief executive officer and as a member of our board of directors, effective October 18, 2021. Concurrently with Dr. Kawas’s resignation, our board of directors appointed Mark Litton, Ph.D., MBA as president and chief executive officer and as a member of our board of directors.</w:t>
      </w:r>
    </w:p>
    <w:p>
      <w:pPr>
        <w:pStyle w:val="TextBody"/>
        <w:spacing w:lineRule="auto" w:line="273" w:before="280" w:after="0"/>
        <w:jc w:val="both"/>
        <w:rPr>
          <w:rFonts w:ascii="Times New Roman" w:hAnsi="Times New Roman"/>
          <w:sz w:val="20"/>
        </w:rPr>
      </w:pPr>
      <w:r>
        <w:rPr>
          <w:rFonts w:ascii="Arial" w:hAnsi="Arial"/>
          <w:b w:val="false"/>
          <w:sz w:val="20"/>
        </w:rPr>
        <w:t>As disclosed elsewhere in this report, including in this “Risk Factors” section under the heading “</w:t>
      </w:r>
      <w:r>
        <w:rPr>
          <w:rFonts w:ascii="Times New Roman" w:hAnsi="Times New Roman"/>
          <w:sz w:val="20"/>
        </w:rPr>
        <w:t>—</w:t>
      </w:r>
      <w:r>
        <w:rPr>
          <w:rFonts w:ascii="Arial" w:hAnsi="Arial"/>
          <w:b w:val="false"/>
          <w:i/>
          <w:sz w:val="20"/>
        </w:rPr>
        <w:t>We and certain of our directors and executive officers have been named as defendants in lawsuits that could result in substantial costs and</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39</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Times New Roman" w:hAnsi="Times New Roman"/>
          <w:sz w:val="20"/>
        </w:rPr>
      </w:pPr>
      <w:r>
        <w:rPr>
          <w:rFonts w:ascii="Arial" w:hAnsi="Arial"/>
          <w:b w:val="false"/>
          <w:i/>
          <w:sz w:val="20"/>
        </w:rPr>
        <w:t>divert management’s attention</w:t>
      </w:r>
      <w:r>
        <w:rPr>
          <w:rFonts w:ascii="Arial" w:hAnsi="Arial"/>
          <w:b w:val="false"/>
          <w:sz w:val="20"/>
        </w:rPr>
        <w:t>,” and in “Part II, Item 1—Legal Proceedings,” lawsuits have been filed against us and certain of our directors and officers, alleging violations of federal securities laws related to alleged false and misleading statements in connection with the alleged misconduct of Dr. Kawas and others associated with us. As a result of these allegations and the ongoing litigation against us and certain of our directors and officers and related matters, we have been the subject of negative publicity. This negative publicity may harm our credibility, reputation and relationships with current and future investors, government regulators, patent offices, courts, current and prospective employees, key opinion leaders, prospective collaborators, advocacy groups, current and future patients enrolled in our clinical trials, physicians and prospective patients and vendors. For example, this negative publicity may adversely affect</w:t>
      </w:r>
      <w:r>
        <w:rPr>
          <w:rFonts w:ascii="Times New Roman" w:hAnsi="Times New Roman"/>
          <w:sz w:val="20"/>
        </w:rPr>
        <w:t xml:space="preserve"> </w:t>
      </w:r>
      <w:r>
        <w:rPr>
          <w:rFonts w:ascii="Arial" w:hAnsi="Arial"/>
          <w:b w:val="false"/>
          <w:sz w:val="20"/>
        </w:rPr>
        <w:t>our ability to recruit and hire talented employees, maintain existing business relationships with CROs, clinical trial sites and other parties, enter into new business relationships, enroll patients in our clinical trials, and maintain a viable business in the future. Also, it is possible that the negative publicity and its effect on our work environment could cause our employees to terminate their employment or, if they remain employed by us, result in reduced morale that could have a material adverse effect on our business. In addition, negative publicity has and may continue to adversely affect our stock price and, therefore, employees and prospective employees may be less inclined to seek or continue employment with us. As a result, our business, financial condition, results of operations and cash flows could be materially adversely affected.</w:t>
      </w:r>
    </w:p>
    <w:p>
      <w:pPr>
        <w:pStyle w:val="TextBody"/>
        <w:spacing w:lineRule="auto" w:line="273" w:before="280" w:after="0"/>
        <w:jc w:val="both"/>
        <w:rPr>
          <w:rFonts w:ascii="Times New Roman" w:hAnsi="Times New Roman"/>
          <w:sz w:val="20"/>
        </w:rPr>
      </w:pPr>
      <w:r>
        <w:rPr>
          <w:rFonts w:ascii="Arial" w:hAnsi="Arial"/>
          <w:b/>
          <w:i/>
          <w:sz w:val="20"/>
        </w:rPr>
        <w:t>Washington State University has undertaken a review of claims of potential research misconduct involving our former chief executive officer’s doctoral research at Washington State University.</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val="false"/>
          <w:sz w:val="20"/>
        </w:rPr>
        <w:t>In addition to the investigation of the independent special committee of our board of directors noted above, WSU has also announced that it has undertaken a review of claims of potential research misconduct involving research conducted by Dr. Kawas during her doctoral studies at WSU. We understand this review is ongoing, and at this time we cannot predict what, if any, effect the investigation will ultimately have on our business and reputation. We are also unable to predict with any certainty when WSU’s investigation will be completed. It is possible that the ongoing investigation by WSU will come to different conclusions, or uncover additional or different information, than the investigation of the independent special committee of our board of directors, the conclusions of which are discussed under “—</w:t>
      </w:r>
      <w:r>
        <w:rPr>
          <w:rFonts w:ascii="Arial" w:hAnsi="Arial"/>
          <w:b w:val="false"/>
          <w:i/>
          <w:sz w:val="20"/>
        </w:rPr>
        <w:t>An independent special committee of our board of directors engaged in a review of papers co-authored by our former chief executive officer in connection with her doctoral research at Washington State University. The special committee’s findings included that (i) our former chief executive office altered images in her 2011 doctoral dissertation and at least four research papers that she co-authored while a graduate student at Washington State University, and published from 2011 to 2014, (ii) that we cited challenged research papers in certain communications and applications, and (iii) that WSU’s dihexa patent, exclusively licensed to us, incorporated certain of these altered images. Washington State University has undertaken a review of claims of potential research misconduct involving our former chief executive officer’s doctoral research at Washington State University. We cannot predict when WSU’s investigation will be completed or what conclusions WSU will reach</w:t>
      </w:r>
      <w:r>
        <w:rPr>
          <w:rFonts w:ascii="Times New Roman" w:hAnsi="Times New Roman"/>
          <w:sz w:val="20"/>
        </w:rPr>
        <w:t>”</w:t>
      </w:r>
      <w:r>
        <w:rPr>
          <w:rFonts w:ascii="Arial" w:hAnsi="Arial"/>
          <w:b w:val="false"/>
          <w:sz w:val="20"/>
        </w:rPr>
        <w:t>. The conclusions from WSU’s investigation could have a material adverse impact on our business, reputation, scientific credibility, and prospects, as well as our in-licensed patents and pending patent applications, current grants and pending grant applications, and our relationship with WSU, from whom we in-license patents and patent applications underlying certain of our product candidates.</w:t>
      </w:r>
    </w:p>
    <w:p>
      <w:pPr>
        <w:pStyle w:val="TextBody"/>
        <w:spacing w:lineRule="auto" w:line="273" w:before="280" w:after="0"/>
        <w:jc w:val="both"/>
        <w:rPr>
          <w:rFonts w:ascii="Times New Roman" w:hAnsi="Times New Roman"/>
          <w:sz w:val="20"/>
        </w:rPr>
      </w:pPr>
      <w:r>
        <w:rPr>
          <w:rFonts w:ascii="Arial" w:hAnsi="Arial"/>
          <w:b/>
          <w:i/>
          <w:sz w:val="20"/>
        </w:rPr>
        <w:t>Clinical development involves a lengthy and expensive process with an uncertain outcome, and results of early, smaller-scale preclinical studies and clinical trials with a single or few clinical trial sites may not be predictive of eventual safety or effectiveness in large-scale pivotal clinical trials across multiple clinical trial sites. We may encounter substantial delays in clinical trials, or may not be able to conduct or complete clinical trials on the expected timelines, if at all.</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val="false"/>
          <w:sz w:val="20"/>
        </w:rPr>
        <w:t>Our lead product candidate, fosgonimeton, is in clinical development for the potential treatment of AD and PDD and ATH-1020, an orally available, brain-penetrant small molecule for neuropsychiatric conditions, is in a Phase 1 clinical trial. Our additional product candidate, ATH-1019, is in nonclinical development. It is impossible to predict when or if any of our product candidates will prove to be effective and safe in humans or will receive regulatory approval.</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val="false"/>
          <w:sz w:val="20"/>
        </w:rPr>
        <w:t>Before obtaining regulatory approvals for the commercial sale of our product candidates, we must demonstrate through lengthy, complex and expensive nonclinical studies and clinical trials that our product candidates are both safe and effective for each target indication. Nonclinical and clinical testing is expensive and can take many years to complete, and its outcome is inherently uncertain. Failure can occur at any time during the nonclinical study and clinical trial processes, and, because our product candidates are in an early stage of development, there is a high risk of failure and we may never succeed in developing marketable products. The results of nonclinical studies and early clinical trials of our product candidates may not be predictive of the results of later-stage clinical trials. Although product candidates may demonstrate promising results in nonclinical studies and early clinical trials, they may not prove to be safe or effective in subsequent clinical trials. For</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40</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Times New Roman" w:hAnsi="Times New Roman"/>
          <w:sz w:val="20"/>
        </w:rPr>
      </w:pPr>
      <w:r>
        <w:rPr>
          <w:rFonts w:ascii="Arial" w:hAnsi="Arial"/>
          <w:b w:val="false"/>
          <w:sz w:val="20"/>
        </w:rPr>
        <w:t>example, testing on animals occurs under different conditions than testing in humans and therefore, the results of animal studies may not accurately predict safety and effectiveness in humans. There is typically an extremely high rate of attrition from the failure of product candidates proceeding through nonclinical studies and clinical trials. Product candidates in later stages of clinical trials may fail to show the desired safety and efficacy profile despite having progressed through nonclinical studies and initial clinical trials. Likewise, early, smaller-scale studies and clinical trials with a single or few clinical trial sites may not be predictive of eventual safety or effectiveness in large-scale pivotal clinical trials across multiple clinical trial sites. Even if data from a pivotal clinical trial are positive, regulators may not agree that such data are sufficient for approval and may require that we conduct additional clinical trials, which could materially delay our anticipated development timelines, require additional funding for such additional clinical trials, and adversely impact our business. For example, LIFT-AD is a trial that we initiated in September 2020, which may provide pivotal data in support of registration. In November 2020, we initiated ACT-AD, a P300 Phase 2 clinical trial, to better understand the overall effects of fosgonimeton on working memory processing speed and cognitive measures, with topline results expected by the end of the second quarter of 2022. These data will help support strategic decisions around any additional pivotal trials that we may initiate in parallel to the LIFT-AD trial if the results from the ACT-AD P300 Phase 2 clinical trial do not meet our expectations. However, even if we receive positive data in our ACT</w:t>
        <w:noBreakHyphen/>
        <w:t>AD and LIFT-AD trials, we cannot be certain that the FDA or other regulators will find such data sufficient for approval of fosgonimeton. Our ability to achieve regulatory approval for fosgonimeton is further complicated by the nature of AD, which historically has been a challenging indication for drug development. A number of companies in the biopharmaceutical industry have suffered significant setbacks in advanced clinical trials due to lack of efficacy or unacceptable safety issues, notwithstanding promising results in earlier trials. Most product candidates that commence nonclinical studies and clinical trials are never approved as products.</w:t>
      </w:r>
      <w:r>
        <w:rPr>
          <w:rFonts w:ascii="Times New Roman" w:hAnsi="Times New Roman"/>
          <w:sz w:val="20"/>
        </w:rPr>
        <w:t xml:space="preserve"> </w:t>
      </w:r>
    </w:p>
    <w:p>
      <w:pPr>
        <w:pStyle w:val="TextBody"/>
        <w:spacing w:lineRule="auto" w:line="273" w:before="280" w:after="0"/>
        <w:jc w:val="both"/>
        <w:rPr>
          <w:rFonts w:ascii="Arial" w:hAnsi="Arial"/>
          <w:b w:val="false"/>
          <w:sz w:val="20"/>
        </w:rPr>
      </w:pPr>
      <w:r>
        <w:rPr>
          <w:rFonts w:ascii="Arial" w:hAnsi="Arial"/>
          <w:b w:val="false"/>
          <w:sz w:val="20"/>
        </w:rPr>
        <w:t>In some instances, there can be significant variability in safety or efficacy results between different nonclinical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 Results of our clinical trials could reveal a high and unacceptable severity and prevalence of side effects. In such an event, our clinical trials could be suspended or terminated and the FDA or comparable foreign regulatory authorities could order us to cease further development of or deny approval of our product candidates for any or all targeted indications. Drug-related side effects could also affect patient recruitment or the ability of enrolled patients to complete the clinical trial or result in potential product liability claims. Any of these occurrences may harm our business, financial condition and prospects significantly.</w:t>
      </w:r>
    </w:p>
    <w:p>
      <w:pPr>
        <w:pStyle w:val="TextBody"/>
        <w:spacing w:lineRule="auto" w:line="273" w:before="280" w:after="0"/>
        <w:jc w:val="both"/>
        <w:rPr>
          <w:rFonts w:ascii="Arial" w:hAnsi="Arial"/>
          <w:b w:val="false"/>
          <w:sz w:val="20"/>
        </w:rPr>
      </w:pPr>
      <w:r>
        <w:rPr>
          <w:rFonts w:ascii="Arial" w:hAnsi="Arial"/>
          <w:b w:val="false"/>
          <w:sz w:val="20"/>
        </w:rPr>
        <w:t>On July 6, 2021, we announced the initiation of an open-label extension for the LIFT-AD and ACT-AD trials and in May 2022 we announced the extension of the open label extension for an additional 12 months. Following completion of the 26-week treatment period during the LIFT-AD or ACT-AD trials, patients may elect to continue on the open-label extension and receive treatment with fosgonimeton for up to an additional 18 months. Investigators and patients will remain blinded to treatment group assignment in the original trials. Such open-label extension studies are, and some of the clinical trials we conduct in the future may be, open-label in study design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pStyle w:val="TextBody"/>
        <w:spacing w:lineRule="auto" w:line="273" w:before="280" w:after="0"/>
        <w:jc w:val="both"/>
        <w:rPr>
          <w:rFonts w:ascii="Arial" w:hAnsi="Arial"/>
          <w:b w:val="false"/>
          <w:sz w:val="20"/>
        </w:rPr>
      </w:pPr>
      <w:r>
        <w:rPr>
          <w:rFonts w:ascii="Arial" w:hAnsi="Arial"/>
          <w:b w:val="false"/>
          <w:sz w:val="20"/>
        </w:rPr>
        <w:t>We could also encounter delays if a clinical trial is suspended or terminated by us, by the institutional review boards, or IRBs, of the institutions in which such clinical trials are being conducted, by a data safety monitoring board for such clinical trial or by the FDA or comparable foreign regulatory authorities. Clinical trials can be delayed or terminated for a variety of reasons, including delays or failures related to:</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FDA or comparable foreign regulatory authorities disagreeing as to the design or implementation of our clinical trials;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FDA or comparable foreign regulatory authorities disagreeing with our ATH clinical development strategy or statistical plan;</w:t>
      </w:r>
    </w:p>
    <w:p>
      <w:pPr>
        <w:pStyle w:val="TextBody"/>
        <w:spacing w:lineRule="auto" w:line="273" w:before="120" w:after="0"/>
        <w:jc w:val="both"/>
        <w:rPr/>
      </w:pPr>
      <w:r>
        <w:rPr/>
        <w:t>•</w:t>
      </w:r>
    </w:p>
    <w:p>
      <w:pPr>
        <w:pStyle w:val="TextBody"/>
        <w:spacing w:lineRule="auto" w:line="273" w:before="120" w:after="283"/>
        <w:jc w:val="both"/>
        <w:rPr>
          <w:rFonts w:ascii="Arial" w:hAnsi="Arial"/>
          <w:b w:val="false"/>
          <w:sz w:val="20"/>
        </w:rPr>
      </w:pPr>
      <w:r>
        <w:rPr>
          <w:rFonts w:ascii="Arial" w:hAnsi="Arial"/>
          <w:b w:val="false"/>
          <w:sz w:val="20"/>
        </w:rPr>
        <w:t>changes in governmental regulations or administrative actions;</w:t>
      </w:r>
    </w:p>
    <w:p>
      <w:pPr>
        <w:pStyle w:val="TextBody"/>
        <w:spacing w:lineRule="auto" w:line="273" w:before="240" w:after="0"/>
        <w:jc w:val="center"/>
        <w:rPr>
          <w:rFonts w:ascii="Arial" w:hAnsi="Arial"/>
          <w:b w:val="false"/>
          <w:sz w:val="20"/>
        </w:rPr>
      </w:pPr>
      <w:r>
        <w:rPr>
          <w:rFonts w:ascii="Arial" w:hAnsi="Arial"/>
          <w:b w:val="false"/>
          <w:sz w:val="20"/>
        </w:rPr>
        <w:t>41</w:t>
      </w:r>
    </w:p>
    <w:p>
      <w:pPr>
        <w:pStyle w:val="HorizontalLine"/>
        <w:rPr/>
      </w:pPr>
      <w:r>
        <w:rPr/>
      </w:r>
    </w:p>
    <w:p>
      <w:pPr>
        <w:pStyle w:val="TextBody"/>
        <w:spacing w:lineRule="auto" w:line="273" w:before="0" w:after="0"/>
        <w:jc w:val="left"/>
        <w:rPr/>
      </w:pPr>
      <w:r>
        <w:rPr/>
        <w:t>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delays in our ability to commence a clinical trial;</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reaching agreement on acceptable terms with prospective CROs and clinical trial sites, the terms of which can be subject to extensive negotiation and may vary significantly among different CROs and clinical trial sites;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obtaining IRB approval at each clinical trial site;</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recruiting an adequate number of suitable patients to participate in a clinical trial;</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number of patients required for clinical trials of our product candidates may be larger than we anticipate;</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having subjects complete a clinical trial or return for post-treatment follow-up;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clinical trial sites deviating from clinical trial protocol or dropping out of a clinical trial;</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failure to demonstrate a benefit from using a product candidate;</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addressing subject safety concerns that arise during the course of a clinical trial;</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adding a sufficient number of clinical trial sites; or</w:t>
      </w:r>
    </w:p>
    <w:p>
      <w:pPr>
        <w:pStyle w:val="TextBody"/>
        <w:spacing w:lineRule="auto" w:line="273" w:before="120" w:after="0"/>
        <w:jc w:val="both"/>
        <w:rPr/>
      </w:pPr>
      <w:r>
        <w:rPr/>
        <w:t>•</w:t>
      </w:r>
    </w:p>
    <w:p>
      <w:pPr>
        <w:pStyle w:val="TextBody"/>
        <w:spacing w:lineRule="auto" w:line="273" w:before="120" w:after="283"/>
        <w:jc w:val="both"/>
        <w:rPr>
          <w:rFonts w:ascii="Arial" w:hAnsi="Arial"/>
          <w:b w:val="false"/>
          <w:sz w:val="20"/>
        </w:rPr>
      </w:pPr>
      <w:r>
        <w:rPr>
          <w:rFonts w:ascii="Arial" w:hAnsi="Arial"/>
          <w:b w:val="false"/>
          <w:sz w:val="20"/>
        </w:rPr>
        <w:t>obtaining sufficient product supply of product candidate for use in nonclinical studies or clinical trials from third-party suppliers.</w:t>
      </w:r>
    </w:p>
    <w:p>
      <w:pPr>
        <w:pStyle w:val="TextBody"/>
        <w:spacing w:lineRule="auto" w:line="273" w:before="280" w:after="0"/>
        <w:jc w:val="both"/>
        <w:rPr>
          <w:rFonts w:ascii="Arial" w:hAnsi="Arial"/>
          <w:b w:val="false"/>
          <w:sz w:val="20"/>
        </w:rPr>
      </w:pPr>
      <w:r>
        <w:rPr>
          <w:rFonts w:ascii="Arial" w:hAnsi="Arial"/>
          <w:b w:val="false"/>
          <w:sz w:val="20"/>
        </w:rPr>
        <w:t>Further, conducting clinical trials in foreign countries, as we intend to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pStyle w:val="TextBody"/>
        <w:spacing w:lineRule="auto" w:line="273" w:before="280" w:after="0"/>
        <w:jc w:val="both"/>
        <w:rPr>
          <w:rFonts w:ascii="Arial" w:hAnsi="Arial"/>
          <w:b w:val="false"/>
          <w:sz w:val="20"/>
        </w:rPr>
      </w:pPr>
      <w:r>
        <w:rPr>
          <w:rFonts w:ascii="Arial" w:hAnsi="Arial"/>
          <w:b w:val="false"/>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pStyle w:val="TextBody"/>
        <w:spacing w:lineRule="auto" w:line="273" w:before="280" w:after="0"/>
        <w:jc w:val="both"/>
        <w:rPr>
          <w:rFonts w:ascii="Arial" w:hAnsi="Arial"/>
          <w:b w:val="false"/>
          <w:sz w:val="20"/>
        </w:rPr>
      </w:pPr>
      <w:r>
        <w:rPr>
          <w:rFonts w:ascii="Arial" w:hAnsi="Arial"/>
          <w:b w:val="false"/>
          <w:sz w:val="20"/>
        </w:rPr>
        <w:t>If the results of our current and future clinical trials are inconclusive with respect to the efficacy of our product candidates, if we do not meet the clinical endpoints with statistical and clinically meaningful significance, or if there are safety concerns associated with our product candidates, we may:</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incur unplanned costs;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be delayed in or prevented from obtaining marketing approval for our product candidates;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obtain approval for indications or patient populations that are not as broad as intended or desired;</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obtain approval with labeling that includes significant use or distribution restrictions or safety warnings including boxed warnings;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be subject to changes in the way the product is administered;</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be required to perform additional clinical trials to support approval or be subject to additional post-marketing testing requirements;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have regulatory authorities withdraw their approval of the product or impose restrictions on its distribution in the form of a modified risk evaluation and mitigation strategy, or REMS;</w:t>
      </w:r>
    </w:p>
    <w:p>
      <w:pPr>
        <w:pStyle w:val="TextBody"/>
        <w:spacing w:lineRule="auto" w:line="273" w:before="120" w:after="0"/>
        <w:jc w:val="both"/>
        <w:rPr/>
      </w:pPr>
      <w:r>
        <w:rPr/>
        <w:t>•</w:t>
      </w:r>
    </w:p>
    <w:p>
      <w:pPr>
        <w:pStyle w:val="TextBody"/>
        <w:spacing w:lineRule="auto" w:line="273" w:before="120" w:after="283"/>
        <w:jc w:val="both"/>
        <w:rPr>
          <w:rFonts w:ascii="Arial" w:hAnsi="Arial"/>
          <w:b w:val="false"/>
          <w:sz w:val="20"/>
        </w:rPr>
      </w:pPr>
      <w:r>
        <w:rPr>
          <w:rFonts w:ascii="Arial" w:hAnsi="Arial"/>
          <w:b w:val="false"/>
          <w:sz w:val="20"/>
        </w:rPr>
        <w:t>be subject to the addition of labeling statements, such as warnings or contraindications;</w:t>
      </w:r>
    </w:p>
    <w:p>
      <w:pPr>
        <w:pStyle w:val="TextBody"/>
        <w:spacing w:lineRule="auto" w:line="273" w:before="240" w:after="0"/>
        <w:jc w:val="center"/>
        <w:rPr>
          <w:rFonts w:ascii="Arial" w:hAnsi="Arial"/>
          <w:b w:val="false"/>
          <w:sz w:val="20"/>
        </w:rPr>
      </w:pPr>
      <w:r>
        <w:rPr>
          <w:rFonts w:ascii="Arial" w:hAnsi="Arial"/>
          <w:b w:val="false"/>
          <w:sz w:val="20"/>
        </w:rPr>
        <w:t>42</w:t>
      </w:r>
    </w:p>
    <w:p>
      <w:pPr>
        <w:pStyle w:val="HorizontalLine"/>
        <w:rPr/>
      </w:pPr>
      <w:r>
        <w:rPr/>
      </w:r>
    </w:p>
    <w:p>
      <w:pPr>
        <w:pStyle w:val="TextBody"/>
        <w:spacing w:lineRule="auto" w:line="273" w:before="0" w:after="0"/>
        <w:jc w:val="left"/>
        <w:rPr/>
      </w:pPr>
      <w:r>
        <w:rPr/>
        <w:t>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be sued; or</w:t>
      </w:r>
    </w:p>
    <w:p>
      <w:pPr>
        <w:pStyle w:val="TextBody"/>
        <w:spacing w:lineRule="auto" w:line="273" w:before="120" w:after="0"/>
        <w:jc w:val="both"/>
        <w:rPr/>
      </w:pPr>
      <w:r>
        <w:rPr/>
        <w:t>•</w:t>
      </w:r>
    </w:p>
    <w:p>
      <w:pPr>
        <w:pStyle w:val="TextBody"/>
        <w:spacing w:lineRule="auto" w:line="273" w:before="120" w:after="283"/>
        <w:jc w:val="both"/>
        <w:rPr>
          <w:rFonts w:ascii="Arial" w:hAnsi="Arial"/>
          <w:b w:val="false"/>
          <w:sz w:val="20"/>
        </w:rPr>
      </w:pPr>
      <w:r>
        <w:rPr>
          <w:rFonts w:ascii="Arial" w:hAnsi="Arial"/>
          <w:b w:val="false"/>
          <w:sz w:val="20"/>
        </w:rPr>
        <w:t>experience damage to our reputation.</w:t>
      </w:r>
    </w:p>
    <w:p>
      <w:pPr>
        <w:pStyle w:val="TextBody"/>
        <w:spacing w:lineRule="auto" w:line="259" w:before="280" w:after="0"/>
        <w:jc w:val="both"/>
        <w:rPr>
          <w:rFonts w:ascii="Times New Roman" w:hAnsi="Times New Roman"/>
          <w:sz w:val="20"/>
        </w:rPr>
      </w:pPr>
      <w:r>
        <w:rPr>
          <w:rFonts w:ascii="Arial" w:hAnsi="Arial"/>
          <w:b/>
          <w:i/>
          <w:sz w:val="20"/>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sz w:val="20"/>
        </w:rPr>
        <w:t xml:space="preserve"> </w:t>
      </w:r>
    </w:p>
    <w:p>
      <w:pPr>
        <w:pStyle w:val="TextBody"/>
        <w:spacing w:lineRule="auto" w:line="259" w:before="280" w:after="0"/>
        <w:jc w:val="both"/>
        <w:rPr>
          <w:rFonts w:ascii="Arial" w:hAnsi="Arial"/>
          <w:b w:val="false"/>
          <w:sz w:val="20"/>
        </w:rPr>
      </w:pPr>
      <w:r>
        <w:rPr>
          <w:rFonts w:ascii="Arial" w:hAnsi="Arial"/>
          <w:b w:val="false"/>
          <w:sz w:val="20"/>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pStyle w:val="TextBody"/>
        <w:spacing w:lineRule="auto" w:line="259" w:before="285" w:after="0"/>
        <w:jc w:val="both"/>
        <w:rPr>
          <w:rFonts w:ascii="Arial" w:hAnsi="Arial"/>
          <w:b w:val="false"/>
          <w:sz w:val="20"/>
        </w:rPr>
      </w:pPr>
      <w:r>
        <w:rPr>
          <w:rFonts w:ascii="Arial" w:hAnsi="Arial"/>
          <w:b w:val="false"/>
          <w:sz w:val="20"/>
        </w:rPr>
        <w:t>From time to time, we may also disclose interim data from our nonclinical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w:t>
      </w:r>
    </w:p>
    <w:p>
      <w:pPr>
        <w:pStyle w:val="TextBody"/>
        <w:spacing w:lineRule="auto" w:line="259" w:before="285" w:after="0"/>
        <w:jc w:val="both"/>
        <w:rPr>
          <w:rFonts w:ascii="Arial" w:hAnsi="Arial"/>
          <w:b w:val="false"/>
          <w:sz w:val="20"/>
        </w:rPr>
      </w:pPr>
      <w:r>
        <w:rPr>
          <w:rFonts w:ascii="Arial" w:hAnsi="Arial"/>
          <w:b w:val="false"/>
          <w:sz w:val="20"/>
        </w:rPr>
        <w:t>Additionally, we rely on data received from clinical trials, whether preliminary or final, to inform decisions on future clinical trials, including trial design, trial size, and whether or not to initiate additional clinical trials. For example, in November 2020, we initiated ACT-AD, a P300 Phase 2 clinical trial, to better understand the overall effects of fosgonimeton on working memory processing speed and cognitive measures, with topline results expected by the end of the second quarter of 2022. These data will help support strategic decisions around any additional pivotal trials that we may initiate in parallel to the LIFT-AD trial if the results from the ACT-AD P300 Phase 2 clinical trial do not meet our expectations. The topline results of this ACT-AD P300 Phase 2 clinical trial will be based on a preliminary analysis of then-available data, and a more comprehensive and full review of the data may result in different conclusions, which could have a negative impact on our decisions regarding any additional trials for fosgonimeton.</w:t>
      </w:r>
    </w:p>
    <w:p>
      <w:pPr>
        <w:pStyle w:val="TextBody"/>
        <w:spacing w:lineRule="auto" w:line="259" w:before="285" w:after="0"/>
        <w:jc w:val="both"/>
        <w:rPr>
          <w:rFonts w:ascii="Arial" w:hAnsi="Arial"/>
          <w:b w:val="false"/>
          <w:sz w:val="20"/>
        </w:rPr>
      </w:pPr>
      <w:r>
        <w:rPr>
          <w:rFonts w:ascii="Arial" w:hAnsi="Arial"/>
          <w:b w:val="false"/>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spacing w:lineRule="auto" w:line="259" w:before="280" w:after="0"/>
        <w:jc w:val="both"/>
        <w:rPr>
          <w:rFonts w:ascii="Times New Roman" w:hAnsi="Times New Roman"/>
          <w:sz w:val="20"/>
        </w:rPr>
      </w:pPr>
      <w:r>
        <w:rPr>
          <w:rFonts w:ascii="Arial" w:hAnsi="Arial"/>
          <w:b/>
          <w:i/>
          <w:sz w:val="20"/>
        </w:rPr>
        <w:t>If we experience delays or difficulties in the enrollment and/or retention of patients in clinical trials, our regulatory submissions or receipt of necessary marketing approvals could be delayed or prevented.</w:t>
      </w:r>
      <w:r>
        <w:rPr>
          <w:rFonts w:ascii="Times New Roman" w:hAnsi="Times New Roman"/>
          <w:sz w:val="20"/>
        </w:rPr>
        <w:t xml:space="preserve"> </w:t>
      </w:r>
    </w:p>
    <w:p>
      <w:pPr>
        <w:pStyle w:val="TextBody"/>
        <w:spacing w:lineRule="auto" w:line="259" w:before="280" w:after="0"/>
        <w:jc w:val="both"/>
        <w:rPr>
          <w:rFonts w:ascii="Times New Roman" w:hAnsi="Times New Roman"/>
          <w:sz w:val="20"/>
        </w:rPr>
      </w:pPr>
      <w:r>
        <w:rPr>
          <w:rFonts w:ascii="Arial" w:hAnsi="Arial"/>
          <w:b w:val="false"/>
          <w:sz w:val="20"/>
        </w:rPr>
        <w:t>We may not be able to initiate or continue clinical trials for our product candidates if we are unable to recruit and enroll a sufficient number of eligible patients to participate in these clinical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Patient enrollment may also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If we are unable to locate a sufficient number of such patients, our clinical trial and development plans could be delayed.</w:t>
      </w:r>
      <w:r>
        <w:rPr>
          <w:rFonts w:ascii="Times New Roman" w:hAnsi="Times New Roman"/>
          <w:sz w:val="20"/>
        </w:rPr>
        <w:t xml:space="preserve"> </w:t>
      </w:r>
    </w:p>
    <w:p>
      <w:pPr>
        <w:pStyle w:val="TextBody"/>
        <w:spacing w:lineRule="auto" w:line="259" w:before="280" w:after="0"/>
        <w:jc w:val="both"/>
        <w:rPr>
          <w:rFonts w:ascii="Times New Roman" w:hAnsi="Times New Roman"/>
          <w:sz w:val="20"/>
        </w:rPr>
      </w:pPr>
      <w:r>
        <w:rPr>
          <w:rFonts w:ascii="Arial" w:hAnsi="Arial"/>
          <w:b w:val="false"/>
          <w:sz w:val="20"/>
        </w:rPr>
        <w:t>If we are delayed or unsuccessful in enrolling the desired number of subjects in our trials, whether as a result of competing clinical trials, overly stringent eligibility requirements, or the ongoing impact of COVID-19 on both clinical trial sites and potential AD subjects, our clinical trial results could be delayed, the costs of our clinical trials could materially increase, and the overall development timeline for fosgonimeton could be negatively impacted. For example, enrollment in</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43</w:t>
      </w:r>
    </w:p>
    <w:p>
      <w:pPr>
        <w:pStyle w:val="HorizontalLine"/>
        <w:rPr/>
      </w:pPr>
      <w:r>
        <w:rPr/>
      </w:r>
    </w:p>
    <w:p>
      <w:pPr>
        <w:pStyle w:val="TextBody"/>
        <w:spacing w:lineRule="auto" w:line="273" w:before="0" w:after="0"/>
        <w:jc w:val="left"/>
        <w:rPr/>
      </w:pPr>
      <w:r>
        <w:rPr/>
        <w:t> </w:t>
      </w:r>
    </w:p>
    <w:p>
      <w:pPr>
        <w:pStyle w:val="TextBody"/>
        <w:spacing w:lineRule="auto" w:line="259" w:before="280" w:after="0"/>
        <w:jc w:val="both"/>
        <w:rPr>
          <w:rFonts w:ascii="Times New Roman" w:hAnsi="Times New Roman"/>
          <w:sz w:val="20"/>
        </w:rPr>
      </w:pPr>
      <w:r>
        <w:rPr>
          <w:rFonts w:ascii="Arial" w:hAnsi="Arial"/>
          <w:b w:val="false"/>
          <w:sz w:val="20"/>
        </w:rPr>
        <w:t>our ongoing clinical trials has been slowed due to the effects of the COVID-19 pandemic, including governmental restrictions imposed in Australia, where certain of our clinical trial sites are located. In our ACT-AD clinical trial, this slowed recruitment resulted in a change in the anticipated timing of top-line results from our Phase 2 ACT-AD clinical trial, which are currently expected by the end of the second quarter of 2022. We have since completed enrollment in the ACT-AD clinical trial, but we cannot ensure that similar enrollment issues will not occur again in the future. Even if we are successful in enrolling the targeted number of subjects in our trials, the FDA and other regulators may request additional clinical trials with larger numbers of subjects as a condition to any regulatory approval.</w:t>
      </w:r>
      <w:r>
        <w:rPr>
          <w:rFonts w:ascii="Times New Roman" w:hAnsi="Times New Roman"/>
          <w:sz w:val="20"/>
        </w:rPr>
        <w:t xml:space="preserve"> </w:t>
      </w:r>
    </w:p>
    <w:p>
      <w:pPr>
        <w:pStyle w:val="TextBody"/>
        <w:spacing w:lineRule="auto" w:line="273" w:before="280" w:after="0"/>
        <w:jc w:val="both"/>
        <w:rPr>
          <w:rFonts w:ascii="Arial" w:hAnsi="Arial"/>
          <w:b w:val="false"/>
          <w:sz w:val="20"/>
        </w:rPr>
      </w:pPr>
      <w:r>
        <w:rPr>
          <w:rFonts w:ascii="Arial" w:hAnsi="Arial"/>
          <w:b w:val="false"/>
          <w:sz w:val="20"/>
        </w:rPr>
        <w:t>Enrollment of patients in our clinical trials may be further delayed or limited as our clinical trial sites limit their onsite staff or temporarily close as a result of the COVID-19 pandemic, including in response to the emergence of any new variants thereof. In addition, patients may not be able to visit clinical trial sites for data collection purposes due to limitations on travel and physical distancing imposed or recommended by federal or state governments or patients’ reluctance to visit the clinical trial sites during the pandemic. The drop-out rates in our clinical trials may be increased during the pandemic. Clinical trial patients who become infected with the COVID-19 virus may complicate the clinical trial data, procedures, and analysis. These factors resulting from the COVID-19 pandemic could delay the anticipated readouts from our clinical trials and our regulatory submissions, and increase the costs associated of the clinical trials.</w:t>
      </w:r>
    </w:p>
    <w:p>
      <w:pPr>
        <w:pStyle w:val="TextBody"/>
        <w:spacing w:lineRule="auto" w:line="273" w:before="280" w:after="0"/>
        <w:jc w:val="both"/>
        <w:rPr>
          <w:rFonts w:ascii="Arial" w:hAnsi="Arial"/>
          <w:b w:val="false"/>
          <w:sz w:val="20"/>
        </w:rPr>
      </w:pPr>
      <w:r>
        <w:rPr>
          <w:rFonts w:ascii="Arial" w:hAnsi="Arial"/>
          <w:b w:val="false"/>
          <w:sz w:val="20"/>
        </w:rPr>
        <w:t>Our inability to enroll a sufficient number of patients for our clinical trials would result in significant delays or may require us to abandon one or more clinical trials altogether. Further, to the extent any of our clinical trial sites fail to comply with the approved study protocol, good clinical practices, or FDA regulations, we may be required to exclude such sites, participants such sites may have enrolled, as well as the data collected by such sites. If any of these events were to occur, or if we are required to exclude any data for any reason, we may be required to recruit more sites or more participants than we initially thought. Enrollment delays or other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pStyle w:val="TextBody"/>
        <w:spacing w:lineRule="auto" w:line="273" w:before="280" w:after="0"/>
        <w:jc w:val="both"/>
        <w:rPr>
          <w:rFonts w:ascii="Times New Roman" w:hAnsi="Times New Roman"/>
          <w:sz w:val="20"/>
        </w:rPr>
      </w:pPr>
      <w:r>
        <w:rPr>
          <w:rFonts w:ascii="Arial" w:hAnsi="Arial"/>
          <w:b/>
          <w:i/>
          <w:sz w:val="20"/>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r>
        <w:rPr>
          <w:rFonts w:ascii="Times New Roman" w:hAnsi="Times New Roman"/>
          <w:sz w:val="20"/>
        </w:rPr>
        <w:t xml:space="preserve"> </w:t>
      </w:r>
    </w:p>
    <w:p>
      <w:pPr>
        <w:pStyle w:val="TextBody"/>
        <w:spacing w:lineRule="auto" w:line="273" w:before="280" w:after="0"/>
        <w:jc w:val="both"/>
        <w:rPr>
          <w:rFonts w:ascii="Arial" w:hAnsi="Arial"/>
          <w:b w:val="false"/>
          <w:sz w:val="20"/>
        </w:rPr>
      </w:pPr>
      <w:r>
        <w:rPr>
          <w:rFonts w:ascii="Arial" w:hAnsi="Arial"/>
          <w:b w:val="false"/>
          <w:sz w:val="20"/>
        </w:rPr>
        <w:t>The biotechnology and pharmaceutical industries utilize rapidly advancing technologies and are characterized by intense competition. While we believe that our scientific knowledge, platform technology and development expertise provide us with competitive advantages, we face competitive pressures from both large and small pharmaceutical companies, emerging biotechnology companies, as well as academic, government and private research institutions. Many of our competitors have access to greater financial resources, market presence, expertise in development, preclinical and clinical testing, manufacturing, commercialization, regulatory approval process, and/or marketing and sales than we do. Our competitors may compete with us in patient recruitment, clinical research organization, and operational resources. As a result, our competitors may discover, develop, license or commercialize products before or more successfully than we do.</w:t>
      </w:r>
    </w:p>
    <w:p>
      <w:pPr>
        <w:pStyle w:val="TextBody"/>
        <w:spacing w:lineRule="auto" w:line="273" w:before="280" w:after="0"/>
        <w:jc w:val="both"/>
        <w:rPr>
          <w:rFonts w:ascii="Times New Roman" w:hAnsi="Times New Roman"/>
          <w:sz w:val="20"/>
        </w:rPr>
      </w:pPr>
      <w:r>
        <w:rPr>
          <w:rFonts w:ascii="Arial" w:hAnsi="Arial"/>
          <w:b w:val="false"/>
          <w:sz w:val="20"/>
        </w:rPr>
        <w:t>Product candidates that we may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Our competitors may obtain patent protection or other intellectual property rights that limit our ability to develop or commercialize our product candidates. The availability of reimbursement from government and other third-party payors will also significantly affect the pricing and competitiveness of our products. Our competitors may also obtain FDA or other regulatory approval for their products more rapidly than we may obtain approval for ours, which could result in our competitors establishing a strong market position before we are able to enter the market. For additional information regarding our competition, see the section titled “Part I, Item 1 – Business—Competition” in our Annual Report on Form 10</w:t>
        <w:noBreakHyphen/>
        <w:t>K filed with the SEC on March 28, 2022.</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i/>
          <w:sz w:val="20"/>
        </w:rPr>
        <w:t>We may expend our limited resources to pursue a particular product candidate or indication and fail to capitalize on product candidates or indications that may be more profitable or for which there is a greater likelihood of success.</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val="false"/>
          <w:sz w:val="20"/>
        </w:rPr>
        <w:t>Because we have limited financial and managerial resources, we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Our resource allocation decisions may cause us to fail to capitalize on viable</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44</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Arial" w:hAnsi="Arial"/>
          <w:b w:val="false"/>
          <w:sz w:val="20"/>
        </w:rPr>
      </w:pPr>
      <w:r>
        <w:rPr>
          <w:rFonts w:ascii="Arial" w:hAnsi="Arial"/>
          <w:b w:val="false"/>
          <w:sz w:val="20"/>
        </w:rPr>
        <w:t>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spacing w:lineRule="auto" w:line="273" w:before="280" w:after="0"/>
        <w:jc w:val="both"/>
        <w:rPr>
          <w:rFonts w:ascii="Times New Roman" w:hAnsi="Times New Roman"/>
          <w:sz w:val="20"/>
        </w:rPr>
      </w:pPr>
      <w:r>
        <w:rPr>
          <w:rFonts w:ascii="Arial" w:hAnsi="Arial"/>
          <w:b/>
          <w:i/>
          <w:sz w:val="20"/>
        </w:rPr>
        <w:t>We may develop product candidates in combination with other therapies, which exposes us to additional risks.</w:t>
      </w:r>
      <w:r>
        <w:rPr>
          <w:rFonts w:ascii="Times New Roman" w:hAnsi="Times New Roman"/>
          <w:sz w:val="20"/>
        </w:rPr>
        <w:t xml:space="preserve"> </w:t>
      </w:r>
    </w:p>
    <w:p>
      <w:pPr>
        <w:pStyle w:val="TextBody"/>
        <w:spacing w:lineRule="auto" w:line="273" w:before="280" w:after="0"/>
        <w:jc w:val="both"/>
        <w:rPr>
          <w:rFonts w:ascii="Arial" w:hAnsi="Arial"/>
          <w:b w:val="false"/>
          <w:sz w:val="20"/>
        </w:rPr>
      </w:pPr>
      <w:r>
        <w:rPr>
          <w:rFonts w:ascii="Arial" w:hAnsi="Arial"/>
          <w:b w:val="false"/>
          <w:sz w:val="20"/>
        </w:rPr>
        <w:t>We may develop product candidates in combination with one or more other approved or unapproved therapies.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pStyle w:val="TextBody"/>
        <w:spacing w:lineRule="auto" w:line="273" w:before="280" w:after="0"/>
        <w:jc w:val="both"/>
        <w:rPr>
          <w:rFonts w:ascii="Arial" w:hAnsi="Arial"/>
          <w:b w:val="false"/>
          <w:sz w:val="20"/>
        </w:rPr>
      </w:pPr>
      <w:r>
        <w:rPr>
          <w:rFonts w:ascii="Arial" w:hAnsi="Arial"/>
          <w:b w:val="false"/>
          <w:sz w:val="20"/>
        </w:rPr>
        <w:t>We also may choose to evaluate product candidates in combination with one or more therapies that have not yet been approved for marketing by the FDA or comparable foreign regulatory authorities. We will not be able to market and sell any product candidate we develop in combination with an unapproved therapy for a combination indication if that unapproved therapy does not ultimately obtain marketing approval either alone or in combination with our product. In addition, unapproved therapies face the same risks described with respect to our product candidates currently in development and clinical trials, including the potential for serious adverse effects, delay in their clinical trials and lack of FDA approval. If the FDA or comparable foreign regulatory authorities do not approve these other drugs or revoke their approval of, or if safety, efficacy, quality, manufacturing or supply issues arise with, the drugs we choose to evaluate in combination with our product candidate we develop, we may be unable to obtain approval of or market such combination therapy.</w:t>
      </w:r>
    </w:p>
    <w:p>
      <w:pPr>
        <w:pStyle w:val="TextBody"/>
        <w:spacing w:lineRule="auto" w:line="273" w:before="280" w:after="0"/>
        <w:jc w:val="both"/>
        <w:rPr>
          <w:rFonts w:ascii="Times New Roman" w:hAnsi="Times New Roman"/>
          <w:sz w:val="20"/>
        </w:rPr>
      </w:pPr>
      <w:r>
        <w:rPr>
          <w:rFonts w:ascii="Arial" w:hAnsi="Arial"/>
          <w:b/>
          <w:i/>
          <w:sz w:val="20"/>
        </w:rPr>
        <w:t>Our long-term prospects depend in part upon discovering, developing and commercializing additional product candidates, which may fail in development or suffer delays that adversely affect their commercial viability.</w:t>
      </w:r>
      <w:r>
        <w:rPr>
          <w:rFonts w:ascii="Times New Roman" w:hAnsi="Times New Roman"/>
          <w:sz w:val="20"/>
        </w:rPr>
        <w:t xml:space="preserve"> </w:t>
      </w:r>
    </w:p>
    <w:p>
      <w:pPr>
        <w:pStyle w:val="TextBody"/>
        <w:spacing w:lineRule="auto" w:line="273" w:before="280" w:after="0"/>
        <w:jc w:val="both"/>
        <w:rPr>
          <w:rFonts w:ascii="Arial" w:hAnsi="Arial"/>
          <w:b w:val="false"/>
          <w:sz w:val="20"/>
        </w:rPr>
      </w:pPr>
      <w:r>
        <w:rPr>
          <w:rFonts w:ascii="Arial" w:hAnsi="Arial"/>
          <w:b w:val="false"/>
          <w:sz w:val="20"/>
        </w:rPr>
        <w:t>Our future operating results are dependent on our ability to successfully discover, develop, obtain regulatory approval for and commercialize product candidates beyond those we currently have in clinical and nonclinical development. A product candidate can unexpectedly fail at any stage of nonclinical and clinical development. The historical failure rate for product candidates is high due to risks relating to safety, efficacy, clinical execution, changing standards of medical care and other unpredictable variables. The results from nonclinical testing or early clinical trials of a product candidate may not be predictive of the results that will be obtained in later stage clinical trials of the product candidate.</w:t>
      </w:r>
    </w:p>
    <w:p>
      <w:pPr>
        <w:pStyle w:val="TextBody"/>
        <w:spacing w:lineRule="auto" w:line="273" w:before="280" w:after="0"/>
        <w:jc w:val="both"/>
        <w:rPr>
          <w:rFonts w:ascii="Arial" w:hAnsi="Arial"/>
          <w:b w:val="false"/>
          <w:sz w:val="20"/>
        </w:rPr>
      </w:pPr>
      <w:r>
        <w:rPr>
          <w:rFonts w:ascii="Arial" w:hAnsi="Arial"/>
          <w:b w:val="false"/>
          <w:sz w:val="20"/>
        </w:rPr>
        <w:t>The success of other future product candidates we may develop will depend on many factors, including the following:</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generating sufficient data to support the initiation or continuation of clinical trials;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obtaining regulatory permission to initiate clinical trials;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contracting with the necessary parties to conduct clinical trials;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successful enrollment of patients in, and the completion of, clinical trials on a timely basis;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timely manufacture of sufficient quantities of the product candidate for use in clinical trials; and</w:t>
      </w:r>
    </w:p>
    <w:p>
      <w:pPr>
        <w:pStyle w:val="TextBody"/>
        <w:spacing w:lineRule="auto" w:line="273" w:before="120" w:after="0"/>
        <w:jc w:val="both"/>
        <w:rPr/>
      </w:pPr>
      <w:r>
        <w:rPr/>
        <w:t>•</w:t>
      </w:r>
    </w:p>
    <w:p>
      <w:pPr>
        <w:pStyle w:val="TextBody"/>
        <w:spacing w:lineRule="auto" w:line="273" w:before="120" w:after="283"/>
        <w:jc w:val="both"/>
        <w:rPr>
          <w:rFonts w:ascii="Arial" w:hAnsi="Arial"/>
          <w:b w:val="false"/>
          <w:sz w:val="20"/>
        </w:rPr>
      </w:pPr>
      <w:r>
        <w:rPr>
          <w:rFonts w:ascii="Arial" w:hAnsi="Arial"/>
          <w:b w:val="false"/>
          <w:sz w:val="20"/>
        </w:rPr>
        <w:t>adverse events in the clinical trials.</w:t>
      </w:r>
    </w:p>
    <w:p>
      <w:pPr>
        <w:pStyle w:val="TextBody"/>
        <w:spacing w:lineRule="auto" w:line="273" w:before="240" w:after="0"/>
        <w:jc w:val="center"/>
        <w:rPr>
          <w:rFonts w:ascii="Arial" w:hAnsi="Arial"/>
          <w:b w:val="false"/>
          <w:sz w:val="20"/>
        </w:rPr>
      </w:pPr>
      <w:r>
        <w:rPr>
          <w:rFonts w:ascii="Arial" w:hAnsi="Arial"/>
          <w:b w:val="false"/>
          <w:sz w:val="20"/>
        </w:rPr>
        <w:t>45</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Arial" w:hAnsi="Arial"/>
          <w:b w:val="false"/>
          <w:sz w:val="20"/>
        </w:rPr>
      </w:pPr>
      <w:r>
        <w:rPr>
          <w:rFonts w:ascii="Arial" w:hAnsi="Arial"/>
          <w:b w:val="false"/>
          <w:sz w:val="20"/>
        </w:rPr>
        <w:t>Even if we successfully advance any other future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future product candidates.</w:t>
      </w:r>
    </w:p>
    <w:p>
      <w:pPr>
        <w:pStyle w:val="TextBody"/>
        <w:spacing w:lineRule="auto" w:line="273" w:before="280" w:after="0"/>
        <w:jc w:val="both"/>
        <w:rPr>
          <w:rFonts w:ascii="Arial" w:hAnsi="Arial"/>
          <w:b/>
          <w:i/>
          <w:sz w:val="20"/>
        </w:rPr>
      </w:pPr>
      <w:r>
        <w:rPr>
          <w:rFonts w:ascii="Arial" w:hAnsi="Arial"/>
          <w:b/>
          <w:i/>
          <w:sz w:val="20"/>
        </w:rPr>
        <w:t>We conduct certain research and development operations through our Australian wholly owned subsidiary. If we lose our ability to operate in Australia, or if our subsidiary is unable to receive the research and development tax credit allowed by Australian regulations, our business and results of operations could suffer.</w:t>
      </w:r>
    </w:p>
    <w:p>
      <w:pPr>
        <w:pStyle w:val="TextBody"/>
        <w:spacing w:lineRule="auto" w:line="273" w:before="280" w:after="0"/>
        <w:jc w:val="both"/>
        <w:rPr>
          <w:rFonts w:ascii="Arial" w:hAnsi="Arial"/>
          <w:b w:val="false"/>
          <w:sz w:val="20"/>
        </w:rPr>
      </w:pPr>
      <w:r>
        <w:rPr>
          <w:rFonts w:ascii="Arial" w:hAnsi="Arial"/>
          <w:b w:val="false"/>
          <w:sz w:val="20"/>
        </w:rPr>
        <w:t>In July 2020, we formed a wholly owned Australian subsidiary to conduct various preclinical and clinical activities for our product and development candidates in Australia. Due to the geographical distance and lack of employees currently in Australia, as well as our lack of experience operating in Australia, we may not be able to efficiently or successfully monitor, develop and commercialize our lead products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pStyle w:val="TextBody"/>
        <w:spacing w:lineRule="auto" w:line="273" w:before="280" w:after="0"/>
        <w:jc w:val="both"/>
        <w:rPr>
          <w:rFonts w:ascii="Arial" w:hAnsi="Arial"/>
          <w:b w:val="false"/>
          <w:sz w:val="20"/>
        </w:rPr>
      </w:pPr>
      <w:r>
        <w:rPr>
          <w:rFonts w:ascii="Arial" w:hAnsi="Arial"/>
          <w:b w:val="false"/>
          <w:sz w:val="20"/>
        </w:rPr>
        <w:t>In addition, current Australian tax regulations provide for a refundable research and development tax credit equal to 43.5% of qualified expenditures. If we lose our ability to operate our subsidiary in Australia, or if we are ineligible or unable to receive the research and development tax credit, or the Australian government significantly reduces or eliminates the tax credit, our business and results of operation may be adversely affected.</w:t>
      </w:r>
    </w:p>
    <w:p>
      <w:pPr>
        <w:pStyle w:val="TextBody"/>
        <w:spacing w:lineRule="auto" w:line="273" w:before="280" w:after="0"/>
        <w:jc w:val="both"/>
        <w:rPr>
          <w:rFonts w:ascii="Arial" w:hAnsi="Arial"/>
          <w:b/>
          <w:i/>
          <w:sz w:val="20"/>
        </w:rPr>
      </w:pPr>
      <w:r>
        <w:rPr>
          <w:rFonts w:ascii="Arial" w:hAnsi="Arial"/>
          <w:b/>
          <w:i/>
          <w:sz w:val="20"/>
        </w:rPr>
        <w:t>The loss of any of our key personnel could significantly harm our business, results of operations and competitive position.</w:t>
      </w:r>
    </w:p>
    <w:p>
      <w:pPr>
        <w:pStyle w:val="TextBody"/>
        <w:spacing w:lineRule="auto" w:line="273" w:before="280" w:after="0"/>
        <w:jc w:val="both"/>
        <w:rPr>
          <w:rFonts w:ascii="Arial" w:hAnsi="Arial"/>
          <w:b w:val="false"/>
          <w:sz w:val="20"/>
        </w:rPr>
      </w:pPr>
      <w:r>
        <w:rPr>
          <w:rFonts w:ascii="Arial" w:hAnsi="Arial"/>
          <w:b w:val="false"/>
          <w:sz w:val="20"/>
        </w:rPr>
        <w:t>In order to compete, we must attract, retain, and motivate executives and other key employees. Hiring and retaining qualified executives, scientists, technical and legal and accounting staff are critical to our business, and competition for experienced employees in our industry can be intense. The loss of one or more of these key employees, or our inability to hire additional key personnel when needed, could have a material adverse effect on our business and prospects.</w:t>
      </w:r>
    </w:p>
    <w:p>
      <w:pPr>
        <w:pStyle w:val="TextBody"/>
        <w:spacing w:lineRule="auto" w:line="273" w:before="280" w:after="0"/>
        <w:jc w:val="both"/>
        <w:rPr>
          <w:rFonts w:ascii="Times New Roman" w:hAnsi="Times New Roman"/>
          <w:sz w:val="20"/>
        </w:rPr>
      </w:pPr>
      <w:r>
        <w:rPr>
          <w:rFonts w:ascii="Arial" w:hAnsi="Arial"/>
          <w:b w:val="false"/>
          <w:sz w:val="20"/>
        </w:rPr>
        <w:t>In June 2021 our board of directors placed Dr. Leen Kawas, our then chief executive officer, on temporary leave pending a review of papers co-authored by Dr. Kawas in connection with her doctoral research at WSU, among other things. An independent special committee of our board of directors, assisted by independent legal counsel, conducted an investigation of allegations raised regarding doctoral research by Dr. Kawas conducted while at WSU, as well as related matters. The special committee’s primary finding was that Dr. Kawas altered images in her 2011 doctoral dissertation and at least four research papers that she co-authored while a graduate student at WSU, and published from 2011 to 2014.</w:t>
      </w:r>
      <w:r>
        <w:rPr>
          <w:rFonts w:ascii="Times New Roman" w:hAnsi="Times New Roman"/>
          <w:sz w:val="20"/>
        </w:rPr>
        <w:t xml:space="preserve"> </w:t>
      </w:r>
    </w:p>
    <w:p>
      <w:pPr>
        <w:pStyle w:val="TextBody"/>
        <w:spacing w:lineRule="auto" w:line="273" w:before="280" w:after="0"/>
        <w:jc w:val="both"/>
        <w:rPr>
          <w:rFonts w:ascii="Arial" w:hAnsi="Arial"/>
          <w:b w:val="false"/>
          <w:sz w:val="20"/>
        </w:rPr>
      </w:pPr>
      <w:r>
        <w:rPr>
          <w:rFonts w:ascii="Arial" w:hAnsi="Arial"/>
          <w:b w:val="false"/>
          <w:sz w:val="20"/>
        </w:rPr>
        <w:t>On October 18, 2021, Dr. Kawas submitted her resignation as president and chief executive officer and as a member of our board of directors, effective October 18, 2021. Concurrently with Dr. Kawas’s resignation, our board of directors appointed Mark Litton, Ph.D., MBA as president and chief executive officer and as a member of our board of directors. This succession and transition process may have a direct or indirect adverse effect on our business, results of operations, hiring and retention efforts, and competitive position.</w:t>
      </w:r>
    </w:p>
    <w:p>
      <w:pPr>
        <w:pStyle w:val="TextBody"/>
        <w:spacing w:lineRule="auto" w:line="273" w:before="280" w:after="0"/>
        <w:jc w:val="both"/>
        <w:rPr>
          <w:rFonts w:ascii="Arial" w:hAnsi="Arial"/>
          <w:b/>
          <w:sz w:val="20"/>
        </w:rPr>
      </w:pPr>
      <w:r>
        <w:rPr>
          <w:rFonts w:ascii="Arial" w:hAnsi="Arial"/>
          <w:b/>
          <w:sz w:val="20"/>
        </w:rPr>
        <w:t>Risks Relating to COVID-19 and Other Health Epidemics</w:t>
      </w:r>
    </w:p>
    <w:p>
      <w:pPr>
        <w:pStyle w:val="TextBody"/>
        <w:spacing w:lineRule="auto" w:line="273" w:before="280" w:after="0"/>
        <w:jc w:val="both"/>
        <w:rPr>
          <w:rFonts w:ascii="Arial" w:hAnsi="Arial"/>
          <w:b/>
          <w:i/>
          <w:sz w:val="20"/>
        </w:rPr>
      </w:pPr>
      <w:r>
        <w:rPr>
          <w:rFonts w:ascii="Arial" w:hAnsi="Arial"/>
          <w:b/>
          <w:i/>
          <w:sz w:val="20"/>
        </w:rPr>
        <w:t>The continuing effects of the novel coronavirus disease, or COVID-19, pandemic could adversely impact our business, including our nonclinical studies and clinical trials.</w:t>
      </w:r>
    </w:p>
    <w:p>
      <w:pPr>
        <w:pStyle w:val="TextBody"/>
        <w:spacing w:lineRule="auto" w:line="273" w:before="280" w:after="0"/>
        <w:jc w:val="both"/>
        <w:rPr>
          <w:rFonts w:ascii="Times New Roman" w:hAnsi="Times New Roman"/>
          <w:sz w:val="20"/>
        </w:rPr>
      </w:pPr>
      <w:r>
        <w:rPr>
          <w:rFonts w:ascii="Arial" w:hAnsi="Arial"/>
          <w:b w:val="false"/>
          <w:sz w:val="20"/>
        </w:rPr>
        <w:t>The COVID-19 pandemic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temporarily closed our executive offices and limited the number of staff in our research and development laboratory spaces. While at this time our offices and laboratory spaces have been reopened at full capacity, a resurgence in cases of COVID-19 or a similar health epidemic could recur at any time, which may cause us to again close down our facilities or take other measures in response. In particular, new and highly contagious variants of COVID</w:t>
        <w:noBreakHyphen/>
        <w:t>19 continue to emerge and spread quickly throughout certain areas of the United States and elsewhere, and at this point we are unable to determine when and to what extent any such resurgence will affect our business. In addition, a number of our clinical trial sites have</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46</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Times New Roman" w:hAnsi="Times New Roman"/>
          <w:sz w:val="20"/>
        </w:rPr>
      </w:pPr>
      <w:r>
        <w:rPr>
          <w:rFonts w:ascii="Arial" w:hAnsi="Arial"/>
          <w:b w:val="false"/>
          <w:sz w:val="20"/>
        </w:rPr>
        <w:t>been subject to restrictions related to COVID-19 that have adversely affected their operations. While COVID-19 related restrictions have been eased in many of our clinical trial sites, new restrictions could be imposed at any time, whether in response to an outbreak of a new variant of COVID-19 or any similar outbreak. While the extent of the continuing impact of the COVID-19 pandemic on our business and financial results is uncertain, a resurgence in cases of COVID-19 or similar epidemic could have a material negative impact on our business, financial condition and operating results.</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val="false"/>
          <w:sz w:val="20"/>
        </w:rPr>
        <w:t>As a result of the COVID-19 pandemic, we may experience disruptions that could severely impact our business, nonclinical studies and clinical trials, including:</w:t>
      </w:r>
      <w:r>
        <w:rPr>
          <w:rFonts w:ascii="Times New Roman" w:hAnsi="Times New Roman"/>
          <w:sz w:val="20"/>
        </w:rPr>
        <w:t xml:space="preserve">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delays or difficulties in enrolling and retaining patients in our clinical trials, particularly elderly subjects, who are at a higher risk of severe illness or death from COVID-19, which can be further complicated by the presence of comorbidities that are often present in AD subjects;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difficulties interpreting data from our clinical trials due to the possible effects of COVID-19 on cognition of the subjects enrolled in our clinical trials that contract COVID-19;</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delays or difficulties in clinical site initiation, including difficulties in recruiting clinical site investigators and clinical site staff;</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diversion of healthcare resources away from the conduct of clinical trials, including the diversion of hospitals serving as our clinical trial sites and hospital staff supporting the conduct of our clinical trials;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interruption or delays in the operations of the FDA or other regulatory authorities, which may impact review and approval timelines;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interruption of, or delays in receiving, supplies of our product candidates from our contract manufacturing organizations due to staffing shortages, production slowdowns or stoppages and disruptions in delivery systems;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interruptions in nonclinical studies due to restricted or limited operations at our laboratory facility;</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limitations on employee resources that would otherwise be focused on the conduct of our nonclinical studies and clinical trials, including because of sickness of employees or their families or the desire of employees to avoid contact with large groups of people;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interruptions, difficulties or delays arising in our existing operations and company culture as a result of all of our employees working remotely, including those hired during the COVID-19 pandemic;</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interruption or delays to our sourced discovery and clinical activities; and</w:t>
      </w:r>
    </w:p>
    <w:p>
      <w:pPr>
        <w:pStyle w:val="TextBody"/>
        <w:spacing w:lineRule="auto" w:line="273" w:before="120" w:after="0"/>
        <w:jc w:val="both"/>
        <w:rPr/>
      </w:pPr>
      <w:r>
        <w:rPr/>
        <w:t>•</w:t>
      </w:r>
    </w:p>
    <w:p>
      <w:pPr>
        <w:pStyle w:val="TextBody"/>
        <w:spacing w:lineRule="auto" w:line="273" w:before="120" w:after="283"/>
        <w:jc w:val="both"/>
        <w:rPr>
          <w:rFonts w:ascii="Arial" w:hAnsi="Arial"/>
          <w:b w:val="false"/>
          <w:sz w:val="20"/>
        </w:rPr>
      </w:pPr>
      <w:r>
        <w:rPr>
          <w:rFonts w:ascii="Arial" w:hAnsi="Arial"/>
          <w:b w:val="false"/>
          <w:sz w:val="20"/>
        </w:rPr>
        <w:t>changes in clinical site procedures and requirements as well as regulatory requirements for conducting clinical trials during the pandemic.</w:t>
      </w:r>
    </w:p>
    <w:p>
      <w:pPr>
        <w:pStyle w:val="TextBody"/>
        <w:spacing w:lineRule="auto" w:line="273" w:before="280" w:after="0"/>
        <w:jc w:val="both"/>
        <w:rPr>
          <w:rFonts w:ascii="Arial" w:hAnsi="Arial"/>
          <w:b w:val="false"/>
          <w:sz w:val="20"/>
        </w:rPr>
      </w:pPr>
      <w:r>
        <w:rPr>
          <w:rFonts w:ascii="Arial" w:hAnsi="Arial"/>
          <w:b w:val="false"/>
          <w:sz w:val="20"/>
        </w:rPr>
        <w:t>We may be required to develop and implement additional clinical trial policies and procedures designed to help protect subjects from the COVID-19 virus. For example, in March 2020, the FDA issued a guidance, which the FDA subsequently updated, on conducting clinical trials during the pandemic, which describes a number of considerations for sponsors of clinical trials impacted by the pandemic, including the requirement to include in the clinical trial report contingency measures implemented to manage the clinical trial, and any disruption of the clinical trial as a result of the COVID-19 pandemic; a list of all subjects affected by the COVID-19-pandemic related study disruption by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study, alternative procedures used to collect critical safety and/or efficacy data) on the safety and efficacy results reported for the clinical trial. In June 2020, the FDA also issued a guidance on good manufacturing practice considerations for responding to COVID-19 infection in employees in drug products manufacturing, including recommendations for manufacturing controls to prevent contamination of drugs.</w:t>
      </w:r>
    </w:p>
    <w:p>
      <w:pPr>
        <w:pStyle w:val="TextBody"/>
        <w:spacing w:lineRule="auto" w:line="273" w:before="280" w:after="0"/>
        <w:jc w:val="both"/>
        <w:rPr>
          <w:rFonts w:ascii="Times New Roman" w:hAnsi="Times New Roman"/>
          <w:sz w:val="20"/>
        </w:rPr>
      </w:pPr>
      <w:r>
        <w:rPr>
          <w:rFonts w:ascii="Arial" w:hAnsi="Arial"/>
          <w:b w:val="false"/>
          <w:sz w:val="20"/>
        </w:rPr>
        <w:t>The trading prices for shares of other biopharmaceutical companies have been highly volatile as a result of the COVID-19 pandemic and the trading prices for shares of our common stock could also experience high volatility. As a result, we may face difficulties raising capital through sales of our common stock or such sales may be on unfavorable terms. In</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47</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Arial" w:hAnsi="Arial"/>
          <w:b w:val="false"/>
          <w:sz w:val="20"/>
        </w:rPr>
      </w:pPr>
      <w:r>
        <w:rPr>
          <w:rFonts w:ascii="Arial" w:hAnsi="Arial"/>
          <w:b w:val="false"/>
          <w:sz w:val="20"/>
        </w:rPr>
        <w:t>addition, a recession, depression or other sustained adverse market event resulting from the spread of COVID-19 could materially and adversely affect our business and the value of our common stock.</w:t>
      </w:r>
    </w:p>
    <w:p>
      <w:pPr>
        <w:pStyle w:val="TextBody"/>
        <w:spacing w:lineRule="auto" w:line="273" w:before="280" w:after="0"/>
        <w:jc w:val="both"/>
        <w:rPr>
          <w:rFonts w:ascii="Arial" w:hAnsi="Arial"/>
          <w:b w:val="false"/>
          <w:sz w:val="20"/>
        </w:rPr>
      </w:pPr>
      <w:r>
        <w:rPr>
          <w:rFonts w:ascii="Arial" w:hAnsi="Arial"/>
          <w:b w:val="false"/>
          <w:sz w:val="20"/>
        </w:rPr>
        <w:t>The ultimate impact of the COVID-19 pandemic on our business operations is highly uncertain and subject to change and will depend on future developments, which cannot be accurately predicted, including the duration of the pandemic, the ultimate geographic spread of the disease, additional or modified government actions, new information that will emerge concerning the severity and impact of COVID-19 and the actions taken to contain COVID-19 or address its impact in the short and long term, among others. We do not yet know the full extent of potential delays or impacts on our business, our clinical trials, our research programs, healthcare systems or the global economy. We will continue to monitor the situation closely.</w:t>
      </w:r>
    </w:p>
    <w:p>
      <w:pPr>
        <w:pStyle w:val="TextBody"/>
        <w:spacing w:lineRule="auto" w:line="273" w:before="280" w:after="0"/>
        <w:jc w:val="both"/>
        <w:rPr>
          <w:rFonts w:ascii="Arial" w:hAnsi="Arial"/>
          <w:b w:val="false"/>
          <w:sz w:val="20"/>
        </w:rPr>
      </w:pPr>
      <w:r>
        <w:rPr>
          <w:rFonts w:ascii="Arial" w:hAnsi="Arial"/>
          <w:b w:val="false"/>
          <w:sz w:val="20"/>
        </w:rPr>
        <w:t>In addition, our business could be significantly adversely affected by other business disruptions to us or our third-party providers that could seriously harm our potential future revenue and financial condition and increase our costs and expenses. Our operations, and those of our CROs, commercial manufacturing organizations, or CMOs, and other contractors, consultants, and third parties could be subject to other global pandemics,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pStyle w:val="TextBody"/>
        <w:spacing w:lineRule="auto" w:line="273" w:before="280" w:after="0"/>
        <w:jc w:val="both"/>
        <w:rPr>
          <w:rFonts w:ascii="Arial" w:hAnsi="Arial"/>
          <w:b/>
          <w:sz w:val="20"/>
        </w:rPr>
      </w:pPr>
      <w:r>
        <w:rPr>
          <w:rFonts w:ascii="Arial" w:hAnsi="Arial"/>
          <w:b/>
          <w:sz w:val="20"/>
        </w:rPr>
        <w:t>Risks Relating to Our Financial Position and Capital Needs</w:t>
      </w:r>
    </w:p>
    <w:p>
      <w:pPr>
        <w:pStyle w:val="TextBody"/>
        <w:spacing w:lineRule="auto" w:line="273" w:before="280" w:after="0"/>
        <w:jc w:val="both"/>
        <w:rPr>
          <w:rFonts w:ascii="Arial" w:hAnsi="Arial"/>
          <w:b/>
          <w:i/>
          <w:sz w:val="20"/>
        </w:rPr>
      </w:pPr>
      <w:r>
        <w:rPr>
          <w:rFonts w:ascii="Arial" w:hAnsi="Arial"/>
          <w:b/>
          <w:i/>
          <w:sz w:val="20"/>
        </w:rPr>
        <w:t>We have incurred significant losses since our inception and anticipate that we will continue to incur significant losses for the foreseeable future.</w:t>
      </w:r>
    </w:p>
    <w:p>
      <w:pPr>
        <w:pStyle w:val="TextBody"/>
        <w:spacing w:lineRule="auto" w:line="273" w:before="280" w:after="0"/>
        <w:jc w:val="both"/>
        <w:rPr>
          <w:rFonts w:ascii="Times New Roman" w:hAnsi="Times New Roman"/>
          <w:sz w:val="20"/>
        </w:rPr>
      </w:pPr>
      <w:r>
        <w:rPr>
          <w:rFonts w:ascii="Arial" w:hAnsi="Arial"/>
          <w:b w:val="false"/>
          <w:sz w:val="20"/>
        </w:rPr>
        <w:t>We have not generated any revenue from product sales and our product candidates will require substantial additional investment before they may provide us with any revenue. We had net losses of $21.0 million and $8.9 million for the three months ended March 31, 2022 and 2021, respectively, and an accumulated deficit of $116.9 million as of March 31, 2022.</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val="false"/>
          <w:sz w:val="20"/>
        </w:rPr>
        <w:t>We have devoted most of our financial resources to research and development, including our clinical and nonclinical development</w:t>
      </w:r>
      <w:r>
        <w:rPr>
          <w:rFonts w:ascii="Times New Roman" w:hAnsi="Times New Roman"/>
          <w:sz w:val="20"/>
        </w:rPr>
        <w:t xml:space="preserve"> </w:t>
      </w:r>
      <w:r>
        <w:rPr>
          <w:rFonts w:ascii="Arial" w:hAnsi="Arial"/>
          <w:b w:val="false"/>
          <w:sz w:val="20"/>
        </w:rPr>
        <w:t>activities. To date, we have financed our operations primarily with proceeds from the sale and issuance of common stock, convertible preferred stock, common stock warrants, and convertible notes, and to a lesser extent from grant income and stock option exercises.</w:t>
      </w:r>
    </w:p>
    <w:p>
      <w:pPr>
        <w:pStyle w:val="TextBody"/>
        <w:spacing w:lineRule="auto" w:line="273" w:before="280" w:after="0"/>
        <w:jc w:val="both"/>
        <w:rPr>
          <w:rFonts w:ascii="Times New Roman" w:hAnsi="Times New Roman"/>
          <w:sz w:val="20"/>
        </w:rPr>
      </w:pPr>
      <w:r>
        <w:rPr>
          <w:rFonts w:ascii="Arial" w:hAnsi="Arial"/>
          <w:b w:val="false"/>
          <w:sz w:val="20"/>
        </w:rPr>
        <w:t>We expect to incur significant expenses and increasing operating losses for the foreseeable future as we:</w:t>
      </w:r>
      <w:r>
        <w:rPr>
          <w:rFonts w:ascii="Times New Roman" w:hAnsi="Times New Roman"/>
          <w:sz w:val="20"/>
        </w:rPr>
        <w:t xml:space="preserve">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continue our research and nonclinical and clinical development of our product candidates;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expand the scope of our clinical studies for our current and prospective product candidates;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initiate additional nonclinical, clinical or other studies for our product candidates, including any pivotal trials with respect to fosgonimeton for the treatment of mild-to-moderate AD in addition to LIFT-AD, and further extend the open label extension of the ACT-AD and LIFT-AD trials;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change or add additional manufacturers or suppliers and manufacture drug supply and drug product for clinical trials and commercialization;</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seek regulatory and marketing approvals for any of our product candidates that successfully complete clinical trials;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attract, hire and retain additional personnel;</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operate as a public company;</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continue to expand our facilities and lab space;</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seek to identify and validate additional product candidates;</w:t>
      </w:r>
    </w:p>
    <w:p>
      <w:pPr>
        <w:pStyle w:val="TextBody"/>
        <w:spacing w:lineRule="auto" w:line="273" w:before="120" w:after="0"/>
        <w:jc w:val="both"/>
        <w:rPr/>
      </w:pPr>
      <w:r>
        <w:rPr/>
        <w:t>•</w:t>
      </w:r>
    </w:p>
    <w:p>
      <w:pPr>
        <w:pStyle w:val="TextBody"/>
        <w:spacing w:lineRule="auto" w:line="273" w:before="120" w:after="283"/>
        <w:jc w:val="both"/>
        <w:rPr>
          <w:rFonts w:ascii="Arial" w:hAnsi="Arial"/>
          <w:b w:val="false"/>
          <w:sz w:val="20"/>
        </w:rPr>
      </w:pPr>
      <w:r>
        <w:rPr>
          <w:rFonts w:ascii="Arial" w:hAnsi="Arial"/>
          <w:b w:val="false"/>
          <w:sz w:val="20"/>
        </w:rPr>
        <w:t>acquire or in-license other product candidates and technologies;</w:t>
      </w:r>
    </w:p>
    <w:p>
      <w:pPr>
        <w:pStyle w:val="TextBody"/>
        <w:spacing w:lineRule="auto" w:line="273" w:before="240" w:after="0"/>
        <w:jc w:val="center"/>
        <w:rPr>
          <w:rFonts w:ascii="Arial" w:hAnsi="Arial"/>
          <w:b w:val="false"/>
          <w:sz w:val="20"/>
        </w:rPr>
      </w:pPr>
      <w:r>
        <w:rPr>
          <w:rFonts w:ascii="Arial" w:hAnsi="Arial"/>
          <w:b w:val="false"/>
          <w:sz w:val="20"/>
        </w:rPr>
        <w:t>48</w:t>
      </w:r>
    </w:p>
    <w:p>
      <w:pPr>
        <w:pStyle w:val="HorizontalLine"/>
        <w:rPr/>
      </w:pPr>
      <w:r>
        <w:rPr/>
      </w:r>
    </w:p>
    <w:p>
      <w:pPr>
        <w:pStyle w:val="TextBody"/>
        <w:spacing w:lineRule="auto" w:line="273" w:before="0" w:after="0"/>
        <w:jc w:val="left"/>
        <w:rPr/>
      </w:pPr>
      <w:r>
        <w:rPr/>
        <w:t>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make milestone or other payments under our in-license or other agreements;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maintain, protect and expand our intellectual property portfolio;</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establish a sales, marketing and distribution infrastructure to commercialize any products for which we may obtain marketing approval;</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create additional infrastructure to support our operations and our product development and planned future commercialization efforts;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incur expenses in connection with legal proceedings, and addressing stockholder activism; and</w:t>
      </w:r>
    </w:p>
    <w:p>
      <w:pPr>
        <w:pStyle w:val="TextBody"/>
        <w:spacing w:lineRule="auto" w:line="273" w:before="120" w:after="0"/>
        <w:jc w:val="both"/>
        <w:rPr/>
      </w:pPr>
      <w:r>
        <w:rPr/>
        <w:t>•</w:t>
      </w:r>
    </w:p>
    <w:p>
      <w:pPr>
        <w:pStyle w:val="TextBody"/>
        <w:spacing w:lineRule="auto" w:line="273" w:before="120" w:after="283"/>
        <w:jc w:val="both"/>
        <w:rPr>
          <w:rFonts w:ascii="Arial" w:hAnsi="Arial"/>
          <w:b w:val="false"/>
          <w:sz w:val="20"/>
        </w:rPr>
      </w:pPr>
      <w:r>
        <w:rPr>
          <w:rFonts w:ascii="Arial" w:hAnsi="Arial"/>
          <w:b w:val="false"/>
          <w:sz w:val="20"/>
        </w:rPr>
        <w:t>experience any delays or encounter issues with any of the above.</w:t>
      </w:r>
    </w:p>
    <w:p>
      <w:pPr>
        <w:pStyle w:val="TextBody"/>
        <w:spacing w:lineRule="auto" w:line="273" w:before="280" w:after="0"/>
        <w:jc w:val="both"/>
        <w:rPr>
          <w:rFonts w:ascii="Times New Roman" w:hAnsi="Times New Roman"/>
          <w:sz w:val="20"/>
        </w:rPr>
      </w:pPr>
      <w:r>
        <w:rPr>
          <w:rFonts w:ascii="Arial" w:hAnsi="Arial"/>
          <w:b w:val="false"/>
          <w:sz w:val="20"/>
        </w:rPr>
        <w:t>Our expenses could increase beyond expectations for a variety of reasons, including if we are required by the FDA, the European Medicines Agency, or EMA, or other regulatory agencies, domestic or foreign, to perform clinical and other studies</w:t>
      </w:r>
      <w:r>
        <w:rPr>
          <w:rFonts w:ascii="Times New Roman" w:hAnsi="Times New Roman"/>
          <w:sz w:val="20"/>
        </w:rPr>
        <w:t xml:space="preserve"> </w:t>
      </w:r>
      <w:r>
        <w:rPr>
          <w:rFonts w:ascii="Arial" w:hAnsi="Arial"/>
          <w:b w:val="false"/>
          <w:sz w:val="20"/>
        </w:rPr>
        <w:t>in addition to those that we currently anticipate. Our prior losses, combined with expected future losses, have had and will continue to have an adverse effect on our stockholders’ equity.</w:t>
      </w:r>
    </w:p>
    <w:p>
      <w:pPr>
        <w:pStyle w:val="TextBody"/>
        <w:spacing w:lineRule="auto" w:line="273" w:before="280" w:after="0"/>
        <w:jc w:val="both"/>
        <w:rPr>
          <w:rFonts w:ascii="Times New Roman" w:hAnsi="Times New Roman"/>
          <w:sz w:val="20"/>
        </w:rPr>
      </w:pPr>
      <w:r>
        <w:rPr>
          <w:rFonts w:ascii="Arial" w:hAnsi="Arial"/>
          <w:b/>
          <w:i/>
          <w:sz w:val="20"/>
        </w:rPr>
        <w:t>We will require substantial additional funding to finance our operations, complete the development and commercialization of fosgonimeton and ATH-1020, and evaluate other and future product candidates. If we are unable to raise this funding when needed, we may be forced to delay, reduce, or eliminate our product development programs or other operations.</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val="false"/>
          <w:sz w:val="20"/>
        </w:rPr>
        <w:t>Since our inception, we have used substantial amounts of cash to fund our operations, and we expect our expenses to increase substantially in the foreseeable future in connection with our ongoing activities, particularly as we continue the research and development of, initiate clinical trials of, and seek marketing approval for, fosgonimeton. Developing fosgonimeton and conducting clinical trials for the treatment of AD, PDD, and any other indications that we may pursue in the future will require substantial amounts of capital. In addition, if we obtain marketing approval for fosgonimeton</w:t>
      </w:r>
      <w:r>
        <w:rPr>
          <w:rFonts w:ascii="Times New Roman" w:hAnsi="Times New Roman"/>
          <w:sz w:val="20"/>
        </w:rPr>
        <w:t xml:space="preserve"> </w:t>
      </w:r>
      <w:r>
        <w:rPr>
          <w:rFonts w:ascii="Arial" w:hAnsi="Arial"/>
          <w:b w:val="false"/>
          <w:sz w:val="20"/>
        </w:rPr>
        <w:t>or any future product candidates</w:t>
      </w:r>
      <w:r>
        <w:rPr>
          <w:rFonts w:ascii="Times New Roman" w:hAnsi="Times New Roman"/>
          <w:sz w:val="20"/>
        </w:rPr>
        <w:t xml:space="preserve"> </w:t>
      </w:r>
      <w:r>
        <w:rPr>
          <w:rFonts w:ascii="Arial" w:hAnsi="Arial"/>
          <w:b w:val="false"/>
          <w:sz w:val="20"/>
        </w:rPr>
        <w:t>including ATH-1020, an orally available, brain-penetrant small molecule for neuropsychiatric conditions, is in a Phase 1 clinical trial, we expect to incur significant commercialization expenses related to sales, marketing, manufacturing, and distribution. Furthermore, we expect to continue to incur additional costs associated with operating as a public company.</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val="false"/>
          <w:sz w:val="20"/>
        </w:rPr>
        <w:t>Accordingly, we will need to obtain substantial additional funding in connection with our continuing operations. As of March 31, 2022, we had cash, cash equivalents and investments of $301.2 million. Based upon our current operating plan, we estimate that our existing cash, cash equivalents and investments will be sufficient to fund our operating expenses and capital expenditure requirements through at least the next 12 months following the date of this report. However,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val="false"/>
          <w:sz w:val="20"/>
        </w:rPr>
        <w:t>The</w:t>
      </w:r>
      <w:r>
        <w:rPr>
          <w:rFonts w:ascii="Times New Roman" w:hAnsi="Times New Roman"/>
          <w:sz w:val="20"/>
        </w:rPr>
        <w:t xml:space="preserve"> </w:t>
      </w:r>
      <w:r>
        <w:rPr>
          <w:rFonts w:ascii="Arial" w:hAnsi="Arial"/>
          <w:b w:val="false"/>
          <w:sz w:val="20"/>
        </w:rPr>
        <w:t>amount and timing of our future funding requirements depends on many factors, some of which are outside of our control, including but not limited to:</w:t>
      </w:r>
      <w:r>
        <w:rPr>
          <w:rFonts w:ascii="Times New Roman" w:hAnsi="Times New Roman"/>
          <w:sz w:val="20"/>
        </w:rPr>
        <w:t xml:space="preserve">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the progress, costs, clinical trial design, results of and timing of our LIFT-AD trial and other clinical trials of fosgonimeton, including for potential additional indications that we are pursuing beyond AD, such as PDD, and a potential further extension of the open label extension of the ACT-AD and LIFT-AD trials;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the willingness of the FDA and EMA to accept our LIFT-AD trial, as well as data from our completed and planned clinical and nonclinical studies and other work, as the basis for review and approval of fosgonimeton for AD;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the outcome, costs and timing of seeking and obtaining FDA, EMA and any other regulatory approvals;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the number and characteristics of product candidates that we pursue;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our ability to manufacture sufficient quantities of our product candidates;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our need to expand our research and development activities;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the costs associated with securing and establishing commercialization and manufacturing capabilities; </w:t>
      </w:r>
    </w:p>
    <w:p>
      <w:pPr>
        <w:pStyle w:val="TextBody"/>
        <w:spacing w:lineRule="auto" w:line="273" w:before="120" w:after="0"/>
        <w:jc w:val="both"/>
        <w:rPr/>
      </w:pPr>
      <w:r>
        <w:rPr/>
        <w:t>•</w:t>
      </w:r>
    </w:p>
    <w:p>
      <w:pPr>
        <w:pStyle w:val="TextBody"/>
        <w:spacing w:lineRule="auto" w:line="273" w:before="120" w:after="283"/>
        <w:jc w:val="both"/>
        <w:rPr>
          <w:rFonts w:ascii="Arial" w:hAnsi="Arial"/>
          <w:b w:val="false"/>
          <w:sz w:val="20"/>
        </w:rPr>
      </w:pPr>
      <w:r>
        <w:rPr>
          <w:rFonts w:ascii="Arial" w:hAnsi="Arial"/>
          <w:b w:val="false"/>
          <w:sz w:val="20"/>
        </w:rPr>
        <w:t xml:space="preserve">the costs of acquiring, licensing or investing in businesses, product candidates and technologies; </w:t>
      </w:r>
    </w:p>
    <w:p>
      <w:pPr>
        <w:pStyle w:val="TextBody"/>
        <w:spacing w:lineRule="auto" w:line="273" w:before="240" w:after="0"/>
        <w:jc w:val="center"/>
        <w:rPr>
          <w:rFonts w:ascii="Arial" w:hAnsi="Arial"/>
          <w:b w:val="false"/>
          <w:sz w:val="20"/>
        </w:rPr>
      </w:pPr>
      <w:r>
        <w:rPr>
          <w:rFonts w:ascii="Arial" w:hAnsi="Arial"/>
          <w:b w:val="false"/>
          <w:sz w:val="20"/>
        </w:rPr>
        <w:t>49</w:t>
      </w:r>
    </w:p>
    <w:p>
      <w:pPr>
        <w:pStyle w:val="HorizontalLine"/>
        <w:rPr/>
      </w:pPr>
      <w:r>
        <w:rPr/>
      </w:r>
    </w:p>
    <w:p>
      <w:pPr>
        <w:pStyle w:val="TextBody"/>
        <w:spacing w:lineRule="auto" w:line="273" w:before="0" w:after="0"/>
        <w:jc w:val="left"/>
        <w:rPr/>
      </w:pPr>
      <w:r>
        <w:rPr/>
        <w:t>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cost, timing and outcomes of any litigation involving our company, including securities class actions and government investigations which we may be or may in the future become involved in;</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our need and ability to retain management and hire scientific, clinical and other personnel;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the effect of competing drugs and product candidates and other market developments;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our need to implement additional internal systems and infrastructure, including financial and reporting systems; and </w:t>
      </w:r>
    </w:p>
    <w:p>
      <w:pPr>
        <w:pStyle w:val="TextBody"/>
        <w:spacing w:lineRule="auto" w:line="273" w:before="120" w:after="0"/>
        <w:jc w:val="both"/>
        <w:rPr/>
      </w:pPr>
      <w:r>
        <w:rPr/>
        <w:t>•</w:t>
      </w:r>
    </w:p>
    <w:p>
      <w:pPr>
        <w:pStyle w:val="TextBody"/>
        <w:spacing w:lineRule="auto" w:line="273" w:before="120" w:after="283"/>
        <w:jc w:val="both"/>
        <w:rPr>
          <w:rFonts w:ascii="Arial" w:hAnsi="Arial"/>
          <w:b w:val="false"/>
          <w:sz w:val="20"/>
        </w:rPr>
      </w:pPr>
      <w:r>
        <w:rPr>
          <w:rFonts w:ascii="Arial" w:hAnsi="Arial"/>
          <w:b w:val="false"/>
          <w:sz w:val="20"/>
        </w:rPr>
        <w:t>the economic and other terms, timing of and success of any collaboration, licensing or other arrangements into which we may enter in the future.</w:t>
      </w:r>
    </w:p>
    <w:p>
      <w:pPr>
        <w:pStyle w:val="TextBody"/>
        <w:spacing w:lineRule="auto" w:line="273" w:before="280" w:after="0"/>
        <w:jc w:val="both"/>
        <w:rPr>
          <w:rFonts w:ascii="Times New Roman" w:hAnsi="Times New Roman"/>
          <w:sz w:val="20"/>
        </w:rPr>
      </w:pPr>
      <w:r>
        <w:rPr>
          <w:rFonts w:ascii="Arial" w:hAnsi="Arial"/>
          <w:b w:val="false"/>
          <w:sz w:val="20"/>
        </w:rPr>
        <w:t>Additional funding may not be available to us on acceptable terms or at all. Any such funding may result in dilution to stockholders, imposition of debt covenants and repayment obligations, or other restrictions that may affect our business. If we are unable</w:t>
      </w:r>
      <w:r>
        <w:rPr>
          <w:rFonts w:ascii="Times New Roman" w:hAnsi="Times New Roman"/>
          <w:sz w:val="20"/>
        </w:rPr>
        <w:t xml:space="preserve"> </w:t>
      </w:r>
      <w:r>
        <w:rPr>
          <w:rFonts w:ascii="Arial" w:hAnsi="Arial"/>
          <w:b w:val="false"/>
          <w:sz w:val="20"/>
        </w:rPr>
        <w:t>to obtain funding on a timely basis, we may be required to significantly curtail one or more of our research or development programs. We also could be required to seek funds through arrangements with collaborative partners or otherwise that may require us to relinquish rights to some of our technologies or product candidates or otherwise agree to terms unfavorable to us.</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i/>
          <w:sz w:val="20"/>
        </w:rPr>
        <w:t>Our ability to use net operating losses</w:t>
      </w:r>
      <w:r>
        <w:rPr>
          <w:rFonts w:ascii="Times New Roman" w:hAnsi="Times New Roman"/>
          <w:sz w:val="20"/>
        </w:rPr>
        <w:t xml:space="preserve"> </w:t>
      </w:r>
      <w:r>
        <w:rPr>
          <w:rFonts w:ascii="Arial" w:hAnsi="Arial"/>
          <w:b/>
          <w:i/>
          <w:sz w:val="20"/>
        </w:rPr>
        <w:t>to offset future taxable income may be subject to certain limitations.</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val="false"/>
          <w:sz w:val="20"/>
        </w:rPr>
        <w:t>As of December 31, 2021, we had federal net operating loss carryforwards, or NOLs, to offset future taxable income of approximately $9.5 million and federal tax credit carryforwards of approximately $2.9 million. The federal NOLs generated during and after fiscal 2017 totaling $80.7 million are carried forward indefinitely, while all others, if not utilized, will expire in various years</w:t>
      </w:r>
      <w:r>
        <w:rPr>
          <w:rFonts w:ascii="Times New Roman" w:hAnsi="Times New Roman"/>
          <w:sz w:val="20"/>
        </w:rPr>
        <w:t xml:space="preserve"> </w:t>
      </w:r>
      <w:r>
        <w:rPr>
          <w:rFonts w:ascii="Arial" w:hAnsi="Arial"/>
          <w:b w:val="false"/>
          <w:sz w:val="20"/>
        </w:rPr>
        <w:t>beginning in 2025. A lack of future taxable income would adversely affect our ability to utilize these NOLs. In addition, under Section 382 of the Internal Revenue Code of 1986, as amended, or the Code, a corporation that undergoes an “ownership change” is subject to limitations on its ability to utilize its NOLs to offset future taxable income. We may have already experienced one or more ownership changes. Depending on the timing of any future utilization of our NOLs and tax credit carryforwards, we may be limited as to the amount that can be utilized each year as a result of such previous ownership changes. However, we do not believe such limitations will cause our NOL and tax credit carryforwards to expire unutilized. In addition, future changes in our stock ownership as well as other changes that may be outside of our control, could result in additional ownership changes under Section 382 of the Code. Our NOLs may also be impaired under similar provisions of state law or limited pursuant to provisions of the Tax Cuts and Jobs Act amendments to the Code, as modified by the Coronavirus Aid, Relief, and Economic Security Act. We have recorded a full valuation allowance related to our NOLs and other deferred tax assets due to the uncertainty of the ultimate realization of the future benefits of those assets.</w:t>
      </w:r>
    </w:p>
    <w:p>
      <w:pPr>
        <w:pStyle w:val="TextBody"/>
        <w:spacing w:lineRule="auto" w:line="273" w:before="280" w:after="0"/>
        <w:jc w:val="both"/>
        <w:rPr>
          <w:rFonts w:ascii="Arial" w:hAnsi="Arial"/>
          <w:b/>
          <w:sz w:val="20"/>
        </w:rPr>
      </w:pPr>
      <w:r>
        <w:rPr>
          <w:rFonts w:ascii="Arial" w:hAnsi="Arial"/>
          <w:b/>
          <w:sz w:val="20"/>
        </w:rPr>
        <w:t>Risks Relating to Regulatory Approval and Other Legal Compliance Matters</w:t>
      </w:r>
    </w:p>
    <w:p>
      <w:pPr>
        <w:pStyle w:val="TextBody"/>
        <w:spacing w:lineRule="auto" w:line="273" w:before="280" w:after="0"/>
        <w:jc w:val="both"/>
        <w:rPr>
          <w:rFonts w:ascii="Times New Roman" w:hAnsi="Times New Roman"/>
          <w:sz w:val="20"/>
        </w:rPr>
      </w:pPr>
      <w:r>
        <w:rPr>
          <w:rFonts w:ascii="Arial" w:hAnsi="Arial"/>
          <w:b/>
          <w:i/>
          <w:sz w:val="20"/>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val="false"/>
          <w:sz w:val="20"/>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marketing approval.</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val="false"/>
          <w:sz w:val="20"/>
        </w:rPr>
        <w:t>Obtaining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50</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Arial" w:hAnsi="Arial"/>
          <w:b w:val="false"/>
          <w:sz w:val="20"/>
        </w:rPr>
      </w:pPr>
      <w:r>
        <w:rPr>
          <w:rFonts w:ascii="Arial" w:hAnsi="Arial"/>
          <w:b w:val="false"/>
          <w:sz w:val="20"/>
        </w:rPr>
        <w:t>may vary among jurisdictions, which may cause delays in the approval or the decision not to approve an application. Further, securing regulatory approval also requires the submission of information about the drug manufacturing process to, and inspection of manufacturing facilities by, the relevant regulatory authority. Regulatory authorities have substantial discretion in the approval process and may refuse to accept any application or may decide that our data are insufficient for approval and require additional nonclinical, clinical or other data. Even if we eventually complete clinical testing and receive approval for our product candidates, the FDA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pStyle w:val="TextBody"/>
        <w:spacing w:lineRule="auto" w:line="259" w:before="280" w:after="0"/>
        <w:jc w:val="both"/>
        <w:rPr>
          <w:rFonts w:ascii="Arial" w:hAnsi="Arial"/>
          <w:b w:val="false"/>
          <w:sz w:val="20"/>
        </w:rPr>
      </w:pPr>
      <w:r>
        <w:rPr>
          <w:rFonts w:ascii="Arial" w:hAnsi="Arial"/>
          <w:b w:val="false"/>
          <w:sz w:val="20"/>
        </w:rPr>
        <w:t>Applications for our product candidates could fail to receive regulatory approval for many reasons, including the following:</w:t>
      </w:r>
    </w:p>
    <w:p>
      <w:pPr>
        <w:pStyle w:val="TextBody"/>
        <w:spacing w:lineRule="auto" w:line="259" w:before="120" w:after="0"/>
        <w:jc w:val="both"/>
        <w:rPr/>
      </w:pPr>
      <w:r>
        <w:rPr/>
        <w:t>•</w:t>
      </w:r>
    </w:p>
    <w:p>
      <w:pPr>
        <w:pStyle w:val="TextBody"/>
        <w:spacing w:lineRule="auto" w:line="259" w:before="120" w:after="0"/>
        <w:jc w:val="both"/>
        <w:rPr>
          <w:rFonts w:ascii="Arial" w:hAnsi="Arial"/>
          <w:b w:val="false"/>
          <w:sz w:val="20"/>
        </w:rPr>
      </w:pPr>
      <w:r>
        <w:rPr>
          <w:rFonts w:ascii="Arial" w:hAnsi="Arial"/>
          <w:b w:val="false"/>
          <w:sz w:val="20"/>
        </w:rPr>
        <w:t>the FDA or other comparable foreign regulatory authorities may disagree with the design, implementation or results of our clinical trials;</w:t>
      </w:r>
    </w:p>
    <w:p>
      <w:pPr>
        <w:pStyle w:val="TextBody"/>
        <w:spacing w:lineRule="auto" w:line="259" w:before="120" w:after="0"/>
        <w:jc w:val="both"/>
        <w:rPr/>
      </w:pPr>
      <w:r>
        <w:rPr/>
        <w:t>•</w:t>
      </w:r>
    </w:p>
    <w:p>
      <w:pPr>
        <w:pStyle w:val="TextBody"/>
        <w:spacing w:lineRule="auto" w:line="259" w:before="120" w:after="0"/>
        <w:jc w:val="both"/>
        <w:rPr>
          <w:rFonts w:ascii="Arial" w:hAnsi="Arial"/>
          <w:b w:val="false"/>
          <w:sz w:val="20"/>
        </w:rPr>
      </w:pPr>
      <w:r>
        <w:rPr>
          <w:rFonts w:ascii="Arial" w:hAnsi="Arial"/>
          <w:b w:val="false"/>
          <w:sz w:val="20"/>
        </w:rPr>
        <w:t>the FDA or other comparable foreign regulatory authorities may determine that our product candidates are not safe and effective or have undesirable or unintended side effects, toxicities or other characteristics that preclude our obtaining marketing approval or prevent or limit commercial use;</w:t>
      </w:r>
    </w:p>
    <w:p>
      <w:pPr>
        <w:pStyle w:val="TextBody"/>
        <w:spacing w:lineRule="auto" w:line="259" w:before="120" w:after="0"/>
        <w:jc w:val="both"/>
        <w:rPr/>
      </w:pPr>
      <w:r>
        <w:rPr/>
        <w:t>•</w:t>
      </w:r>
    </w:p>
    <w:p>
      <w:pPr>
        <w:pStyle w:val="TextBody"/>
        <w:spacing w:lineRule="auto" w:line="259" w:before="120" w:after="0"/>
        <w:jc w:val="both"/>
        <w:rPr>
          <w:rFonts w:ascii="Arial" w:hAnsi="Arial"/>
          <w:b w:val="false"/>
          <w:sz w:val="20"/>
        </w:rPr>
      </w:pPr>
      <w:r>
        <w:rPr>
          <w:rFonts w:ascii="Arial" w:hAnsi="Arial"/>
          <w:b w:val="false"/>
          <w:sz w:val="20"/>
        </w:rPr>
        <w:t>the population studied in the clinical trial may not be sufficiently broad or representative to assure efficacy and safety in the full population for which we seek approval;</w:t>
      </w:r>
    </w:p>
    <w:p>
      <w:pPr>
        <w:pStyle w:val="TextBody"/>
        <w:spacing w:lineRule="auto" w:line="259" w:before="120" w:after="0"/>
        <w:jc w:val="both"/>
        <w:rPr/>
      </w:pPr>
      <w:r>
        <w:rPr/>
        <w:t>•</w:t>
      </w:r>
    </w:p>
    <w:p>
      <w:pPr>
        <w:pStyle w:val="TextBody"/>
        <w:spacing w:lineRule="auto" w:line="259" w:before="120" w:after="0"/>
        <w:jc w:val="both"/>
        <w:rPr>
          <w:rFonts w:ascii="Arial" w:hAnsi="Arial"/>
          <w:b w:val="false"/>
          <w:sz w:val="20"/>
        </w:rPr>
      </w:pPr>
      <w:r>
        <w:rPr>
          <w:rFonts w:ascii="Arial" w:hAnsi="Arial"/>
          <w:b w:val="false"/>
          <w:sz w:val="20"/>
        </w:rPr>
        <w:t xml:space="preserve">the FDA or other comparable foreign regulatory authorities may disagree with our interpretation of data from nonclinical studies or clinical trials; </w:t>
      </w:r>
    </w:p>
    <w:p>
      <w:pPr>
        <w:pStyle w:val="TextBody"/>
        <w:spacing w:lineRule="auto" w:line="259" w:before="120" w:after="0"/>
        <w:jc w:val="both"/>
        <w:rPr/>
      </w:pPr>
      <w:r>
        <w:rPr/>
        <w:t>•</w:t>
      </w:r>
    </w:p>
    <w:p>
      <w:pPr>
        <w:pStyle w:val="TextBody"/>
        <w:spacing w:lineRule="auto" w:line="259" w:before="120" w:after="0"/>
        <w:jc w:val="both"/>
        <w:rPr>
          <w:rFonts w:ascii="Arial" w:hAnsi="Arial"/>
          <w:b w:val="false"/>
          <w:sz w:val="20"/>
        </w:rPr>
      </w:pPr>
      <w:r>
        <w:rPr>
          <w:rFonts w:ascii="Arial" w:hAnsi="Arial"/>
          <w:b w:val="false"/>
          <w:sz w:val="20"/>
        </w:rPr>
        <w:t>we may be unable to demonstrate to the FDA or other comparable foreign regulatory authorities that our product candidate’s risk-benefit ratio for its proposed indication is acceptable;</w:t>
      </w:r>
    </w:p>
    <w:p>
      <w:pPr>
        <w:pStyle w:val="TextBody"/>
        <w:spacing w:lineRule="auto" w:line="259" w:before="120" w:after="0"/>
        <w:jc w:val="both"/>
        <w:rPr/>
      </w:pPr>
      <w:r>
        <w:rPr/>
        <w:t>•</w:t>
      </w:r>
    </w:p>
    <w:p>
      <w:pPr>
        <w:pStyle w:val="TextBody"/>
        <w:spacing w:lineRule="auto" w:line="259" w:before="120" w:after="0"/>
        <w:jc w:val="both"/>
        <w:rPr>
          <w:rFonts w:ascii="Arial" w:hAnsi="Arial"/>
          <w:b w:val="false"/>
          <w:sz w:val="20"/>
        </w:rPr>
      </w:pPr>
      <w:r>
        <w:rPr>
          <w:rFonts w:ascii="Arial" w:hAnsi="Arial"/>
          <w:b w:val="false"/>
          <w:sz w:val="20"/>
        </w:rPr>
        <w:t>the FDA or other comparable foreign regulatory authorities may fail to approve the manufacturing processes, test procedures and specifications or facilities of third-party manufacturers with which we contract for clinical and commercial supplies; and</w:t>
      </w:r>
    </w:p>
    <w:p>
      <w:pPr>
        <w:pStyle w:val="TextBody"/>
        <w:spacing w:lineRule="auto" w:line="259" w:before="120" w:after="0"/>
        <w:jc w:val="both"/>
        <w:rPr/>
      </w:pPr>
      <w:r>
        <w:rPr/>
        <w:t>•</w:t>
      </w:r>
    </w:p>
    <w:p>
      <w:pPr>
        <w:pStyle w:val="TextBody"/>
        <w:spacing w:lineRule="auto" w:line="259" w:before="120" w:after="283"/>
        <w:jc w:val="both"/>
        <w:rPr>
          <w:rFonts w:ascii="Arial" w:hAnsi="Arial"/>
          <w:b w:val="false"/>
          <w:sz w:val="20"/>
        </w:rPr>
      </w:pPr>
      <w:r>
        <w:rPr>
          <w:rFonts w:ascii="Arial" w:hAnsi="Arial"/>
          <w:b w:val="false"/>
          <w:sz w:val="20"/>
        </w:rPr>
        <w:t>the approval policies or regulations of the FDA or other comparable foreign regulatory authorities may significantly change in a manner rendering our clinical data insufficient for approval or resulting in delays in our regulatory approval, including, for example, in connection with the recent controversy and ongoing government investigation of the FDA’s approval process for Biogen’s AD biologic drug Aduhelm.</w:t>
      </w:r>
    </w:p>
    <w:p>
      <w:pPr>
        <w:pStyle w:val="TextBody"/>
        <w:spacing w:lineRule="auto" w:line="259" w:before="280" w:after="0"/>
        <w:jc w:val="both"/>
        <w:rPr>
          <w:rFonts w:ascii="Arial" w:hAnsi="Arial"/>
          <w:b w:val="false"/>
          <w:sz w:val="20"/>
        </w:rPr>
      </w:pPr>
      <w:r>
        <w:rPr>
          <w:rFonts w:ascii="Arial" w:hAnsi="Arial"/>
          <w:b w:val="false"/>
          <w:sz w:val="20"/>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 addition, even if we obtain approval of our product candidates, regulatory authorities may approve any of our product candidates for fewer or more limited indications than we request, may impose significant limitations in the form of narrow indications, warnings, or a risk evaluation and mitigation strategy, or REMS.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pStyle w:val="TextBody"/>
        <w:spacing w:lineRule="auto" w:line="259" w:before="280" w:after="0"/>
        <w:jc w:val="both"/>
        <w:rPr>
          <w:rFonts w:ascii="Arial" w:hAnsi="Arial"/>
          <w:b w:val="false"/>
          <w:sz w:val="20"/>
        </w:rPr>
      </w:pPr>
      <w:r>
        <w:rPr>
          <w:rFonts w:ascii="Arial" w:hAnsi="Arial"/>
          <w:b w:val="false"/>
          <w:sz w:val="20"/>
        </w:rPr>
        <w:t>Of the large number of drugs in development, only a small percentage successfully complete the FDA or comparable foreign regulatory approval processes and are commercialized. The lengthy approval processes as well as the unpredictability of future clinical trial results may result in our failing to obtain regulatory approval to market our product candidates, which would significantly harm our business, results of operations and prospects.</w:t>
      </w:r>
    </w:p>
    <w:p>
      <w:pPr>
        <w:pStyle w:val="TextBody"/>
        <w:spacing w:lineRule="auto" w:line="259" w:before="280" w:after="0"/>
        <w:jc w:val="both"/>
        <w:rPr>
          <w:rFonts w:ascii="Times New Roman" w:hAnsi="Times New Roman"/>
          <w:sz w:val="20"/>
        </w:rPr>
      </w:pPr>
      <w:r>
        <w:rPr>
          <w:rFonts w:ascii="Arial" w:hAnsi="Arial"/>
          <w:b/>
          <w:i/>
          <w:sz w:val="20"/>
        </w:rPr>
        <w:t>Our current or future product candidates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r>
        <w:rPr>
          <w:rFonts w:ascii="Times New Roman" w:hAnsi="Times New Roman"/>
          <w:sz w:val="20"/>
        </w:rPr>
        <w:t xml:space="preserve"> </w:t>
      </w:r>
    </w:p>
    <w:p>
      <w:pPr>
        <w:pStyle w:val="TextBody"/>
        <w:spacing w:lineRule="auto" w:line="259" w:before="285" w:after="0"/>
        <w:jc w:val="both"/>
        <w:rPr>
          <w:rFonts w:ascii="Times New Roman" w:hAnsi="Times New Roman"/>
          <w:sz w:val="20"/>
        </w:rPr>
      </w:pPr>
      <w:r>
        <w:rPr>
          <w:rFonts w:ascii="Arial" w:hAnsi="Arial"/>
          <w:b w:val="false"/>
          <w:sz w:val="20"/>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 characteristics. Undesirable side effects caused by our product candidates could cause us or</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51</w:t>
      </w:r>
    </w:p>
    <w:p>
      <w:pPr>
        <w:pStyle w:val="HorizontalLine"/>
        <w:rPr/>
      </w:pPr>
      <w:r>
        <w:rPr/>
      </w:r>
    </w:p>
    <w:p>
      <w:pPr>
        <w:pStyle w:val="TextBody"/>
        <w:spacing w:lineRule="auto" w:line="273" w:before="0" w:after="0"/>
        <w:jc w:val="left"/>
        <w:rPr/>
      </w:pPr>
      <w:r>
        <w:rPr/>
        <w:t> </w:t>
      </w:r>
    </w:p>
    <w:p>
      <w:pPr>
        <w:pStyle w:val="TextBody"/>
        <w:spacing w:lineRule="auto" w:line="259" w:before="285" w:after="0"/>
        <w:jc w:val="both"/>
        <w:rPr>
          <w:rFonts w:ascii="Times New Roman" w:hAnsi="Times New Roman"/>
          <w:sz w:val="20"/>
        </w:rPr>
      </w:pPr>
      <w:r>
        <w:rPr>
          <w:rFonts w:ascii="Arial" w:hAnsi="Arial"/>
          <w:b w:val="false"/>
          <w:sz w:val="20"/>
        </w:rPr>
        <w:t>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clinical trial or result in potential product liability claims. Any of these occurrences may harm our business, financial condition and prospects significantly.</w:t>
      </w:r>
      <w:r>
        <w:rPr>
          <w:rFonts w:ascii="Times New Roman" w:hAnsi="Times New Roman"/>
          <w:sz w:val="20"/>
        </w:rPr>
        <w:t xml:space="preserve"> </w:t>
      </w:r>
    </w:p>
    <w:p>
      <w:pPr>
        <w:pStyle w:val="TextBody"/>
        <w:spacing w:lineRule="auto" w:line="259" w:before="285" w:after="0"/>
        <w:jc w:val="both"/>
        <w:rPr>
          <w:rFonts w:ascii="Arial" w:hAnsi="Arial"/>
          <w:b w:val="false"/>
          <w:sz w:val="20"/>
        </w:rPr>
      </w:pPr>
      <w:r>
        <w:rPr>
          <w:rFonts w:ascii="Arial" w:hAnsi="Arial"/>
          <w:b w:val="false"/>
          <w:sz w:val="20"/>
        </w:rPr>
        <w:t>If our product candidates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clinical trial, or result in potential product liability claims. Any of these occurrences may prevent us from achieving or maintaining market acceptance of the affected product candidate and may harm our business, financial condition and prospects significantly.</w:t>
      </w:r>
    </w:p>
    <w:p>
      <w:pPr>
        <w:pStyle w:val="TextBody"/>
        <w:spacing w:lineRule="auto" w:line="247" w:before="285" w:after="0"/>
        <w:jc w:val="both"/>
        <w:rPr>
          <w:rFonts w:ascii="Arial" w:hAnsi="Arial"/>
          <w:b w:val="false"/>
          <w:sz w:val="20"/>
        </w:rPr>
      </w:pPr>
      <w:r>
        <w:rPr>
          <w:rFonts w:ascii="Arial" w:hAnsi="Arial"/>
          <w:b w:val="false"/>
          <w:sz w:val="20"/>
        </w:rPr>
        <w:t>Patients in our clinical trials may in the future suffer significant adverse events or other side effects not observed in our nonclinical studies or previous clinical trials. Some of our product candidates may be used as chronic therapies or be used in populations for which safety concerns may be particularly scrutinized by regulatory agencies. In addition, if our product candidates are used in combination with other therapies, our product candidates may exacerbate adverse events associated with the therapy. Patients treated with our product candidates may also be undergoing separate treatments which can cause side effects or adverse events that are unrelated to our product candidate, but may still impact the success of our clinical trials. The inclusion of elderly patients in our clinical trials may result in deaths or other adverse medical events due to other therapies or medications that such patients may be using. If significant adverse events or other side effects are observed in any of our current or future clinical trials, we may have difficulty recruiting patients to the clinical trials, patients may drop out of our clinical trials, or we may be required to abandon the clinical trials or our development efforts of that product candidate altogether. We, the FDA other comparable regulatory authorities or an IRB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clinical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w:t>
      </w:r>
    </w:p>
    <w:p>
      <w:pPr>
        <w:pStyle w:val="TextBody"/>
        <w:spacing w:lineRule="auto" w:line="247" w:before="285" w:after="0"/>
        <w:jc w:val="both"/>
        <w:rPr>
          <w:rFonts w:ascii="Arial" w:hAnsi="Arial"/>
          <w:b w:val="false"/>
          <w:sz w:val="20"/>
        </w:rPr>
      </w:pPr>
      <w:r>
        <w:rPr>
          <w:rFonts w:ascii="Arial" w:hAnsi="Arial"/>
          <w:b w:val="false"/>
          <w:sz w:val="20"/>
        </w:rPr>
        <w:t>Further, if any of our product candidates obtains marketing approval, toxicities associated with such product candidates and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nonclinical studies or early-stage clinical trials.</w:t>
      </w:r>
    </w:p>
    <w:p>
      <w:pPr>
        <w:pStyle w:val="TextBody"/>
        <w:spacing w:lineRule="auto" w:line="273" w:before="280" w:after="0"/>
        <w:jc w:val="both"/>
        <w:rPr>
          <w:rFonts w:ascii="Times New Roman" w:hAnsi="Times New Roman"/>
          <w:sz w:val="20"/>
        </w:rPr>
      </w:pPr>
      <w:r>
        <w:rPr>
          <w:rFonts w:ascii="Arial" w:hAnsi="Arial"/>
          <w:b/>
          <w:i/>
          <w:sz w:val="20"/>
        </w:rPr>
        <w:t>Obtaining and maintaining regulatory approval of our product candidates in one jurisdiction does not mean that we will be successful in obtaining regulatory approval of our product candidates in other jurisdictions.</w:t>
      </w:r>
      <w:r>
        <w:rPr>
          <w:rFonts w:ascii="Times New Roman" w:hAnsi="Times New Roman"/>
          <w:sz w:val="20"/>
        </w:rPr>
        <w:t xml:space="preserve"> </w:t>
      </w:r>
    </w:p>
    <w:p>
      <w:pPr>
        <w:pStyle w:val="TextBody"/>
        <w:spacing w:lineRule="auto" w:line="273" w:before="280" w:after="0"/>
        <w:jc w:val="both"/>
        <w:rPr>
          <w:rFonts w:ascii="Arial" w:hAnsi="Arial"/>
          <w:b w:val="false"/>
          <w:sz w:val="20"/>
        </w:rPr>
      </w:pPr>
      <w:r>
        <w:rPr>
          <w:rFonts w:ascii="Arial" w:hAnsi="Arial"/>
          <w:b w:val="false"/>
          <w:sz w:val="20"/>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pStyle w:val="TextBody"/>
        <w:spacing w:lineRule="auto" w:line="273" w:before="280" w:after="0"/>
        <w:jc w:val="both"/>
        <w:rPr>
          <w:rFonts w:ascii="Arial" w:hAnsi="Arial"/>
          <w:b w:val="false"/>
          <w:sz w:val="20"/>
        </w:rPr>
      </w:pPr>
      <w:r>
        <w:rPr>
          <w:rFonts w:ascii="Arial" w:hAnsi="Arial"/>
          <w:b w:val="false"/>
          <w:sz w:val="20"/>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pStyle w:val="TextBody"/>
        <w:spacing w:lineRule="auto" w:line="273" w:before="240" w:after="0"/>
        <w:jc w:val="center"/>
        <w:rPr>
          <w:rFonts w:ascii="Arial" w:hAnsi="Arial"/>
          <w:b w:val="false"/>
          <w:sz w:val="20"/>
        </w:rPr>
      </w:pPr>
      <w:r>
        <w:rPr>
          <w:rFonts w:ascii="Arial" w:hAnsi="Arial"/>
          <w:b w:val="false"/>
          <w:sz w:val="20"/>
        </w:rPr>
        <w:t>52</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Times New Roman" w:hAnsi="Times New Roman"/>
          <w:sz w:val="20"/>
        </w:rPr>
      </w:pPr>
      <w:r>
        <w:rPr>
          <w:rFonts w:ascii="Arial" w:hAnsi="Arial"/>
          <w:b/>
          <w:i/>
          <w:sz w:val="20"/>
        </w:rPr>
        <w:t>Even if we receive regulatory approval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r>
        <w:rPr>
          <w:rFonts w:ascii="Times New Roman" w:hAnsi="Times New Roman"/>
          <w:sz w:val="20"/>
        </w:rPr>
        <w:t xml:space="preserve"> </w:t>
      </w:r>
    </w:p>
    <w:p>
      <w:pPr>
        <w:pStyle w:val="TextBody"/>
        <w:spacing w:lineRule="auto" w:line="273" w:before="280" w:after="0"/>
        <w:jc w:val="both"/>
        <w:rPr>
          <w:rFonts w:ascii="Arial" w:hAnsi="Arial"/>
          <w:b w:val="false"/>
          <w:sz w:val="20"/>
        </w:rPr>
      </w:pPr>
      <w:r>
        <w:rPr>
          <w:rFonts w:ascii="Arial" w:hAnsi="Arial"/>
          <w:b w:val="false"/>
          <w:sz w:val="20"/>
        </w:rPr>
        <w:t>Any regulatory approvals that we receive for our product candidates will require surveillance to monitor the safety and efficacy of the product candidate.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current good manufacturing practice, or cGMP regulations, good laboratory practice, or GLP, regulations and good clinical practice, or GCP regulations,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restrictions on the marketing or manufacturing of our product candidates, withdrawal of the product from the market or voluntary or mandatory product recalls;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manufacturing delays and supply disruptions where regulatory inspections identify observations of noncompliance requiring remediation;</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revisions to the labeling, including limitation on approved uses or the addition of additional warnings, contraindications or other safety information, including boxed warnings;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imposition of a REMS, which may include distribution or use restrictions;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requirements to conduct additional post-market clinical trials to assess the safety of the product;</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fines, warning letters or holds on clinical trials;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refusal by the FDA to approve pending applications or supplements to approved applications filed by us or suspension or revocation of approvals;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product seizure or detention, or refusal to permit the import or export of our product candidates; and</w:t>
      </w:r>
    </w:p>
    <w:p>
      <w:pPr>
        <w:pStyle w:val="TextBody"/>
        <w:spacing w:lineRule="auto" w:line="273" w:before="120" w:after="0"/>
        <w:jc w:val="both"/>
        <w:rPr/>
      </w:pPr>
      <w:r>
        <w:rPr/>
        <w:t>•</w:t>
      </w:r>
    </w:p>
    <w:p>
      <w:pPr>
        <w:pStyle w:val="TextBody"/>
        <w:spacing w:lineRule="auto" w:line="273" w:before="120" w:after="283"/>
        <w:jc w:val="both"/>
        <w:rPr>
          <w:rFonts w:ascii="Arial" w:hAnsi="Arial"/>
          <w:b w:val="false"/>
          <w:sz w:val="20"/>
        </w:rPr>
      </w:pPr>
      <w:r>
        <w:rPr>
          <w:rFonts w:ascii="Arial" w:hAnsi="Arial"/>
          <w:b w:val="false"/>
          <w:sz w:val="20"/>
        </w:rPr>
        <w:t>injunctions or the imposition of civil or criminal penalties.</w:t>
      </w:r>
    </w:p>
    <w:p>
      <w:pPr>
        <w:pStyle w:val="TextBody"/>
        <w:spacing w:lineRule="auto" w:line="273" w:before="280" w:after="0"/>
        <w:jc w:val="both"/>
        <w:rPr>
          <w:rFonts w:ascii="Arial" w:hAnsi="Arial"/>
          <w:b w:val="false"/>
          <w:sz w:val="20"/>
        </w:rPr>
      </w:pPr>
      <w:r>
        <w:rPr>
          <w:rFonts w:ascii="Arial" w:hAnsi="Arial"/>
          <w:b w:val="false"/>
          <w:sz w:val="20"/>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It is difficult to predict how current and future legislation, executive actions, and litigation, including the executive orders, will be implemented, and the extent to which they will impact our business, our clinical development, and the FDA’s and other agencies’ ability to exercise their regulatory authority, including FDA’s pre-approval inspections and timely review of any regulatory filings or applications we submit to the FDA. To the extent any executive actions impose constraints on FDA’s ability to engage in oversight and implementation activities in the normal course, our business may be negatively impacted.</w:t>
      </w:r>
    </w:p>
    <w:p>
      <w:pPr>
        <w:pStyle w:val="TextBody"/>
        <w:spacing w:lineRule="auto" w:line="273" w:before="280" w:after="0"/>
        <w:jc w:val="both"/>
        <w:rPr>
          <w:rFonts w:ascii="Times New Roman" w:hAnsi="Times New Roman"/>
          <w:sz w:val="20"/>
        </w:rPr>
      </w:pPr>
      <w:r>
        <w:rPr>
          <w:rFonts w:ascii="Arial" w:hAnsi="Arial"/>
          <w:b w:val="false"/>
          <w:sz w:val="20"/>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The occurrence of any event or penalty described above may inhibit our ability to commercialize our product candidates and generate revenue and could require us to expend significant time and resources in response and could generate negative publicity.</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53</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Times New Roman" w:hAnsi="Times New Roman"/>
          <w:sz w:val="20"/>
        </w:rPr>
      </w:pPr>
      <w:r>
        <w:rPr>
          <w:rFonts w:ascii="Arial" w:hAnsi="Arial"/>
          <w:b/>
          <w:i/>
          <w:sz w:val="20"/>
        </w:rPr>
        <w:t>Disruptions at the FDA, the Securities and Exchange Commission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r>
        <w:rPr>
          <w:rFonts w:ascii="Times New Roman" w:hAnsi="Times New Roman"/>
          <w:sz w:val="20"/>
        </w:rPr>
        <w:t xml:space="preserve"> </w:t>
      </w:r>
    </w:p>
    <w:p>
      <w:pPr>
        <w:pStyle w:val="TextBody"/>
        <w:spacing w:lineRule="auto" w:line="273" w:before="280" w:after="0"/>
        <w:jc w:val="both"/>
        <w:rPr>
          <w:rFonts w:ascii="Arial" w:hAnsi="Arial"/>
          <w:b w:val="false"/>
          <w:sz w:val="20"/>
        </w:rPr>
      </w:pPr>
      <w:r>
        <w:rPr>
          <w:rFonts w:ascii="Arial" w:hAnsi="Arial"/>
          <w:b w:val="false"/>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pStyle w:val="TextBody"/>
        <w:spacing w:lineRule="auto" w:line="247" w:before="285" w:after="0"/>
        <w:jc w:val="both"/>
        <w:rPr>
          <w:rFonts w:ascii="Arial" w:hAnsi="Arial"/>
          <w:b w:val="false"/>
          <w:sz w:val="20"/>
        </w:rPr>
      </w:pPr>
      <w:r>
        <w:rPr>
          <w:rFonts w:ascii="Arial" w:hAnsi="Arial"/>
          <w:b w:val="false"/>
          <w:sz w:val="20"/>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public health emergency, since March 2020 when foreign and domestic inspections facilities were largely placed on hold, the FDA has been working to resume routine surveillance, bioresearch monitoring and pre-approval inspections on a prioritized basis. The FDA has developed a rating system to assist in determining when and where it is safest to conduct prioritized domestic inspections. In 2020 and 2021, a number of companies announced receipt of complete response letters due to the FDA’s inability to complete required inspections for their applications. As of May 2021, the FDA noted it was continuing to ensure timely reviews of applications for medical products during the ongoing COVID-19 pandemic in line with its user fee performance goals and conducting mission critical domestic and foreign inspections to ensure compliance of manufacturing facilities with FDA Good Manufacturing Practices. However, the FDA may not be able to continue its current inspection pace, and review timelines could be extended, including where a pre-approval inspection or an inspection of clinical sites is required and due to the ongoing COVID-19 pandemic and travel restrictions, the FDA is unable to complete such required inspections during the review period. Regulatory authorities outside the U.S. may adopt similar restrictions or other policy measures in response to the COVID-19 pandemic and may experience delays in their regulatory activities. If a prolonged government shutdown or other disruption occurs, or if global health or other concerns continue to prevent the FDA or other regulatory authorities from conducting their regular inspections, reviews, or other regulatory activities in a timely manner,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pStyle w:val="TextBody"/>
        <w:spacing w:lineRule="auto" w:line="247" w:before="285" w:after="0"/>
        <w:jc w:val="both"/>
        <w:rPr>
          <w:rFonts w:ascii="Times New Roman" w:hAnsi="Times New Roman"/>
          <w:sz w:val="20"/>
        </w:rPr>
      </w:pPr>
      <w:r>
        <w:rPr>
          <w:rFonts w:ascii="Arial" w:hAnsi="Arial"/>
          <w:b/>
          <w:i/>
          <w:sz w:val="20"/>
        </w:rPr>
        <w:t>We may attempt to secure approval from the FDA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r>
        <w:rPr>
          <w:rFonts w:ascii="Times New Roman" w:hAnsi="Times New Roman"/>
          <w:sz w:val="20"/>
        </w:rPr>
        <w:t xml:space="preserve"> </w:t>
      </w:r>
    </w:p>
    <w:p>
      <w:pPr>
        <w:pStyle w:val="TextBody"/>
        <w:spacing w:lineRule="auto" w:line="247" w:before="285" w:after="0"/>
        <w:jc w:val="both"/>
        <w:rPr>
          <w:rFonts w:ascii="Arial" w:hAnsi="Arial"/>
          <w:b w:val="false"/>
          <w:sz w:val="20"/>
        </w:rPr>
      </w:pPr>
      <w:r>
        <w:rPr>
          <w:rFonts w:ascii="Arial" w:hAnsi="Arial"/>
          <w:b w:val="false"/>
          <w:sz w:val="20"/>
        </w:rPr>
        <w:t>We may in the future seek an accelerated approval for our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pStyle w:val="TextBody"/>
        <w:spacing w:lineRule="auto" w:line="273" w:before="280" w:after="0"/>
        <w:jc w:val="both"/>
        <w:rPr>
          <w:rFonts w:ascii="Times New Roman" w:hAnsi="Times New Roman"/>
          <w:sz w:val="20"/>
        </w:rPr>
      </w:pPr>
      <w:r>
        <w:rPr>
          <w:rFonts w:ascii="Arial" w:hAnsi="Arial"/>
          <w:b w:val="false"/>
          <w:sz w:val="20"/>
        </w:rPr>
        <w:t>Prior to seeking accelerated approval for any of our product candidates, we intend to seek feedback from the FDA and will otherwise evaluate our ability to seek and receive accelerated approval. There can be no assurance that after our</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54</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Arial" w:hAnsi="Arial"/>
          <w:b w:val="false"/>
          <w:sz w:val="20"/>
        </w:rPr>
      </w:pPr>
      <w:r>
        <w:rPr>
          <w:rFonts w:ascii="Arial" w:hAnsi="Arial"/>
          <w:b w:val="false"/>
          <w:sz w:val="20"/>
        </w:rPr>
        <w:t>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pStyle w:val="TextBody"/>
        <w:spacing w:lineRule="auto" w:line="273" w:before="280" w:after="0"/>
        <w:jc w:val="both"/>
        <w:rPr>
          <w:rFonts w:ascii="Arial" w:hAnsi="Arial"/>
          <w:b w:val="false"/>
          <w:sz w:val="20"/>
        </w:rPr>
      </w:pPr>
      <w:r>
        <w:rPr>
          <w:rFonts w:ascii="Arial" w:hAnsi="Arial"/>
          <w:b w:val="false"/>
          <w:sz w:val="20"/>
        </w:rPr>
        <w:t>Further, to the extent the FDA materially changes its policies or regulatory requirements with respect to the accelerated approval program or its internal review process for such program, our clinical development plans and regulatory approval under such program could be materially impacted or delayed. In view of the recent controversy regarding the FDA’s approval of Biogen’s Aduhelm, a biologic, through the accelerated approval pathway, the FDA has requested the Office of the Inspector General to investigate the FDA’s review of Aduhelm leading up to its approval. It is unclear how this investigation will generally impact the FDA’s review process, policies, and data requirements for the accelerated approval program in the future or specifically impact new drug applications in the treatment of Alzheimer’s disease and our clinical development programs.</w:t>
      </w:r>
    </w:p>
    <w:p>
      <w:pPr>
        <w:pStyle w:val="TextBody"/>
        <w:spacing w:lineRule="auto" w:line="273" w:before="280" w:after="0"/>
        <w:jc w:val="both"/>
        <w:rPr>
          <w:rFonts w:ascii="Times New Roman" w:hAnsi="Times New Roman"/>
          <w:sz w:val="20"/>
        </w:rPr>
      </w:pPr>
      <w:r>
        <w:rPr>
          <w:rFonts w:ascii="Arial" w:hAnsi="Arial"/>
          <w:b/>
          <w:i/>
          <w:sz w:val="20"/>
        </w:rPr>
        <w:t>We may face difficulties from changes to current regulations and future legislation. Healthcare legislative measures aimed at reducing healthcare costs may have a material adverse effect on our business and results of operations.</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val="false"/>
          <w:sz w:val="20"/>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w:t>
      </w:r>
      <w:r>
        <w:rPr>
          <w:rFonts w:ascii="Times New Roman" w:hAnsi="Times New Roman"/>
          <w:sz w:val="20"/>
        </w:rPr>
        <w:t xml:space="preserve">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changes to our manufacturing arrangements;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additions or modifications to product labeling;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the recall or discontinuation of our products; or </w:t>
      </w:r>
    </w:p>
    <w:p>
      <w:pPr>
        <w:pStyle w:val="TextBody"/>
        <w:spacing w:lineRule="auto" w:line="273" w:before="120" w:after="0"/>
        <w:jc w:val="both"/>
        <w:rPr/>
      </w:pPr>
      <w:r>
        <w:rPr/>
        <w:t>•</w:t>
      </w:r>
    </w:p>
    <w:p>
      <w:pPr>
        <w:pStyle w:val="TextBody"/>
        <w:spacing w:lineRule="auto" w:line="273" w:before="120" w:after="283"/>
        <w:jc w:val="both"/>
        <w:rPr>
          <w:rFonts w:ascii="Arial" w:hAnsi="Arial"/>
          <w:b w:val="false"/>
          <w:sz w:val="20"/>
        </w:rPr>
      </w:pPr>
      <w:r>
        <w:rPr>
          <w:rFonts w:ascii="Arial" w:hAnsi="Arial"/>
          <w:b w:val="false"/>
          <w:sz w:val="20"/>
        </w:rPr>
        <w:t>additional record-keeping requirements. If any such changes were to be imposed, they could adversely affect the operation of our business.</w:t>
      </w:r>
    </w:p>
    <w:p>
      <w:pPr>
        <w:pStyle w:val="TextBody"/>
        <w:spacing w:lineRule="auto" w:line="252" w:before="285" w:after="0"/>
        <w:jc w:val="both"/>
        <w:rPr>
          <w:rFonts w:ascii="Times New Roman" w:hAnsi="Times New Roman"/>
          <w:sz w:val="20"/>
        </w:rPr>
      </w:pPr>
      <w:r>
        <w:rPr>
          <w:rFonts w:ascii="Arial" w:hAnsi="Arial"/>
          <w:b w:val="false"/>
          <w:sz w:val="20"/>
        </w:rPr>
        <w:t>In the United States, there have been and continue to be a number of legislative initiatives to contain healthcare costs. For example, in March 2010, the Patient Protection and Affordable Care Act, as amended by the Health Care and Education Reconciliation Act of 2010, or collectively, ACA, was passed, which substantially changed the way healthcare is financed by both governmental and private insurers, and significantly impacted the U.S. pharmaceutical industry. The ACA contained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Medicaid Drug Rebate Program requires pharmaceutical manufacturers to enter into and have in effect a national rebate agreement with the U.S. Department of Health and Human Services Secretary, or HHS Secretary, as a condition for states to receive federal matching funds for the manufacturer’s outpatient drugs furnished to Medicaid patients. The ACA made several changes to the Medicaid Drug Rebate Program, including increasing the minimum Medicaid rebates owed by manufacturers under the Medicaid Drug Rebate Program, extending the rebate program to individuals enrolled in Medicaid managed care organizations. The ACA also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In December 2020, the U.S. Centers for Medicare &amp; Medicaid Services (CMS) issued a final rule implementing significant manufacturer price reporting changes under the Medicaid Drug Rebate Program, including regulations that affect manufacturer-sponsored patient assistance programs subject to pharmacy benefit manager accumulator programs and Best Price reporting related to certain value-based purchasing arrangements. Under the American Rescue Plan Act of 2021, effective January 1, 2024, the statutory cap on Medicaid Drug Rebate Program rebates that manufacturers pay to state Medicaid programs will be eliminated. Elimination</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55</w:t>
      </w:r>
    </w:p>
    <w:p>
      <w:pPr>
        <w:pStyle w:val="HorizontalLine"/>
        <w:rPr/>
      </w:pPr>
      <w:r>
        <w:rPr/>
      </w:r>
    </w:p>
    <w:p>
      <w:pPr>
        <w:pStyle w:val="TextBody"/>
        <w:spacing w:lineRule="auto" w:line="273" w:before="0" w:after="0"/>
        <w:jc w:val="left"/>
        <w:rPr/>
      </w:pPr>
      <w:r>
        <w:rPr/>
        <w:t> </w:t>
      </w:r>
    </w:p>
    <w:p>
      <w:pPr>
        <w:pStyle w:val="TextBody"/>
        <w:spacing w:lineRule="auto" w:line="252" w:before="285" w:after="0"/>
        <w:jc w:val="both"/>
        <w:rPr>
          <w:rFonts w:ascii="Arial" w:hAnsi="Arial"/>
          <w:b w:val="false"/>
          <w:sz w:val="20"/>
        </w:rPr>
      </w:pPr>
      <w:r>
        <w:rPr>
          <w:rFonts w:ascii="Arial" w:hAnsi="Arial"/>
          <w:b w:val="false"/>
          <w:sz w:val="20"/>
        </w:rPr>
        <w:t>of this cap may require pharmaceutical manufacturers to pay more in rebates than it receives on the sale of products, which could have a material impact on our business.</w:t>
      </w:r>
    </w:p>
    <w:p>
      <w:pPr>
        <w:pStyle w:val="TextBody"/>
        <w:spacing w:lineRule="auto" w:line="273" w:before="240" w:after="0"/>
        <w:jc w:val="both"/>
        <w:rPr>
          <w:rFonts w:ascii="Arial" w:hAnsi="Arial"/>
          <w:b w:val="false"/>
          <w:sz w:val="20"/>
        </w:rPr>
      </w:pPr>
      <w:r>
        <w:rPr>
          <w:rFonts w:ascii="Arial" w:hAnsi="Arial"/>
          <w:b w:val="false"/>
          <w:sz w:val="20"/>
        </w:rPr>
        <w:t>As discussed above, since its enactment, there have been judicial and Congressional challenges to certain aspects of the ACA. On January 28, 2021, President Biden issued an executive order to initiate a special enrollment period for purposes of obtaining health insurance coverage through the ACA marketplace, which also instructs certain governmental agencies to review and reconsider their existing policies and rules that limit access to healthcare. In June 2021, the United States Supreme Court held that Texas and other challengers had no legal standing to challenge the ACA, dismissing the case without specifically ruling on the constitutionality of the ACA. We cannot predict how this Supreme Court decision or future litigation will impact our business, or what other healthcare measures and regulations will ultimately be implemented at the federal or state level or the effect of any future legislation or regulation may have on our business. Complying with any new legislation and regulatory requirements could be time-intensive and expensive, resulting in a material adverse effect on our business.</w:t>
      </w:r>
    </w:p>
    <w:p>
      <w:pPr>
        <w:pStyle w:val="TextBody"/>
        <w:spacing w:lineRule="auto" w:line="273" w:before="280" w:after="0"/>
        <w:jc w:val="both"/>
        <w:rPr>
          <w:rFonts w:ascii="Arial" w:hAnsi="Arial"/>
          <w:b w:val="false"/>
          <w:sz w:val="20"/>
        </w:rPr>
      </w:pPr>
      <w:r>
        <w:rPr>
          <w:rFonts w:ascii="Arial" w:hAnsi="Arial"/>
          <w:b w:val="false"/>
          <w:sz w:val="20"/>
        </w:rPr>
        <w:t>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published a final rule to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 or ATRA, among other things, reduced Medicare payments to several providers, including hospitals, and increased the statute of limitations period for the government to recover overpayments to providers from three to five years. Other legislative changes include aggregate reductions to Medicare payments to providers of up to 2% per fiscal year pursuant to the Budget Control Act of 2011, which began in 2013 and will remain in effect through 2031 with the exception of a temporary suspension implemented under various COVID-19 relief legislation from May 1, 2020 through March 31, 2022, unless additional Congressional action is taken. Under current legislation, the actual reduction in Medicare payments will vary from 1% in 2022 to up to 4% in the final fiscal year of this sequester.</w:t>
      </w:r>
    </w:p>
    <w:p>
      <w:pPr>
        <w:pStyle w:val="TextBody"/>
        <w:spacing w:lineRule="auto" w:line="273" w:before="280" w:after="0"/>
        <w:jc w:val="both"/>
        <w:rPr>
          <w:rFonts w:ascii="Arial" w:hAnsi="Arial"/>
          <w:b w:val="false"/>
          <w:sz w:val="20"/>
        </w:rPr>
      </w:pPr>
      <w:r>
        <w:rPr>
          <w:rFonts w:ascii="Arial" w:hAnsi="Arial"/>
          <w:b w:val="false"/>
          <w:sz w:val="20"/>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 used several means to propose or implement drug pricing reform, including through federal budget proposals, executive orders and policy initiatives. For example, in 2020, HHS and CMS issued various rules that are expected to impact, among others, price reductions from pharmaceutical manufacturers to plan sponsors under Part D, fee arrangements between pharmacy benefit managers and manufacturers,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the HHS challenging various aspects of the rules implemented during the Trump administration. As a result, the Biden administration and HHS have delayed the implementation or published rules rescinding some of these Trump-era policies.</w:t>
      </w:r>
    </w:p>
    <w:p>
      <w:pPr>
        <w:pStyle w:val="TextBody"/>
        <w:spacing w:lineRule="auto" w:line="273" w:before="280" w:after="0"/>
        <w:jc w:val="both"/>
        <w:rPr>
          <w:rFonts w:ascii="Arial" w:hAnsi="Arial"/>
          <w:b w:val="false"/>
          <w:sz w:val="20"/>
        </w:rPr>
      </w:pPr>
      <w:r>
        <w:rPr>
          <w:rFonts w:ascii="Arial" w:hAnsi="Arial"/>
          <w:b w:val="false"/>
          <w:sz w:val="20"/>
        </w:rPr>
        <w:t>In July 2021, the Biden administration released an executive order, “Promoting Competition in the American Economy,” with multiple provisions aimed at increasing competition for prescription drugs. In response to this executive order, the HHS released a Comprehensive Plan for Addressing High Drug Prices that outlines principles for drug pricing reform and potential legislative policies that Congress could pursue to advance these principles. In addition, Congress is considering legislation that, if passed, could have significant impact on prices of prescription drugs covered by Medicare, including limitations on drug price increases. The impact of these legislative, executive, and administrative actions and any future healthcare measures and agency rules implemented by the Biden administration on us and the pharmaceutical industry as a whole is unclear. The implementation of cost containment measures or other healthcare reforms may prevent us from being able to generate revenue, attain profitability, or commercialize our product candidates if approved.</w:t>
      </w:r>
    </w:p>
    <w:p>
      <w:pPr>
        <w:pStyle w:val="TextBody"/>
        <w:spacing w:lineRule="auto" w:line="273" w:before="280" w:after="0"/>
        <w:jc w:val="both"/>
        <w:rPr>
          <w:rFonts w:ascii="Times New Roman" w:hAnsi="Times New Roman"/>
          <w:sz w:val="20"/>
        </w:rPr>
      </w:pPr>
      <w:r>
        <w:rPr>
          <w:rFonts w:ascii="Arial" w:hAnsi="Arial"/>
          <w:b w:val="false"/>
          <w:sz w:val="20"/>
        </w:rPr>
        <w:t>In April 2022, CMS released a finalized national policy for coverage of aducanumab (or Aduhelm) and any future monoclonal antibodies directed against amyloid approved by the FDA with an indication for use in treating Alzheimer’s disease. According to the two-part National Coverage Determination (NCD), Medicare will cover monoclonal antibodies that</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56</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Arial" w:hAnsi="Arial"/>
          <w:b w:val="false"/>
          <w:sz w:val="20"/>
        </w:rPr>
      </w:pPr>
      <w:r>
        <w:rPr>
          <w:rFonts w:ascii="Arial" w:hAnsi="Arial"/>
          <w:b w:val="false"/>
          <w:sz w:val="20"/>
        </w:rPr>
        <w:t>target amyloid (or plaque) for the treatment of Alzheimer’s disease that receive traditional approval from the FDA when furnished in accordance with the coverage criteria specified under coverage with evidence development. CMS will also provide enhanced access and coverage for Medicare patients participating in CMS-approved studies, such as data collection through routine clinical practice or registries. Additionally, for drugs that FDA has not determined to have shown a clinical benefit or that received an accelerated approval, Medicare will provide coverage in FDA or National Institutes of Health approved clinical trials. If CMS adopts similar coverage restrictions for other classes of FDA-approved drugs for the treatment of Alzheimer’s disease that encompass our product candidates, our ability to commercialize our product candidates, if approved, generate revenue and attain profitability could be negatively impacted. It is unclear how future CMS coverage decisions and policies will impact our business.</w:t>
      </w:r>
    </w:p>
    <w:p>
      <w:pPr>
        <w:pStyle w:val="TextBody"/>
        <w:spacing w:lineRule="auto" w:line="273" w:before="280" w:after="0"/>
        <w:jc w:val="both"/>
        <w:rPr>
          <w:rFonts w:ascii="Arial" w:hAnsi="Arial"/>
          <w:b w:val="false"/>
          <w:sz w:val="20"/>
        </w:rPr>
      </w:pPr>
      <w:r>
        <w:rPr>
          <w:rFonts w:ascii="Arial" w:hAnsi="Arial"/>
          <w:b w:val="false"/>
          <w:sz w:val="20"/>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pStyle w:val="TextBody"/>
        <w:spacing w:lineRule="auto" w:line="273" w:before="280" w:after="0"/>
        <w:jc w:val="both"/>
        <w:rPr>
          <w:rFonts w:ascii="Arial" w:hAnsi="Arial"/>
          <w:b w:val="false"/>
          <w:sz w:val="20"/>
        </w:rPr>
      </w:pPr>
      <w:r>
        <w:rPr>
          <w:rFonts w:ascii="Arial" w:hAnsi="Arial"/>
          <w:b w:val="false"/>
          <w:sz w:val="20"/>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pStyle w:val="TextBody"/>
        <w:spacing w:lineRule="auto" w:line="273" w:before="280" w:after="0"/>
        <w:jc w:val="both"/>
        <w:rPr>
          <w:rFonts w:ascii="Arial" w:hAnsi="Arial"/>
          <w:b w:val="false"/>
          <w:sz w:val="20"/>
        </w:rPr>
      </w:pPr>
      <w:r>
        <w:rPr>
          <w:rFonts w:ascii="Arial" w:hAnsi="Arial"/>
          <w:b w:val="false"/>
          <w:sz w:val="20"/>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demand for our product candidates, if we obtain regulatory approval;</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our ability to set a price that we believe is fair for our products;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our ability to obtain coverage and reimbursement approval for a product;</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our ability to generate revenue and achieve or maintain profitability;</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level of taxes that we are required to pay; and</w:t>
      </w:r>
    </w:p>
    <w:p>
      <w:pPr>
        <w:pStyle w:val="TextBody"/>
        <w:spacing w:lineRule="auto" w:line="273" w:before="120" w:after="0"/>
        <w:jc w:val="both"/>
        <w:rPr/>
      </w:pPr>
      <w:r>
        <w:rPr/>
        <w:t>•</w:t>
      </w:r>
    </w:p>
    <w:p>
      <w:pPr>
        <w:pStyle w:val="TextBody"/>
        <w:spacing w:lineRule="auto" w:line="273" w:before="120" w:after="283"/>
        <w:jc w:val="both"/>
        <w:rPr>
          <w:rFonts w:ascii="Arial" w:hAnsi="Arial"/>
          <w:b w:val="false"/>
          <w:sz w:val="20"/>
        </w:rPr>
      </w:pPr>
      <w:r>
        <w:rPr>
          <w:rFonts w:ascii="Arial" w:hAnsi="Arial"/>
          <w:b w:val="false"/>
          <w:sz w:val="20"/>
        </w:rPr>
        <w:t>the availability of capital.</w:t>
      </w:r>
    </w:p>
    <w:p>
      <w:pPr>
        <w:pStyle w:val="TextBody"/>
        <w:spacing w:lineRule="auto" w:line="273" w:before="280" w:after="0"/>
        <w:jc w:val="both"/>
        <w:rPr>
          <w:rFonts w:ascii="Arial" w:hAnsi="Arial"/>
          <w:b w:val="false"/>
          <w:sz w:val="20"/>
        </w:rPr>
      </w:pPr>
      <w:r>
        <w:rPr>
          <w:rFonts w:ascii="Arial" w:hAnsi="Arial"/>
          <w:b w:val="false"/>
          <w:sz w:val="20"/>
        </w:rPr>
        <w:t>Any reduction in reimbursement from Medicare or other government programs may result in a similar reduction in payments from private payors, which may adversely affect our future profitability.</w:t>
      </w:r>
    </w:p>
    <w:p>
      <w:pPr>
        <w:pStyle w:val="TextBody"/>
        <w:spacing w:lineRule="auto" w:line="273" w:before="280" w:after="0"/>
        <w:jc w:val="both"/>
        <w:rPr>
          <w:rFonts w:ascii="Times New Roman" w:hAnsi="Times New Roman"/>
          <w:sz w:val="20"/>
        </w:rPr>
      </w:pPr>
      <w:r>
        <w:rPr>
          <w:rFonts w:ascii="Arial" w:hAnsi="Arial"/>
          <w:b w:val="false"/>
          <w:sz w:val="20"/>
        </w:rPr>
        <w:t>We expect that the ACA, as well as other healthcare reform measures that may be adopted in the future, may result in more rigorous coverage criteria and in additional downward pressure on the price that we receive for any approved product. Further, it is possible that additional governmental action is taken to address the COVID-19 pandemic.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Legislative and regulatory proposals have been made to expand post-approval requirements and restrict sales and promotional activities for biotechnology products. We cannot be sure to what extent the trajectory of these legislative and regulatory proposals will be implemented by the federal and state governments, whether additional legislative changes will be enacted, whether FDA regulations, guidance or interpretations will be changed, or what the impact of such changes on the marketing approvals of our product candidates, if any, may be. In addition, increased scrutiny by Congress of the FDA’s approval process may</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57</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Arial" w:hAnsi="Arial"/>
          <w:b w:val="false"/>
          <w:sz w:val="20"/>
        </w:rPr>
      </w:pPr>
      <w:r>
        <w:rPr>
          <w:rFonts w:ascii="Arial" w:hAnsi="Arial"/>
          <w:b w:val="false"/>
          <w:sz w:val="20"/>
        </w:rPr>
        <w:t>significantly delay or prevent marketing approval, as well as subject us to more stringent product labeling and post-marketing testing and other requirements.</w:t>
      </w:r>
    </w:p>
    <w:p>
      <w:pPr>
        <w:pStyle w:val="TextBody"/>
        <w:spacing w:lineRule="auto" w:line="273" w:before="280" w:after="0"/>
        <w:jc w:val="both"/>
        <w:rPr>
          <w:rFonts w:ascii="Times New Roman" w:hAnsi="Times New Roman"/>
          <w:sz w:val="20"/>
        </w:rPr>
      </w:pPr>
      <w:r>
        <w:rPr>
          <w:rFonts w:ascii="Arial" w:hAnsi="Arial"/>
          <w:b/>
          <w:i/>
          <w:sz w:val="20"/>
        </w:rPr>
        <w:t>Our relationships with healthcare professionals, clinical investigators, CROs and third party payors in connection with our current and future business activities, and our participation in the federal health care programs and acceptance of federal grant funding, such as funding from the National Institutes of Health (NIH), may be subject to federal and state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r>
        <w:rPr>
          <w:rFonts w:ascii="Times New Roman" w:hAnsi="Times New Roman"/>
          <w:sz w:val="20"/>
        </w:rPr>
        <w:t xml:space="preserve"> </w:t>
      </w:r>
    </w:p>
    <w:p>
      <w:pPr>
        <w:pStyle w:val="TextBody"/>
        <w:spacing w:lineRule="auto" w:line="273" w:before="280" w:after="0"/>
        <w:jc w:val="both"/>
        <w:rPr>
          <w:rFonts w:ascii="Arial" w:hAnsi="Arial"/>
          <w:b w:val="false"/>
          <w:sz w:val="20"/>
        </w:rPr>
      </w:pPr>
      <w:r>
        <w:rPr>
          <w:rFonts w:ascii="Arial" w:hAnsi="Arial"/>
          <w:b w:val="false"/>
          <w:sz w:val="20"/>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Similarly, our participation in the federal health care programs and acceptance of federal grant funding from the NIH may subject us to federal false claims laws, civil penalties and assessments, criminal prosecution, and other administrative, civil, and criminal remedies.</w:t>
      </w:r>
    </w:p>
    <w:p>
      <w:pPr>
        <w:pStyle w:val="TextBody"/>
        <w:spacing w:lineRule="auto" w:line="273" w:before="280" w:after="0"/>
        <w:jc w:val="both"/>
        <w:rPr>
          <w:rFonts w:ascii="Arial" w:hAnsi="Arial"/>
          <w:b w:val="false"/>
          <w:sz w:val="20"/>
        </w:rPr>
      </w:pPr>
      <w:r>
        <w:rPr>
          <w:rFonts w:ascii="Arial" w:hAnsi="Arial"/>
          <w:b w:val="false"/>
          <w:sz w:val="20"/>
        </w:rPr>
        <w:t>The laws that may affect our ability to operate include, but are not limited to:</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False Claims Act, or FCA. There are a number of statutory exceptions and regulatory safe harbors protecting some common activities from prosecution, but the exceptions and safe harbors are drawn narrowly and require strict compliance in order to offer protection.</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federal civil and criminal false claims laws, including the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 Under the FCA, a “claim” also includes any request (including grant request) or demand for money or property made to the United States or to a contractor, recipient, if the Federal government provides or will reimburse any portion of the funds claimed. “Funds” include money that the NIH awards as part of research grants. Even if a federal grant is not awarded, the grant applicant may be subject to FCA liability if the information contained in or submitted as part of a grant application, including its certifications and assurances, is found to be false, fictitious, or fraudulent.</w:t>
      </w:r>
    </w:p>
    <w:p>
      <w:pPr>
        <w:pStyle w:val="TextBody"/>
        <w:spacing w:lineRule="auto" w:line="273" w:before="120" w:after="0"/>
        <w:jc w:val="both"/>
        <w:rPr/>
      </w:pPr>
      <w:r>
        <w:rPr/>
        <w:t>•</w:t>
      </w:r>
    </w:p>
    <w:p>
      <w:pPr>
        <w:pStyle w:val="TextBody"/>
        <w:spacing w:lineRule="auto" w:line="273" w:before="120" w:after="283"/>
        <w:jc w:val="both"/>
        <w:rPr>
          <w:rFonts w:ascii="Arial" w:hAnsi="Arial"/>
          <w:b w:val="false"/>
          <w:sz w:val="20"/>
        </w:rPr>
      </w:pPr>
      <w:r>
        <w:rPr>
          <w:rFonts w:ascii="Arial" w:hAnsi="Arial"/>
          <w:b w:val="false"/>
          <w:sz w:val="20"/>
        </w:rPr>
        <w:t xml:space="preserve">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w:t>
      </w:r>
    </w:p>
    <w:p>
      <w:pPr>
        <w:pStyle w:val="TextBody"/>
        <w:spacing w:lineRule="auto" w:line="273" w:before="240" w:after="0"/>
        <w:jc w:val="center"/>
        <w:rPr>
          <w:rFonts w:ascii="Arial" w:hAnsi="Arial"/>
          <w:b w:val="false"/>
          <w:sz w:val="20"/>
        </w:rPr>
      </w:pPr>
      <w:r>
        <w:rPr>
          <w:rFonts w:ascii="Arial" w:hAnsi="Arial"/>
          <w:b w:val="false"/>
          <w:sz w:val="20"/>
        </w:rPr>
        <w:t>58</w:t>
      </w:r>
    </w:p>
    <w:p>
      <w:pPr>
        <w:pStyle w:val="HorizontalLine"/>
        <w:rPr/>
      </w:pPr>
      <w:r>
        <w:rPr/>
      </w:r>
    </w:p>
    <w:p>
      <w:pPr>
        <w:pStyle w:val="TextBody"/>
        <w:spacing w:lineRule="auto" w:line="273" w:before="0" w:after="0"/>
        <w:jc w:val="left"/>
        <w:rPr/>
      </w:pPr>
      <w:r>
        <w:rPr/>
        <w:t> </w:t>
      </w:r>
    </w:p>
    <w:p>
      <w:pPr>
        <w:pStyle w:val="TextBody"/>
        <w:spacing w:lineRule="auto" w:line="273" w:before="120" w:after="0"/>
        <w:jc w:val="both"/>
        <w:rPr>
          <w:rFonts w:ascii="Arial" w:hAnsi="Arial"/>
          <w:b w:val="false"/>
          <w:sz w:val="20"/>
        </w:rPr>
      </w:pPr>
      <w:r>
        <w:rPr>
          <w:rFonts w:ascii="Arial" w:hAnsi="Arial"/>
          <w:b w:val="false"/>
          <w:sz w:val="20"/>
        </w:rPr>
        <w:t>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federal consumer protection and unfair competition laws, which broadly regulate marketplace activities and activities that potentially harm consumers.</w:t>
      </w:r>
    </w:p>
    <w:p>
      <w:pPr>
        <w:pStyle w:val="TextBody"/>
        <w:spacing w:lineRule="auto" w:line="273" w:before="120" w:after="0"/>
        <w:jc w:val="both"/>
        <w:rPr/>
      </w:pPr>
      <w:r>
        <w:rPr/>
        <w:t>•</w:t>
      </w:r>
    </w:p>
    <w:p>
      <w:pPr>
        <w:pStyle w:val="TextBody"/>
        <w:spacing w:lineRule="auto" w:line="273" w:before="120" w:after="283"/>
        <w:jc w:val="both"/>
        <w:rPr>
          <w:rFonts w:ascii="Arial" w:hAnsi="Arial"/>
          <w:b w:val="false"/>
          <w:sz w:val="20"/>
        </w:rPr>
      </w:pPr>
      <w:r>
        <w:rPr>
          <w:rFonts w:ascii="Arial" w:hAnsi="Arial"/>
          <w:b w:val="false"/>
          <w:sz w:val="20"/>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pStyle w:val="TextBody"/>
        <w:spacing w:lineRule="auto" w:line="273" w:before="280" w:after="0"/>
        <w:jc w:val="both"/>
        <w:rPr>
          <w:rFonts w:ascii="Arial" w:hAnsi="Arial"/>
          <w:b w:val="false"/>
          <w:sz w:val="20"/>
        </w:rPr>
      </w:pPr>
      <w:r>
        <w:rPr>
          <w:rFonts w:ascii="Arial" w:hAnsi="Arial"/>
          <w:b w:val="false"/>
          <w:sz w:val="20"/>
        </w:rPr>
        <w:t>Because of the breadth of these laws and the narrowness of available statutory exceptions and regulatory safe harbors, it is possible that some of our business activities, including our advisory board arrangements with physicians, some of whom receive stock or stock options as compensation for services provided, and any sales and marketing activities after a product candidate has been approved for marketing in the United States, could be subject to legal challenge and enforcement actions. If our operations are found to be in violation of any of the federal and state laws described above or any other governmental regulations that apply to us, we may be subject to significant civil, criminal, and administrative penalties, including, without limitation, damages, fines, imprisonment, exclusion from participation in government healthcare programs,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pStyle w:val="TextBody"/>
        <w:spacing w:lineRule="auto" w:line="264" w:before="280" w:after="0"/>
        <w:jc w:val="both"/>
        <w:rPr>
          <w:rFonts w:ascii="Times New Roman" w:hAnsi="Times New Roman"/>
          <w:sz w:val="20"/>
        </w:rPr>
      </w:pPr>
      <w:r>
        <w:rPr>
          <w:rFonts w:ascii="Arial" w:hAnsi="Arial"/>
          <w:b/>
          <w:i/>
          <w:sz w:val="20"/>
        </w:rPr>
        <w:t>Our employees, independent contractors, consultants, commercial collaborators, principal investigators, CROs, suppliers and vendors may engage in misconduct or other improper activities, including noncompliance with regulatory standards and requirements.</w:t>
      </w:r>
      <w:r>
        <w:rPr>
          <w:rFonts w:ascii="Times New Roman" w:hAnsi="Times New Roman"/>
          <w:sz w:val="20"/>
        </w:rPr>
        <w:t xml:space="preserve"> </w:t>
      </w:r>
    </w:p>
    <w:p>
      <w:pPr>
        <w:pStyle w:val="TextBody"/>
        <w:spacing w:lineRule="auto" w:line="264" w:before="280" w:after="0"/>
        <w:jc w:val="both"/>
        <w:rPr>
          <w:rFonts w:ascii="Times New Roman" w:hAnsi="Times New Roman"/>
          <w:sz w:val="20"/>
        </w:rPr>
      </w:pPr>
      <w:r>
        <w:rPr>
          <w:rFonts w:ascii="Arial" w:hAnsi="Arial"/>
          <w:b w:val="false"/>
          <w:sz w:val="20"/>
        </w:rPr>
        <w:t>In addition to the risks relating to the outcome of the independent special committee’s investigation noted above, 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59</w:t>
      </w:r>
    </w:p>
    <w:p>
      <w:pPr>
        <w:pStyle w:val="HorizontalLine"/>
        <w:rPr/>
      </w:pPr>
      <w:r>
        <w:rPr/>
      </w:r>
    </w:p>
    <w:p>
      <w:pPr>
        <w:pStyle w:val="TextBody"/>
        <w:spacing w:lineRule="auto" w:line="273" w:before="0" w:after="0"/>
        <w:jc w:val="left"/>
        <w:rPr/>
      </w:pPr>
      <w:r>
        <w:rPr/>
        <w:t> </w:t>
      </w:r>
    </w:p>
    <w:p>
      <w:pPr>
        <w:pStyle w:val="TextBody"/>
        <w:spacing w:lineRule="auto" w:line="264" w:before="280" w:after="0"/>
        <w:jc w:val="both"/>
        <w:rPr>
          <w:rFonts w:ascii="Arial" w:hAnsi="Arial"/>
          <w:b w:val="false"/>
          <w:sz w:val="20"/>
        </w:rPr>
      </w:pPr>
      <w:r>
        <w:rPr>
          <w:rFonts w:ascii="Arial" w:hAnsi="Arial"/>
          <w:b w:val="false"/>
          <w:sz w:val="20"/>
        </w:rPr>
        <w:t>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pStyle w:val="TextBody"/>
        <w:spacing w:lineRule="auto" w:line="264" w:before="280" w:after="0"/>
        <w:jc w:val="both"/>
        <w:rPr>
          <w:rFonts w:ascii="Times New Roman" w:hAnsi="Times New Roman"/>
          <w:sz w:val="20"/>
        </w:rPr>
      </w:pPr>
      <w:r>
        <w:rPr>
          <w:rFonts w:ascii="Arial" w:hAnsi="Arial"/>
          <w:b/>
          <w:i/>
          <w:sz w:val="20"/>
        </w:rPr>
        <w:t>If we fail to comply with environmental, health and safety laws and regulations, we could become subject to fines or penalties or incur costs that could have a material adverse effect on the success of our business.</w:t>
      </w:r>
      <w:r>
        <w:rPr>
          <w:rFonts w:ascii="Times New Roman" w:hAnsi="Times New Roman"/>
          <w:sz w:val="20"/>
        </w:rPr>
        <w:t xml:space="preserve"> </w:t>
      </w:r>
    </w:p>
    <w:p>
      <w:pPr>
        <w:pStyle w:val="TextBody"/>
        <w:spacing w:lineRule="auto" w:line="264" w:before="280" w:after="0"/>
        <w:jc w:val="both"/>
        <w:rPr>
          <w:rFonts w:ascii="Arial" w:hAnsi="Arial"/>
          <w:b w:val="false"/>
          <w:sz w:val="20"/>
        </w:rPr>
      </w:pPr>
      <w:r>
        <w:rPr>
          <w:rFonts w:ascii="Arial" w:hAnsi="Arial"/>
          <w:b w:val="false"/>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spacing w:lineRule="auto" w:line="264" w:before="280" w:after="0"/>
        <w:jc w:val="both"/>
        <w:rPr>
          <w:rFonts w:ascii="Arial" w:hAnsi="Arial"/>
          <w:b w:val="false"/>
          <w:sz w:val="20"/>
        </w:rPr>
      </w:pPr>
      <w:r>
        <w:rPr>
          <w:rFonts w:ascii="Arial" w:hAnsi="Arial"/>
          <w:b w:val="false"/>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spacing w:lineRule="auto" w:line="264" w:before="280" w:after="0"/>
        <w:jc w:val="both"/>
        <w:rPr>
          <w:rFonts w:ascii="Times New Roman" w:hAnsi="Times New Roman"/>
          <w:sz w:val="20"/>
        </w:rPr>
      </w:pPr>
      <w:r>
        <w:rPr>
          <w:rFonts w:ascii="Arial" w:hAnsi="Arial"/>
          <w:b/>
          <w:i/>
          <w:sz w:val="20"/>
        </w:rPr>
        <w:t>We are subject to certain U.S. and foreign anti-corruption, anti-money laundering, export control, sanctions, and other trade laws and regulations. We can face serious consequences for violations.</w:t>
      </w:r>
      <w:r>
        <w:rPr>
          <w:rFonts w:ascii="Times New Roman" w:hAnsi="Times New Roman"/>
          <w:sz w:val="20"/>
        </w:rPr>
        <w:t xml:space="preserve"> </w:t>
      </w:r>
    </w:p>
    <w:p>
      <w:pPr>
        <w:pStyle w:val="TextBody"/>
        <w:spacing w:lineRule="auto" w:line="264" w:before="280" w:after="0"/>
        <w:jc w:val="both"/>
        <w:rPr>
          <w:rFonts w:ascii="Arial" w:hAnsi="Arial"/>
          <w:b w:val="false"/>
          <w:sz w:val="20"/>
        </w:rPr>
      </w:pPr>
      <w:r>
        <w:rPr>
          <w:rFonts w:ascii="Arial" w:hAnsi="Arial"/>
          <w:b w:val="false"/>
          <w:sz w:val="20"/>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pStyle w:val="TextBody"/>
        <w:spacing w:lineRule="auto" w:line="273" w:before="280" w:after="0"/>
        <w:jc w:val="both"/>
        <w:rPr>
          <w:rFonts w:ascii="Arial" w:hAnsi="Arial"/>
          <w:b/>
          <w:sz w:val="20"/>
        </w:rPr>
      </w:pPr>
      <w:r>
        <w:rPr>
          <w:rFonts w:ascii="Arial" w:hAnsi="Arial"/>
          <w:b/>
          <w:sz w:val="20"/>
        </w:rPr>
        <w:t>Risks Relating to Our Reliance on Third Parties</w:t>
      </w:r>
    </w:p>
    <w:p>
      <w:pPr>
        <w:pStyle w:val="TextBody"/>
        <w:spacing w:lineRule="auto" w:line="273" w:before="280" w:after="0"/>
        <w:jc w:val="both"/>
        <w:rPr>
          <w:rFonts w:ascii="Times New Roman" w:hAnsi="Times New Roman"/>
          <w:sz w:val="20"/>
        </w:rPr>
      </w:pPr>
      <w:r>
        <w:rPr>
          <w:rFonts w:ascii="Arial" w:hAnsi="Arial"/>
          <w:b/>
          <w:i/>
          <w:sz w:val="20"/>
        </w:rPr>
        <w:t>We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val="false"/>
          <w:sz w:val="20"/>
        </w:rPr>
        <w:t>We utilize and depend upon independent investigators and collaborators, such as medical institutions, CROs, CMOs, and strategic partners to conduct and support our nonclinical studies and clinical trials under agreements with us.</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60</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Arial" w:hAnsi="Arial"/>
          <w:b w:val="false"/>
          <w:sz w:val="20"/>
        </w:rPr>
      </w:pPr>
      <w:r>
        <w:rPr>
          <w:rFonts w:ascii="Arial" w:hAnsi="Arial"/>
          <w:b w:val="false"/>
          <w:sz w:val="20"/>
        </w:rPr>
        <w:t>We expect to have to negotiate budgets and contracts with CROs, clinical trial sites and CMOs and we may not be able to do so on favorable terms, which may result in delays to our development timelines and increased costs. We will rely heavily on these third parties over the course of our nonclinical studies and clinical trials, and we control only certain aspects of their activities. As a result, we will have less direct control over the conduct, timing and completion of these nonclinical studies and clinical trials and the management of data developed through nonclinical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product candidates in clinical development. Regulatory authorities enforce these GCPs through periodic inspections of clinical trial sponsors, principal investigators and clinical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pStyle w:val="TextBody"/>
        <w:spacing w:lineRule="auto" w:line="273" w:before="280" w:after="0"/>
        <w:jc w:val="both"/>
        <w:rPr>
          <w:rFonts w:ascii="Arial" w:hAnsi="Arial"/>
          <w:b w:val="false"/>
          <w:sz w:val="20"/>
        </w:rPr>
      </w:pPr>
      <w:r>
        <w:rPr>
          <w:rFonts w:ascii="Arial" w:hAnsi="Arial"/>
          <w:b w:val="false"/>
          <w:sz w:val="20"/>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non-clinical product candidates. These third parties may also have relationships with other commercial entities, including our competitors, for whom they may also be conducting clinical trials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pStyle w:val="TextBody"/>
        <w:spacing w:lineRule="auto" w:line="273" w:before="280" w:after="0"/>
        <w:jc w:val="both"/>
        <w:rPr>
          <w:rFonts w:ascii="Arial" w:hAnsi="Arial"/>
          <w:b w:val="false"/>
          <w:sz w:val="20"/>
        </w:rPr>
      </w:pPr>
      <w:r>
        <w:rPr>
          <w:rFonts w:ascii="Arial" w:hAnsi="Arial"/>
          <w:b w:val="false"/>
          <w:sz w:val="20"/>
        </w:rPr>
        <w:t>Switching or adding third parties to conduct our nonclinical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pStyle w:val="TextBody"/>
        <w:spacing w:lineRule="auto" w:line="273" w:before="280" w:after="0"/>
        <w:jc w:val="both"/>
        <w:rPr>
          <w:rFonts w:ascii="Arial" w:hAnsi="Arial"/>
          <w:b/>
          <w:i/>
          <w:sz w:val="20"/>
        </w:rPr>
      </w:pPr>
      <w:r>
        <w:rPr>
          <w:rFonts w:ascii="Arial" w:hAnsi="Arial"/>
          <w:b/>
          <w:i/>
          <w:sz w:val="20"/>
        </w:rPr>
        <w:t>We contract with third parties for the manufacture of our product candidates for nonclinical studies and our clinical trials, and expect to continue to do so for additional clinical trials and ultimately for commercialization. This reliance on third parties increases the risk that we will not have sufficient quantities of our product candidates or drugs or such quantities at an acceptable cost, which could delay, prevent or impair our development or commercialization efforts.</w:t>
      </w:r>
    </w:p>
    <w:p>
      <w:pPr>
        <w:pStyle w:val="TextBody"/>
        <w:spacing w:lineRule="auto" w:line="273" w:before="280" w:after="0"/>
        <w:jc w:val="both"/>
        <w:rPr>
          <w:rFonts w:ascii="Times New Roman" w:hAnsi="Times New Roman"/>
          <w:sz w:val="20"/>
        </w:rPr>
      </w:pPr>
      <w:r>
        <w:rPr>
          <w:rFonts w:ascii="Arial" w:hAnsi="Arial"/>
          <w:b w:val="false"/>
          <w:sz w:val="20"/>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nonclinical studies and clinical trials under the guidance of members of our organization. We do not have long-term supply agreements. Furthermore, the raw materials for our product candidates are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For example, the extent to which the COVID-19 pandemic impacts our ability to procure sufficient supplies for the development of our products and product candidates will depend on the severity and duration of the spread of the virus, and the actions undertaken to contain COVID-19 or treat its effects. We expect to continue to rely on third-party manufacturers for the commercial supply of any of our product candidates for which we obtain marketing approval. We may be unable to maintain or establish required agreements with third-party</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61</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Arial" w:hAnsi="Arial"/>
          <w:b w:val="false"/>
          <w:sz w:val="20"/>
        </w:rPr>
      </w:pPr>
      <w:r>
        <w:rPr>
          <w:rFonts w:ascii="Arial" w:hAnsi="Arial"/>
          <w:b w:val="false"/>
          <w:sz w:val="20"/>
        </w:rPr>
        <w:t>manufacturers or to do so on acceptable terms. Even if we are able to establish agreements with third-party manufacturers, reliance on third-party manufacturers entails additional risks, including:</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reduction or termination of production or deliveries by suppliers, or the raising of prices or renegotiation of terms;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termination or nonrenewal of arrangements or agreements by our third-party contractors at a time that is costly or inconvenient for us;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breach by the third-party contractors of our agreements with them;</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failure of third-party contractors to comply with applicable regulatory requirements;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failure of the third party to manufacture our product candidates according to our specifications;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mislabeling of clinical supplies, potentially resulting in the wrong dose amounts being supplied or active drug or placebo not being properly identified;</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clinical supplies not being delivered to clinical sites on time, leading to clinical trial interruptions, or of drug supplies not being distributed to commercial vendors in a timely manner, resulting in lost sales; and</w:t>
      </w:r>
    </w:p>
    <w:p>
      <w:pPr>
        <w:pStyle w:val="TextBody"/>
        <w:spacing w:lineRule="auto" w:line="273" w:before="120" w:after="0"/>
        <w:jc w:val="both"/>
        <w:rPr/>
      </w:pPr>
      <w:r>
        <w:rPr/>
        <w:t>•</w:t>
      </w:r>
    </w:p>
    <w:p>
      <w:pPr>
        <w:pStyle w:val="TextBody"/>
        <w:spacing w:lineRule="auto" w:line="273" w:before="120" w:after="283"/>
        <w:jc w:val="both"/>
        <w:rPr>
          <w:rFonts w:ascii="Arial" w:hAnsi="Arial"/>
          <w:b w:val="false"/>
          <w:sz w:val="20"/>
        </w:rPr>
      </w:pPr>
      <w:r>
        <w:rPr>
          <w:rFonts w:ascii="Arial" w:hAnsi="Arial"/>
          <w:b w:val="false"/>
          <w:sz w:val="20"/>
        </w:rPr>
        <w:t>the misappropriation of our proprietary information, including our trade secrets and know-how.</w:t>
      </w:r>
    </w:p>
    <w:p>
      <w:pPr>
        <w:pStyle w:val="TextBody"/>
        <w:spacing w:lineRule="auto" w:line="268" w:before="280" w:after="0"/>
        <w:jc w:val="both"/>
        <w:rPr>
          <w:rFonts w:ascii="Arial" w:hAnsi="Arial"/>
          <w:b w:val="false"/>
          <w:sz w:val="20"/>
        </w:rPr>
      </w:pPr>
      <w:r>
        <w:rPr>
          <w:rFonts w:ascii="Arial" w:hAnsi="Arial"/>
          <w:b w:val="false"/>
          <w:sz w:val="20"/>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 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w:t>
      </w:r>
    </w:p>
    <w:p>
      <w:pPr>
        <w:pStyle w:val="TextBody"/>
        <w:spacing w:lineRule="auto" w:line="268" w:before="280" w:after="0"/>
        <w:jc w:val="both"/>
        <w:rPr>
          <w:rFonts w:ascii="Times New Roman" w:hAnsi="Times New Roman"/>
          <w:sz w:val="20"/>
        </w:rPr>
      </w:pPr>
      <w:r>
        <w:rPr>
          <w:rFonts w:ascii="Arial" w:hAnsi="Arial"/>
          <w:b/>
          <w:i/>
          <w:sz w:val="20"/>
        </w:rPr>
        <w:t>Our manufacturing process needs to comply with FDA regulations relating to the quality and reliability of such processes. Any failure to comply with relevant regulations could result in delays in or termination of our clinical programs and suspension or withdrawal of any regulatory approvals.</w:t>
      </w:r>
      <w:r>
        <w:rPr>
          <w:rFonts w:ascii="Times New Roman" w:hAnsi="Times New Roman"/>
          <w:sz w:val="20"/>
        </w:rPr>
        <w:t xml:space="preserve"> </w:t>
      </w:r>
    </w:p>
    <w:p>
      <w:pPr>
        <w:pStyle w:val="TextBody"/>
        <w:spacing w:lineRule="auto" w:line="268" w:before="280" w:after="0"/>
        <w:jc w:val="both"/>
        <w:rPr>
          <w:rFonts w:ascii="Arial" w:hAnsi="Arial"/>
          <w:b w:val="false"/>
          <w:sz w:val="20"/>
        </w:rPr>
      </w:pPr>
      <w:r>
        <w:rPr>
          <w:rFonts w:ascii="Arial" w:hAnsi="Arial"/>
          <w:b w:val="false"/>
          <w:sz w:val="20"/>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precision medicines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pStyle w:val="TextBody"/>
        <w:spacing w:lineRule="auto" w:line="273" w:before="240" w:after="0"/>
        <w:jc w:val="center"/>
        <w:rPr>
          <w:rFonts w:ascii="Arial" w:hAnsi="Arial"/>
          <w:b w:val="false"/>
          <w:sz w:val="20"/>
        </w:rPr>
      </w:pPr>
      <w:r>
        <w:rPr>
          <w:rFonts w:ascii="Arial" w:hAnsi="Arial"/>
          <w:b w:val="false"/>
          <w:sz w:val="20"/>
        </w:rPr>
        <w:t>62</w:t>
      </w:r>
    </w:p>
    <w:p>
      <w:pPr>
        <w:pStyle w:val="HorizontalLine"/>
        <w:rPr/>
      </w:pPr>
      <w:r>
        <w:rPr/>
      </w:r>
    </w:p>
    <w:p>
      <w:pPr>
        <w:pStyle w:val="TextBody"/>
        <w:spacing w:lineRule="auto" w:line="273" w:before="0" w:after="0"/>
        <w:jc w:val="left"/>
        <w:rPr/>
      </w:pPr>
      <w:r>
        <w:rPr/>
        <w:t> </w:t>
      </w:r>
    </w:p>
    <w:p>
      <w:pPr>
        <w:pStyle w:val="TextBody"/>
        <w:spacing w:lineRule="auto" w:line="268" w:before="280" w:after="0"/>
        <w:jc w:val="both"/>
        <w:rPr>
          <w:rFonts w:ascii="Arial" w:hAnsi="Arial"/>
          <w:b/>
          <w:i/>
          <w:sz w:val="20"/>
        </w:rPr>
      </w:pPr>
      <w:r>
        <w:rPr>
          <w:rFonts w:ascii="Arial" w:hAnsi="Arial"/>
          <w:b/>
          <w:i/>
          <w:sz w:val="20"/>
        </w:rPr>
        <w:t>If our third-party manufacturers use hazardous materials in a manner that causes injury or violates applicable law, we may be liable for damages.</w:t>
      </w:r>
    </w:p>
    <w:p>
      <w:pPr>
        <w:pStyle w:val="TextBody"/>
        <w:spacing w:lineRule="auto" w:line="268" w:before="280" w:after="0"/>
        <w:jc w:val="both"/>
        <w:rPr>
          <w:rFonts w:ascii="Arial" w:hAnsi="Arial"/>
          <w:b w:val="false"/>
          <w:sz w:val="20"/>
        </w:rPr>
      </w:pPr>
      <w:r>
        <w:rPr>
          <w:rFonts w:ascii="Arial" w:hAnsi="Arial"/>
          <w:b w:val="false"/>
          <w:sz w:val="20"/>
        </w:rPr>
        <w:t>Our research and development activities involve the controlled use of potentially hazardous substances, including chemical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pStyle w:val="TextBody"/>
        <w:spacing w:lineRule="auto" w:line="273" w:before="280" w:after="0"/>
        <w:jc w:val="both"/>
        <w:rPr>
          <w:rFonts w:ascii="Times New Roman" w:hAnsi="Times New Roman"/>
          <w:sz w:val="20"/>
        </w:rPr>
      </w:pPr>
      <w:r>
        <w:rPr>
          <w:rFonts w:ascii="Arial" w:hAnsi="Arial"/>
          <w:b/>
          <w:i/>
          <w:sz w:val="20"/>
        </w:rPr>
        <w:t>We may use strategic collaborations, licensing arrangements or partnerships to accelerate the development and maximize the commercial potential of our programs,</w:t>
      </w:r>
      <w:r>
        <w:rPr>
          <w:rFonts w:ascii="Times New Roman" w:hAnsi="Times New Roman"/>
          <w:sz w:val="20"/>
        </w:rPr>
        <w:t xml:space="preserve"> </w:t>
      </w:r>
      <w:r>
        <w:rPr>
          <w:rFonts w:ascii="Arial" w:hAnsi="Arial"/>
          <w:b/>
          <w:i/>
          <w:sz w:val="20"/>
        </w:rPr>
        <w:t>and we may not realize the benefits of such collaborations, arrangements or partnerships.</w:t>
      </w:r>
    </w:p>
    <w:p>
      <w:pPr>
        <w:pStyle w:val="TextBody"/>
        <w:spacing w:lineRule="auto" w:line="273" w:before="280" w:after="0"/>
        <w:jc w:val="both"/>
        <w:rPr>
          <w:rFonts w:ascii="Arial" w:hAnsi="Arial"/>
          <w:b w:val="false"/>
          <w:sz w:val="20"/>
        </w:rPr>
      </w:pPr>
      <w:r>
        <w:rPr>
          <w:rFonts w:ascii="Arial" w:hAnsi="Arial"/>
          <w:b w:val="false"/>
          <w:sz w:val="20"/>
        </w:rPr>
        <w:t>We own worldwide rights to fosgonimeton as well as our pipeline of small molecule candidates. Where appropriate, we may use strategic collaborations, licensing arrangements or partnerships to accelerate the development and maximize the commercial potential of our programs. Any of these relationships may require us to incur non-recurring and other charges, increase our near and long-term expenditures, issue securities that dilute our existing stockholders or disrupt our management and business.</w:t>
      </w:r>
    </w:p>
    <w:p>
      <w:pPr>
        <w:pStyle w:val="TextBody"/>
        <w:spacing w:lineRule="auto" w:line="273" w:before="280" w:after="0"/>
        <w:jc w:val="both"/>
        <w:rPr>
          <w:rFonts w:ascii="Times New Roman" w:hAnsi="Times New Roman"/>
          <w:sz w:val="20"/>
        </w:rPr>
      </w:pPr>
      <w:r>
        <w:rPr>
          <w:rFonts w:ascii="Arial" w:hAnsi="Arial"/>
          <w:b w:val="false"/>
          <w:sz w:val="20"/>
        </w:rPr>
        <w:t>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 In addition, the effects to our business and reputation discussed in “—</w:t>
      </w:r>
      <w:r>
        <w:rPr>
          <w:rFonts w:ascii="Arial" w:hAnsi="Arial"/>
          <w:b w:val="false"/>
          <w:i/>
          <w:sz w:val="20"/>
        </w:rPr>
        <w:t>An independent special committee of our board of directors engaged in a review of papers co-authored by our former chief executive officer in connection with her doctoral research at Washington State University. The special committee’s findings included that (i) our former chief executive office altered images in her 2011 doctoral dissertation and at least four research papers that she co-authored while a graduate student at Washington State University, and published from 2011 to 2014, (ii) that we cited challenged research papers in certain communications and applications, and (iii) that WSU’s dihexa patent, exclusively licensed to us, incorporated certain of these altered images. Washington State University has undertaken a review of claims of potential research misconduct involving our former chief executive officer’s doctoral research at Washington State University. We cannot predict when WSU’s investigation will be completed or what conclusions WSU will reach</w:t>
      </w:r>
      <w:r>
        <w:rPr>
          <w:rFonts w:ascii="Arial" w:hAnsi="Arial"/>
          <w:b w:val="false"/>
          <w:sz w:val="20"/>
        </w:rPr>
        <w:t>,” may discourage potential counterparties from entering into relationships with us.</w:t>
      </w:r>
    </w:p>
    <w:p>
      <w:pPr>
        <w:pStyle w:val="TextBody"/>
        <w:spacing w:lineRule="auto" w:line="273" w:before="280" w:after="0"/>
        <w:jc w:val="both"/>
        <w:rPr>
          <w:rFonts w:ascii="Arial" w:hAnsi="Arial"/>
          <w:b w:val="false"/>
          <w:sz w:val="20"/>
        </w:rPr>
      </w:pPr>
      <w:r>
        <w:rPr>
          <w:rFonts w:ascii="Arial" w:hAnsi="Arial"/>
          <w:b w:val="false"/>
          <w:sz w:val="20"/>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spacing w:lineRule="auto" w:line="273" w:before="280" w:after="0"/>
        <w:jc w:val="both"/>
        <w:rPr>
          <w:rFonts w:ascii="Arial" w:hAnsi="Arial"/>
          <w:b w:val="false"/>
          <w:sz w:val="20"/>
        </w:rPr>
      </w:pPr>
      <w:r>
        <w:rPr>
          <w:rFonts w:ascii="Arial" w:hAnsi="Arial"/>
          <w:b w:val="false"/>
          <w:sz w:val="20"/>
        </w:rPr>
        <w:t>Even if we are successful in entering into collaborations involving our product candidates, these relationships are subject to numerous risks, which may include the following:</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collaborators have significant discretion in determining the efforts and resources that they will apply to a collaboration;</w:t>
      </w:r>
    </w:p>
    <w:p>
      <w:pPr>
        <w:pStyle w:val="TextBody"/>
        <w:spacing w:lineRule="auto" w:line="273" w:before="120" w:after="0"/>
        <w:jc w:val="both"/>
        <w:rPr/>
      </w:pPr>
      <w:r>
        <w:rPr/>
        <w:t>•</w:t>
      </w:r>
    </w:p>
    <w:p>
      <w:pPr>
        <w:pStyle w:val="TextBody"/>
        <w:spacing w:lineRule="auto" w:line="273" w:before="120" w:after="283"/>
        <w:jc w:val="both"/>
        <w:rPr>
          <w:rFonts w:ascii="Arial" w:hAnsi="Arial"/>
          <w:b w:val="false"/>
          <w:sz w:val="20"/>
        </w:rPr>
      </w:pPr>
      <w:r>
        <w:rPr>
          <w:rFonts w:ascii="Arial" w:hAnsi="Arial"/>
          <w:b w:val="false"/>
          <w:sz w:val="20"/>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pStyle w:val="TextBody"/>
        <w:spacing w:lineRule="auto" w:line="273" w:before="240" w:after="0"/>
        <w:jc w:val="center"/>
        <w:rPr>
          <w:rFonts w:ascii="Arial" w:hAnsi="Arial"/>
          <w:b w:val="false"/>
          <w:sz w:val="20"/>
        </w:rPr>
      </w:pPr>
      <w:r>
        <w:rPr>
          <w:rFonts w:ascii="Arial" w:hAnsi="Arial"/>
          <w:b w:val="false"/>
          <w:sz w:val="20"/>
        </w:rPr>
        <w:t>63</w:t>
      </w:r>
    </w:p>
    <w:p>
      <w:pPr>
        <w:pStyle w:val="HorizontalLine"/>
        <w:rPr/>
      </w:pPr>
      <w:r>
        <w:rPr/>
      </w:r>
    </w:p>
    <w:p>
      <w:pPr>
        <w:pStyle w:val="TextBody"/>
        <w:spacing w:lineRule="auto" w:line="273" w:before="0" w:after="0"/>
        <w:jc w:val="left"/>
        <w:rPr/>
      </w:pPr>
      <w:r>
        <w:rPr/>
        <w:t>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collaborators may delay clinical trials, provide insufficient funding for a clinical trial, stop a clinical trial, abandon a product candidate, repeat or conduct new clinical trials or require a new formulation of a product candidate for clinical testing;</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collaborators could independently develop, or develop with third parties, products that compete directly or indirectly with our product candidates;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a collaborator with marketing and distribution rights to one or more products may not commit sufficient resources to their marketing and distribution;</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collaborations may be terminated and, if terminated, may result in a need for additional capital to pursue further development or commercialization of the applicable product candidates; and</w:t>
      </w:r>
    </w:p>
    <w:p>
      <w:pPr>
        <w:pStyle w:val="TextBody"/>
        <w:spacing w:lineRule="auto" w:line="273" w:before="120" w:after="0"/>
        <w:jc w:val="both"/>
        <w:rPr/>
      </w:pPr>
      <w:r>
        <w:rPr/>
        <w:t>•</w:t>
      </w:r>
    </w:p>
    <w:p>
      <w:pPr>
        <w:pStyle w:val="TextBody"/>
        <w:spacing w:lineRule="auto" w:line="273" w:before="120" w:after="283"/>
        <w:jc w:val="both"/>
        <w:rPr>
          <w:rFonts w:ascii="Arial" w:hAnsi="Arial"/>
          <w:b w:val="false"/>
          <w:sz w:val="20"/>
        </w:rPr>
      </w:pPr>
      <w:r>
        <w:rPr>
          <w:rFonts w:ascii="Arial" w:hAnsi="Arial"/>
          <w:b w:val="false"/>
          <w:sz w:val="20"/>
        </w:rPr>
        <w:t>collaborators may own or co-own intellectual property covering our products that results from our collaborating with them, and in such cases, we would not have the exclusive right to commercialize such intellectual property.</w:t>
      </w:r>
    </w:p>
    <w:p>
      <w:pPr>
        <w:pStyle w:val="TextBody"/>
        <w:spacing w:lineRule="auto" w:line="273" w:before="280" w:after="0"/>
        <w:jc w:val="both"/>
        <w:rPr>
          <w:rFonts w:ascii="Arial" w:hAnsi="Arial"/>
          <w:b w:val="false"/>
          <w:sz w:val="20"/>
        </w:rPr>
      </w:pPr>
      <w:r>
        <w:rPr>
          <w:rFonts w:ascii="Arial" w:hAnsi="Arial"/>
          <w:b w:val="false"/>
          <w:sz w:val="20"/>
        </w:rPr>
        <w:t>As a result, if we enter into additional strategic collaborations, licensing arrangements or partnerships,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collaboration, licensing arrangement or partnership, we will achieve the revenue or specific net income that justifies such transaction. Any delays in entering into new strategic collaborations, licensing arrangements or partnerships related to our product candidates could delay the development and commercialization of our product candidates in certain geographies for certain indications, which would harm our business prospects, financial condition and results of operations.</w:t>
      </w:r>
    </w:p>
    <w:p>
      <w:pPr>
        <w:pStyle w:val="TextBody"/>
        <w:spacing w:lineRule="auto" w:line="273" w:before="280" w:after="0"/>
        <w:jc w:val="both"/>
        <w:rPr>
          <w:rFonts w:ascii="Arial" w:hAnsi="Arial"/>
          <w:b/>
          <w:i/>
          <w:sz w:val="20"/>
        </w:rPr>
      </w:pPr>
      <w:r>
        <w:rPr>
          <w:rFonts w:ascii="Arial" w:hAnsi="Arial"/>
          <w:b/>
          <w:i/>
          <w:sz w:val="20"/>
        </w:rPr>
        <w:t>If we engage in future acquisitions or strategic partnerships, this may increase our capital requirements, dilute our stockholders, cause us to incur debt or assume contingent liabilities, and subject us to other risks.</w:t>
      </w:r>
    </w:p>
    <w:p>
      <w:pPr>
        <w:pStyle w:val="TextBody"/>
        <w:spacing w:lineRule="auto" w:line="273" w:before="280" w:after="0"/>
        <w:jc w:val="both"/>
        <w:rPr>
          <w:rFonts w:ascii="Arial" w:hAnsi="Arial"/>
          <w:b w:val="false"/>
          <w:sz w:val="20"/>
        </w:rPr>
      </w:pPr>
      <w:r>
        <w:rPr>
          <w:rFonts w:ascii="Arial" w:hAnsi="Arial"/>
          <w:b w:val="false"/>
          <w:sz w:val="20"/>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increased operating expenses and cash requirements;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assumption of additional indebtedness or contingent liabilities;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issuance of our equity securities;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assimilation of operations, intellectual property and products of an acquired company, including difficulties associated with integrating new personnel;</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diversion of our management’s attention from our existing programs and initiatives in pursuing such a strategic merger or acquisition;</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retention of key employees, the loss of key personnel and uncertainties in our ability to maintain key business relationships;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risks and uncertainties associated with the other party to such a transaction, including the prospects of that party and their existing products or product candidates and marketing approvals; and</w:t>
      </w:r>
    </w:p>
    <w:p>
      <w:pPr>
        <w:pStyle w:val="TextBody"/>
        <w:spacing w:lineRule="auto" w:line="273" w:before="120" w:after="0"/>
        <w:jc w:val="both"/>
        <w:rPr/>
      </w:pPr>
      <w:r>
        <w:rPr/>
        <w:t>•</w:t>
      </w:r>
    </w:p>
    <w:p>
      <w:pPr>
        <w:pStyle w:val="TextBody"/>
        <w:spacing w:lineRule="auto" w:line="273" w:before="120" w:after="283"/>
        <w:jc w:val="both"/>
        <w:rPr>
          <w:rFonts w:ascii="Arial" w:hAnsi="Arial"/>
          <w:b w:val="false"/>
          <w:sz w:val="20"/>
        </w:rPr>
      </w:pPr>
      <w:r>
        <w:rPr>
          <w:rFonts w:ascii="Arial" w:hAnsi="Arial"/>
          <w:b w:val="false"/>
          <w:sz w:val="20"/>
        </w:rPr>
        <w:t>our inability to generate revenue from acquired technology and/or products sufficient to meet our objectives in undertaking the acquisition or even to offset the associated acquisition and maintenance costs.</w:t>
      </w:r>
    </w:p>
    <w:p>
      <w:pPr>
        <w:pStyle w:val="TextBody"/>
        <w:spacing w:lineRule="auto" w:line="273" w:before="280" w:after="0"/>
        <w:jc w:val="both"/>
        <w:rPr>
          <w:rFonts w:ascii="Arial" w:hAnsi="Arial"/>
          <w:b w:val="false"/>
          <w:sz w:val="20"/>
        </w:rPr>
      </w:pPr>
      <w:r>
        <w:rPr>
          <w:rFonts w:ascii="Arial" w:hAnsi="Arial"/>
          <w:b w:val="false"/>
          <w:sz w:val="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pStyle w:val="TextBody"/>
        <w:spacing w:lineRule="auto" w:line="273" w:before="240" w:after="0"/>
        <w:jc w:val="center"/>
        <w:rPr>
          <w:rFonts w:ascii="Arial" w:hAnsi="Arial"/>
          <w:b w:val="false"/>
          <w:sz w:val="20"/>
        </w:rPr>
      </w:pPr>
      <w:r>
        <w:rPr>
          <w:rFonts w:ascii="Arial" w:hAnsi="Arial"/>
          <w:b w:val="false"/>
          <w:sz w:val="20"/>
        </w:rPr>
        <w:t>64</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Arial" w:hAnsi="Arial"/>
          <w:b/>
          <w:sz w:val="20"/>
        </w:rPr>
      </w:pPr>
      <w:r>
        <w:rPr>
          <w:rFonts w:ascii="Arial" w:hAnsi="Arial"/>
          <w:b/>
          <w:sz w:val="20"/>
        </w:rPr>
        <w:t>Risks Relating to Our Ability to Commercialize our Product</w:t>
      </w:r>
    </w:p>
    <w:p>
      <w:pPr>
        <w:pStyle w:val="TextBody"/>
        <w:spacing w:lineRule="auto" w:line="273" w:before="280" w:after="0"/>
        <w:jc w:val="both"/>
        <w:rPr>
          <w:rFonts w:ascii="Times New Roman" w:hAnsi="Times New Roman"/>
          <w:sz w:val="20"/>
        </w:rPr>
      </w:pPr>
      <w:r>
        <w:rPr>
          <w:rFonts w:ascii="Arial" w:hAnsi="Arial"/>
          <w:b/>
          <w:i/>
          <w:sz w:val="20"/>
        </w:rPr>
        <w:t>Even if approved, our product candidates may not achieve adequate market acceptance among physicians, patients, healthcare payors and others in the medical community necessary for commercial success.</w:t>
      </w:r>
      <w:r>
        <w:rPr>
          <w:rFonts w:ascii="Times New Roman" w:hAnsi="Times New Roman"/>
          <w:sz w:val="20"/>
        </w:rPr>
        <w:t xml:space="preserve"> </w:t>
      </w:r>
    </w:p>
    <w:p>
      <w:pPr>
        <w:pStyle w:val="TextBody"/>
        <w:spacing w:lineRule="auto" w:line="273" w:before="280" w:after="0"/>
        <w:jc w:val="both"/>
        <w:rPr>
          <w:rFonts w:ascii="Arial" w:hAnsi="Arial"/>
          <w:b w:val="false"/>
          <w:sz w:val="20"/>
        </w:rPr>
      </w:pPr>
      <w:r>
        <w:rPr>
          <w:rFonts w:ascii="Arial" w:hAnsi="Arial"/>
          <w:b w:val="false"/>
          <w:sz w:val="20"/>
        </w:rPr>
        <w:t>Even if our product candidates receive regulatory approval, they may not gain adequate market acceptance among physicians, patients, healthcare payors and others in the medical community. The degree of market acceptance or reimbursement of any of our approved product candidates will depend on a number of factors, including:</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efficacy and safety profile as demonstrated in clinical trials compared to alternative treatments;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timing of market introduction of the product candidate as well as competitive products;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clinical indications for which the product candidate is approved;</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the extent of physician acceptance of FDA-approved Alzheimer’s therapies;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restrictions on the use of our product candidates, such as boxed warnings or contraindications in labeling, or a REMS, if any, which may not be required of alternative treatments and competitor products;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potential and perceived advantages of product candidates over alternative treatments;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cost of treatment in relation to alternative treatments;</w:t>
      </w:r>
    </w:p>
    <w:p>
      <w:pPr>
        <w:pStyle w:val="TextBody"/>
        <w:spacing w:lineRule="auto" w:line="247" w:before="120" w:after="0"/>
        <w:jc w:val="both"/>
        <w:rPr/>
      </w:pPr>
      <w:r>
        <w:rPr/>
        <w:t>•</w:t>
      </w:r>
    </w:p>
    <w:p>
      <w:pPr>
        <w:pStyle w:val="TextBody"/>
        <w:spacing w:lineRule="auto" w:line="247" w:before="120" w:after="0"/>
        <w:jc w:val="both"/>
        <w:rPr>
          <w:rFonts w:ascii="Arial" w:hAnsi="Arial"/>
          <w:b w:val="false"/>
          <w:sz w:val="20"/>
        </w:rPr>
      </w:pPr>
      <w:r>
        <w:rPr>
          <w:rFonts w:ascii="Arial" w:hAnsi="Arial"/>
          <w:b w:val="false"/>
          <w:sz w:val="20"/>
        </w:rPr>
        <w:t>pricing and the availability of coverage and adequate reimbursement by third-party payors, including government authorities;</w:t>
      </w:r>
    </w:p>
    <w:p>
      <w:pPr>
        <w:pStyle w:val="TextBody"/>
        <w:spacing w:lineRule="auto" w:line="247" w:before="120" w:after="0"/>
        <w:jc w:val="both"/>
        <w:rPr/>
      </w:pPr>
      <w:r>
        <w:rPr/>
        <w:t>•</w:t>
      </w:r>
    </w:p>
    <w:p>
      <w:pPr>
        <w:pStyle w:val="TextBody"/>
        <w:spacing w:lineRule="auto" w:line="247" w:before="120" w:after="0"/>
        <w:jc w:val="both"/>
        <w:rPr>
          <w:rFonts w:ascii="Arial" w:hAnsi="Arial"/>
          <w:b w:val="false"/>
          <w:sz w:val="20"/>
        </w:rPr>
      </w:pPr>
      <w:r>
        <w:rPr>
          <w:rFonts w:ascii="Arial" w:hAnsi="Arial"/>
          <w:b w:val="false"/>
          <w:sz w:val="20"/>
        </w:rPr>
        <w:t>the availability of the approved product candidate for use as a combination therapy;</w:t>
      </w:r>
    </w:p>
    <w:p>
      <w:pPr>
        <w:pStyle w:val="TextBody"/>
        <w:spacing w:lineRule="auto" w:line="247" w:before="120" w:after="0"/>
        <w:jc w:val="both"/>
        <w:rPr/>
      </w:pPr>
      <w:r>
        <w:rPr/>
        <w:t>•</w:t>
      </w:r>
    </w:p>
    <w:p>
      <w:pPr>
        <w:pStyle w:val="TextBody"/>
        <w:spacing w:lineRule="auto" w:line="247" w:before="120" w:after="0"/>
        <w:jc w:val="both"/>
        <w:rPr>
          <w:rFonts w:ascii="Arial" w:hAnsi="Arial"/>
          <w:b w:val="false"/>
          <w:sz w:val="20"/>
        </w:rPr>
      </w:pPr>
      <w:r>
        <w:rPr>
          <w:rFonts w:ascii="Arial" w:hAnsi="Arial"/>
          <w:b w:val="false"/>
          <w:sz w:val="20"/>
        </w:rPr>
        <w:t>relative convenience and ease of administration;</w:t>
      </w:r>
    </w:p>
    <w:p>
      <w:pPr>
        <w:pStyle w:val="TextBody"/>
        <w:spacing w:lineRule="auto" w:line="247" w:before="120" w:after="0"/>
        <w:jc w:val="both"/>
        <w:rPr/>
      </w:pPr>
      <w:r>
        <w:rPr/>
        <w:t>•</w:t>
      </w:r>
    </w:p>
    <w:p>
      <w:pPr>
        <w:pStyle w:val="TextBody"/>
        <w:spacing w:lineRule="auto" w:line="247" w:before="120" w:after="0"/>
        <w:jc w:val="both"/>
        <w:rPr>
          <w:rFonts w:ascii="Arial" w:hAnsi="Arial"/>
          <w:b w:val="false"/>
          <w:sz w:val="20"/>
        </w:rPr>
      </w:pPr>
      <w:r>
        <w:rPr>
          <w:rFonts w:ascii="Arial" w:hAnsi="Arial"/>
          <w:b w:val="false"/>
          <w:sz w:val="20"/>
        </w:rPr>
        <w:t>the willingness of the target patient population to try new therapies and of physicians to prescribe these therapies;</w:t>
      </w:r>
    </w:p>
    <w:p>
      <w:pPr>
        <w:pStyle w:val="TextBody"/>
        <w:spacing w:lineRule="auto" w:line="247" w:before="120" w:after="0"/>
        <w:jc w:val="both"/>
        <w:rPr/>
      </w:pPr>
      <w:r>
        <w:rPr/>
        <w:t>•</w:t>
      </w:r>
    </w:p>
    <w:p>
      <w:pPr>
        <w:pStyle w:val="TextBody"/>
        <w:spacing w:lineRule="auto" w:line="247" w:before="120" w:after="0"/>
        <w:jc w:val="both"/>
        <w:rPr>
          <w:rFonts w:ascii="Arial" w:hAnsi="Arial"/>
          <w:b w:val="false"/>
          <w:sz w:val="20"/>
        </w:rPr>
      </w:pPr>
      <w:r>
        <w:rPr>
          <w:rFonts w:ascii="Arial" w:hAnsi="Arial"/>
          <w:b w:val="false"/>
          <w:sz w:val="20"/>
        </w:rPr>
        <w:t>the effectiveness of sales and marketing efforts;</w:t>
      </w:r>
    </w:p>
    <w:p>
      <w:pPr>
        <w:pStyle w:val="TextBody"/>
        <w:spacing w:lineRule="auto" w:line="247" w:before="120" w:after="0"/>
        <w:jc w:val="both"/>
        <w:rPr/>
      </w:pPr>
      <w:r>
        <w:rPr/>
        <w:t>•</w:t>
      </w:r>
    </w:p>
    <w:p>
      <w:pPr>
        <w:pStyle w:val="TextBody"/>
        <w:spacing w:lineRule="auto" w:line="247" w:before="120" w:after="0"/>
        <w:jc w:val="both"/>
        <w:rPr>
          <w:rFonts w:ascii="Arial" w:hAnsi="Arial"/>
          <w:b w:val="false"/>
          <w:sz w:val="20"/>
        </w:rPr>
      </w:pPr>
      <w:r>
        <w:rPr>
          <w:rFonts w:ascii="Arial" w:hAnsi="Arial"/>
          <w:b w:val="false"/>
          <w:sz w:val="20"/>
        </w:rPr>
        <w:t>unfavorable publicity relating to our products or product candidates or similar approved products or product candidates in development by third parties; and</w:t>
      </w:r>
    </w:p>
    <w:p>
      <w:pPr>
        <w:pStyle w:val="TextBody"/>
        <w:spacing w:lineRule="auto" w:line="247" w:before="120" w:after="0"/>
        <w:jc w:val="both"/>
        <w:rPr/>
      </w:pPr>
      <w:r>
        <w:rPr/>
        <w:t>•</w:t>
      </w:r>
    </w:p>
    <w:p>
      <w:pPr>
        <w:pStyle w:val="TextBody"/>
        <w:spacing w:lineRule="auto" w:line="247" w:before="120" w:after="283"/>
        <w:jc w:val="both"/>
        <w:rPr>
          <w:rFonts w:ascii="Arial" w:hAnsi="Arial"/>
          <w:b w:val="false"/>
          <w:sz w:val="20"/>
        </w:rPr>
      </w:pPr>
      <w:r>
        <w:rPr>
          <w:rFonts w:ascii="Arial" w:hAnsi="Arial"/>
          <w:b w:val="false"/>
          <w:sz w:val="20"/>
        </w:rPr>
        <w:t>the approval of other new therapies for the same indications.</w:t>
      </w:r>
    </w:p>
    <w:p>
      <w:pPr>
        <w:pStyle w:val="TextBody"/>
        <w:spacing w:lineRule="auto" w:line="247" w:before="280" w:after="0"/>
        <w:jc w:val="both"/>
        <w:rPr>
          <w:rFonts w:ascii="Times New Roman" w:hAnsi="Times New Roman"/>
          <w:sz w:val="20"/>
        </w:rPr>
      </w:pPr>
      <w:r>
        <w:rPr>
          <w:rFonts w:ascii="Arial" w:hAnsi="Arial"/>
          <w:b w:val="false"/>
          <w:sz w:val="20"/>
        </w:rPr>
        <w:t>If any of our product candidates are approved but do not achieve an adequate level of acceptance by physicians, hospitals, healthcare payors and patients, we may not generate or derive sufficient revenue from such product candidates and our financial results</w:t>
      </w:r>
      <w:r>
        <w:rPr>
          <w:rFonts w:ascii="Times New Roman" w:hAnsi="Times New Roman"/>
          <w:sz w:val="20"/>
        </w:rPr>
        <w:t xml:space="preserve"> </w:t>
      </w:r>
      <w:r>
        <w:rPr>
          <w:rFonts w:ascii="Arial" w:hAnsi="Arial"/>
          <w:b w:val="false"/>
          <w:sz w:val="20"/>
        </w:rPr>
        <w:t>could be negatively impacted.</w:t>
      </w:r>
    </w:p>
    <w:p>
      <w:pPr>
        <w:pStyle w:val="TextBody"/>
        <w:spacing w:lineRule="auto" w:line="247" w:before="280" w:after="0"/>
        <w:jc w:val="both"/>
        <w:rPr>
          <w:rFonts w:ascii="Times New Roman" w:hAnsi="Times New Roman"/>
          <w:sz w:val="20"/>
        </w:rPr>
      </w:pPr>
      <w:r>
        <w:rPr>
          <w:rFonts w:ascii="Arial" w:hAnsi="Arial"/>
          <w:b/>
          <w:i/>
          <w:sz w:val="20"/>
        </w:rPr>
        <w:t>We have never commercialized a product candidate before and may lack the necessary expertise, personnel and resources to successfully commercialize any products on our own or together with suitable collaborators.</w:t>
      </w:r>
      <w:r>
        <w:rPr>
          <w:rFonts w:ascii="Times New Roman" w:hAnsi="Times New Roman"/>
          <w:sz w:val="20"/>
        </w:rPr>
        <w:t xml:space="preserve"> </w:t>
      </w:r>
    </w:p>
    <w:p>
      <w:pPr>
        <w:pStyle w:val="TextBody"/>
        <w:spacing w:lineRule="auto" w:line="247" w:before="280" w:after="0"/>
        <w:jc w:val="both"/>
        <w:rPr>
          <w:rFonts w:ascii="Arial" w:hAnsi="Arial"/>
          <w:b w:val="false"/>
          <w:sz w:val="20"/>
        </w:rPr>
      </w:pPr>
      <w:r>
        <w:rPr>
          <w:rFonts w:ascii="Arial" w:hAnsi="Arial"/>
          <w:b w:val="false"/>
          <w:sz w:val="20"/>
        </w:rPr>
        <w:t>We have never commercialized a product candidate. We may license certain rights with respect to our product candidates to collaborators, and, if so, we will rely on the assistance and guidance of those collaborators. For product candidates for which we retain commercialization rights and marketing approval, we will have to develop our own sales, marketing and supply organization or outsource these activities to a third party.</w:t>
      </w:r>
    </w:p>
    <w:p>
      <w:pPr>
        <w:pStyle w:val="TextBody"/>
        <w:spacing w:lineRule="auto" w:line="247" w:before="280" w:after="0"/>
        <w:jc w:val="both"/>
        <w:rPr>
          <w:rFonts w:ascii="Times New Roman" w:hAnsi="Times New Roman"/>
          <w:sz w:val="20"/>
        </w:rPr>
      </w:pPr>
      <w:r>
        <w:rPr>
          <w:rFonts w:ascii="Arial" w:hAnsi="Arial"/>
          <w:b w:val="false"/>
          <w:sz w:val="20"/>
        </w:rPr>
        <w:t>Factors that may affect our ability to commercialize our product candidates, if approved, on our own include recruiting and retaining</w:t>
      </w:r>
      <w:r>
        <w:rPr>
          <w:rFonts w:ascii="Times New Roman" w:hAnsi="Times New Roman"/>
          <w:sz w:val="20"/>
        </w:rPr>
        <w:t xml:space="preserve"> </w:t>
      </w:r>
      <w:r>
        <w:rPr>
          <w:rFonts w:ascii="Arial" w:hAnsi="Arial"/>
          <w:b w:val="false"/>
          <w:sz w:val="20"/>
        </w:rPr>
        <w:t>adequate numbers of effective sales and marketing personnel, developing adequate educational and marketing programs to increase public acceptance of our approved product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pStyle w:val="TextBody"/>
        <w:spacing w:lineRule="auto" w:line="273" w:before="240" w:after="0"/>
        <w:jc w:val="center"/>
        <w:rPr>
          <w:rFonts w:ascii="Arial" w:hAnsi="Arial"/>
          <w:b w:val="false"/>
          <w:sz w:val="20"/>
        </w:rPr>
      </w:pPr>
      <w:r>
        <w:rPr>
          <w:rFonts w:ascii="Arial" w:hAnsi="Arial"/>
          <w:b w:val="false"/>
          <w:sz w:val="20"/>
        </w:rPr>
        <w:t>65</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Arial" w:hAnsi="Arial"/>
          <w:b/>
          <w:i/>
          <w:sz w:val="20"/>
        </w:rPr>
      </w:pPr>
      <w:r>
        <w:rPr>
          <w:rFonts w:ascii="Arial" w:hAnsi="Arial"/>
          <w:b/>
          <w:i/>
          <w:sz w:val="20"/>
        </w:rPr>
        <w:t>If the market opportunity for any product candidate that we develop is smaller than we believe, our revenue may be adversely affected and our business may suffer.</w:t>
      </w:r>
    </w:p>
    <w:p>
      <w:pPr>
        <w:pStyle w:val="TextBody"/>
        <w:spacing w:lineRule="auto" w:line="273" w:before="280" w:after="0"/>
        <w:jc w:val="both"/>
        <w:rPr>
          <w:rFonts w:ascii="Times New Roman" w:hAnsi="Times New Roman"/>
          <w:sz w:val="20"/>
        </w:rPr>
      </w:pPr>
      <w:r>
        <w:rPr>
          <w:rFonts w:ascii="Arial" w:hAnsi="Arial"/>
          <w:b w:val="false"/>
          <w:sz w:val="20"/>
        </w:rPr>
        <w:t>We intend to initially focus our product candidate development on treatments for various CNS and peripheral disorder indications. The addressable patient populations that may benefit from treatment with our product candidates, if approved, are based on our estimates. These estimates, which have been derived from a variety of sources, including scientific literature, surveys</w:t>
      </w:r>
      <w:r>
        <w:rPr>
          <w:rFonts w:ascii="Times New Roman" w:hAnsi="Times New Roman"/>
          <w:sz w:val="20"/>
        </w:rPr>
        <w:t xml:space="preserve"> </w:t>
      </w:r>
      <w:r>
        <w:rPr>
          <w:rFonts w:ascii="Arial" w:hAnsi="Arial"/>
          <w:b w:val="false"/>
          <w:sz w:val="20"/>
        </w:rPr>
        <w:t>of clinics, patient foundations and market research, may prove to be incorrect. Further, new studies may change the estimated incidence or prevalence of these CNS and peripheral disorders. Any regulatory approval of our product candidates would be limited to the therapeutic indications examined in our clinical trials and as determined by the FDA, which would not permit us to market our products for any other therapeutic indications not expressly approved by the FDA. Additionally, the potentially addressable patient population for our product candidates may not ultimately be amenable to treatment with our product candidates. Even if we receive regulatory approval for any of our product candidates, such approval could be conditioned upon label restrictions that materially limit the addressable patient population.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pStyle w:val="TextBody"/>
        <w:spacing w:lineRule="auto" w:line="273" w:before="280" w:after="0"/>
        <w:jc w:val="both"/>
        <w:rPr>
          <w:rFonts w:ascii="Times New Roman" w:hAnsi="Times New Roman"/>
          <w:sz w:val="20"/>
        </w:rPr>
      </w:pPr>
      <w:r>
        <w:rPr>
          <w:rFonts w:ascii="Arial" w:hAnsi="Arial"/>
          <w:b/>
          <w:i/>
          <w:sz w:val="20"/>
        </w:rPr>
        <w:t>If product liability lawsuits are brought against us, we may incur substantial liabilities and may be required to limit commercialization of our product candidates.</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val="false"/>
          <w:sz w:val="20"/>
        </w:rPr>
        <w:t>We face an inherent risk of product liability as a result of the planned clinical testing of our product candidates and will face an even greater risk if we commercialize any products. For example, we may be sued if our product candidates cause or are</w:t>
      </w:r>
      <w:r>
        <w:rPr>
          <w:rFonts w:ascii="Times New Roman" w:hAnsi="Times New Roman"/>
          <w:sz w:val="20"/>
        </w:rPr>
        <w:t xml:space="preserve"> </w:t>
      </w:r>
      <w:r>
        <w:rPr>
          <w:rFonts w:ascii="Arial" w:hAnsi="Arial"/>
          <w:b w:val="false"/>
          <w:sz w:val="20"/>
        </w:rPr>
        <w:t>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decreased demand for our product candidates or products that we may develop;</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injury to our reputation;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withdrawal of clinical trial participants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initiation of investigations by regulators;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costs to defend the related litigation;</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diversion of management’s time and our resources;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substantial monetary awards to clinical trial participants or patients;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product recalls, withdrawals or labeling, marketing or promotional restrictions;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loss of revenue;</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exhaustion of any available insurance and our capital resources;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inability to commercialize any product candidate; and</w:t>
      </w:r>
    </w:p>
    <w:p>
      <w:pPr>
        <w:pStyle w:val="TextBody"/>
        <w:spacing w:lineRule="auto" w:line="273" w:before="120" w:after="0"/>
        <w:jc w:val="both"/>
        <w:rPr/>
      </w:pPr>
      <w:r>
        <w:rPr/>
        <w:t>•</w:t>
      </w:r>
    </w:p>
    <w:p>
      <w:pPr>
        <w:pStyle w:val="TextBody"/>
        <w:spacing w:lineRule="auto" w:line="273" w:before="120" w:after="283"/>
        <w:jc w:val="both"/>
        <w:rPr>
          <w:rFonts w:ascii="Arial" w:hAnsi="Arial"/>
          <w:b w:val="false"/>
          <w:sz w:val="20"/>
        </w:rPr>
      </w:pPr>
      <w:r>
        <w:rPr>
          <w:rFonts w:ascii="Arial" w:hAnsi="Arial"/>
          <w:b w:val="false"/>
          <w:sz w:val="20"/>
        </w:rPr>
        <w:t>a decline in our share price.</w:t>
      </w:r>
    </w:p>
    <w:p>
      <w:pPr>
        <w:pStyle w:val="TextBody"/>
        <w:spacing w:lineRule="auto" w:line="273" w:before="280" w:after="0"/>
        <w:jc w:val="both"/>
        <w:rPr>
          <w:rFonts w:ascii="Times New Roman" w:hAnsi="Times New Roman"/>
          <w:sz w:val="20"/>
        </w:rPr>
      </w:pPr>
      <w:r>
        <w:rPr>
          <w:rFonts w:ascii="Arial" w:hAnsi="Arial"/>
          <w:b w:val="false"/>
          <w:sz w:val="20"/>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66</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Times New Roman" w:hAnsi="Times New Roman"/>
          <w:sz w:val="20"/>
        </w:rPr>
      </w:pPr>
      <w:r>
        <w:rPr>
          <w:rFonts w:ascii="Arial" w:hAnsi="Arial"/>
          <w:b/>
          <w:i/>
          <w:sz w:val="20"/>
        </w:rPr>
        <w:t>The insurance coverage and reimbursement status of newly-approved products is uncertain. Our product candidates may become subject to unfavorable pricing regulations, third-party coverage and reimbursement practices, or healthcare reform initiatives, which would harm our business. Failure to obtain or maintain adequate coverage and reimbursement for new or current products could limit our ability to market those products and decrease our ability to generate revenue.</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val="false"/>
          <w:sz w:val="20"/>
        </w:rPr>
        <w:t>The regulations that govern marketing approvals, pricing, coverage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w:t>
      </w:r>
      <w:r>
        <w:rPr>
          <w:rFonts w:ascii="Times New Roman" w:hAnsi="Times New Roman"/>
          <w:sz w:val="20"/>
        </w:rPr>
        <w:t xml:space="preserve"> </w:t>
      </w:r>
      <w:r>
        <w:rPr>
          <w:rFonts w:ascii="Arial" w:hAnsi="Arial"/>
          <w:b w:val="false"/>
          <w:sz w:val="20"/>
        </w:rPr>
        <w:t>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pStyle w:val="TextBody"/>
        <w:spacing w:lineRule="auto" w:line="273" w:before="280" w:after="0"/>
        <w:jc w:val="both"/>
        <w:rPr>
          <w:rFonts w:ascii="Times New Roman" w:hAnsi="Times New Roman"/>
          <w:sz w:val="20"/>
        </w:rPr>
      </w:pPr>
      <w:r>
        <w:rPr>
          <w:rFonts w:ascii="Arial" w:hAnsi="Arial"/>
          <w:b w:val="false"/>
          <w:sz w:val="20"/>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w:t>
      </w:r>
      <w:r>
        <w:rPr>
          <w:rFonts w:ascii="Times New Roman" w:hAnsi="Times New Roman"/>
          <w:sz w:val="20"/>
        </w:rPr>
        <w:t xml:space="preserve"> </w:t>
      </w:r>
      <w:r>
        <w:rPr>
          <w:rFonts w:ascii="Arial" w:hAnsi="Arial"/>
          <w:b w:val="false"/>
          <w:sz w:val="20"/>
        </w:rPr>
        <w:t>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other future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a covered benefit under its health plan;</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safe, effective and medically necessary;</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appropriate for the specific patient;</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cost-effective; and</w:t>
      </w:r>
    </w:p>
    <w:p>
      <w:pPr>
        <w:pStyle w:val="TextBody"/>
        <w:spacing w:lineRule="auto" w:line="273" w:before="120" w:after="0"/>
        <w:jc w:val="both"/>
        <w:rPr/>
      </w:pPr>
      <w:r>
        <w:rPr/>
        <w:t>•</w:t>
      </w:r>
    </w:p>
    <w:p>
      <w:pPr>
        <w:pStyle w:val="TextBody"/>
        <w:spacing w:lineRule="auto" w:line="273" w:before="120" w:after="283"/>
        <w:jc w:val="both"/>
        <w:rPr>
          <w:rFonts w:ascii="Arial" w:hAnsi="Arial"/>
          <w:b w:val="false"/>
          <w:sz w:val="20"/>
        </w:rPr>
      </w:pPr>
      <w:r>
        <w:rPr>
          <w:rFonts w:ascii="Arial" w:hAnsi="Arial"/>
          <w:b w:val="false"/>
          <w:sz w:val="20"/>
        </w:rPr>
        <w:t>neither experimental nor investigational.</w:t>
      </w:r>
    </w:p>
    <w:p>
      <w:pPr>
        <w:pStyle w:val="TextBody"/>
        <w:spacing w:lineRule="auto" w:line="273" w:before="280" w:after="0"/>
        <w:jc w:val="both"/>
        <w:rPr>
          <w:rFonts w:ascii="Times New Roman" w:hAnsi="Times New Roman"/>
          <w:sz w:val="20"/>
        </w:rPr>
      </w:pPr>
      <w:r>
        <w:rPr>
          <w:rFonts w:ascii="Arial" w:hAnsi="Arial"/>
          <w:b w:val="false"/>
          <w:sz w:val="20"/>
        </w:rPr>
        <w:t>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prices</w:t>
      </w:r>
      <w:r>
        <w:rPr>
          <w:rFonts w:ascii="Times New Roman" w:hAnsi="Times New Roman"/>
          <w:sz w:val="20"/>
        </w:rPr>
        <w:t xml:space="preserve"> </w:t>
      </w:r>
      <w:r>
        <w:rPr>
          <w:rFonts w:ascii="Arial" w:hAnsi="Arial"/>
          <w:b w:val="false"/>
          <w:sz w:val="20"/>
        </w:rPr>
        <w:t>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 and profits.</w:t>
      </w:r>
    </w:p>
    <w:p>
      <w:pPr>
        <w:pStyle w:val="TextBody"/>
        <w:spacing w:lineRule="auto" w:line="273" w:before="280" w:after="0"/>
        <w:jc w:val="both"/>
        <w:rPr>
          <w:rFonts w:ascii="Times New Roman" w:hAnsi="Times New Roman"/>
          <w:sz w:val="20"/>
        </w:rPr>
      </w:pPr>
      <w:r>
        <w:rPr>
          <w:rFonts w:ascii="Arial" w:hAnsi="Arial"/>
          <w:b w:val="false"/>
          <w:sz w:val="20"/>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 No uniform policy of coverage and reimbursement</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67</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Arial" w:hAnsi="Arial"/>
          <w:b w:val="false"/>
          <w:sz w:val="20"/>
        </w:rPr>
      </w:pPr>
      <w:r>
        <w:rPr>
          <w:rFonts w:ascii="Arial" w:hAnsi="Arial"/>
          <w:b w:val="false"/>
          <w:sz w:val="20"/>
        </w:rPr>
        <w:t>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p>
    <w:p>
      <w:pPr>
        <w:pStyle w:val="TextBody"/>
        <w:spacing w:lineRule="auto" w:line="273" w:before="280" w:after="0"/>
        <w:jc w:val="both"/>
        <w:rPr>
          <w:rFonts w:ascii="Arial" w:hAnsi="Arial"/>
          <w:b w:val="false"/>
          <w:sz w:val="20"/>
        </w:rPr>
      </w:pPr>
      <w:r>
        <w:rPr>
          <w:rFonts w:ascii="Arial" w:hAnsi="Arial"/>
          <w:b w:val="false"/>
          <w:sz w:val="20"/>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products that we develop could have a material adverse effect on our operating results, our ability to raise capital needed to commercialize products and our overall financial condition.</w:t>
      </w:r>
    </w:p>
    <w:p>
      <w:pPr>
        <w:pStyle w:val="TextBody"/>
        <w:spacing w:lineRule="auto" w:line="273" w:before="280" w:after="0"/>
        <w:jc w:val="both"/>
        <w:rPr>
          <w:rFonts w:ascii="Times New Roman" w:hAnsi="Times New Roman"/>
          <w:sz w:val="20"/>
        </w:rPr>
      </w:pPr>
      <w:r>
        <w:rPr>
          <w:rFonts w:ascii="Arial" w:hAnsi="Arial"/>
          <w:b w:val="false"/>
          <w:sz w:val="20"/>
        </w:rPr>
        <w:t>Increasingly, third-party payors are requiring that drug companies provide them with predetermined discounts from list prices and are challenging the prices charged for medical products. We cannot be sure that reimbursement will be available for any</w:t>
      </w:r>
      <w:r>
        <w:rPr>
          <w:rFonts w:ascii="Times New Roman" w:hAnsi="Times New Roman"/>
          <w:sz w:val="20"/>
        </w:rPr>
        <w:t xml:space="preserve"> </w:t>
      </w:r>
      <w:r>
        <w:rPr>
          <w:rFonts w:ascii="Arial" w:hAnsi="Arial"/>
          <w:b w:val="false"/>
          <w:sz w:val="20"/>
        </w:rPr>
        <w:t>product candidate that we commercialize and, if 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pStyle w:val="TextBody"/>
        <w:spacing w:lineRule="auto" w:line="273" w:before="280" w:after="0"/>
        <w:jc w:val="both"/>
        <w:rPr>
          <w:rFonts w:ascii="Times New Roman" w:hAnsi="Times New Roman"/>
          <w:sz w:val="20"/>
        </w:rPr>
      </w:pPr>
      <w:r>
        <w:rPr>
          <w:rFonts w:ascii="Arial" w:hAnsi="Arial"/>
          <w:b/>
          <w:i/>
          <w:sz w:val="20"/>
        </w:rPr>
        <w:t>A variety of risks associated with marketing our product candidates internationally may materially adversely affect our business.</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val="false"/>
          <w:sz w:val="20"/>
        </w:rPr>
        <w:t>We plan to eventually seek regulatory approval of our product candidates outside of the United States and, accordingly, we expect</w:t>
      </w:r>
      <w:r>
        <w:rPr>
          <w:rFonts w:ascii="Times New Roman" w:hAnsi="Times New Roman"/>
          <w:sz w:val="20"/>
        </w:rPr>
        <w:t xml:space="preserve"> </w:t>
      </w:r>
      <w:r>
        <w:rPr>
          <w:rFonts w:ascii="Arial" w:hAnsi="Arial"/>
          <w:b w:val="false"/>
          <w:sz w:val="20"/>
        </w:rPr>
        <w:t>that we will be subject to additional risks related to operating in foreign countries if we obtain the necessary approvals, including:</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differing regulatory requirements in foreign countries, such as the lack of pathways for accelerated drug approval, may result in foreign regulatory approvals taking longer and being more costly than obtaining approval in the United States;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foreign regulatory authorities may disagree with the design, implementation or results of our clinical trials or our interpretation of data from nonclinical studies or clinical trials;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approval policies or regulations of foreign regulatory authorities may significantly change in a manner rendering our clinical data insufficient for approval;</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impact of the COVID-19 pandemic on our ability to produce our product candidates and conduct clinical trials in foreign countries;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unexpected changes in tariffs, trade barriers, price and exchange controls and other regulatory requirements;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economic weakness, including inflation, or political instability in particular foreign economies and markets;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compliance with legal requirements applicable to privacy, data protection, information security and other matters;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compliance with tax, employment, immigration and labor laws for employees living or traveling abroad;</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foreign taxes, including withholding of payroll taxes;</w:t>
      </w:r>
    </w:p>
    <w:p>
      <w:pPr>
        <w:pStyle w:val="TextBody"/>
        <w:spacing w:lineRule="auto" w:line="273" w:before="120" w:after="0"/>
        <w:jc w:val="both"/>
        <w:rPr/>
      </w:pPr>
      <w:r>
        <w:rPr/>
        <w:t>•</w:t>
      </w:r>
    </w:p>
    <w:p>
      <w:pPr>
        <w:pStyle w:val="TextBody"/>
        <w:spacing w:lineRule="auto" w:line="273" w:before="120" w:after="283"/>
        <w:jc w:val="both"/>
        <w:rPr>
          <w:rFonts w:ascii="Arial" w:hAnsi="Arial"/>
          <w:b w:val="false"/>
          <w:sz w:val="20"/>
        </w:rPr>
      </w:pPr>
      <w:r>
        <w:rPr>
          <w:rFonts w:ascii="Arial" w:hAnsi="Arial"/>
          <w:b w:val="false"/>
          <w:sz w:val="20"/>
        </w:rPr>
        <w:t>foreign currency fluctuations, which could result in increased operating expenses and reduced revenue, and other obligations incident to doing business in another country;</w:t>
      </w:r>
    </w:p>
    <w:p>
      <w:pPr>
        <w:pStyle w:val="TextBody"/>
        <w:spacing w:lineRule="auto" w:line="273" w:before="240" w:after="0"/>
        <w:jc w:val="center"/>
        <w:rPr>
          <w:rFonts w:ascii="Arial" w:hAnsi="Arial"/>
          <w:b w:val="false"/>
          <w:sz w:val="20"/>
        </w:rPr>
      </w:pPr>
      <w:r>
        <w:rPr>
          <w:rFonts w:ascii="Arial" w:hAnsi="Arial"/>
          <w:b w:val="false"/>
          <w:sz w:val="20"/>
        </w:rPr>
        <w:t>68</w:t>
      </w:r>
    </w:p>
    <w:p>
      <w:pPr>
        <w:pStyle w:val="HorizontalLine"/>
        <w:rPr/>
      </w:pPr>
      <w:r>
        <w:rPr/>
      </w:r>
    </w:p>
    <w:p>
      <w:pPr>
        <w:pStyle w:val="TextBody"/>
        <w:spacing w:lineRule="auto" w:line="273" w:before="0" w:after="0"/>
        <w:jc w:val="left"/>
        <w:rPr/>
      </w:pPr>
      <w:r>
        <w:rPr/>
        <w:t>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difficulties staffing and managing foreign operations;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complexities associated with managing multiple payor reimbursement regimes and government payors in foreign countries;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workforce uncertainty in countries where labor unrest is more common than in the United States;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potential liability under the Foreign Corrupt Practices Act of 1977 or comparable foreign regulations;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challenges enforcing our contractual and intellectual property rights, especially in those foreign countries that do not respect and protect intellectual property rights to the same extent as the United States;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production shortages resulting from any events affecting raw material supply or manufacturing capabilities abroad; and</w:t>
      </w:r>
    </w:p>
    <w:p>
      <w:pPr>
        <w:pStyle w:val="TextBody"/>
        <w:spacing w:lineRule="auto" w:line="273" w:before="120" w:after="0"/>
        <w:jc w:val="both"/>
        <w:rPr/>
      </w:pPr>
      <w:r>
        <w:rPr/>
        <w:t>•</w:t>
      </w:r>
    </w:p>
    <w:p>
      <w:pPr>
        <w:pStyle w:val="TextBody"/>
        <w:spacing w:lineRule="auto" w:line="273" w:before="120" w:after="283"/>
        <w:jc w:val="both"/>
        <w:rPr>
          <w:rFonts w:ascii="Arial" w:hAnsi="Arial"/>
          <w:b w:val="false"/>
          <w:sz w:val="20"/>
        </w:rPr>
      </w:pPr>
      <w:r>
        <w:rPr>
          <w:rFonts w:ascii="Arial" w:hAnsi="Arial"/>
          <w:b w:val="false"/>
          <w:sz w:val="20"/>
        </w:rPr>
        <w:t>business interruptions resulting from geo-political actions, including war and terrorism.</w:t>
      </w:r>
    </w:p>
    <w:p>
      <w:pPr>
        <w:pStyle w:val="TextBody"/>
        <w:spacing w:lineRule="auto" w:line="273" w:before="280" w:after="0"/>
        <w:jc w:val="both"/>
        <w:rPr>
          <w:rFonts w:ascii="Times New Roman" w:hAnsi="Times New Roman"/>
          <w:sz w:val="20"/>
        </w:rPr>
      </w:pPr>
      <w:r>
        <w:rPr>
          <w:rFonts w:ascii="Arial" w:hAnsi="Arial"/>
          <w:b w:val="false"/>
          <w:sz w:val="20"/>
        </w:rPr>
        <w:t>These and other risks associated with international operations may materially adversely affect our ability to attain or maintain profitable</w:t>
      </w:r>
      <w:r>
        <w:rPr>
          <w:rFonts w:ascii="Times New Roman" w:hAnsi="Times New Roman"/>
          <w:sz w:val="20"/>
        </w:rPr>
        <w:t xml:space="preserve"> </w:t>
      </w:r>
      <w:r>
        <w:rPr>
          <w:rFonts w:ascii="Arial" w:hAnsi="Arial"/>
          <w:b w:val="false"/>
          <w:sz w:val="20"/>
        </w:rPr>
        <w:t>operations.</w:t>
      </w:r>
    </w:p>
    <w:p>
      <w:pPr>
        <w:pStyle w:val="TextBody"/>
        <w:spacing w:lineRule="auto" w:line="273" w:before="280" w:after="0"/>
        <w:jc w:val="both"/>
        <w:rPr>
          <w:rFonts w:ascii="Arial" w:hAnsi="Arial"/>
          <w:b/>
          <w:sz w:val="20"/>
        </w:rPr>
      </w:pPr>
      <w:r>
        <w:rPr>
          <w:rFonts w:ascii="Arial" w:hAnsi="Arial"/>
          <w:b/>
          <w:sz w:val="20"/>
        </w:rPr>
        <w:t>Risks Relating to Our Intellectual Property</w:t>
      </w:r>
    </w:p>
    <w:p>
      <w:pPr>
        <w:pStyle w:val="TextBody"/>
        <w:spacing w:lineRule="auto" w:line="273" w:before="280" w:after="0"/>
        <w:jc w:val="both"/>
        <w:rPr>
          <w:rFonts w:ascii="Times New Roman" w:hAnsi="Times New Roman"/>
          <w:sz w:val="20"/>
        </w:rPr>
      </w:pPr>
      <w:r>
        <w:rPr>
          <w:rFonts w:ascii="Arial" w:hAnsi="Arial"/>
          <w:b/>
          <w:i/>
          <w:sz w:val="20"/>
        </w:rPr>
        <w:t>Our success depends on our ability to protect our intellectual property and our proprietary technologies.</w:t>
      </w:r>
      <w:r>
        <w:rPr>
          <w:rFonts w:ascii="Times New Roman" w:hAnsi="Times New Roman"/>
          <w:sz w:val="20"/>
        </w:rPr>
        <w:t xml:space="preserve"> </w:t>
      </w:r>
    </w:p>
    <w:p>
      <w:pPr>
        <w:pStyle w:val="TextBody"/>
        <w:spacing w:lineRule="auto" w:line="273" w:before="280" w:after="0"/>
        <w:jc w:val="both"/>
        <w:rPr>
          <w:rFonts w:ascii="Arial" w:hAnsi="Arial"/>
          <w:b w:val="false"/>
          <w:sz w:val="20"/>
        </w:rPr>
      </w:pPr>
      <w:r>
        <w:rPr>
          <w:rFonts w:ascii="Arial" w:hAnsi="Arial"/>
          <w:b w:val="false"/>
          <w:sz w:val="20"/>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We may also seek to protect our proprietary position by acquiring or in-licensing relevant issued patents or pending applications from third parties.</w:t>
      </w:r>
    </w:p>
    <w:p>
      <w:pPr>
        <w:pStyle w:val="TextBody"/>
        <w:spacing w:lineRule="auto" w:line="264" w:before="280" w:after="0"/>
        <w:jc w:val="both"/>
        <w:rPr>
          <w:rFonts w:ascii="Arial" w:hAnsi="Arial"/>
          <w:b w:val="false"/>
          <w:sz w:val="20"/>
        </w:rPr>
      </w:pPr>
      <w:r>
        <w:rPr>
          <w:rFonts w:ascii="Arial" w:hAnsi="Arial"/>
          <w:b w:val="false"/>
          <w:sz w:val="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any current or future licensors will result in additional patents being issued or that issued patents will afford sufficient protection against competitors with similar technology, nor can there be any assurance that the patents issued will not be infringed, designed around, found unenforceable or invalidated by third parties.</w:t>
      </w:r>
    </w:p>
    <w:p>
      <w:pPr>
        <w:pStyle w:val="TextBody"/>
        <w:spacing w:lineRule="auto" w:line="273" w:before="0" w:after="0"/>
        <w:jc w:val="left"/>
        <w:rPr/>
      </w:pPr>
      <w:r>
        <w:rPr/>
        <w:t> </w:t>
      </w:r>
    </w:p>
    <w:p>
      <w:pPr>
        <w:pStyle w:val="TextBody"/>
        <w:spacing w:lineRule="auto" w:line="273" w:before="0" w:after="0"/>
        <w:jc w:val="both"/>
        <w:rPr>
          <w:rFonts w:ascii="Arial" w:hAnsi="Arial"/>
          <w:b w:val="false"/>
          <w:sz w:val="20"/>
        </w:rPr>
      </w:pPr>
      <w:r>
        <w:rPr>
          <w:rFonts w:ascii="Arial" w:hAnsi="Arial"/>
          <w:b w:val="false"/>
          <w:sz w:val="20"/>
        </w:rPr>
        <w:t>Even issued patents may later be found invalid or unenforceable or may be modified or revoked in proceedings instituted by third parties or the patent owner before various patent offices or in courts. Thus, the degree of future protection for our and any current or future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candidates could have a material adverse effect on our financial condition and results of operations.</w:t>
      </w:r>
    </w:p>
    <w:p>
      <w:pPr>
        <w:pStyle w:val="TextBody"/>
        <w:spacing w:lineRule="auto" w:line="264" w:before="280" w:after="0"/>
        <w:jc w:val="both"/>
        <w:rPr>
          <w:rFonts w:ascii="Arial" w:hAnsi="Arial"/>
          <w:b w:val="false"/>
          <w:sz w:val="20"/>
        </w:rPr>
      </w:pPr>
      <w:r>
        <w:rPr>
          <w:rFonts w:ascii="Arial" w:hAnsi="Arial"/>
          <w:b w:val="false"/>
          <w:sz w:val="20"/>
        </w:rPr>
        <w:t>As of March 31, 2022, our patent portfolio includes one issued U.S. patent, five pending U.S. patent applications, two issued patents in jurisdictions outside of the U.S., nine pending patent applications in jurisdictions outside of the U.S., and three pending international patent applications filed under the Patent Cooperation Treaty. Our owned patent and patent applications have claims directed to our product candidate fosgonimeton as composition of matter and methods of treatment with fosgonimeton, as well as other small molecule therapeutics. The U.S. patent will expire in June 2037, absent any patent term extensions for regulatory delay. Dr. Kawas is an inventor on these company-owned patents. Our patent portfolio also includes eight issued U.S. patents and approximately 13 patents issued and one patent application pending in jurisdictions outside of the U.S. that are exclusively licensed to us by WSU. The in-licensed patent portfolio includes issued U.S. patents that do not directly cover fosgonimeton as a composition of matter or pharmaceutical formulation, but instead cover the active metabolite of fosgonimeton, which is hexanoic-tyrosine-isoleucine-(6)-amino-hexanoic amide (dihexa), and uses of dihexa. Dr. Kawas is an inventor on five of the in-licensed issued U.S. patents.</w:t>
      </w:r>
    </w:p>
    <w:p>
      <w:pPr>
        <w:pStyle w:val="TextBody"/>
        <w:spacing w:lineRule="auto" w:line="264" w:before="280" w:after="0"/>
        <w:jc w:val="both"/>
        <w:rPr>
          <w:rFonts w:ascii="Arial" w:hAnsi="Arial"/>
          <w:b w:val="false"/>
          <w:sz w:val="20"/>
        </w:rPr>
      </w:pPr>
      <w:r>
        <w:rPr>
          <w:rFonts w:ascii="Arial" w:hAnsi="Arial"/>
          <w:b w:val="false"/>
          <w:sz w:val="20"/>
        </w:rPr>
        <w:t>We cannot be certain that the claims in our pending patent applications or those of any current or future licensors, will be considered patentable by the United States Patent and Trademark Office, or USPTO, courts in the United States or by the patent offices and courts in foreign countries, nor can we be certain that the claims in our owned or in-licensed patents will not be found invalid or unenforceable if challenged.</w:t>
      </w:r>
    </w:p>
    <w:p>
      <w:pPr>
        <w:pStyle w:val="TextBody"/>
        <w:spacing w:lineRule="auto" w:line="273" w:before="240" w:after="0"/>
        <w:jc w:val="center"/>
        <w:rPr>
          <w:rFonts w:ascii="Arial" w:hAnsi="Arial"/>
          <w:b w:val="false"/>
          <w:sz w:val="20"/>
        </w:rPr>
      </w:pPr>
      <w:r>
        <w:rPr>
          <w:rFonts w:ascii="Arial" w:hAnsi="Arial"/>
          <w:b w:val="false"/>
          <w:sz w:val="20"/>
        </w:rPr>
        <w:t>69</w:t>
      </w:r>
    </w:p>
    <w:p>
      <w:pPr>
        <w:pStyle w:val="HorizontalLine"/>
        <w:rPr/>
      </w:pPr>
      <w:r>
        <w:rPr/>
      </w:r>
    </w:p>
    <w:p>
      <w:pPr>
        <w:pStyle w:val="TextBody"/>
        <w:spacing w:lineRule="auto" w:line="273" w:before="0" w:after="0"/>
        <w:jc w:val="left"/>
        <w:rPr/>
      </w:pPr>
      <w:r>
        <w:rPr/>
        <w:t> </w:t>
      </w:r>
    </w:p>
    <w:p>
      <w:pPr>
        <w:pStyle w:val="TextBody"/>
        <w:spacing w:lineRule="auto" w:line="264" w:before="280" w:after="0"/>
        <w:jc w:val="both"/>
        <w:rPr>
          <w:rFonts w:ascii="Arial" w:hAnsi="Arial"/>
          <w:b w:val="false"/>
          <w:sz w:val="20"/>
        </w:rPr>
      </w:pPr>
      <w:r>
        <w:rPr>
          <w:rFonts w:ascii="Arial" w:hAnsi="Arial"/>
          <w:b w:val="false"/>
          <w:sz w:val="20"/>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pStyle w:val="TextBody"/>
        <w:spacing w:lineRule="auto" w:line="264" w:before="120" w:after="0"/>
        <w:jc w:val="both"/>
        <w:rPr/>
      </w:pPr>
      <w:r>
        <w:rPr/>
        <w:t>•</w:t>
      </w:r>
    </w:p>
    <w:p>
      <w:pPr>
        <w:pStyle w:val="TextBody"/>
        <w:spacing w:lineRule="auto" w:line="264" w:before="120" w:after="0"/>
        <w:jc w:val="both"/>
        <w:rPr>
          <w:rFonts w:ascii="Arial" w:hAnsi="Arial"/>
          <w:b w:val="false"/>
          <w:sz w:val="20"/>
        </w:rPr>
      </w:pPr>
      <w:r>
        <w:rPr>
          <w:rFonts w:ascii="Arial" w:hAnsi="Arial"/>
          <w:b w:val="false"/>
          <w:sz w:val="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spacing w:lineRule="auto" w:line="264" w:before="120" w:after="0"/>
        <w:jc w:val="both"/>
        <w:rPr/>
      </w:pPr>
      <w:r>
        <w:rPr/>
        <w:t>•</w:t>
      </w:r>
    </w:p>
    <w:p>
      <w:pPr>
        <w:pStyle w:val="TextBody"/>
        <w:spacing w:lineRule="auto" w:line="264" w:before="120" w:after="0"/>
        <w:jc w:val="both"/>
        <w:rPr>
          <w:rFonts w:ascii="Arial" w:hAnsi="Arial"/>
          <w:b w:val="false"/>
          <w:sz w:val="20"/>
        </w:rPr>
      </w:pPr>
      <w:r>
        <w:rPr>
          <w:rFonts w:ascii="Arial" w:hAnsi="Arial"/>
          <w:b w:val="false"/>
          <w:sz w:val="20"/>
        </w:rPr>
        <w:t>patent applications may not result in any patents being issued;</w:t>
      </w:r>
    </w:p>
    <w:p>
      <w:pPr>
        <w:pStyle w:val="TextBody"/>
        <w:spacing w:lineRule="auto" w:line="264" w:before="120" w:after="0"/>
        <w:jc w:val="both"/>
        <w:rPr/>
      </w:pPr>
      <w:r>
        <w:rPr/>
        <w:t>•</w:t>
      </w:r>
    </w:p>
    <w:p>
      <w:pPr>
        <w:pStyle w:val="TextBody"/>
        <w:spacing w:lineRule="auto" w:line="264" w:before="120" w:after="0"/>
        <w:jc w:val="both"/>
        <w:rPr>
          <w:rFonts w:ascii="Arial" w:hAnsi="Arial"/>
          <w:b w:val="false"/>
          <w:sz w:val="20"/>
        </w:rPr>
      </w:pPr>
      <w:r>
        <w:rPr>
          <w:rFonts w:ascii="Arial" w:hAnsi="Arial"/>
          <w:b w:val="false"/>
          <w:sz w:val="20"/>
        </w:rPr>
        <w:t>patents and patent applications may be challenged, invalidated, modified, revoked, circumvented, found to be unenforceable or otherwise may not provide any competitive advantage;</w:t>
      </w:r>
    </w:p>
    <w:p>
      <w:pPr>
        <w:pStyle w:val="TextBody"/>
        <w:spacing w:lineRule="auto" w:line="264" w:before="120" w:after="0"/>
        <w:jc w:val="both"/>
        <w:rPr/>
      </w:pPr>
      <w:r>
        <w:rPr/>
        <w:t>•</w:t>
      </w:r>
    </w:p>
    <w:p>
      <w:pPr>
        <w:pStyle w:val="TextBody"/>
        <w:spacing w:lineRule="auto" w:line="264" w:before="120" w:after="0"/>
        <w:jc w:val="both"/>
        <w:rPr>
          <w:rFonts w:ascii="Arial" w:hAnsi="Arial"/>
          <w:b w:val="false"/>
          <w:sz w:val="20"/>
        </w:rPr>
      </w:pPr>
      <w:r>
        <w:rPr>
          <w:rFonts w:ascii="Arial" w:hAnsi="Arial"/>
          <w:b w:val="false"/>
          <w:sz w:val="20"/>
        </w:rPr>
        <w:t>changes to patent laws in the United States or in other countries may limit the ability to obtain, defend or enforce patents, or may apply retroactively to affect the terms and/or scope of patents;</w:t>
      </w:r>
    </w:p>
    <w:p>
      <w:pPr>
        <w:pStyle w:val="TextBody"/>
        <w:spacing w:lineRule="auto" w:line="264" w:before="120" w:after="0"/>
        <w:jc w:val="both"/>
        <w:rPr/>
      </w:pPr>
      <w:r>
        <w:rPr/>
        <w:t>•</w:t>
      </w:r>
    </w:p>
    <w:p>
      <w:pPr>
        <w:pStyle w:val="TextBody"/>
        <w:spacing w:lineRule="auto" w:line="264" w:before="120" w:after="0"/>
        <w:jc w:val="both"/>
        <w:rPr>
          <w:rFonts w:ascii="Arial" w:hAnsi="Arial"/>
          <w:b w:val="false"/>
          <w:sz w:val="20"/>
        </w:rPr>
      </w:pPr>
      <w:r>
        <w:rPr>
          <w:rFonts w:ascii="Arial" w:hAnsi="Arial"/>
          <w:b w:val="false"/>
          <w:sz w:val="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pStyle w:val="TextBody"/>
        <w:spacing w:lineRule="auto" w:line="264" w:before="120" w:after="0"/>
        <w:jc w:val="both"/>
        <w:rPr/>
      </w:pPr>
      <w:r>
        <w:rPr/>
        <w:t>•</w:t>
      </w:r>
    </w:p>
    <w:p>
      <w:pPr>
        <w:pStyle w:val="TextBody"/>
        <w:spacing w:lineRule="auto" w:line="264" w:before="120" w:after="0"/>
        <w:jc w:val="both"/>
        <w:rPr>
          <w:rFonts w:ascii="Arial" w:hAnsi="Arial"/>
          <w:b w:val="false"/>
          <w:sz w:val="20"/>
        </w:rPr>
      </w:pPr>
      <w:r>
        <w:rPr>
          <w:rFonts w:ascii="Arial" w:hAnsi="Arial"/>
          <w:b w:val="false"/>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pStyle w:val="TextBody"/>
        <w:spacing w:lineRule="auto" w:line="264" w:before="120" w:after="0"/>
        <w:jc w:val="both"/>
        <w:rPr/>
      </w:pPr>
      <w:r>
        <w:rPr/>
        <w:t>•</w:t>
      </w:r>
    </w:p>
    <w:p>
      <w:pPr>
        <w:pStyle w:val="TextBody"/>
        <w:spacing w:lineRule="auto" w:line="264" w:before="120" w:after="283"/>
        <w:jc w:val="both"/>
        <w:rPr>
          <w:rFonts w:ascii="Arial" w:hAnsi="Arial"/>
          <w:b w:val="false"/>
          <w:sz w:val="20"/>
        </w:rPr>
      </w:pPr>
      <w:r>
        <w:rPr>
          <w:rFonts w:ascii="Arial" w:hAnsi="Arial"/>
          <w:b w:val="false"/>
          <w:sz w:val="20"/>
        </w:rPr>
        <w:t>countries other than the United States may have patent laws less favorable to patentees than those upheld by U.S. courts, allowing foreign competitors a better opportunity to create, develop and market competing product candidates.</w:t>
      </w:r>
    </w:p>
    <w:p>
      <w:pPr>
        <w:pStyle w:val="TextBody"/>
        <w:spacing w:lineRule="auto" w:line="264" w:before="280" w:after="0"/>
        <w:jc w:val="both"/>
        <w:rPr>
          <w:rFonts w:ascii="Arial" w:hAnsi="Arial"/>
          <w:b w:val="false"/>
          <w:sz w:val="20"/>
        </w:rPr>
      </w:pPr>
      <w:r>
        <w:rPr>
          <w:rFonts w:ascii="Arial" w:hAnsi="Arial"/>
          <w:b w:val="false"/>
          <w:sz w:val="20"/>
        </w:rPr>
        <w:t>The patent prosecution process is also expensive and time-consuming, and we and any current or future licensors may not be able to file and prosecute all necessary or desirable patent applications at a reasonable cost or in a timely manner or in all jurisdictions where protection may be commercially advantageous. It is also possible that we or any current or future licensors will fail to identify patentable aspects of our research and development output before it is too late to obtain patent protection.</w:t>
      </w:r>
    </w:p>
    <w:p>
      <w:pPr>
        <w:pStyle w:val="TextBody"/>
        <w:spacing w:lineRule="auto" w:line="264" w:before="280" w:after="0"/>
        <w:jc w:val="both"/>
        <w:rPr>
          <w:rFonts w:ascii="Arial" w:hAnsi="Arial"/>
          <w:b w:val="false"/>
          <w:sz w:val="20"/>
        </w:rPr>
      </w:pPr>
      <w:r>
        <w:rPr>
          <w:rFonts w:ascii="Arial" w:hAnsi="Arial"/>
          <w:b w:val="false"/>
          <w:sz w:val="20"/>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pStyle w:val="TextBody"/>
        <w:spacing w:lineRule="auto" w:line="264" w:before="280" w:after="0"/>
        <w:jc w:val="both"/>
        <w:rPr>
          <w:rFonts w:ascii="Arial" w:hAnsi="Arial"/>
          <w:b w:val="false"/>
          <w:sz w:val="20"/>
        </w:rPr>
      </w:pPr>
      <w:r>
        <w:rPr>
          <w:rFonts w:ascii="Arial" w:hAnsi="Arial"/>
          <w:b w:val="false"/>
          <w:sz w:val="20"/>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pStyle w:val="TextBody"/>
        <w:spacing w:lineRule="auto" w:line="273" w:before="280" w:after="0"/>
        <w:jc w:val="both"/>
        <w:rPr>
          <w:rFonts w:ascii="Times New Roman" w:hAnsi="Times New Roman"/>
          <w:sz w:val="20"/>
        </w:rPr>
      </w:pPr>
      <w:r>
        <w:rPr>
          <w:rFonts w:ascii="Arial" w:hAnsi="Arial"/>
          <w:b/>
          <w:i/>
          <w:sz w:val="20"/>
        </w:rPr>
        <w:t>If the scope of any patent protection we obtain is not sufficiently broad, or if we lose any of our patent protection, our ability to prevent our competitors from commercializing similar or identical product candidates would be adversely affected.</w:t>
      </w:r>
      <w:r>
        <w:rPr>
          <w:rFonts w:ascii="Times New Roman" w:hAnsi="Times New Roman"/>
          <w:sz w:val="20"/>
        </w:rPr>
        <w:t xml:space="preserve"> </w:t>
      </w:r>
    </w:p>
    <w:p>
      <w:pPr>
        <w:pStyle w:val="TextBody"/>
        <w:spacing w:lineRule="auto" w:line="273" w:before="280" w:after="0"/>
        <w:jc w:val="both"/>
        <w:rPr>
          <w:rFonts w:ascii="Arial" w:hAnsi="Arial"/>
          <w:b w:val="false"/>
          <w:sz w:val="20"/>
        </w:rPr>
      </w:pPr>
      <w:r>
        <w:rPr>
          <w:rFonts w:ascii="Arial" w:hAnsi="Arial"/>
          <w:b w:val="false"/>
          <w:sz w:val="20"/>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any current or future licensors may not result in patents being issued which protect our product candidates or which effectively prevent others from commercializing competitive product candidates.</w:t>
      </w:r>
    </w:p>
    <w:p>
      <w:pPr>
        <w:pStyle w:val="TextBody"/>
        <w:spacing w:lineRule="auto" w:line="273" w:before="280" w:after="0"/>
        <w:jc w:val="both"/>
        <w:rPr>
          <w:rFonts w:ascii="Times New Roman" w:hAnsi="Times New Roman"/>
          <w:sz w:val="20"/>
        </w:rPr>
      </w:pPr>
      <w:r>
        <w:rPr>
          <w:rFonts w:ascii="Arial" w:hAnsi="Arial"/>
          <w:b w:val="false"/>
          <w:sz w:val="20"/>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invalidated or rendered unenforceable as a result of challenges by third parties. Consequently, we do not know whether our product candidates will be protectable or remain protected by valid and enforceable patents. Our competitors or other third parties may be able to circumvent our</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70</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Arial" w:hAnsi="Arial"/>
          <w:b w:val="false"/>
          <w:sz w:val="20"/>
        </w:rPr>
      </w:pPr>
      <w:r>
        <w:rPr>
          <w:rFonts w:ascii="Arial" w:hAnsi="Arial"/>
          <w:b w:val="false"/>
          <w:sz w:val="20"/>
        </w:rPr>
        <w:t>patents or the patents of any current or future licensors by developing similar or alternative technologies or products in a non-infringing manner which could materially adversely affect our business, financial condition, results of operations and prospects.</w:t>
      </w:r>
    </w:p>
    <w:p>
      <w:pPr>
        <w:pStyle w:val="TextBody"/>
        <w:spacing w:lineRule="auto" w:line="273" w:before="280" w:after="0"/>
        <w:jc w:val="both"/>
        <w:rPr>
          <w:rFonts w:ascii="Times New Roman" w:hAnsi="Times New Roman"/>
          <w:sz w:val="20"/>
        </w:rPr>
      </w:pPr>
      <w:r>
        <w:rPr>
          <w:rFonts w:ascii="Arial" w:hAnsi="Arial"/>
          <w:b w:val="false"/>
          <w:sz w:val="20"/>
        </w:rPr>
        <w:t xml:space="preserve">The issuance of a patent is not conclusive as to its inventorship, scope, validity, or enforceability, and our patents or the patents of any current or future licensors may be challenged in the courts or patent offices in the United States and abroad. We may be subject to a third-party pre-issuance submission of prior art to the USPTO, or become involved in opposition, derivation, revocation, reexamination, post-grant review, or PGR, and </w:t>
      </w:r>
      <w:r>
        <w:rPr>
          <w:rFonts w:ascii="Arial" w:hAnsi="Arial"/>
          <w:b w:val="false"/>
          <w:i/>
          <w:sz w:val="20"/>
        </w:rPr>
        <w:t>inter partes</w:t>
      </w:r>
      <w:r>
        <w:rPr>
          <w:rFonts w:ascii="Times New Roman" w:hAnsi="Times New Roman"/>
          <w:sz w:val="20"/>
        </w:rPr>
        <w:t xml:space="preserve"> </w:t>
      </w:r>
      <w:r>
        <w:rPr>
          <w:rFonts w:ascii="Arial" w:hAnsi="Arial"/>
          <w:b w:val="false"/>
          <w:sz w:val="20"/>
        </w:rPr>
        <w:t>review, or IPR, or other similar proceedings challenging our patent rights. An adverse determination in any such submission, proceeding or litigation could reduce the scope of, or invalidate or render unenforceable, our patent rights, allow third parties to commercialize our product candidates and compete directly with us, without payment to us, or result in our inability to manufacture or commercialize products without infringing third-party patent rights.</w:t>
      </w:r>
      <w:r>
        <w:rPr>
          <w:rFonts w:ascii="Times New Roman" w:hAnsi="Times New Roman"/>
          <w:sz w:val="20"/>
        </w:rPr>
        <w:t xml:space="preserve"> </w:t>
      </w:r>
    </w:p>
    <w:p>
      <w:pPr>
        <w:pStyle w:val="TextBody"/>
        <w:spacing w:lineRule="auto" w:line="273" w:before="280" w:after="0"/>
        <w:jc w:val="both"/>
        <w:rPr>
          <w:rFonts w:ascii="Arial" w:hAnsi="Arial"/>
          <w:b w:val="false"/>
          <w:sz w:val="20"/>
        </w:rPr>
      </w:pPr>
      <w:r>
        <w:rPr>
          <w:rFonts w:ascii="Arial" w:hAnsi="Arial"/>
          <w:b w:val="false"/>
          <w:sz w:val="20"/>
        </w:rPr>
        <w:t>Moreover, our patents or the patents of any current or future licensors may become subject to post-grant challenge proceedings, such as oppositions in a foreign patent office, that challenge our claim of priority of invention or other features of patentability with respect to our patents and patent applications and those of any current or future licensors.</w:t>
      </w:r>
    </w:p>
    <w:p>
      <w:pPr>
        <w:pStyle w:val="TextBody"/>
        <w:spacing w:lineRule="auto" w:line="273" w:before="280" w:after="0"/>
        <w:jc w:val="both"/>
        <w:rPr>
          <w:rFonts w:ascii="Times New Roman" w:hAnsi="Times New Roman"/>
          <w:sz w:val="20"/>
        </w:rPr>
      </w:pPr>
      <w:r>
        <w:rPr>
          <w:rFonts w:ascii="Arial" w:hAnsi="Arial"/>
          <w:b w:val="false"/>
          <w:sz w:val="20"/>
        </w:rPr>
        <w:t>For example, in view of the lawsuits disclosed elsewhere in this report including in this “Risk Factors” section under the heading “</w:t>
      </w:r>
      <w:r>
        <w:rPr>
          <w:rFonts w:ascii="Times New Roman" w:hAnsi="Times New Roman"/>
          <w:sz w:val="20"/>
        </w:rPr>
        <w:t>—</w:t>
      </w:r>
      <w:r>
        <w:rPr>
          <w:rFonts w:ascii="Arial" w:hAnsi="Arial"/>
          <w:b w:val="false"/>
          <w:i/>
          <w:sz w:val="20"/>
        </w:rPr>
        <w:t>We and certain of our directors and executive officers have been named as defendants in lawsuits that could result in substantial costs and divert management’s attention</w:t>
      </w:r>
      <w:r>
        <w:rPr>
          <w:rFonts w:ascii="Arial" w:hAnsi="Arial"/>
          <w:b w:val="false"/>
          <w:sz w:val="20"/>
        </w:rPr>
        <w:t>,” and in “Part II, Item 1—Legal Proceedings,” third parties may challenge the validity or enforceability of our in-licensed patents and patent applications. The outcome following legal assertions of invalidity and unenforceability is unpredictable. Such challenges may result in loss of patent rights, loss of exclusivity or in patent claims being narrowed, invalidated or held unenforceable, which could limit our ability to stop others from using or commercializing similar technology and products such as other modifications to dihexa not covered by our issued patents. Such proceedings also may result in substantial cost and require significant time from our scientists and management, even if the eventual outcome is favorable to us. In addition, if the breadth or strength of protection provided by our in-licensed patents and patent applications is threatened, regardless of the outcome, it could dissuade companies from collaborating with us to license, develop, or commercialize current or future product candidates.</w:t>
      </w:r>
      <w:r>
        <w:rPr>
          <w:rFonts w:ascii="Times New Roman" w:hAnsi="Times New Roman"/>
          <w:sz w:val="20"/>
        </w:rPr>
        <w:t xml:space="preserve"> </w:t>
      </w:r>
      <w:r>
        <w:rPr>
          <w:rFonts w:ascii="Arial" w:hAnsi="Arial"/>
          <w:b w:val="false"/>
          <w:sz w:val="20"/>
        </w:rPr>
        <w:t>Further, these proceedings could have a material adverse effect on our business, results of operations and financial condition.</w:t>
      </w:r>
    </w:p>
    <w:p>
      <w:pPr>
        <w:pStyle w:val="TextBody"/>
        <w:spacing w:lineRule="auto" w:line="273" w:before="280" w:after="0"/>
        <w:jc w:val="both"/>
        <w:rPr>
          <w:rFonts w:ascii="Arial" w:hAnsi="Arial"/>
          <w:b w:val="false"/>
          <w:sz w:val="20"/>
        </w:rPr>
      </w:pPr>
      <w:r>
        <w:rPr>
          <w:rFonts w:ascii="Arial" w:hAnsi="Arial"/>
          <w:b w:val="false"/>
          <w:sz w:val="20"/>
        </w:rPr>
        <w:t>Even though we own patents and patent applications covering fosgonimeton, our patents and any future patents we obtain may not effectively prevent others from developing or commercializing products similar to our product candidates. While the fosgonimeton patent family is distinct from, and not part of the same patent family as, the dihexa patent licensed from WSU, and therefore is not implicated in the allegations that Dr. Kawas altered images in connection with her doctoral studies, third parties may use these allegations to cast doubt on the validity and enforceability of our owned patents or patent applications. Such events may result in substantial cost and require significant time from our scientists and management, and could dissuade companies from collaborating with us to license, develop, or commercialize current or future product candidates, even if the eventual outcome is favorable to us.</w:t>
      </w:r>
    </w:p>
    <w:p>
      <w:pPr>
        <w:pStyle w:val="TextBody"/>
        <w:spacing w:lineRule="auto" w:line="273" w:before="280" w:after="0"/>
        <w:jc w:val="both"/>
        <w:rPr>
          <w:rFonts w:ascii="Arial" w:hAnsi="Arial"/>
          <w:b w:val="false"/>
          <w:sz w:val="20"/>
        </w:rPr>
      </w:pPr>
      <w:r>
        <w:rPr>
          <w:rFonts w:ascii="Arial" w:hAnsi="Arial"/>
          <w:b w:val="false"/>
          <w:sz w:val="20"/>
        </w:rPr>
        <w:t>We and/or WSU may in the future file one or more requests for supplemental examination of certain patents for the USPTO to reconsider the enforceability and validity of the patents (including any patents relating to dihexa) in view of the allegations that Dr. Kawas altered images in connection with her doctoral studies. The outcome of any supplemental examination procedure is unpredictable. If a substantial new question of patentability is found, the USPTO Director will order ex parte reexamination of the patent. An adverse determination in such a proceeding could reduce the scope of, or invalidate or render unenforceable, the affected patent rights. While supplemental examination proceedings that result in our favor would bolster the presumption of validity and enforceability of the examined patents, third parties may still challenge the patents and patent applications in litigation or other legal proceedings.</w:t>
      </w:r>
    </w:p>
    <w:p>
      <w:pPr>
        <w:pStyle w:val="TextBody"/>
        <w:spacing w:lineRule="auto" w:line="273" w:before="280" w:after="0"/>
        <w:jc w:val="both"/>
        <w:rPr>
          <w:rFonts w:ascii="Times New Roman" w:hAnsi="Times New Roman"/>
          <w:sz w:val="20"/>
        </w:rPr>
      </w:pPr>
      <w:r>
        <w:rPr>
          <w:rFonts w:ascii="Arial" w:hAnsi="Arial"/>
          <w:b/>
          <w:i/>
          <w:sz w:val="20"/>
        </w:rPr>
        <w:t>Intellectual property rights do not necessarily address all potential threats to our competitive advantage.</w:t>
      </w:r>
      <w:r>
        <w:rPr>
          <w:rFonts w:ascii="Times New Roman" w:hAnsi="Times New Roman"/>
          <w:sz w:val="20"/>
        </w:rPr>
        <w:t xml:space="preserve"> </w:t>
      </w:r>
    </w:p>
    <w:p>
      <w:pPr>
        <w:pStyle w:val="TextBody"/>
        <w:spacing w:lineRule="auto" w:line="273" w:before="280" w:after="0"/>
        <w:jc w:val="both"/>
        <w:rPr>
          <w:rFonts w:ascii="Arial" w:hAnsi="Arial"/>
          <w:b w:val="false"/>
          <w:sz w:val="20"/>
        </w:rPr>
      </w:pPr>
      <w:r>
        <w:rPr>
          <w:rFonts w:ascii="Arial" w:hAnsi="Arial"/>
          <w:b w:val="false"/>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spacing w:lineRule="auto" w:line="273" w:before="120" w:after="0"/>
        <w:jc w:val="both"/>
        <w:rPr/>
      </w:pPr>
      <w:r>
        <w:rPr/>
        <w:t>•</w:t>
      </w:r>
    </w:p>
    <w:p>
      <w:pPr>
        <w:pStyle w:val="TextBody"/>
        <w:spacing w:lineRule="auto" w:line="273" w:before="120" w:after="283"/>
        <w:jc w:val="both"/>
        <w:rPr>
          <w:rFonts w:ascii="Arial" w:hAnsi="Arial"/>
          <w:b w:val="false"/>
          <w:sz w:val="20"/>
        </w:rPr>
      </w:pPr>
      <w:r>
        <w:rPr>
          <w:rFonts w:ascii="Arial" w:hAnsi="Arial"/>
          <w:b w:val="false"/>
          <w:sz w:val="20"/>
        </w:rPr>
        <w:t>others may be able to develop products that are similar to our product candidates but that are not covered by the claims of the patents that we own or license;</w:t>
      </w:r>
    </w:p>
    <w:p>
      <w:pPr>
        <w:pStyle w:val="TextBody"/>
        <w:spacing w:lineRule="auto" w:line="273" w:before="240" w:after="0"/>
        <w:jc w:val="center"/>
        <w:rPr>
          <w:rFonts w:ascii="Arial" w:hAnsi="Arial"/>
          <w:b w:val="false"/>
          <w:sz w:val="20"/>
        </w:rPr>
      </w:pPr>
      <w:r>
        <w:rPr>
          <w:rFonts w:ascii="Arial" w:hAnsi="Arial"/>
          <w:b w:val="false"/>
          <w:sz w:val="20"/>
        </w:rPr>
        <w:t>71</w:t>
      </w:r>
    </w:p>
    <w:p>
      <w:pPr>
        <w:pStyle w:val="HorizontalLine"/>
        <w:rPr/>
      </w:pPr>
      <w:r>
        <w:rPr/>
      </w:r>
    </w:p>
    <w:p>
      <w:pPr>
        <w:pStyle w:val="TextBody"/>
        <w:spacing w:lineRule="auto" w:line="273" w:before="0" w:after="0"/>
        <w:jc w:val="left"/>
        <w:rPr/>
      </w:pPr>
      <w:r>
        <w:rPr/>
        <w:t>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we or any current or future licensors or collaborators might not have been the first to make the inventions covered by the issued patents or patent application that we own or license;</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we or any current or future licensors or collaborators might not have been the first to file patent applications covering certain of our inventions;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others may independently develop similar or alternative technologies or duplicate any of our technologies without infringing our intellectual property rights;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it is possible that the pending patent applications we own or license will not lead to issued patents;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issued patents that we own or license may be held invalid or unenforceable, as a result of legal challenges by our competitors;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we may not develop additional proprietary technologies that are patentable;</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patents of others may have an adverse effect on our business; and</w:t>
      </w:r>
    </w:p>
    <w:p>
      <w:pPr>
        <w:pStyle w:val="TextBody"/>
        <w:spacing w:lineRule="auto" w:line="273" w:before="120" w:after="0"/>
        <w:jc w:val="both"/>
        <w:rPr/>
      </w:pPr>
      <w:r>
        <w:rPr/>
        <w:t>•</w:t>
      </w:r>
    </w:p>
    <w:p>
      <w:pPr>
        <w:pStyle w:val="TextBody"/>
        <w:spacing w:lineRule="auto" w:line="273" w:before="120" w:after="283"/>
        <w:jc w:val="both"/>
        <w:rPr>
          <w:rFonts w:ascii="Arial" w:hAnsi="Arial"/>
          <w:b w:val="false"/>
          <w:sz w:val="20"/>
        </w:rPr>
      </w:pPr>
      <w:r>
        <w:rPr>
          <w:rFonts w:ascii="Arial" w:hAnsi="Arial"/>
          <w:b w:val="false"/>
          <w:sz w:val="20"/>
        </w:rPr>
        <w:t>we may choose not to file a patent in order to maintain certain trade secrets or know-how, and a third party may subsequently file a patent covering such intellectual property.</w:t>
      </w:r>
    </w:p>
    <w:p>
      <w:pPr>
        <w:pStyle w:val="TextBody"/>
        <w:spacing w:lineRule="auto" w:line="273" w:before="280" w:after="0"/>
        <w:jc w:val="both"/>
        <w:rPr>
          <w:rFonts w:ascii="Arial" w:hAnsi="Arial"/>
          <w:b w:val="false"/>
          <w:sz w:val="20"/>
        </w:rPr>
      </w:pPr>
      <w:r>
        <w:rPr>
          <w:rFonts w:ascii="Arial" w:hAnsi="Arial"/>
          <w:b w:val="false"/>
          <w:sz w:val="20"/>
        </w:rPr>
        <w:t>Should any of these events occur, it could significantly harm our business, results of operations and prospects.</w:t>
      </w:r>
    </w:p>
    <w:p>
      <w:pPr>
        <w:pStyle w:val="TextBody"/>
        <w:spacing w:lineRule="auto" w:line="273" w:before="280" w:after="0"/>
        <w:jc w:val="both"/>
        <w:rPr>
          <w:rFonts w:ascii="Arial" w:hAnsi="Arial"/>
          <w:b/>
          <w:i/>
          <w:sz w:val="20"/>
        </w:rPr>
      </w:pPr>
      <w:r>
        <w:rPr>
          <w:rFonts w:ascii="Arial" w:hAnsi="Arial"/>
          <w:b/>
          <w:i/>
          <w:sz w:val="20"/>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pStyle w:val="TextBody"/>
        <w:spacing w:lineRule="auto" w:line="273" w:before="280" w:after="0"/>
        <w:jc w:val="both"/>
        <w:rPr>
          <w:rFonts w:ascii="Arial" w:hAnsi="Arial"/>
          <w:b w:val="false"/>
          <w:sz w:val="20"/>
        </w:rPr>
      </w:pPr>
      <w:r>
        <w:rPr>
          <w:rFonts w:ascii="Arial" w:hAnsi="Arial"/>
          <w:b w:val="false"/>
          <w:sz w:val="20"/>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pStyle w:val="TextBody"/>
        <w:spacing w:lineRule="auto" w:line="273" w:before="280" w:after="0"/>
        <w:jc w:val="both"/>
        <w:rPr>
          <w:rFonts w:ascii="Arial" w:hAnsi="Arial"/>
          <w:b w:val="false"/>
          <w:sz w:val="20"/>
        </w:rPr>
      </w:pPr>
      <w:r>
        <w:rPr>
          <w:rFonts w:ascii="Arial" w:hAnsi="Arial"/>
          <w:b w:val="false"/>
          <w:sz w:val="20"/>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 candidates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result in costly litigation that may cause negative publicity;</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divert the time and attention of our technical personnel and management;</w:t>
      </w:r>
    </w:p>
    <w:p>
      <w:pPr>
        <w:pStyle w:val="TextBody"/>
        <w:spacing w:lineRule="auto" w:line="273" w:before="120" w:after="0"/>
        <w:jc w:val="both"/>
        <w:rPr/>
      </w:pPr>
      <w:r>
        <w:rPr/>
        <w:t>•</w:t>
      </w:r>
    </w:p>
    <w:p>
      <w:pPr>
        <w:pStyle w:val="TextBody"/>
        <w:spacing w:lineRule="auto" w:line="273" w:before="120" w:after="283"/>
        <w:jc w:val="both"/>
        <w:rPr>
          <w:rFonts w:ascii="Arial" w:hAnsi="Arial"/>
          <w:b w:val="false"/>
          <w:sz w:val="20"/>
        </w:rPr>
      </w:pPr>
      <w:r>
        <w:rPr>
          <w:rFonts w:ascii="Arial" w:hAnsi="Arial"/>
          <w:b w:val="false"/>
          <w:sz w:val="20"/>
        </w:rPr>
        <w:t>cause development delays;</w:t>
      </w:r>
    </w:p>
    <w:p>
      <w:pPr>
        <w:pStyle w:val="TextBody"/>
        <w:spacing w:lineRule="auto" w:line="273" w:before="240" w:after="0"/>
        <w:jc w:val="center"/>
        <w:rPr>
          <w:rFonts w:ascii="Arial" w:hAnsi="Arial"/>
          <w:b w:val="false"/>
          <w:sz w:val="20"/>
        </w:rPr>
      </w:pPr>
      <w:r>
        <w:rPr>
          <w:rFonts w:ascii="Arial" w:hAnsi="Arial"/>
          <w:b w:val="false"/>
          <w:sz w:val="20"/>
        </w:rPr>
        <w:t>72</w:t>
      </w:r>
    </w:p>
    <w:p>
      <w:pPr>
        <w:pStyle w:val="HorizontalLine"/>
        <w:rPr/>
      </w:pPr>
      <w:r>
        <w:rPr/>
      </w:r>
    </w:p>
    <w:p>
      <w:pPr>
        <w:pStyle w:val="TextBody"/>
        <w:spacing w:lineRule="auto" w:line="273" w:before="0" w:after="0"/>
        <w:jc w:val="left"/>
        <w:rPr/>
      </w:pPr>
      <w:r>
        <w:rPr/>
        <w:t>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prevent us from commercializing any of our product candidates until the asserted patent expires or is held finally invalid or not infringed in a court of law;</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require us to develop non-infringing technology, which may not be possible on a cost-effective basis;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subject us to significant liability to third parties; or</w:t>
      </w:r>
    </w:p>
    <w:p>
      <w:pPr>
        <w:pStyle w:val="TextBody"/>
        <w:spacing w:lineRule="auto" w:line="273" w:before="120" w:after="0"/>
        <w:jc w:val="both"/>
        <w:rPr/>
      </w:pPr>
      <w:r>
        <w:rPr/>
        <w:t>•</w:t>
      </w:r>
    </w:p>
    <w:p>
      <w:pPr>
        <w:pStyle w:val="TextBody"/>
        <w:spacing w:lineRule="auto" w:line="273" w:before="120" w:after="283"/>
        <w:jc w:val="both"/>
        <w:rPr>
          <w:rFonts w:ascii="Arial" w:hAnsi="Arial"/>
          <w:b w:val="false"/>
          <w:sz w:val="20"/>
        </w:rPr>
      </w:pPr>
      <w:r>
        <w:rPr>
          <w:rFonts w:ascii="Arial" w:hAnsi="Arial"/>
          <w:b w:val="false"/>
          <w:sz w:val="20"/>
        </w:rPr>
        <w:t>require us to enter into royalty or licensing agreements, which may not be available on commercially reasonable terms, or at all, or which might be non-exclusive, which could result in our competitors gaining access to the same technology.</w:t>
      </w:r>
    </w:p>
    <w:p>
      <w:pPr>
        <w:pStyle w:val="TextBody"/>
        <w:spacing w:lineRule="auto" w:line="273" w:before="280" w:after="0"/>
        <w:jc w:val="both"/>
        <w:rPr>
          <w:rFonts w:ascii="Arial" w:hAnsi="Arial"/>
          <w:b w:val="false"/>
          <w:sz w:val="20"/>
        </w:rPr>
      </w:pPr>
      <w:r>
        <w:rPr>
          <w:rFonts w:ascii="Arial" w:hAnsi="Arial"/>
          <w:b w:val="false"/>
          <w:sz w:val="20"/>
        </w:rPr>
        <w:t>Although no third party has asserted a claim of patent infringement against us as of the date of this report, others may hold proprietary rights that could prevent our product candidates from being marketed. Any patent-related legal action against us claiming damages and seeking to enjoin commercial activities relating to our product candidates,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our product candidates, our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pStyle w:val="TextBody"/>
        <w:spacing w:lineRule="auto" w:line="273" w:before="280" w:after="0"/>
        <w:jc w:val="both"/>
        <w:rPr>
          <w:rFonts w:ascii="Arial" w:hAnsi="Arial"/>
          <w:b w:val="false"/>
          <w:sz w:val="20"/>
        </w:rPr>
      </w:pPr>
      <w:r>
        <w:rPr>
          <w:rFonts w:ascii="Arial" w:hAnsi="Arial"/>
          <w:b w:val="false"/>
          <w:sz w:val="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pStyle w:val="TextBody"/>
        <w:spacing w:lineRule="auto" w:line="273" w:before="280" w:after="0"/>
        <w:jc w:val="both"/>
        <w:rPr>
          <w:rFonts w:ascii="Times New Roman" w:hAnsi="Times New Roman"/>
          <w:sz w:val="20"/>
        </w:rPr>
      </w:pPr>
      <w:r>
        <w:rPr>
          <w:rFonts w:ascii="Arial" w:hAnsi="Arial"/>
          <w:b/>
          <w:i/>
          <w:sz w:val="20"/>
        </w:rPr>
        <w:t>We may not be successful in obtaining or maintaining necessary rights to our product candidates through acquisitions and in-licenses.</w:t>
      </w:r>
      <w:r>
        <w:rPr>
          <w:rFonts w:ascii="Times New Roman" w:hAnsi="Times New Roman"/>
          <w:sz w:val="20"/>
        </w:rPr>
        <w:t xml:space="preserve"> </w:t>
      </w:r>
    </w:p>
    <w:p>
      <w:pPr>
        <w:pStyle w:val="TextBody"/>
        <w:spacing w:lineRule="auto" w:line="273" w:before="280" w:after="0"/>
        <w:jc w:val="both"/>
        <w:rPr>
          <w:rFonts w:ascii="Arial" w:hAnsi="Arial"/>
          <w:b w:val="false"/>
          <w:sz w:val="20"/>
        </w:rPr>
      </w:pPr>
      <w:r>
        <w:rPr>
          <w:rFonts w:ascii="Arial" w:hAnsi="Arial"/>
          <w:b w:val="false"/>
          <w:sz w:val="20"/>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or if we are unable to maintain the existing intellectual property rights we have, we may have to abandon development of the relevant program or product candidate, which could have a material adverse effect on our business, financial condition, results of operations, and prospects.</w:t>
      </w:r>
    </w:p>
    <w:p>
      <w:pPr>
        <w:pStyle w:val="TextBody"/>
        <w:spacing w:lineRule="auto" w:line="273" w:before="280" w:after="0"/>
        <w:jc w:val="both"/>
        <w:rPr>
          <w:rFonts w:ascii="Times New Roman" w:hAnsi="Times New Roman"/>
          <w:sz w:val="20"/>
        </w:rPr>
      </w:pPr>
      <w:r>
        <w:rPr>
          <w:rFonts w:ascii="Arial" w:hAnsi="Arial"/>
          <w:b/>
          <w:i/>
          <w:sz w:val="20"/>
        </w:rPr>
        <w:t>We may be involved in lawsuits to protect or enforce our patents or any current or future licensors’ patents, which could be expensive, time consuming and unsuccessful. Further, our issued patents or any current or future licensors’ patents could be found invalid or unenforceable if challenged in court.</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val="false"/>
          <w:sz w:val="20"/>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73</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Arial" w:hAnsi="Arial"/>
          <w:b w:val="false"/>
          <w:sz w:val="20"/>
        </w:rPr>
      </w:pPr>
      <w:r>
        <w:rPr>
          <w:rFonts w:ascii="Arial" w:hAnsi="Arial"/>
          <w:b w:val="false"/>
          <w:sz w:val="20"/>
        </w:rPr>
        <w:t>directed at one of our product candidates, the defendant could counterclaim that our patent or the patent of any current or future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lack of sufficient written description, non-enablement, or obviousness-type double patenting. Grounds for an unenforceability assertion could include an allegation that someone connected with prosecution of the patent misrepresented or fraudulently withheld relevant information from the USPTO or made a misleading statement during prosecution.</w:t>
      </w:r>
    </w:p>
    <w:p>
      <w:pPr>
        <w:pStyle w:val="TextBody"/>
        <w:spacing w:lineRule="auto" w:line="273" w:before="280" w:after="0"/>
        <w:jc w:val="both"/>
        <w:rPr>
          <w:rFonts w:ascii="Arial" w:hAnsi="Arial"/>
          <w:b w:val="false"/>
          <w:sz w:val="20"/>
        </w:rPr>
      </w:pPr>
      <w:r>
        <w:rPr>
          <w:rFonts w:ascii="Arial" w:hAnsi="Arial"/>
          <w:b w:val="false"/>
          <w:sz w:val="20"/>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any current or future licensors’ patents in such a way that they no longer cover our technology or platform,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platform, or any product candidates that we may develop. Such a loss of patent protection would have a material adverse impact on our business, financial condition, results of operations and prospects.</w:t>
      </w:r>
    </w:p>
    <w:p>
      <w:pPr>
        <w:pStyle w:val="TextBody"/>
        <w:spacing w:lineRule="auto" w:line="273" w:before="280" w:after="0"/>
        <w:jc w:val="both"/>
        <w:rPr>
          <w:rFonts w:ascii="Arial" w:hAnsi="Arial"/>
          <w:b w:val="false"/>
          <w:sz w:val="20"/>
        </w:rPr>
      </w:pPr>
      <w:r>
        <w:rPr>
          <w:rFonts w:ascii="Arial" w:hAnsi="Arial"/>
          <w:b w:val="false"/>
          <w:sz w:val="20"/>
        </w:rPr>
        <w:t>The outcome following legal assertions of invalidity and/or unenforceability is unpredictable, and prior art could render our patents or any current or future licensors’ patents invalid. There is no assurance that all potentially relevant prior art relating to our patents and patents applications or the patents and patent applications of any current or future licensors has been found. There is also no assurance that there is not prior art of which we are aware, but which we do not believe affects the validity or enforceability of a claim in our patents and patent applications or the patents and patent applications of any current or future licensors, which may, nonetheless, ultimately be found to affect the validity or enforceability of a claim. Additionally, a finding that issued claims lack sufficient written description or are not enabled could render our patent or any current or future licensors’ patent invalid.</w:t>
      </w:r>
    </w:p>
    <w:p>
      <w:pPr>
        <w:pStyle w:val="TextBody"/>
        <w:spacing w:lineRule="auto" w:line="273" w:before="280" w:after="0"/>
        <w:jc w:val="both"/>
        <w:rPr>
          <w:rFonts w:ascii="Arial" w:hAnsi="Arial"/>
          <w:b w:val="false"/>
          <w:sz w:val="20"/>
        </w:rPr>
      </w:pPr>
      <w:r>
        <w:rPr>
          <w:rFonts w:ascii="Arial" w:hAnsi="Arial"/>
          <w:b w:val="false"/>
          <w:sz w:val="20"/>
        </w:rPr>
        <w:t>If a defendant were to prevail on a legal assertion of invalidity and/or unenforceability, we may lose at least part, and perhaps all, of the patent protection on such product candidate. In addition, if the breadth or strength of protection provided by our patents and patent applications or the patents and patent applications of any current or future licensors is threatened, it could dissuade companies from collaborating with us to license, develop or commercialize current or future product candidates. Such a loss of patent protection would have a material adverse impact on our business.</w:t>
      </w:r>
    </w:p>
    <w:p>
      <w:pPr>
        <w:pStyle w:val="TextBody"/>
        <w:spacing w:lineRule="auto" w:line="273" w:before="280" w:after="0"/>
        <w:jc w:val="both"/>
        <w:rPr>
          <w:rFonts w:ascii="Arial" w:hAnsi="Arial"/>
          <w:b w:val="false"/>
          <w:sz w:val="20"/>
        </w:rPr>
      </w:pPr>
      <w:r>
        <w:rPr>
          <w:rFonts w:ascii="Arial" w:hAnsi="Arial"/>
          <w:b w:val="false"/>
          <w:sz w:val="20"/>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pStyle w:val="TextBody"/>
        <w:spacing w:lineRule="auto" w:line="273" w:before="280" w:after="0"/>
        <w:jc w:val="both"/>
        <w:rPr>
          <w:rFonts w:ascii="Arial" w:hAnsi="Arial"/>
          <w:b w:val="false"/>
          <w:sz w:val="20"/>
        </w:rPr>
      </w:pPr>
      <w:r>
        <w:rPr>
          <w:rFonts w:ascii="Arial" w:hAnsi="Arial"/>
          <w:b w:val="false"/>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spacing w:lineRule="auto" w:line="273" w:before="280" w:after="0"/>
        <w:jc w:val="both"/>
        <w:rPr>
          <w:rFonts w:ascii="Arial" w:hAnsi="Arial"/>
          <w:b w:val="false"/>
          <w:sz w:val="20"/>
        </w:rPr>
      </w:pPr>
      <w:r>
        <w:rPr>
          <w:rFonts w:ascii="Arial" w:hAnsi="Arial"/>
          <w:b w:val="false"/>
          <w:sz w:val="20"/>
        </w:rPr>
        <w:t>In addition, the issuance of a patent does not give us the right to practice the patented invention. Third parties may have blocking patents that could prevent us from marketing our own patented product and practicing our own patented technology.</w:t>
      </w:r>
    </w:p>
    <w:p>
      <w:pPr>
        <w:pStyle w:val="TextBody"/>
        <w:spacing w:lineRule="auto" w:line="273" w:before="240" w:after="0"/>
        <w:jc w:val="center"/>
        <w:rPr>
          <w:rFonts w:ascii="Arial" w:hAnsi="Arial"/>
          <w:b w:val="false"/>
          <w:sz w:val="20"/>
        </w:rPr>
      </w:pPr>
      <w:r>
        <w:rPr>
          <w:rFonts w:ascii="Arial" w:hAnsi="Arial"/>
          <w:b w:val="false"/>
          <w:sz w:val="20"/>
        </w:rPr>
        <w:t>74</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Arial" w:hAnsi="Arial"/>
          <w:b/>
          <w:i/>
          <w:sz w:val="20"/>
        </w:rPr>
      </w:pPr>
      <w:r>
        <w:rPr>
          <w:rFonts w:ascii="Arial" w:hAnsi="Arial"/>
          <w:b/>
          <w:i/>
          <w:sz w:val="20"/>
        </w:rPr>
        <w:t>Intellectual property litigation or legal proceedings may lead to unfavorable publicity that harms our reputation and causes the market price of our common shares to decline.</w:t>
      </w:r>
    </w:p>
    <w:p>
      <w:pPr>
        <w:pStyle w:val="TextBody"/>
        <w:spacing w:lineRule="auto" w:line="273" w:before="280" w:after="0"/>
        <w:jc w:val="both"/>
        <w:rPr>
          <w:rFonts w:ascii="Arial" w:hAnsi="Arial"/>
          <w:b w:val="false"/>
          <w:sz w:val="20"/>
        </w:rPr>
      </w:pPr>
      <w:r>
        <w:rPr>
          <w:rFonts w:ascii="Arial" w:hAnsi="Arial"/>
          <w:b w:val="false"/>
          <w:sz w:val="20"/>
        </w:rPr>
        <w:t>During the course of any intellectual property litigation or legal proceeding, there could be public announcements of the initiation of the litigation or legal proceeding as well as results of hearings, rulings on motions, and other interim proceedings. If securities analysts or investors regard these announcements as negative, the perceived value of our existing product candidates,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pStyle w:val="TextBody"/>
        <w:spacing w:lineRule="auto" w:line="264" w:before="280" w:after="0"/>
        <w:jc w:val="both"/>
        <w:rPr>
          <w:rFonts w:ascii="Times New Roman" w:hAnsi="Times New Roman"/>
          <w:sz w:val="20"/>
        </w:rPr>
      </w:pPr>
      <w:r>
        <w:rPr>
          <w:rFonts w:ascii="Arial" w:hAnsi="Arial"/>
          <w:b/>
          <w:i/>
          <w:sz w:val="20"/>
        </w:rPr>
        <w:t>Derivation proceedings may be necessary to determine priority of inventions, and an unfavorable outcome may require us to cease using the related technology or to attempt to license rights from the prevailing party.</w:t>
      </w:r>
      <w:r>
        <w:rPr>
          <w:rFonts w:ascii="Times New Roman" w:hAnsi="Times New Roman"/>
          <w:sz w:val="20"/>
        </w:rPr>
        <w:t xml:space="preserve"> </w:t>
      </w:r>
    </w:p>
    <w:p>
      <w:pPr>
        <w:pStyle w:val="TextBody"/>
        <w:spacing w:lineRule="auto" w:line="264" w:before="280" w:after="0"/>
        <w:jc w:val="both"/>
        <w:rPr>
          <w:rFonts w:ascii="Arial" w:hAnsi="Arial"/>
          <w:b w:val="false"/>
          <w:sz w:val="20"/>
        </w:rPr>
      </w:pPr>
      <w:r>
        <w:rPr>
          <w:rFonts w:ascii="Arial" w:hAnsi="Arial"/>
          <w:b w:val="false"/>
          <w:sz w:val="20"/>
        </w:rPr>
        <w:t>Derivation proceedings provoked by third parties or brought by us or declared by the USPTO may be necessary to determine the priority of inventions with respect to our patents or patent applications or those of any current or future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pStyle w:val="TextBody"/>
        <w:spacing w:lineRule="auto" w:line="264" w:before="280" w:after="0"/>
        <w:jc w:val="both"/>
        <w:rPr>
          <w:rFonts w:ascii="Times New Roman" w:hAnsi="Times New Roman"/>
          <w:sz w:val="20"/>
        </w:rPr>
      </w:pPr>
      <w:r>
        <w:rPr>
          <w:rFonts w:ascii="Arial" w:hAnsi="Arial"/>
          <w:b/>
          <w:i/>
          <w:sz w:val="20"/>
        </w:rPr>
        <w:t>Patent reform legislation could increase the uncertainties and costs surrounding the prosecution of our patent applications or those of any current or future licensors and the enforcement or defense of our issued patents or those of any current or future licensors.</w:t>
      </w:r>
      <w:r>
        <w:rPr>
          <w:rFonts w:ascii="Times New Roman" w:hAnsi="Times New Roman"/>
          <w:sz w:val="20"/>
        </w:rPr>
        <w:t xml:space="preserve"> </w:t>
      </w:r>
    </w:p>
    <w:p>
      <w:pPr>
        <w:pStyle w:val="TextBody"/>
        <w:spacing w:lineRule="auto" w:line="264" w:before="280" w:after="0"/>
        <w:jc w:val="both"/>
        <w:rPr>
          <w:rFonts w:ascii="Arial" w:hAnsi="Arial"/>
          <w:b w:val="false"/>
          <w:sz w:val="20"/>
        </w:rPr>
      </w:pPr>
      <w:r>
        <w:rPr>
          <w:rFonts w:ascii="Arial" w:hAnsi="Arial"/>
          <w:b w:val="false"/>
          <w:sz w:val="20"/>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any current or future licensors are the first to either (1) file any patent application related to our product candidates or (2) invent any of the inventions claimed in the patents or patent applications.</w:t>
      </w:r>
    </w:p>
    <w:p>
      <w:pPr>
        <w:pStyle w:val="TextBody"/>
        <w:spacing w:lineRule="auto" w:line="264" w:before="280" w:after="0"/>
        <w:jc w:val="both"/>
        <w:rPr>
          <w:rFonts w:ascii="Arial" w:hAnsi="Arial"/>
          <w:b w:val="false"/>
          <w:sz w:val="20"/>
        </w:rPr>
      </w:pPr>
      <w:r>
        <w:rPr>
          <w:rFonts w:ascii="Arial" w:hAnsi="Arial"/>
          <w:b w:val="false"/>
          <w:sz w:val="20"/>
        </w:rPr>
        <w:t>The Leahy-Smith Act also includes a number of significant changes that affect the way patent applications are prosecuted and also may affect patent litigation. These include allowing third-party submission of printed publications to the USPTO during patent prosecution and additional procedures to attack the validity or enforceability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pStyle w:val="TextBody"/>
        <w:spacing w:lineRule="auto" w:line="264" w:before="280" w:after="0"/>
        <w:jc w:val="both"/>
        <w:rPr>
          <w:rFonts w:ascii="Arial" w:hAnsi="Arial"/>
          <w:b w:val="false"/>
          <w:sz w:val="20"/>
        </w:rPr>
      </w:pPr>
      <w:r>
        <w:rPr>
          <w:rFonts w:ascii="Arial" w:hAnsi="Arial"/>
          <w:b w:val="false"/>
          <w:sz w:val="20"/>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any current or future licensors and the enforcement or defense of our issued patents or those of any current or future licensors, all of which could have a material adverse effect on our business, financial condition, results of operations and prospects.</w:t>
      </w:r>
    </w:p>
    <w:p>
      <w:pPr>
        <w:pStyle w:val="TextBody"/>
        <w:spacing w:lineRule="auto" w:line="273" w:before="240" w:after="0"/>
        <w:jc w:val="center"/>
        <w:rPr>
          <w:rFonts w:ascii="Arial" w:hAnsi="Arial"/>
          <w:b w:val="false"/>
          <w:sz w:val="20"/>
        </w:rPr>
      </w:pPr>
      <w:r>
        <w:rPr>
          <w:rFonts w:ascii="Arial" w:hAnsi="Arial"/>
          <w:b w:val="false"/>
          <w:sz w:val="20"/>
        </w:rPr>
        <w:t>75</w:t>
      </w:r>
    </w:p>
    <w:p>
      <w:pPr>
        <w:pStyle w:val="HorizontalLine"/>
        <w:rPr/>
      </w:pPr>
      <w:r>
        <w:rPr/>
      </w:r>
    </w:p>
    <w:p>
      <w:pPr>
        <w:pStyle w:val="TextBody"/>
        <w:spacing w:lineRule="auto" w:line="273" w:before="0" w:after="0"/>
        <w:jc w:val="left"/>
        <w:rPr/>
      </w:pPr>
      <w:r>
        <w:rPr/>
        <w:t> </w:t>
      </w:r>
    </w:p>
    <w:p>
      <w:pPr>
        <w:pStyle w:val="TextBody"/>
        <w:spacing w:lineRule="auto" w:line="264" w:before="280" w:after="0"/>
        <w:jc w:val="both"/>
        <w:rPr>
          <w:rFonts w:ascii="Times New Roman" w:hAnsi="Times New Roman"/>
          <w:sz w:val="20"/>
        </w:rPr>
      </w:pPr>
      <w:r>
        <w:rPr>
          <w:rFonts w:ascii="Arial" w:hAnsi="Arial"/>
          <w:b/>
          <w:i/>
          <w:sz w:val="20"/>
        </w:rPr>
        <w:t>Changes in U.S. patent law, or laws in other countries, could diminish the value of patents in general, thereby impairing our ability to protect our product candidates.</w:t>
      </w:r>
      <w:r>
        <w:rPr>
          <w:rFonts w:ascii="Times New Roman" w:hAnsi="Times New Roman"/>
          <w:sz w:val="20"/>
        </w:rPr>
        <w:t xml:space="preserve"> </w:t>
      </w:r>
    </w:p>
    <w:p>
      <w:pPr>
        <w:pStyle w:val="TextBody"/>
        <w:spacing w:lineRule="auto" w:line="264" w:before="280" w:after="0"/>
        <w:jc w:val="both"/>
        <w:rPr>
          <w:rFonts w:ascii="Arial" w:hAnsi="Arial"/>
          <w:b w:val="false"/>
          <w:sz w:val="20"/>
        </w:rPr>
      </w:pPr>
      <w:r>
        <w:rPr>
          <w:rFonts w:ascii="Arial" w:hAnsi="Arial"/>
          <w:b w:val="false"/>
          <w:sz w:val="20"/>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pStyle w:val="TextBody"/>
        <w:spacing w:lineRule="auto" w:line="273" w:before="280" w:after="0"/>
        <w:jc w:val="both"/>
        <w:rPr>
          <w:rFonts w:ascii="Arial" w:hAnsi="Arial"/>
          <w:b w:val="false"/>
          <w:sz w:val="20"/>
        </w:rPr>
      </w:pPr>
      <w:r>
        <w:rPr>
          <w:rFonts w:ascii="Arial" w:hAnsi="Arial"/>
          <w:b w:val="false"/>
          <w:sz w:val="20"/>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As an example, no earlier that October 1, 2022, European patent applications will soon have the option, upon grant of a patent, of becoming a Unitary Patent, which will be subject to the jurisdiction of the Unitary Patent Court (“UPC”). The option of a Unitary Patent will be a significant change in European patent practice. As the UPC is a new court system, there is no precedent for the court, increasing the uncertainty of any litigation in the UPC.</w:t>
      </w:r>
    </w:p>
    <w:p>
      <w:pPr>
        <w:pStyle w:val="TextBody"/>
        <w:spacing w:lineRule="auto" w:line="273" w:before="280" w:after="0"/>
        <w:jc w:val="both"/>
        <w:rPr>
          <w:rFonts w:ascii="Times New Roman" w:hAnsi="Times New Roman"/>
          <w:sz w:val="20"/>
        </w:rPr>
      </w:pPr>
      <w:r>
        <w:rPr>
          <w:rFonts w:ascii="Arial" w:hAnsi="Arial"/>
          <w:b/>
          <w:i/>
          <w:sz w:val="20"/>
        </w:rPr>
        <w:t>We may be subject to claims challenging the inventorship or ownership of our patents and other intellectual property.</w:t>
      </w:r>
      <w:r>
        <w:rPr>
          <w:rFonts w:ascii="Times New Roman" w:hAnsi="Times New Roman"/>
          <w:sz w:val="20"/>
        </w:rPr>
        <w:t xml:space="preserve"> </w:t>
      </w:r>
    </w:p>
    <w:p>
      <w:pPr>
        <w:pStyle w:val="TextBody"/>
        <w:spacing w:lineRule="auto" w:line="273" w:before="280" w:after="0"/>
        <w:jc w:val="both"/>
        <w:rPr>
          <w:rFonts w:ascii="Arial" w:hAnsi="Arial"/>
          <w:b w:val="false"/>
          <w:sz w:val="20"/>
        </w:rPr>
      </w:pPr>
      <w:r>
        <w:rPr>
          <w:rFonts w:ascii="Arial" w:hAnsi="Arial"/>
          <w:b w:val="false"/>
          <w:sz w:val="20"/>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pStyle w:val="TextBody"/>
        <w:spacing w:lineRule="auto" w:line="273" w:before="280" w:after="0"/>
        <w:jc w:val="both"/>
        <w:rPr>
          <w:rFonts w:ascii="Times New Roman" w:hAnsi="Times New Roman"/>
          <w:sz w:val="20"/>
        </w:rPr>
      </w:pPr>
      <w:r>
        <w:rPr>
          <w:rFonts w:ascii="Arial" w:hAnsi="Arial"/>
          <w:b/>
          <w:i/>
          <w:sz w:val="20"/>
        </w:rPr>
        <w:t>Patent terms may be inadequate to protect our competitive position on our product candidates for an adequate amount of time.</w:t>
      </w:r>
      <w:r>
        <w:rPr>
          <w:rFonts w:ascii="Times New Roman" w:hAnsi="Times New Roman"/>
          <w:sz w:val="20"/>
        </w:rPr>
        <w:t xml:space="preserve"> </w:t>
      </w:r>
    </w:p>
    <w:p>
      <w:pPr>
        <w:pStyle w:val="TextBody"/>
        <w:spacing w:lineRule="auto" w:line="273" w:before="280" w:after="0"/>
        <w:jc w:val="both"/>
        <w:rPr>
          <w:rFonts w:ascii="Arial" w:hAnsi="Arial"/>
          <w:b w:val="false"/>
          <w:sz w:val="20"/>
        </w:rPr>
      </w:pPr>
      <w:r>
        <w:rPr>
          <w:rFonts w:ascii="Arial" w:hAnsi="Arial"/>
          <w:b w:val="false"/>
          <w:sz w:val="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pStyle w:val="TextBody"/>
        <w:spacing w:lineRule="auto" w:line="273" w:before="280" w:after="0"/>
        <w:jc w:val="both"/>
        <w:rPr>
          <w:rFonts w:ascii="Times New Roman" w:hAnsi="Times New Roman"/>
          <w:sz w:val="20"/>
        </w:rPr>
      </w:pPr>
      <w:r>
        <w:rPr>
          <w:rFonts w:ascii="Arial" w:hAnsi="Arial"/>
          <w:b/>
          <w:i/>
          <w:sz w:val="20"/>
        </w:rPr>
        <w:t>If we do not obtain patent term extension for our product candidates, our business may be materially harmed.</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val="false"/>
          <w:sz w:val="20"/>
        </w:rPr>
        <w:t>Depending upon the timing, duration and specifics of FDA marketing approval of our product candidates, one or more of our U.S. patents or those of any current or future licensors may be eligible for limited patent term restoration under the Drug Price Competition and Patent Term Restoration Act of 1984, or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76</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Arial" w:hAnsi="Arial"/>
          <w:b w:val="false"/>
          <w:sz w:val="20"/>
        </w:rPr>
      </w:pPr>
      <w:r>
        <w:rPr>
          <w:rFonts w:ascii="Arial" w:hAnsi="Arial"/>
          <w:b w:val="false"/>
          <w:sz w:val="20"/>
        </w:rPr>
        <w:t>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clinical trials by referencing our clinical and nonclinical data and launch their product earlier than might otherwise be the case.</w:t>
      </w:r>
    </w:p>
    <w:p>
      <w:pPr>
        <w:pStyle w:val="TextBody"/>
        <w:spacing w:lineRule="auto" w:line="273" w:before="280" w:after="0"/>
        <w:jc w:val="both"/>
        <w:rPr>
          <w:rFonts w:ascii="Times New Roman" w:hAnsi="Times New Roman"/>
          <w:sz w:val="20"/>
        </w:rPr>
      </w:pPr>
      <w:r>
        <w:rPr>
          <w:rFonts w:ascii="Arial" w:hAnsi="Arial"/>
          <w:b/>
          <w:i/>
          <w:sz w:val="20"/>
        </w:rPr>
        <w:t>We will not be able to protect our intellectual property rights throughout the world.</w:t>
      </w:r>
      <w:r>
        <w:rPr>
          <w:rFonts w:ascii="Times New Roman" w:hAnsi="Times New Roman"/>
          <w:sz w:val="20"/>
        </w:rPr>
        <w:t xml:space="preserve"> </w:t>
      </w:r>
    </w:p>
    <w:p>
      <w:pPr>
        <w:pStyle w:val="TextBody"/>
        <w:spacing w:lineRule="auto" w:line="273" w:before="280" w:after="0"/>
        <w:jc w:val="both"/>
        <w:rPr>
          <w:rFonts w:ascii="Arial" w:hAnsi="Arial"/>
          <w:b w:val="false"/>
          <w:sz w:val="20"/>
        </w:rPr>
      </w:pPr>
      <w:r>
        <w:rPr>
          <w:rFonts w:ascii="Arial" w:hAnsi="Arial"/>
          <w:b w:val="false"/>
          <w:sz w:val="20"/>
        </w:rPr>
        <w:t>We own and in-license patents issued and patent applications pending in the United States and in jurisdictions outside of the United States. However, 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inventions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any current or future licensors, or other intellectual property rights may not be effective or sufficient to prevent them from competing.</w:t>
      </w:r>
    </w:p>
    <w:p>
      <w:pPr>
        <w:pStyle w:val="TextBody"/>
        <w:spacing w:lineRule="auto" w:line="273" w:before="280" w:after="0"/>
        <w:jc w:val="both"/>
        <w:rPr>
          <w:rFonts w:ascii="Arial" w:hAnsi="Arial"/>
          <w:b w:val="false"/>
          <w:sz w:val="20"/>
        </w:rPr>
      </w:pPr>
      <w:r>
        <w:rPr>
          <w:rFonts w:ascii="Arial" w:hAnsi="Arial"/>
          <w:b w:val="false"/>
          <w:sz w:val="20"/>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any current or future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any current or future licensors at risk of being invalidated or interpreted narrowly and our patent applications or the patent applications of any current or future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spacing w:lineRule="auto" w:line="273" w:before="280" w:after="0"/>
        <w:jc w:val="both"/>
        <w:rPr>
          <w:rFonts w:ascii="Arial" w:hAnsi="Arial"/>
          <w:b w:val="false"/>
          <w:sz w:val="20"/>
        </w:rPr>
      </w:pPr>
      <w:r>
        <w:rPr>
          <w:rFonts w:ascii="Arial" w:hAnsi="Arial"/>
          <w:b w:val="false"/>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spacing w:lineRule="auto" w:line="273" w:before="280" w:after="0"/>
        <w:jc w:val="both"/>
        <w:rPr>
          <w:rFonts w:ascii="Arial" w:hAnsi="Arial"/>
          <w:b w:val="false"/>
          <w:sz w:val="20"/>
        </w:rPr>
      </w:pPr>
      <w:r>
        <w:rPr>
          <w:rFonts w:ascii="Arial" w:hAnsi="Arial"/>
          <w:b w:val="false"/>
          <w:sz w:val="20"/>
        </w:rPr>
        <w:t>Geopolitical actions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spacing w:lineRule="auto" w:line="273" w:before="240" w:after="0"/>
        <w:jc w:val="center"/>
        <w:rPr>
          <w:rFonts w:ascii="Arial" w:hAnsi="Arial"/>
          <w:b w:val="false"/>
          <w:sz w:val="20"/>
        </w:rPr>
      </w:pPr>
      <w:r>
        <w:rPr>
          <w:rFonts w:ascii="Arial" w:hAnsi="Arial"/>
          <w:b w:val="false"/>
          <w:sz w:val="20"/>
        </w:rPr>
        <w:t>77</w:t>
      </w:r>
    </w:p>
    <w:p>
      <w:pPr>
        <w:pStyle w:val="HorizontalLine"/>
        <w:rPr/>
      </w:pPr>
      <w:r>
        <w:rPr/>
      </w:r>
    </w:p>
    <w:p>
      <w:pPr>
        <w:pStyle w:val="TextBody"/>
        <w:spacing w:lineRule="auto" w:line="273" w:before="0" w:after="0"/>
        <w:jc w:val="left"/>
        <w:rPr/>
      </w:pPr>
      <w:r>
        <w:rPr/>
        <w:t> </w:t>
      </w:r>
    </w:p>
    <w:p>
      <w:pPr>
        <w:pStyle w:val="TextBody"/>
        <w:spacing w:lineRule="auto" w:line="247" w:before="285" w:after="0"/>
        <w:jc w:val="both"/>
        <w:rPr>
          <w:rFonts w:ascii="Arial" w:hAnsi="Arial"/>
          <w:b/>
          <w:i/>
          <w:sz w:val="20"/>
        </w:rPr>
      </w:pPr>
      <w:r>
        <w:rPr>
          <w:rFonts w:ascii="Arial" w:hAnsi="Arial"/>
          <w:b/>
          <w:i/>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pStyle w:val="TextBody"/>
        <w:spacing w:lineRule="auto" w:line="247" w:before="285" w:after="0"/>
        <w:jc w:val="both"/>
        <w:rPr>
          <w:rFonts w:ascii="Arial" w:hAnsi="Arial"/>
          <w:b w:val="false"/>
          <w:sz w:val="20"/>
        </w:rPr>
      </w:pPr>
      <w:r>
        <w:rPr>
          <w:rFonts w:ascii="Arial" w:hAnsi="Arial"/>
          <w:b w:val="false"/>
          <w:sz w:val="20"/>
        </w:rPr>
        <w:t>Periodic maintenance fees, renewal fees, annuity fees and various other governmental fees on patents and/or applications will be due to the USPTO and various foreign patent offices at various points over the lifetime of our patents and/or applications and those of any current or future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pStyle w:val="TextBody"/>
        <w:spacing w:lineRule="auto" w:line="247" w:before="285" w:after="0"/>
        <w:jc w:val="both"/>
        <w:rPr>
          <w:rFonts w:ascii="Times New Roman" w:hAnsi="Times New Roman"/>
          <w:sz w:val="20"/>
        </w:rPr>
      </w:pPr>
      <w:r>
        <w:rPr>
          <w:rFonts w:ascii="Arial" w:hAnsi="Arial"/>
          <w:b/>
          <w:i/>
          <w:sz w:val="20"/>
        </w:rPr>
        <w:t>If our trademarks and trade names are not adequately protected, then we may not be able to build name recognition in our markets of interest and our business may be adversely affected.</w:t>
      </w:r>
      <w:r>
        <w:rPr>
          <w:rFonts w:ascii="Times New Roman" w:hAnsi="Times New Roman"/>
          <w:sz w:val="20"/>
        </w:rPr>
        <w:t xml:space="preserve"> </w:t>
      </w:r>
    </w:p>
    <w:p>
      <w:pPr>
        <w:pStyle w:val="TextBody"/>
        <w:spacing w:lineRule="auto" w:line="273" w:before="280" w:after="0"/>
        <w:jc w:val="both"/>
        <w:rPr>
          <w:rFonts w:ascii="Arial" w:hAnsi="Arial"/>
          <w:b w:val="false"/>
          <w:sz w:val="20"/>
        </w:rPr>
      </w:pPr>
      <w:r>
        <w:rPr>
          <w:rFonts w:ascii="Arial" w:hAnsi="Arial"/>
          <w:b w:val="false"/>
          <w:sz w:val="20"/>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and it may be difficult and costly to register, maintain and/or protect our rights to these trademarks and trade names in jurisdictions in and outside of the United States.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pStyle w:val="TextBody"/>
        <w:spacing w:lineRule="auto" w:line="273" w:before="280" w:after="0"/>
        <w:jc w:val="both"/>
        <w:rPr>
          <w:rFonts w:ascii="Times New Roman" w:hAnsi="Times New Roman"/>
          <w:sz w:val="20"/>
        </w:rPr>
      </w:pPr>
      <w:r>
        <w:rPr>
          <w:rFonts w:ascii="Arial" w:hAnsi="Arial"/>
          <w:b/>
          <w:i/>
          <w:sz w:val="20"/>
        </w:rPr>
        <w:t>If we are unable to protect the confidentiality of our trade secrets, our business and competitive position would be harmed.</w:t>
      </w:r>
      <w:r>
        <w:rPr>
          <w:rFonts w:ascii="Times New Roman" w:hAnsi="Times New Roman"/>
          <w:sz w:val="20"/>
        </w:rPr>
        <w:t xml:space="preserve"> </w:t>
      </w:r>
    </w:p>
    <w:p>
      <w:pPr>
        <w:pStyle w:val="TextBody"/>
        <w:spacing w:lineRule="auto" w:line="273" w:before="280" w:after="0"/>
        <w:jc w:val="both"/>
        <w:rPr>
          <w:rFonts w:ascii="Arial" w:hAnsi="Arial"/>
          <w:b w:val="false"/>
          <w:sz w:val="20"/>
        </w:rPr>
      </w:pPr>
      <w:r>
        <w:rPr>
          <w:rFonts w:ascii="Arial" w:hAnsi="Arial"/>
          <w:b w:val="false"/>
          <w:sz w:val="20"/>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pStyle w:val="TextBody"/>
        <w:spacing w:lineRule="auto" w:line="273" w:before="280" w:after="0"/>
        <w:jc w:val="both"/>
        <w:rPr>
          <w:rFonts w:ascii="Arial" w:hAnsi="Arial"/>
          <w:b w:val="false"/>
          <w:sz w:val="20"/>
        </w:rPr>
      </w:pPr>
      <w:r>
        <w:rPr>
          <w:rFonts w:ascii="Arial" w:hAnsi="Arial"/>
          <w:b w:val="false"/>
          <w:sz w:val="20"/>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pStyle w:val="TextBody"/>
        <w:spacing w:lineRule="auto" w:line="273" w:before="280" w:after="0"/>
        <w:jc w:val="both"/>
        <w:rPr>
          <w:rFonts w:ascii="Times New Roman" w:hAnsi="Times New Roman"/>
          <w:sz w:val="20"/>
        </w:rPr>
      </w:pPr>
      <w:r>
        <w:rPr>
          <w:rFonts w:ascii="Arial" w:hAnsi="Arial"/>
          <w:b/>
          <w:i/>
          <w:sz w:val="20"/>
        </w:rPr>
        <w:t>We may be subject to claims that we or our employees have wrongfully used or disclosed alleged confidential information or trade secrets.</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val="false"/>
          <w:sz w:val="20"/>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78</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Arial" w:hAnsi="Arial"/>
          <w:b w:val="false"/>
          <w:sz w:val="20"/>
        </w:rPr>
      </w:pPr>
      <w:r>
        <w:rPr>
          <w:rFonts w:ascii="Arial" w:hAnsi="Arial"/>
          <w:b w:val="false"/>
          <w:sz w:val="20"/>
        </w:rPr>
        <w:t>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pStyle w:val="TextBody"/>
        <w:spacing w:lineRule="auto" w:line="273" w:before="280" w:after="0"/>
        <w:jc w:val="both"/>
        <w:rPr>
          <w:rFonts w:ascii="Arial" w:hAnsi="Arial"/>
          <w:b w:val="false"/>
          <w:sz w:val="20"/>
        </w:rPr>
      </w:pPr>
      <w:r>
        <w:rPr>
          <w:rFonts w:ascii="Arial" w:hAnsi="Arial"/>
          <w:b w:val="false"/>
          <w:sz w:val="20"/>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operating results, financial condition and prospects.</w:t>
      </w:r>
    </w:p>
    <w:p>
      <w:pPr>
        <w:pStyle w:val="TextBody"/>
        <w:spacing w:lineRule="auto" w:line="273" w:before="280" w:after="0"/>
        <w:jc w:val="both"/>
        <w:rPr>
          <w:rFonts w:ascii="Times New Roman" w:hAnsi="Times New Roman"/>
          <w:sz w:val="20"/>
        </w:rPr>
      </w:pPr>
      <w:r>
        <w:rPr>
          <w:rFonts w:ascii="Arial" w:hAnsi="Arial"/>
          <w:b/>
          <w:i/>
          <w:sz w:val="20"/>
        </w:rPr>
        <w:t>We may be subject to claims that we have wrongfully hired an employee from a competitor or that we or our employees have wrongfully used or disclosed alleged confidential information or trade secrets of their former employers.</w:t>
      </w:r>
      <w:r>
        <w:rPr>
          <w:rFonts w:ascii="Times New Roman" w:hAnsi="Times New Roman"/>
          <w:sz w:val="20"/>
        </w:rPr>
        <w:t xml:space="preserve"> </w:t>
      </w:r>
    </w:p>
    <w:p>
      <w:pPr>
        <w:pStyle w:val="TextBody"/>
        <w:spacing w:lineRule="auto" w:line="273" w:before="280" w:after="0"/>
        <w:jc w:val="both"/>
        <w:rPr>
          <w:rFonts w:ascii="Arial" w:hAnsi="Arial"/>
          <w:b w:val="false"/>
          <w:sz w:val="20"/>
        </w:rPr>
      </w:pPr>
      <w:r>
        <w:rPr>
          <w:rFonts w:ascii="Arial" w:hAnsi="Arial"/>
          <w:b w:val="false"/>
          <w:sz w:val="20"/>
        </w:rPr>
        <w:t>As is common in the biopharmaceutical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pStyle w:val="TextBody"/>
        <w:spacing w:lineRule="auto" w:line="273" w:before="280" w:after="0"/>
        <w:jc w:val="both"/>
        <w:rPr>
          <w:rFonts w:ascii="Times New Roman" w:hAnsi="Times New Roman"/>
          <w:sz w:val="20"/>
        </w:rPr>
      </w:pPr>
      <w:r>
        <w:rPr>
          <w:rFonts w:ascii="Arial" w:hAnsi="Arial"/>
          <w:b/>
          <w:i/>
          <w:sz w:val="20"/>
        </w:rPr>
        <w:t>Our rights to develop and commercialize our product candidates may be subject, in part, to the terms and conditions of licenses granted to us by others.</w:t>
      </w:r>
      <w:r>
        <w:rPr>
          <w:rFonts w:ascii="Times New Roman" w:hAnsi="Times New Roman"/>
          <w:sz w:val="20"/>
        </w:rPr>
        <w:t xml:space="preserve"> </w:t>
      </w:r>
    </w:p>
    <w:p>
      <w:pPr>
        <w:pStyle w:val="TextBody"/>
        <w:spacing w:lineRule="auto" w:line="273" w:before="280" w:after="0"/>
        <w:jc w:val="both"/>
        <w:rPr>
          <w:rFonts w:ascii="Arial" w:hAnsi="Arial"/>
          <w:b w:val="false"/>
          <w:sz w:val="20"/>
        </w:rPr>
      </w:pPr>
      <w:r>
        <w:rPr>
          <w:rFonts w:ascii="Arial" w:hAnsi="Arial"/>
          <w:b w:val="false"/>
          <w:sz w:val="20"/>
        </w:rPr>
        <w:t>We have entered into license agreements with third parties and we may enter into additional license agreements in the future with others to advance our research and development or allow commercialization of product candidates. These and other licenses may not provide exclusive rights to use such intellectual property and other rights in all relevant fields of use and in all territories in which we may wish to develop or commercialize our product candidates in the future.</w:t>
      </w:r>
    </w:p>
    <w:p>
      <w:pPr>
        <w:pStyle w:val="TextBody"/>
        <w:spacing w:lineRule="auto" w:line="273" w:before="280" w:after="0"/>
        <w:jc w:val="both"/>
        <w:rPr>
          <w:rFonts w:ascii="Arial" w:hAnsi="Arial"/>
          <w:b w:val="false"/>
          <w:sz w:val="20"/>
        </w:rPr>
      </w:pPr>
      <w:r>
        <w:rPr>
          <w:rFonts w:ascii="Arial" w:hAnsi="Arial"/>
          <w:b w:val="false"/>
          <w:sz w:val="20"/>
        </w:rPr>
        <w:t>In addition, subject to the terms of any such license agreements, we may not have the right to control the preparation, filing, prosecution, maintenance, enforcement, and defense of patents and patent applications covering our product candidates that we license from third parties. In such an event, we cannot be certain that these patents and patent applications will be prepared, filed, prosecuted, maintained, enforced, and defended in a manner consistent with the best interests of our business. If any of our current or future licensors fail to prosecute, maintain, enforce, and defend such patents, or lose rights to those patents or patent applications, the rights we have licensed may be reduced or eliminated, and our right to develop and commercialize any of our product candidates that are subject of such licensed rights could be adversely affected.</w:t>
      </w:r>
    </w:p>
    <w:p>
      <w:pPr>
        <w:pStyle w:val="TextBody"/>
        <w:spacing w:lineRule="auto" w:line="273" w:before="280" w:after="0"/>
        <w:jc w:val="both"/>
        <w:rPr>
          <w:rFonts w:ascii="Arial" w:hAnsi="Arial"/>
          <w:b w:val="false"/>
          <w:sz w:val="20"/>
        </w:rPr>
      </w:pPr>
      <w:r>
        <w:rPr>
          <w:rFonts w:ascii="Arial" w:hAnsi="Arial"/>
          <w:b w:val="false"/>
          <w:sz w:val="20"/>
        </w:rPr>
        <w:t>Our licensors and any future licensors may have relied on third party consultants or collaborators or on funds from third parties such that our licensors are not the sole and exclusive owners of the patents we in-license. If other third parties have ownership rights to our in-licensed patents, they may be able to license such patents to our competitors, and our competitors could market products similar or identical to our product candidates. This could have a material adverse effect on our competitive position, business, financial conditions, results of operations, and prospects.</w:t>
      </w:r>
    </w:p>
    <w:p>
      <w:pPr>
        <w:pStyle w:val="TextBody"/>
        <w:spacing w:lineRule="auto" w:line="273" w:before="280" w:after="0"/>
        <w:jc w:val="both"/>
        <w:rPr>
          <w:rFonts w:ascii="Times New Roman" w:hAnsi="Times New Roman"/>
          <w:sz w:val="20"/>
        </w:rPr>
      </w:pPr>
      <w:r>
        <w:rPr>
          <w:rFonts w:ascii="Arial" w:hAnsi="Arial"/>
          <w:b w:val="false"/>
          <w:sz w:val="20"/>
        </w:rPr>
        <w:t>It is possible that we may be unable to obtain additional licenses at a reasonable cost or on reasonable terms, if at all. Even if we are able to obtain a license, it may be non-exclusive, thereby giving our competitors access to the same rights licensed to us. In that event, we may be required to expend significant time and resources to redesign our product candidates, or the methods for manufacturing them or to develop or license replacement technology, all of which may not</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79</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Arial" w:hAnsi="Arial"/>
          <w:b w:val="false"/>
          <w:sz w:val="20"/>
        </w:rPr>
      </w:pPr>
      <w:r>
        <w:rPr>
          <w:rFonts w:ascii="Arial" w:hAnsi="Arial"/>
          <w:b w:val="false"/>
          <w:sz w:val="20"/>
        </w:rPr>
        <w:t>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manufacturing methods, product candidates, or future methods or product candidates resulting in either an injunction prohibiting our manufacture or future sales, or, with respect to our future sales, an obligation on our part to pay royalties and/or other forms of compensation to third parties, which could be significant.</w:t>
      </w:r>
    </w:p>
    <w:p>
      <w:pPr>
        <w:pStyle w:val="TextBody"/>
        <w:spacing w:lineRule="auto" w:line="273" w:before="280" w:after="0"/>
        <w:jc w:val="both"/>
        <w:rPr>
          <w:rFonts w:ascii="Times New Roman" w:hAnsi="Times New Roman"/>
          <w:sz w:val="20"/>
        </w:rPr>
      </w:pPr>
      <w:r>
        <w:rPr>
          <w:rFonts w:ascii="Arial" w:hAnsi="Arial"/>
          <w:b/>
          <w:i/>
          <w:sz w:val="20"/>
        </w:rPr>
        <w:t>If we fail to comply with our obligations in the agreements under which we license intellectual property rights or other rights from third parties or otherwise experience disruptions to our business relationships with our licensors, we could lose license rights that are important to our business.</w:t>
      </w:r>
      <w:r>
        <w:rPr>
          <w:rFonts w:ascii="Times New Roman" w:hAnsi="Times New Roman"/>
          <w:sz w:val="20"/>
        </w:rPr>
        <w:t xml:space="preserve"> </w:t>
      </w:r>
    </w:p>
    <w:p>
      <w:pPr>
        <w:pStyle w:val="TextBody"/>
        <w:spacing w:lineRule="auto" w:line="273" w:before="280" w:after="0"/>
        <w:jc w:val="both"/>
        <w:rPr>
          <w:rFonts w:ascii="Arial" w:hAnsi="Arial"/>
          <w:b w:val="false"/>
          <w:sz w:val="20"/>
        </w:rPr>
      </w:pPr>
      <w:r>
        <w:rPr>
          <w:rFonts w:ascii="Arial" w:hAnsi="Arial"/>
          <w:b w:val="false"/>
          <w:sz w:val="20"/>
        </w:rPr>
        <w:t>Disputes may arise between us and our current or future licensors regarding intellectual property and other rights subject to a license agreement, including:</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scope of rights granted under the license agreement and other interpretation-related issues;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whether and the extent to which our product candidates infringe on intellectual property of the licensor that is not subject to the licensing agreement;</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our right to sublicense to third parties;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our diligence obligations under the license agreement and what activities satisfy those diligence obligations;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our right to transfer or assign the license;</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inventorship and ownership of inventions and know-how resulting from the joint creation or use of intellectual property by our licensors and us and our partners; and</w:t>
      </w:r>
    </w:p>
    <w:p>
      <w:pPr>
        <w:pStyle w:val="TextBody"/>
        <w:spacing w:lineRule="auto" w:line="273" w:before="120" w:after="0"/>
        <w:jc w:val="both"/>
        <w:rPr/>
      </w:pPr>
      <w:r>
        <w:rPr/>
        <w:t>•</w:t>
      </w:r>
    </w:p>
    <w:p>
      <w:pPr>
        <w:pStyle w:val="TextBody"/>
        <w:spacing w:lineRule="auto" w:line="273" w:before="120" w:after="283"/>
        <w:jc w:val="both"/>
        <w:rPr>
          <w:rFonts w:ascii="Arial" w:hAnsi="Arial"/>
          <w:b w:val="false"/>
          <w:sz w:val="20"/>
        </w:rPr>
      </w:pPr>
      <w:r>
        <w:rPr>
          <w:rFonts w:ascii="Arial" w:hAnsi="Arial"/>
          <w:b w:val="false"/>
          <w:sz w:val="20"/>
        </w:rPr>
        <w:t>the priority of invention of patented technology.</w:t>
      </w:r>
    </w:p>
    <w:p>
      <w:pPr>
        <w:pStyle w:val="TextBody"/>
        <w:spacing w:lineRule="auto" w:line="273" w:before="280" w:after="0"/>
        <w:jc w:val="both"/>
        <w:rPr>
          <w:rFonts w:ascii="Arial" w:hAnsi="Arial"/>
          <w:b w:val="false"/>
          <w:sz w:val="20"/>
        </w:rPr>
      </w:pPr>
      <w:r>
        <w:rPr>
          <w:rFonts w:ascii="Arial" w:hAnsi="Arial"/>
          <w:b w:val="false"/>
          <w:sz w:val="20"/>
        </w:rPr>
        <w:t>In addition, the agreements under which we license intellectual property or other rights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other rights, or increase what we believe to be our financial or other obligations under the relevant agreement, either of which could have a material adverse effect on our business, financial condition, results of operations, and prospects. Moreover, if disputes over intellectual property or other rights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pStyle w:val="TextBody"/>
        <w:spacing w:lineRule="auto" w:line="273" w:before="280" w:after="0"/>
        <w:jc w:val="both"/>
        <w:rPr>
          <w:rFonts w:ascii="Arial" w:hAnsi="Arial"/>
          <w:b w:val="false"/>
          <w:sz w:val="20"/>
        </w:rPr>
      </w:pPr>
      <w:r>
        <w:rPr>
          <w:rFonts w:ascii="Arial" w:hAnsi="Arial"/>
          <w:b w:val="false"/>
          <w:sz w:val="20"/>
        </w:rPr>
        <w:t>In spite of our best efforts, our licensors might conclude that we have materially breached our license agreements and might therefore terminate the license agreements, thereby removing our ability to develop and commercialize product candidates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pStyle w:val="TextBody"/>
        <w:spacing w:lineRule="auto" w:line="273" w:before="280" w:after="0"/>
        <w:jc w:val="both"/>
        <w:rPr>
          <w:rFonts w:ascii="Times New Roman" w:hAnsi="Times New Roman"/>
          <w:sz w:val="20"/>
        </w:rPr>
      </w:pPr>
      <w:r>
        <w:rPr>
          <w:rFonts w:ascii="Arial" w:hAnsi="Arial"/>
          <w:b/>
          <w:i/>
          <w:sz w:val="20"/>
        </w:rPr>
        <w:t>The patent protection and patent prosecution for some of our product candidates may be dependent on third parties.</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val="false"/>
          <w:sz w:val="20"/>
        </w:rPr>
        <w:t>While we normally seek to obtain the right to control prosecution, maintenance and enforcement of the patent applications and patents relating to our product candidates, there may be times when the filing and prosecution activities for patent applications and patents relating to our product candidates are controlled by licensors or collaboration partners. If a licensor or collaboration partner fails to prosecute, maintain and enforce such patents and patent applications in a manner consistent with the best interests of our business, including by payment of all applicable fees for patent applications and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products similar or identical to our product candidates. In addition, even where we have the right to control patent prosecution of patents and patent applications we have licensed to and from third parties, we may still be adversely affected or prejudiced by actions or inactions of our</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80</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Arial" w:hAnsi="Arial"/>
          <w:b w:val="false"/>
          <w:sz w:val="20"/>
        </w:rPr>
      </w:pPr>
      <w:r>
        <w:rPr>
          <w:rFonts w:ascii="Arial" w:hAnsi="Arial"/>
          <w:b w:val="false"/>
          <w:sz w:val="20"/>
        </w:rPr>
        <w:t>licensees, our licensors and their counsel that took place prior to the date upon which we assumed control over patent prosecution.</w:t>
      </w:r>
    </w:p>
    <w:p>
      <w:pPr>
        <w:pStyle w:val="TextBody"/>
        <w:spacing w:lineRule="auto" w:line="273" w:before="280" w:after="0"/>
        <w:jc w:val="both"/>
        <w:rPr>
          <w:rFonts w:ascii="Times New Roman" w:hAnsi="Times New Roman"/>
          <w:sz w:val="20"/>
        </w:rPr>
      </w:pPr>
      <w:r>
        <w:rPr>
          <w:rFonts w:ascii="Arial" w:hAnsi="Arial"/>
          <w:b/>
          <w:i/>
          <w:sz w:val="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r>
        <w:rPr>
          <w:rFonts w:ascii="Times New Roman" w:hAnsi="Times New Roman"/>
          <w:sz w:val="20"/>
        </w:rPr>
        <w:t xml:space="preserve"> </w:t>
      </w:r>
    </w:p>
    <w:p>
      <w:pPr>
        <w:pStyle w:val="TextBody"/>
        <w:spacing w:lineRule="auto" w:line="273" w:before="280" w:after="0"/>
        <w:jc w:val="both"/>
        <w:rPr>
          <w:rFonts w:ascii="Arial" w:hAnsi="Arial"/>
          <w:b w:val="false"/>
          <w:sz w:val="20"/>
        </w:rPr>
      </w:pPr>
      <w:r>
        <w:rPr>
          <w:rFonts w:ascii="Arial" w:hAnsi="Arial"/>
          <w:b w:val="false"/>
          <w:sz w:val="20"/>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pStyle w:val="TextBody"/>
        <w:spacing w:lineRule="auto" w:line="273" w:before="280" w:after="0"/>
        <w:jc w:val="both"/>
        <w:rPr>
          <w:rFonts w:ascii="Arial" w:hAnsi="Arial"/>
          <w:b/>
          <w:sz w:val="20"/>
        </w:rPr>
      </w:pPr>
      <w:r>
        <w:rPr>
          <w:rFonts w:ascii="Arial" w:hAnsi="Arial"/>
          <w:b/>
          <w:sz w:val="20"/>
        </w:rPr>
        <w:t>Risks Relating to Cybersecurity</w:t>
      </w:r>
    </w:p>
    <w:p>
      <w:pPr>
        <w:pStyle w:val="TextBody"/>
        <w:spacing w:lineRule="auto" w:line="273" w:before="280" w:after="0"/>
        <w:jc w:val="both"/>
        <w:rPr>
          <w:rFonts w:ascii="Times New Roman" w:hAnsi="Times New Roman"/>
          <w:sz w:val="20"/>
        </w:rPr>
      </w:pPr>
      <w:r>
        <w:rPr>
          <w:rFonts w:ascii="Arial" w:hAnsi="Arial"/>
          <w:b/>
          <w:i/>
          <w:sz w:val="20"/>
        </w:rPr>
        <w:t>We are dependent on networks, infrastructure and data, which exposes us to data security risks, including security failures or breaches of our systems or those used by our CROs or other contractors or consultants. We are dependent upon our own or third-party information technology systems, infrastructure and data, including mobile technologies, to operate our business. The multitude and complexity of our computer systems may fail or suffer security breaches.</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val="false"/>
          <w:sz w:val="20"/>
        </w:rPr>
        <w:t>Despite the implementation of security measures, our internal computer systems and those of our CROs and other contractors and consultants may be vulnerable to damage from computer viruses and unauthorized access. Likewise, data privacy or security incidents or breaches by employees or others may pose a risk that sensitive data, including our intellectual property, trade secrets or personal information of our employees, patients, customers or other business partners may be exposed to unauthorized persons or to the public or may otherwise be misused. Cyberattacks are increasing in their frequency, sophistication and intensity. Cyberattacks could include the deployment of harmful malware, denial-of-service, social engineering and other means to affect service reliability and threaten data confidentiality, integrity and availability. Changes in how our employees work and access our systems during the current COVID-19 pandemic could lead to additional opportunities for bad actors to launch cyberattacks or for employees to cause inadvertent security risks or incidents. Our business partners face similar risks, and any security breach of their systems or that they otherwise suffer could adversely affect our security posture. A security breach or privacy violation that leads to loss of or unauthorized use, disclosure or modification of, or access to personal, sensitive or proprietary information, including personally identifiable information, protected health information, or other patient information, or that prevents access to patient information, as well as the perception that any of the foregoing has occurred, could harm our reputation, compel us to comply with federal and/or state breach notification laws and foreign law equivalents, subject us to mandatory corrective action, cause us to provide other notification or take other steps in response to such breach or violation, require us to verify the correctness of database contents and otherwise subject us to litigation, claims, investigations, penalties or other liability under laws and regulations that protect personal data, any of which could disrupt our business and/or result in increased costs or loss of revenue. The</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81</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Arial" w:hAnsi="Arial"/>
          <w:b w:val="false"/>
          <w:sz w:val="20"/>
        </w:rPr>
      </w:pPr>
      <w:r>
        <w:rPr>
          <w:rFonts w:ascii="Arial" w:hAnsi="Arial"/>
          <w:b w:val="false"/>
          <w:sz w:val="20"/>
        </w:rPr>
        <w:t>effects of a security breach or privacy violation could be further amplified during the current COVID-19 pandemic. Moreover, the prevalent use of mobile devices that access confidential information increases the risk of data security breaches, which could lead to the loss of confidential information, trade secrets or other intellectual property.</w:t>
      </w:r>
    </w:p>
    <w:p>
      <w:pPr>
        <w:pStyle w:val="TextBody"/>
        <w:spacing w:lineRule="auto" w:line="273" w:before="280" w:after="0"/>
        <w:jc w:val="both"/>
        <w:rPr>
          <w:rFonts w:ascii="Arial" w:hAnsi="Arial"/>
          <w:b w:val="false"/>
          <w:sz w:val="20"/>
        </w:rPr>
      </w:pPr>
      <w:r>
        <w:rPr>
          <w:rFonts w:ascii="Arial" w:hAnsi="Arial"/>
          <w:b w:val="false"/>
          <w:sz w:val="20"/>
        </w:rPr>
        <w:t>Despite significant efforts to create security barriers to the above described threats, it is impossible for us to entirely mitigate these risks. We may be unable to anticipate or prevent techniques used to obtain unauthorized access or to compromise our systems because they change frequently and are generally not detected until after an incident has occurred. If a compromise or other security incident were to occur and cause interruptions in our operations, it could result in a material disruption of our development programs and our business operations. For example, the loss of clinical trial data from completed, ongoing or future clinical trials could result in delays in our regulatory approval efforts and significantly increase our costs to recover or reproduce the data. To the extent that any disruption or security breach were to result in a loss of, or damage to, our data or systems, or inappropriate use, disclosure or modification of confidential or proprietary information, we could incur liability and the further development and commercialization of our product candidates could be delayed. While we have invested, and continue to invest, in the protection of our data and information technology infrastructure, there can be no assurance that our efforts will prevent service interruptions, or prevent or identify vulnerabilities or breaches in our systems, that could adversely affect our business and operations and/or result in the loss of critical or sensitive information. Any such interruptions or breaches, or the perception any have occurred, could result in financial, legal, business or reputational harm to us. In addition, our liability insurance may not be sufficient in type or amount to cover us against claims related to security breaches, cyberattacks and other related privacy and security breaches or incidents.</w:t>
      </w:r>
    </w:p>
    <w:p>
      <w:pPr>
        <w:pStyle w:val="TextBody"/>
        <w:spacing w:lineRule="auto" w:line="273" w:before="280" w:after="0"/>
        <w:jc w:val="both"/>
        <w:rPr>
          <w:rFonts w:ascii="Times New Roman" w:hAnsi="Times New Roman"/>
          <w:sz w:val="20"/>
        </w:rPr>
      </w:pPr>
      <w:r>
        <w:rPr>
          <w:rFonts w:ascii="Arial" w:hAnsi="Arial"/>
          <w:b/>
          <w:i/>
          <w:sz w:val="20"/>
        </w:rPr>
        <w:t>Data collection is governed by restrictive regulations governing the use, processing and cross-border transfer of personal information.</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val="false"/>
          <w:sz w:val="20"/>
        </w:rPr>
        <w:t>As we conduct our clinical trials and continue to enroll patients in our current and future clinical trials, we may be subject to additional restrictions relating to privacy, data protection and data security. The collection, use, storage, disclosure, transfer, or other processing of personal data regarding individuals in the European Union, or EU, including personal health data, is subject to the EU General Data Protection Regulation, or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Certain aspects of cross-border data transfers under the GDPR are uncertain as the result of legal proceedings in the EU, including a July 2020 decision by the Court of Justice for the European Union that invalidated the EU-U.S. Privacy Shield. This may increase the complexity of transferring personal data across borders and may require us to review and amend our mechanisms relating to cross-border data transfer.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r>
        <w:rPr>
          <w:rFonts w:ascii="Times New Roman" w:hAnsi="Times New Roman"/>
          <w:sz w:val="20"/>
        </w:rPr>
        <w:t xml:space="preserve"> </w:t>
      </w:r>
    </w:p>
    <w:p>
      <w:pPr>
        <w:pStyle w:val="TextBody"/>
        <w:spacing w:lineRule="auto" w:line="273" w:before="280" w:after="0"/>
        <w:jc w:val="both"/>
        <w:rPr>
          <w:rFonts w:ascii="Arial" w:hAnsi="Arial"/>
          <w:b w:val="false"/>
          <w:sz w:val="20"/>
        </w:rPr>
      </w:pPr>
      <w:r>
        <w:rPr>
          <w:rFonts w:ascii="Arial" w:hAnsi="Arial"/>
          <w:b w:val="false"/>
          <w:sz w:val="20"/>
        </w:rPr>
        <w:t>Further, the exit of the United Kingdom, or UK, from the EU, referred to as Brexit, has created uncertainty with regard to data protection regulation in the UK. The UK has exited the EU and has implemented legislation similar to the GDPR, referred to as the UK GDPR, which provides for fines of up to the greater of up to the greater of £17.5 million or 4% of global turnover. The relationship between the UK and the EU in relation to certain aspects of data protection law remains unclear, however, including with respect to cross-border data transfers and the role of the UK Information Commissioner’s Office with respect to the EU, which exposes us to further compliance risk. We may incur liabilities, expenses, costs, and other operational losses under the UK GDPR, the GDPR and other privacy and data protection laws in the UK and the EU in connection with any measures we take to comply with them.</w:t>
      </w:r>
    </w:p>
    <w:p>
      <w:pPr>
        <w:pStyle w:val="TextBody"/>
        <w:spacing w:lineRule="auto" w:line="264" w:before="280" w:after="0"/>
        <w:jc w:val="both"/>
        <w:rPr>
          <w:rFonts w:ascii="Times New Roman" w:hAnsi="Times New Roman"/>
          <w:sz w:val="20"/>
        </w:rPr>
      </w:pPr>
      <w:r>
        <w:rPr>
          <w:rFonts w:ascii="Arial" w:hAnsi="Arial"/>
          <w:b w:val="false"/>
          <w:sz w:val="20"/>
        </w:rPr>
        <w:t>In addition, California has enacted the California Consumer Privacy Act, or CCPA, which creates new individual privacy rights for California consumers (as defined in the law) and places increased privacy and security obligations on entities</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82</w:t>
      </w:r>
    </w:p>
    <w:p>
      <w:pPr>
        <w:pStyle w:val="HorizontalLine"/>
        <w:rPr/>
      </w:pPr>
      <w:r>
        <w:rPr/>
      </w:r>
    </w:p>
    <w:p>
      <w:pPr>
        <w:pStyle w:val="TextBody"/>
        <w:spacing w:lineRule="auto" w:line="273" w:before="0" w:after="0"/>
        <w:jc w:val="left"/>
        <w:rPr/>
      </w:pPr>
      <w:r>
        <w:rPr/>
        <w:t> </w:t>
      </w:r>
    </w:p>
    <w:p>
      <w:pPr>
        <w:pStyle w:val="TextBody"/>
        <w:spacing w:lineRule="auto" w:line="264" w:before="280" w:after="0"/>
        <w:jc w:val="both"/>
        <w:rPr>
          <w:rFonts w:ascii="Arial" w:hAnsi="Arial"/>
          <w:b w:val="false"/>
          <w:sz w:val="20"/>
        </w:rPr>
      </w:pPr>
      <w:r>
        <w:rPr>
          <w:rFonts w:ascii="Arial" w:hAnsi="Arial"/>
          <w:b w:val="false"/>
          <w:sz w:val="20"/>
        </w:rPr>
        <w:t>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the California Attorney General commenced enforcement actions for violations on July 1, 2020. In November 2020, California passed the California Privacy Rights Act (CPRA), which amends and expands the CCPA. While most of the substantive provisions in CPRA will not take effect until 2023 and although the CCPA includes exemptions for certain clinical trial data, the law may increase our compliance costs and potential liability with respect to other personal information we may collect about California consumers. Additionally, other states have proposed or enacted laws addressing privacy and security that impose obligations similar to those of the CCPA. In March 2021, Virginia enacted the Virginia Consumer Data Protection Act, or CDPA, which becomes effective on January 1, 2023; on June 8, 2021, Colorado enacted the Colorado Privacy Act, or CPA, which takes effect on July 1, 2023; and in March 2022, Utah enacted the Utah Consumer Privacy Act, or UCPA, which takes effect on December 31, 2023. The CDPA, CPA, and UCPA share similarities with the CCPA, the CPRA, and legislation proposed in other states. The CCPA, CPRA, and other evolving state privacy legislation may impact our business activities and exemplifies the vulnerability of our business to the evolving regulatory environment related to personal data and protected health information.</w:t>
      </w:r>
    </w:p>
    <w:p>
      <w:pPr>
        <w:pStyle w:val="TextBody"/>
        <w:spacing w:lineRule="auto" w:line="264" w:before="280" w:after="0"/>
        <w:jc w:val="both"/>
        <w:rPr>
          <w:rFonts w:ascii="Arial" w:hAnsi="Arial"/>
          <w:b w:val="false"/>
          <w:sz w:val="20"/>
        </w:rPr>
      </w:pPr>
      <w:r>
        <w:rPr>
          <w:rFonts w:ascii="Arial" w:hAnsi="Arial"/>
          <w:b w:val="false"/>
          <w:sz w:val="20"/>
        </w:rPr>
        <w:t>Compliance with U.S. and international data protection laws and regulations could require us to take on more onerous obligations in our contracts, restrict our ability to collect, use and disclose data, or in some cases, impact our ability to operate in certain jurisdictions. Any actual or alleged failure to comply with U.S. or international laws and regulations relating to privacy, data protection, and data security could result in governmental investigations, proceedings and enforcement actions (which could include civil or criminal penalties), private litigation or adverse publicity, harm to our reputation,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or impose other obligations or restrictions in connection with our use, retention and other processing of information, and we may otherwise face contractual restrictions applicable to our use, retention, and other processing of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pStyle w:val="TextBody"/>
        <w:spacing w:lineRule="auto" w:line="264" w:before="280" w:after="0"/>
        <w:jc w:val="both"/>
        <w:rPr>
          <w:rFonts w:ascii="Arial" w:hAnsi="Arial"/>
          <w:b/>
          <w:sz w:val="20"/>
        </w:rPr>
      </w:pPr>
      <w:r>
        <w:rPr>
          <w:rFonts w:ascii="Arial" w:hAnsi="Arial"/>
          <w:b/>
          <w:sz w:val="20"/>
        </w:rPr>
        <w:t>Risks Relating to Ownership of Our Common Stock</w:t>
      </w:r>
    </w:p>
    <w:p>
      <w:pPr>
        <w:pStyle w:val="TextBody"/>
        <w:spacing w:lineRule="auto" w:line="264" w:before="280" w:after="0"/>
        <w:jc w:val="both"/>
        <w:rPr>
          <w:rFonts w:ascii="Times New Roman" w:hAnsi="Times New Roman"/>
          <w:sz w:val="20"/>
        </w:rPr>
      </w:pPr>
      <w:r>
        <w:rPr>
          <w:rFonts w:ascii="Arial" w:hAnsi="Arial"/>
          <w:b/>
          <w:i/>
          <w:sz w:val="20"/>
        </w:rPr>
        <w:t>We and certain of our directors and executive officers have been named as defendants in lawsuits that could result in substantial costs and divert management’s attention.</w:t>
      </w:r>
      <w:r>
        <w:rPr>
          <w:rFonts w:ascii="Times New Roman" w:hAnsi="Times New Roman"/>
          <w:sz w:val="20"/>
        </w:rPr>
        <w:t xml:space="preserve"> </w:t>
      </w:r>
    </w:p>
    <w:p>
      <w:pPr>
        <w:pStyle w:val="TextBody"/>
        <w:spacing w:lineRule="auto" w:line="264" w:before="280" w:after="0"/>
        <w:jc w:val="both"/>
        <w:rPr>
          <w:rFonts w:ascii="Times New Roman" w:hAnsi="Times New Roman"/>
          <w:sz w:val="20"/>
        </w:rPr>
      </w:pPr>
      <w:r>
        <w:rPr>
          <w:rFonts w:ascii="Arial" w:hAnsi="Arial"/>
          <w:b w:val="false"/>
          <w:sz w:val="20"/>
        </w:rPr>
        <w:t>As described elsewhere in this report in “Part II, Item 1—Legal Proceedings,” we and certain of our executive officers and directors have been named as defendants in class action lawsuits that generally allege that we and certain of our officers and directors violated Sections 10(b) and/or 20(a) of the Exchange Act and Rule 10b-5 promulgated thereunder by making allegedly false and/or misleading statements and omitted material adverse facts regarding the Company’s business. These complaints seek unspecified compensatory and punitive damages, and reasonable costs and expenses, including attorneys’ fees. As of the date of this report, we are unable to predict the outcome of these matters. Although we have insurance, it provides for a substantial retention of liability and is subject to limitations and may not cover a significant portion, or any, of the expenses or liabilities we may incur or be subject to in connection with class action lawsuit or other litigation to which we are party.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has caused and will continue to cause our management and board of directors to divert time and attention to the litigation and could adversely impact our reputation and further divert management and our board of directors’ attention and resources from other priorities, including the execution of our business plan and strategies that are important to our ability to grow our business and advance our product candidates, any of which could have a material adverse effect on our business. In addition, additional lawsuits may be filed, the conclusion of which in a manner adverse to us and for which we incur substantial costs or damages not covered by our directors’ and officers’ liability insurance would have a material adverse effect on our financial condition and business.</w:t>
      </w:r>
      <w:r>
        <w:rPr>
          <w:rFonts w:ascii="Times New Roman" w:hAnsi="Times New Roman"/>
          <w:sz w:val="20"/>
        </w:rPr>
        <w:t xml:space="preserve"> </w:t>
      </w:r>
    </w:p>
    <w:p>
      <w:pPr>
        <w:pStyle w:val="TextBody"/>
        <w:spacing w:lineRule="auto" w:line="264" w:before="280" w:after="0"/>
        <w:jc w:val="both"/>
        <w:rPr>
          <w:rFonts w:ascii="Arial" w:hAnsi="Arial"/>
          <w:b/>
          <w:i/>
          <w:sz w:val="20"/>
        </w:rPr>
      </w:pPr>
      <w:r>
        <w:rPr>
          <w:rFonts w:ascii="Arial" w:hAnsi="Arial"/>
          <w:b/>
          <w:i/>
          <w:sz w:val="20"/>
        </w:rPr>
        <w:t>Actions by an activist stockholder have been disruptive, and the proxy contest being waged by that stockholder could cause uncertainty about the strategic direction of our business.</w:t>
      </w:r>
    </w:p>
    <w:p>
      <w:pPr>
        <w:pStyle w:val="TextBody"/>
        <w:spacing w:lineRule="auto" w:line="264" w:before="280" w:after="0"/>
        <w:jc w:val="both"/>
        <w:rPr>
          <w:rFonts w:ascii="Arial" w:hAnsi="Arial"/>
          <w:b w:val="false"/>
          <w:sz w:val="20"/>
        </w:rPr>
      </w:pPr>
      <w:r>
        <w:rPr>
          <w:rFonts w:ascii="Arial" w:hAnsi="Arial"/>
          <w:b w:val="false"/>
          <w:sz w:val="20"/>
        </w:rPr>
        <w:t>On February 25, 2022, Mr. Richard A. Kayne announced his intention to nominate himself and one other candidate for election to our board of directors at our 2022 annual meeting of stockholders.</w:t>
      </w:r>
    </w:p>
    <w:p>
      <w:pPr>
        <w:pStyle w:val="TextBody"/>
        <w:spacing w:lineRule="auto" w:line="273" w:before="240" w:after="0"/>
        <w:jc w:val="center"/>
        <w:rPr>
          <w:rFonts w:ascii="Arial" w:hAnsi="Arial"/>
          <w:b w:val="false"/>
          <w:sz w:val="20"/>
        </w:rPr>
      </w:pPr>
      <w:r>
        <w:rPr>
          <w:rFonts w:ascii="Arial" w:hAnsi="Arial"/>
          <w:b w:val="false"/>
          <w:sz w:val="20"/>
        </w:rPr>
        <w:t>83</w:t>
      </w:r>
    </w:p>
    <w:p>
      <w:pPr>
        <w:pStyle w:val="HorizontalLine"/>
        <w:rPr/>
      </w:pPr>
      <w:r>
        <w:rPr/>
      </w:r>
    </w:p>
    <w:p>
      <w:pPr>
        <w:pStyle w:val="TextBody"/>
        <w:spacing w:lineRule="auto" w:line="273" w:before="0" w:after="0"/>
        <w:jc w:val="left"/>
        <w:rPr/>
      </w:pPr>
      <w:r>
        <w:rPr/>
        <w:t> </w:t>
      </w:r>
    </w:p>
    <w:p>
      <w:pPr>
        <w:pStyle w:val="TextBody"/>
        <w:spacing w:lineRule="auto" w:line="264" w:before="280" w:after="0"/>
        <w:jc w:val="both"/>
        <w:rPr>
          <w:rFonts w:ascii="Times New Roman" w:hAnsi="Times New Roman"/>
          <w:sz w:val="20"/>
        </w:rPr>
      </w:pPr>
      <w:r>
        <w:rPr>
          <w:rFonts w:ascii="Arial" w:hAnsi="Arial"/>
          <w:b w:val="false"/>
          <w:sz w:val="20"/>
        </w:rPr>
        <w:t>We strive to maintain constructive communications with our stockholders, including Mr. Kayne, and welcome his views and opinions with the goal of enhancing value for all stockholders. However, the proxy contest being waged by Mr. Kayne seeks to replace members of our board of directors and could have an adverse effect on us because:</w:t>
      </w:r>
      <w:r>
        <w:rPr>
          <w:rFonts w:ascii="Times New Roman" w:hAnsi="Times New Roman"/>
          <w:sz w:val="20"/>
        </w:rPr>
        <w:t xml:space="preserve">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responding to actions by Mr. Kayne (and any other activist stockholder) can disrupt our operations, is costly and time-consuming, and diverts the attention of our board of directors and senior management team from the pursuit of business strategies, each of which could adversely affect our results of operations and financial condition;</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perceived uncertainties as to our future direction as a result of changes to the composition of our board of directors may lead to the perception of a change in the direction of our business, as well as instability or lack of continuity, all of which may be exploited by our competitors, may result in the loss of potential business opportunities, may cause concern for those enrolling in our clinical trials, and make it more difficult to attract and retain qualified personnel and business partners;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Mr. Kayne’s actions, and similar types of actions by other stockholders, may interfere with any efforts that we undertake in the future to raise capital;</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Mr. Kayne’s actions, and similar types of actions by other stockholders, could cause significant fluctuations in our stock price based on temporary or speculative market perceptions or other factors that do not necessarily reflect the underlying fundamentals and prospects of our business;</w:t>
      </w:r>
    </w:p>
    <w:p>
      <w:pPr>
        <w:pStyle w:val="TextBody"/>
        <w:spacing w:lineRule="auto" w:line="273" w:before="120" w:after="0"/>
        <w:jc w:val="both"/>
        <w:rPr/>
      </w:pPr>
      <w:r>
        <w:rPr/>
        <w:t>•</w:t>
      </w:r>
    </w:p>
    <w:p>
      <w:pPr>
        <w:pStyle w:val="TextBody"/>
        <w:spacing w:lineRule="auto" w:line="273" w:before="120" w:after="283"/>
        <w:jc w:val="both"/>
        <w:rPr>
          <w:rFonts w:ascii="Arial" w:hAnsi="Arial"/>
          <w:b w:val="false"/>
          <w:sz w:val="20"/>
        </w:rPr>
      </w:pPr>
      <w:r>
        <w:rPr>
          <w:rFonts w:ascii="Arial" w:hAnsi="Arial"/>
          <w:b w:val="false"/>
          <w:sz w:val="20"/>
        </w:rPr>
        <w:t>if individuals are elected to our board of directors with a specific agenda, it may adversely affect our ability to effectively implement our business strategy and to create additional value for our stockholders.</w:t>
      </w:r>
    </w:p>
    <w:p>
      <w:pPr>
        <w:pStyle w:val="TextBody"/>
        <w:spacing w:lineRule="auto" w:line="264" w:before="280" w:after="0"/>
        <w:jc w:val="both"/>
        <w:rPr>
          <w:rFonts w:ascii="Arial" w:hAnsi="Arial"/>
          <w:b w:val="false"/>
          <w:sz w:val="20"/>
        </w:rPr>
      </w:pPr>
      <w:r>
        <w:rPr>
          <w:rFonts w:ascii="Arial" w:hAnsi="Arial"/>
          <w:b w:val="false"/>
          <w:sz w:val="20"/>
        </w:rPr>
        <w:t>At this time, we cannot be certain if Mr. Kayne’s proxy contest will be successful. Even if Mr. Kayne’s proxy contest is not successful, the increased costs that we must bear and the distraction of our board of directors and senior management could negatively impact our business, although we cannot predict with certainty the extent of such negative impacts.</w:t>
      </w:r>
    </w:p>
    <w:p>
      <w:pPr>
        <w:pStyle w:val="TextBody"/>
        <w:spacing w:lineRule="auto" w:line="264" w:before="280" w:after="0"/>
        <w:jc w:val="both"/>
        <w:rPr>
          <w:rFonts w:ascii="Times New Roman" w:hAnsi="Times New Roman"/>
          <w:sz w:val="20"/>
        </w:rPr>
      </w:pPr>
      <w:r>
        <w:rPr>
          <w:rFonts w:ascii="Arial" w:hAnsi="Arial"/>
          <w:b/>
          <w:i/>
          <w:sz w:val="20"/>
        </w:rPr>
        <w:t>We do not know whether an active market for our common stock will be sustained, and, as a result, it may be difficult for you to sell your shares of our common stock.</w:t>
      </w:r>
      <w:r>
        <w:rPr>
          <w:rFonts w:ascii="Times New Roman" w:hAnsi="Times New Roman"/>
          <w:sz w:val="20"/>
        </w:rPr>
        <w:t xml:space="preserve"> </w:t>
      </w:r>
    </w:p>
    <w:p>
      <w:pPr>
        <w:pStyle w:val="TextBody"/>
        <w:spacing w:lineRule="auto" w:line="264" w:before="280" w:after="0"/>
        <w:jc w:val="both"/>
        <w:rPr>
          <w:rFonts w:ascii="Times New Roman" w:hAnsi="Times New Roman"/>
          <w:sz w:val="20"/>
        </w:rPr>
      </w:pPr>
      <w:r>
        <w:rPr>
          <w:rFonts w:ascii="Arial" w:hAnsi="Arial"/>
          <w:b w:val="false"/>
          <w:sz w:val="20"/>
        </w:rPr>
        <w:t>If an active market for our common stock is not sustained, it may be difficult for you to sell your shares of common stock at an attractive price or at all.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i/>
          <w:sz w:val="20"/>
        </w:rPr>
        <w:t>The market price of our common stock may be volatile, which could result in substantial losses for investors.</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val="false"/>
          <w:sz w:val="20"/>
        </w:rPr>
        <w:t>The market price of our common stock may be volatile. As a result, you may not be able to sell your common stock at or above the price that you paid for such shares. Some of the factors that may cause the market price of our common stock to fluctuate include:</w:t>
      </w:r>
      <w:r>
        <w:rPr>
          <w:rFonts w:ascii="Times New Roman" w:hAnsi="Times New Roman"/>
          <w:sz w:val="20"/>
        </w:rPr>
        <w:t xml:space="preserve">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results of nonclinical studies and clinical trials and, in particular, our LIFT-AD, ACT-AD, and SHAPE clinical trials;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ongoing impact of the COVID-19 pandemic on our business;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the success of existing or new competitive products or technologies;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the timing and results of clinical trials for our current product candidates and any future product candidates that we may develop;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commencement or termination of collaborations for our product candidates;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failure or discontinuation of any of our product candidates;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results of nonclinical studies, clinical trials or regulatory approvals of product candidates of our competitors, or announcements about new research programs or product candidates of our competitors;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investor reactions to other companies’ drug development results, including product failures or negative responses from regulatory authorities;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regulatory or legal developments in the United States and other countries; </w:t>
      </w:r>
    </w:p>
    <w:p>
      <w:pPr>
        <w:pStyle w:val="TextBody"/>
        <w:spacing w:lineRule="auto" w:line="273" w:before="120" w:after="0"/>
        <w:jc w:val="both"/>
        <w:rPr/>
      </w:pPr>
      <w:r>
        <w:rPr/>
        <w:t>•</w:t>
      </w:r>
    </w:p>
    <w:p>
      <w:pPr>
        <w:pStyle w:val="TextBody"/>
        <w:spacing w:lineRule="auto" w:line="273" w:before="120" w:after="283"/>
        <w:jc w:val="both"/>
        <w:rPr>
          <w:rFonts w:ascii="Arial" w:hAnsi="Arial"/>
          <w:b w:val="false"/>
          <w:sz w:val="20"/>
        </w:rPr>
      </w:pPr>
      <w:r>
        <w:rPr>
          <w:rFonts w:ascii="Arial" w:hAnsi="Arial"/>
          <w:b w:val="false"/>
          <w:sz w:val="20"/>
        </w:rPr>
        <w:t xml:space="preserve">developments or disputes concerning patent applications, issued patents or other proprietary rights; </w:t>
      </w:r>
    </w:p>
    <w:p>
      <w:pPr>
        <w:pStyle w:val="TextBody"/>
        <w:spacing w:lineRule="auto" w:line="273" w:before="240" w:after="0"/>
        <w:jc w:val="center"/>
        <w:rPr>
          <w:rFonts w:ascii="Arial" w:hAnsi="Arial"/>
          <w:b w:val="false"/>
          <w:sz w:val="20"/>
        </w:rPr>
      </w:pPr>
      <w:r>
        <w:rPr>
          <w:rFonts w:ascii="Arial" w:hAnsi="Arial"/>
          <w:b w:val="false"/>
          <w:sz w:val="20"/>
        </w:rPr>
        <w:t>84</w:t>
      </w:r>
    </w:p>
    <w:p>
      <w:pPr>
        <w:pStyle w:val="HorizontalLine"/>
        <w:rPr/>
      </w:pPr>
      <w:r>
        <w:rPr/>
      </w:r>
    </w:p>
    <w:p>
      <w:pPr>
        <w:pStyle w:val="TextBody"/>
        <w:spacing w:lineRule="auto" w:line="273" w:before="0" w:after="0"/>
        <w:jc w:val="left"/>
        <w:rPr/>
      </w:pPr>
      <w:r>
        <w:rPr/>
        <w:t>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the recruitment or departure of key personnel;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negative press coverage;</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the status of ongoing litigation and potential commencement of additional litigation;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the results of the investigation by the independent special committee of the board of directors and the separate ongoing investigation by WSU;</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the level of expenses related to any of our research programs, product candidates that we may develop;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the results of our efforts to develop additional product candidates or products;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actual or anticipated changes in estimates as to financial results, development timelines or recommendations by securities analysts;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announcement or expectation of additional financing efforts;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sales of our common stock by us, our insiders, or other stockholders;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variations in our financial results or those of companies that are perceived to be similar to us;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changes in estimates or recommendations by securities analysts, if any, that cover our stock;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changes in the structure of healthcare payment systems;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market conditions in the pharmaceutical and biotechnology sectors; </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direct or indirect impacts on our business, our suppliers and other third parties and our clinical sites as a result of geopolitical events, including the Russia-Ukraine war;</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 xml:space="preserve">general economic, industry, and market conditions; and </w:t>
      </w:r>
    </w:p>
    <w:p>
      <w:pPr>
        <w:pStyle w:val="TextBody"/>
        <w:spacing w:lineRule="auto" w:line="273" w:before="120" w:after="0"/>
        <w:jc w:val="both"/>
        <w:rPr/>
      </w:pPr>
      <w:r>
        <w:rPr/>
        <w:t>•</w:t>
      </w:r>
    </w:p>
    <w:p>
      <w:pPr>
        <w:pStyle w:val="TextBody"/>
        <w:spacing w:lineRule="auto" w:line="273" w:before="120" w:after="283"/>
        <w:jc w:val="both"/>
        <w:rPr>
          <w:rFonts w:ascii="Arial" w:hAnsi="Arial"/>
          <w:b w:val="false"/>
          <w:sz w:val="20"/>
        </w:rPr>
      </w:pPr>
      <w:r>
        <w:rPr>
          <w:rFonts w:ascii="Arial" w:hAnsi="Arial"/>
          <w:b w:val="false"/>
          <w:sz w:val="20"/>
        </w:rPr>
        <w:t xml:space="preserve">the other factors described in this “Part II, Item 1A—Risk Factors” section. </w:t>
      </w:r>
    </w:p>
    <w:p>
      <w:pPr>
        <w:pStyle w:val="TextBody"/>
        <w:spacing w:lineRule="auto" w:line="273" w:before="280" w:after="0"/>
        <w:jc w:val="both"/>
        <w:rPr>
          <w:rFonts w:ascii="Times New Roman" w:hAnsi="Times New Roman"/>
          <w:sz w:val="20"/>
        </w:rPr>
      </w:pPr>
      <w:r>
        <w:rPr>
          <w:rFonts w:ascii="Arial" w:hAnsi="Arial"/>
          <w:b w:val="false"/>
          <w:sz w:val="20"/>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i/>
          <w:sz w:val="20"/>
        </w:rPr>
        <w:t>A significant portion of our total outstanding shares may be sold into the market in the near future, which could cause the market price of our common stock to decline significantly, even if our business is doing well.</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val="false"/>
          <w:sz w:val="20"/>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In addition, shares issued upon the exercise of stock options outstanding under our equity incentive plans or pursuant to future awards granted under those plans will become available-for-sale in the public market to the extent permitted by the provisions of applicable vesting schedules, any applicable market standoff and lock-up agreements, and Rule 144 and Rule 701 under the Securities Act of 1933, as amended, or the Securities Act.</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val="false"/>
          <w:sz w:val="20"/>
        </w:rPr>
        <w:t>Moreover, as of March 31, 2022, the holders of approximately 3.7 million shares of our common stock are eligible to exercise certain rights, subject to various conditions and limitations, to require us to file registration statements covering their shares or to include their shares in registration statements that we may file for ourselves or other stockholders. We also register shares of common stock that we may issue under our equity compensation plans. Once we register these shares, they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85</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Arial" w:hAnsi="Arial"/>
          <w:b/>
          <w:i/>
          <w:sz w:val="20"/>
        </w:rPr>
      </w:pPr>
      <w:r>
        <w:rPr>
          <w:rFonts w:ascii="Arial" w:hAnsi="Arial"/>
          <w:b/>
          <w:i/>
          <w:sz w:val="20"/>
        </w:rPr>
        <w:t>Our directors, executive officers and significant stockholders own a substantial percentage of our common stock, which could limit your ability to affect the outcome of key transactions, including a change of control.</w:t>
      </w:r>
    </w:p>
    <w:p>
      <w:pPr>
        <w:pStyle w:val="TextBody"/>
        <w:spacing w:lineRule="auto" w:line="273" w:before="280" w:after="0"/>
        <w:jc w:val="both"/>
        <w:rPr>
          <w:rFonts w:ascii="Times New Roman" w:hAnsi="Times New Roman"/>
          <w:sz w:val="20"/>
        </w:rPr>
      </w:pPr>
      <w:r>
        <w:rPr>
          <w:rFonts w:ascii="Arial" w:hAnsi="Arial"/>
          <w:b w:val="false"/>
          <w:sz w:val="20"/>
        </w:rPr>
        <w:t>Our directors, executive officers, significant holders of our outstanding common stock and their respective affiliates beneficially own a substantial amount of our outstanding common stock as of March 31, 2022.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i/>
          <w:sz w:val="20"/>
        </w:rPr>
        <w:t>We are an “emerging growth company,” and the reduced disclosure requirements applicable to emerging growth companies may make our common stock less attractive to investors.</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val="false"/>
          <w:sz w:val="20"/>
        </w:rPr>
        <w:t>We are an “emerging growth company,” as defined in the Jumpstart Our Business Startups Act of 2012, or the JOBS Act.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i/>
          <w:sz w:val="20"/>
        </w:rPr>
        <w:t>Failure to build our finance infrastructure and improve our accounting systems and controls could impair our ability to comply with the financial reporting and internal controls requirements for publicly traded companies.</w:t>
      </w:r>
      <w:r>
        <w:rPr>
          <w:rFonts w:ascii="Times New Roman" w:hAnsi="Times New Roman"/>
          <w:sz w:val="20"/>
        </w:rPr>
        <w:t xml:space="preserve"> </w:t>
      </w:r>
    </w:p>
    <w:p>
      <w:pPr>
        <w:pStyle w:val="TextBody"/>
        <w:spacing w:lineRule="auto" w:line="273" w:before="280" w:after="0"/>
        <w:jc w:val="both"/>
        <w:rPr>
          <w:rFonts w:ascii="Arial" w:hAnsi="Arial"/>
          <w:b w:val="false"/>
          <w:sz w:val="20"/>
        </w:rPr>
      </w:pPr>
      <w:r>
        <w:rPr>
          <w:rFonts w:ascii="Arial" w:hAnsi="Arial"/>
          <w:b w:val="false"/>
          <w:sz w:val="20"/>
        </w:rPr>
        <w:t>As a public company, we operate in an increasingly demanding regulatory environment, which requires us to comply with the Sarbanes-Oxley Act of 2002, or the Sarbanes-Oxley Act, the regulations of the Nasdaq Global Select Market, the rules and regulations of the Securities and Exchange Commission,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We must perform system and process evaluation and testing of our internal controls over financial reporting to allow management to report on the effectiveness of our internal controls over financial reporting, as required by Section 404 of the Sarbanes-Oxley Act. We may experience difficulty in meeting these reporting requirements in the future.</w:t>
      </w:r>
    </w:p>
    <w:p>
      <w:pPr>
        <w:pStyle w:val="TextBody"/>
        <w:spacing w:lineRule="auto" w:line="273" w:before="280" w:after="0"/>
        <w:jc w:val="both"/>
        <w:rPr>
          <w:rFonts w:ascii="Arial" w:hAnsi="Arial"/>
          <w:b w:val="false"/>
          <w:sz w:val="20"/>
        </w:rPr>
      </w:pPr>
      <w:r>
        <w:rPr>
          <w:rFonts w:ascii="Arial" w:hAnsi="Arial"/>
          <w:b w:val="false"/>
          <w:sz w:val="20"/>
        </w:rPr>
        <w:t>The process of building our accounting and financial functions and infrastructure has required and will continue to require significant additional professional fees, internal costs and management efforts. Any disruptions or difficulties in implementing or using such a system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spacing w:lineRule="auto" w:line="273" w:before="280" w:after="0"/>
        <w:jc w:val="both"/>
        <w:rPr>
          <w:rFonts w:ascii="Arial" w:hAnsi="Arial"/>
          <w:b w:val="false"/>
          <w:sz w:val="20"/>
        </w:rPr>
      </w:pPr>
      <w:r>
        <w:rPr>
          <w:rFonts w:ascii="Arial" w:hAnsi="Arial"/>
          <w:b w:val="false"/>
          <w:sz w:val="20"/>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pStyle w:val="TextBody"/>
        <w:spacing w:lineRule="auto" w:line="273" w:before="240" w:after="0"/>
        <w:jc w:val="center"/>
        <w:rPr>
          <w:rFonts w:ascii="Arial" w:hAnsi="Arial"/>
          <w:b w:val="false"/>
          <w:sz w:val="20"/>
        </w:rPr>
      </w:pPr>
      <w:r>
        <w:rPr>
          <w:rFonts w:ascii="Arial" w:hAnsi="Arial"/>
          <w:b w:val="false"/>
          <w:sz w:val="20"/>
        </w:rPr>
        <w:t>86</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Times New Roman" w:hAnsi="Times New Roman"/>
          <w:sz w:val="20"/>
        </w:rPr>
      </w:pPr>
      <w:r>
        <w:rPr>
          <w:rFonts w:ascii="Arial" w:hAnsi="Arial"/>
          <w:b/>
          <w:i/>
          <w:sz w:val="20"/>
        </w:rPr>
        <w:t>Anti-takeover provisions in our charter documents and under Delaware or Washington law could make an acquisition of us difficult, limit attempts by our stockholders to replace or remove our current management and limit our stock price.</w:t>
      </w:r>
      <w:r>
        <w:rPr>
          <w:rFonts w:ascii="Times New Roman" w:hAnsi="Times New Roman"/>
          <w:sz w:val="20"/>
        </w:rPr>
        <w:t xml:space="preserve"> </w:t>
      </w:r>
    </w:p>
    <w:p>
      <w:pPr>
        <w:pStyle w:val="TextBody"/>
        <w:spacing w:lineRule="auto" w:line="273" w:before="280" w:after="0"/>
        <w:jc w:val="both"/>
        <w:rPr>
          <w:rFonts w:ascii="Arial" w:hAnsi="Arial"/>
          <w:b w:val="false"/>
          <w:sz w:val="20"/>
        </w:rPr>
      </w:pPr>
      <w:r>
        <w:rPr>
          <w:rFonts w:ascii="Arial" w:hAnsi="Arial"/>
          <w:b w:val="false"/>
          <w:sz w:val="20"/>
        </w:rPr>
        <w:t>Provisions of our certificate of incorporation and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the certificate of incorporation and bylaws: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permit the board of directors to issue up to 100,000,000 shares of preferred stock, with any rights, preferences and privileges as they may designate;</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provide that the authorized number of directors may be changed only by resolution of the board of directors;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provide that all vacancies, including newly-created directorships, may, except as otherwise required by law, be filled by the affirmative vote of a majority of directors then in office, even if less than a quorum;</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divide the board of directors into three classes;</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provide that a director may only be removed from the board of directors by the stockholders for cause;</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require that any action to be taken by our stockholders must be effected at a duly called annual or special meeting of stockholders and may not be taken by written consent;</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provide that stockholders seeking to present proposals before a meeting of stockholders or to nominate candidates for election as directors at a meeting of stockholders must provide notice in writing in a timely manner, and meet specific requirements as to the form and content of a stockholder’s notice;</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prevent cumulative voting rights (therefore allowing the holders of a plurality of the shares of common stock entitled to vote in any election of directors to elect all of the directors standing for election, if they should so choose);</w:t>
      </w:r>
    </w:p>
    <w:p>
      <w:pPr>
        <w:pStyle w:val="TextBody"/>
        <w:spacing w:lineRule="auto" w:line="273" w:before="120" w:after="0"/>
        <w:jc w:val="both"/>
        <w:rPr/>
      </w:pPr>
      <w:r>
        <w:rPr/>
        <w:t>•</w:t>
      </w:r>
    </w:p>
    <w:p>
      <w:pPr>
        <w:pStyle w:val="TextBody"/>
        <w:spacing w:lineRule="auto" w:line="273" w:before="120" w:after="0"/>
        <w:jc w:val="both"/>
        <w:rPr>
          <w:rFonts w:ascii="Arial" w:hAnsi="Arial"/>
          <w:b w:val="false"/>
          <w:sz w:val="20"/>
        </w:rPr>
      </w:pPr>
      <w:r>
        <w:rPr>
          <w:rFonts w:ascii="Arial" w:hAnsi="Arial"/>
          <w:b w:val="false"/>
          <w:sz w:val="20"/>
        </w:rPr>
        <w:t>provide that special meetings of our stockholders may be called only by the chairman of the board, our chief executive officer or by the board of directors; and</w:t>
      </w:r>
    </w:p>
    <w:p>
      <w:pPr>
        <w:pStyle w:val="TextBody"/>
        <w:spacing w:lineRule="auto" w:line="273" w:before="120" w:after="0"/>
        <w:jc w:val="both"/>
        <w:rPr/>
      </w:pPr>
      <w:r>
        <w:rPr/>
        <w:t>•</w:t>
      </w:r>
    </w:p>
    <w:p>
      <w:pPr>
        <w:pStyle w:val="TextBody"/>
        <w:spacing w:lineRule="auto" w:line="273" w:before="120" w:after="283"/>
        <w:jc w:val="both"/>
        <w:rPr>
          <w:rFonts w:ascii="Arial" w:hAnsi="Arial"/>
          <w:b w:val="false"/>
          <w:sz w:val="20"/>
        </w:rPr>
      </w:pPr>
      <w:r>
        <w:rPr>
          <w:rFonts w:ascii="Arial" w:hAnsi="Arial"/>
          <w:b w:val="false"/>
          <w:sz w:val="20"/>
        </w:rPr>
        <w:t>provide that stockholders are permitted to amend the bylaws only upon receiving at least two-thirds of the total votes entitled to be cast by holders of all outstanding shares then entitled to vote generally in the election of directors, voting together as a single class.</w:t>
      </w:r>
    </w:p>
    <w:p>
      <w:pPr>
        <w:pStyle w:val="TextBody"/>
        <w:spacing w:lineRule="auto" w:line="273" w:before="280" w:after="0"/>
        <w:jc w:val="both"/>
        <w:rPr>
          <w:rFonts w:ascii="Arial" w:hAnsi="Arial"/>
          <w:b w:val="false"/>
          <w:sz w:val="20"/>
        </w:rPr>
      </w:pPr>
      <w:r>
        <w:rPr>
          <w:rFonts w:ascii="Arial" w:hAnsi="Arial"/>
          <w:b w:val="false"/>
          <w:sz w:val="20"/>
        </w:rPr>
        <w:t>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Likewise, because our principal executive offices are located in Washington, the anti-takeover provisions of the Washington Business Corporation Act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pStyle w:val="TextBody"/>
        <w:spacing w:lineRule="auto" w:line="273" w:before="280" w:after="0"/>
        <w:jc w:val="both"/>
        <w:rPr>
          <w:rFonts w:ascii="Times New Roman" w:hAnsi="Times New Roman"/>
          <w:sz w:val="20"/>
        </w:rPr>
      </w:pPr>
      <w:r>
        <w:rPr>
          <w:rFonts w:ascii="Arial" w:hAnsi="Arial"/>
          <w:b/>
          <w:i/>
          <w:sz w:val="20"/>
        </w:rPr>
        <w:t>Our bylaws provide that the Court of Chancery of the State of Delaware and the federal district courts of the United States are the exclusive forums for substantially all disputes between us and our stockholders, which could limit our stockholders’ ability to obtain a favorable judicial forum for disputes with us or our directors, officers or employees.</w:t>
      </w:r>
      <w:r>
        <w:rPr>
          <w:rFonts w:ascii="Times New Roman" w:hAnsi="Times New Roman"/>
          <w:sz w:val="20"/>
        </w:rPr>
        <w:t xml:space="preserve"> </w:t>
      </w:r>
    </w:p>
    <w:p>
      <w:pPr>
        <w:pStyle w:val="TextBody"/>
        <w:spacing w:lineRule="auto" w:line="273" w:before="280" w:after="0"/>
        <w:jc w:val="both"/>
        <w:rPr>
          <w:rFonts w:ascii="Arial" w:hAnsi="Arial"/>
          <w:b w:val="false"/>
          <w:sz w:val="20"/>
        </w:rPr>
      </w:pPr>
      <w:r>
        <w:rPr>
          <w:rFonts w:ascii="Arial" w:hAnsi="Arial"/>
          <w:b w:val="false"/>
          <w:sz w:val="20"/>
        </w:rPr>
        <w:t>Our bylaws provide that the Court of Chancery of the State of Delaware will be the exclusive forum for any derivative action or proceeding brought on our behalf; any action asserting a breach of fiduciary duty; any action asserting a claim against us arising under the Delaware General Corporation Law, our certificate of incorporation or our bylaws; any action to interpret, apply, enforce or determine the validity of our certificate of incorporation or our bylaws; and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pStyle w:val="TextBody"/>
        <w:spacing w:lineRule="auto" w:line="273" w:before="240" w:after="0"/>
        <w:jc w:val="center"/>
        <w:rPr>
          <w:rFonts w:ascii="Arial" w:hAnsi="Arial"/>
          <w:b w:val="false"/>
          <w:sz w:val="20"/>
        </w:rPr>
      </w:pPr>
      <w:r>
        <w:rPr>
          <w:rFonts w:ascii="Arial" w:hAnsi="Arial"/>
          <w:b w:val="false"/>
          <w:sz w:val="20"/>
        </w:rPr>
        <w:t>87</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Arial" w:hAnsi="Arial"/>
          <w:b w:val="false"/>
          <w:sz w:val="20"/>
        </w:rPr>
      </w:pPr>
      <w:r>
        <w:rPr>
          <w:rFonts w:ascii="Arial" w:hAnsi="Arial"/>
          <w:b w:val="false"/>
          <w:sz w:val="20"/>
        </w:rPr>
        <w:t>Our bylaws further provide that the federal district courts of the United States will be the exclusive forum for resolving any complaint asserting a cause of action arising under the Securities Act. The enforceability of similar exclusive federal forum provisions in other companies’ organizational documents has been challenged in legal proceedings, and while the Delaware Supreme Court has ruled that this type of exclusive federal forum provision is facially valid under Delaware law, there is uncertainty as to whether other courts would enforce such provisions and that investors cannot waive compliance with the federal securities laws and the rules and regulations thereunder.</w:t>
      </w:r>
    </w:p>
    <w:p>
      <w:pPr>
        <w:pStyle w:val="TextBody"/>
        <w:spacing w:lineRule="auto" w:line="273" w:before="280" w:after="0"/>
        <w:jc w:val="both"/>
        <w:rPr>
          <w:rFonts w:ascii="Arial" w:hAnsi="Arial"/>
          <w:b w:val="false"/>
          <w:sz w:val="20"/>
        </w:rPr>
      </w:pPr>
      <w:r>
        <w:rPr>
          <w:rFonts w:ascii="Arial" w:hAnsi="Arial"/>
          <w:b w:val="false"/>
          <w:sz w:val="20"/>
        </w:rPr>
        <w:t>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either exclusive forum provision in our bylaws to be inapplicable or unenforceable in an action, we may incur further significant additional costs associated with resolving such action in other jurisdictions, all of which could have a material adverse effect on our business, financial condition, and results of operations.</w:t>
      </w:r>
    </w:p>
    <w:p>
      <w:pPr>
        <w:pStyle w:val="TextBody"/>
        <w:spacing w:lineRule="auto" w:line="273" w:before="280" w:after="0"/>
        <w:jc w:val="both"/>
        <w:rPr>
          <w:rFonts w:ascii="Arial" w:hAnsi="Arial"/>
          <w:b/>
          <w:sz w:val="20"/>
        </w:rPr>
      </w:pPr>
      <w:r>
        <w:rPr>
          <w:rFonts w:ascii="Arial" w:hAnsi="Arial"/>
          <w:b/>
          <w:sz w:val="20"/>
        </w:rPr>
        <w:t>General Risk Factors</w:t>
      </w:r>
    </w:p>
    <w:p>
      <w:pPr>
        <w:pStyle w:val="TextBody"/>
        <w:spacing w:lineRule="auto" w:line="273" w:before="280" w:after="0"/>
        <w:jc w:val="both"/>
        <w:rPr>
          <w:rFonts w:ascii="Arial" w:hAnsi="Arial"/>
          <w:b/>
          <w:i/>
          <w:sz w:val="20"/>
        </w:rPr>
      </w:pPr>
      <w:r>
        <w:rPr>
          <w:rFonts w:ascii="Arial" w:hAnsi="Arial"/>
          <w:b/>
          <w:i/>
          <w:sz w:val="20"/>
        </w:rPr>
        <w:t>Our advisors and consultants are classified as independent contractors, and we can face consequences if it is determined that they are misclassified as such.</w:t>
      </w:r>
    </w:p>
    <w:p>
      <w:pPr>
        <w:pStyle w:val="TextBody"/>
        <w:spacing w:lineRule="auto" w:line="273" w:before="280" w:after="0"/>
        <w:jc w:val="both"/>
        <w:rPr>
          <w:rFonts w:ascii="Times New Roman" w:hAnsi="Times New Roman"/>
          <w:sz w:val="20"/>
        </w:rPr>
      </w:pPr>
      <w:r>
        <w:rPr>
          <w:rFonts w:ascii="Arial" w:hAnsi="Arial"/>
          <w:b w:val="false"/>
          <w:sz w:val="20"/>
        </w:rPr>
        <w:t>There is often uncertainty in the application of worker classification laws, and consequently there is risk to us that our independent contractors could be deemed to be misclassified under applicable law. The tests governing whether a service provider is an independent contractor or an employee are typically highly fact sensitive and can vary by governing law. Laws and regulations that govern the status and misclassification of independent contractors are also subject to divergent</w:t>
      </w:r>
      <w:r>
        <w:rPr>
          <w:rFonts w:ascii="Times New Roman" w:hAnsi="Times New Roman"/>
          <w:sz w:val="20"/>
        </w:rPr>
        <w:t xml:space="preserve"> </w:t>
      </w:r>
      <w:r>
        <w:rPr>
          <w:rFonts w:ascii="Arial" w:hAnsi="Arial"/>
          <w:b w:val="false"/>
          <w:sz w:val="20"/>
        </w:rPr>
        <w:t>interpretations by various authorities, which can create uncertainty and unpredictability.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 damages, liquidated damages, and punitive damages), interest, fines, penalties, costs, fees (including but not limited to attorneys’ fees), criminal and other liability, assessment, or settlement. Such an allegation, claim, adverse determination, including but not limited to with respect to advisors and consultants that provide services to us could also harm our brand and reputation, which could adversely impact our business.</w:t>
      </w:r>
    </w:p>
    <w:p>
      <w:pPr>
        <w:pStyle w:val="TextBody"/>
        <w:spacing w:lineRule="auto" w:line="273" w:before="280" w:after="0"/>
        <w:jc w:val="both"/>
        <w:rPr>
          <w:rFonts w:ascii="Times New Roman" w:hAnsi="Times New Roman"/>
          <w:sz w:val="20"/>
        </w:rPr>
      </w:pPr>
      <w:r>
        <w:rPr>
          <w:rFonts w:ascii="Arial" w:hAnsi="Arial"/>
          <w:b/>
          <w:i/>
          <w:sz w:val="20"/>
        </w:rPr>
        <w:t>If securities</w:t>
      </w:r>
      <w:r>
        <w:rPr>
          <w:rFonts w:ascii="Times New Roman" w:hAnsi="Times New Roman"/>
          <w:sz w:val="20"/>
        </w:rPr>
        <w:t xml:space="preserve"> </w:t>
      </w:r>
      <w:r>
        <w:rPr>
          <w:rFonts w:ascii="Arial" w:hAnsi="Arial"/>
          <w:b/>
          <w:i/>
          <w:sz w:val="20"/>
        </w:rPr>
        <w:t>analysts do not publish research or reports about our business or if they publish negative evaluations of our stock, the price of our stock could decline.</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val="false"/>
          <w:sz w:val="20"/>
        </w:rPr>
        <w:t>The trading market for our common stock will rely in part on the research and reports that industry or financial analysts publish about us or our business. If no or few analysts commence coverage of us, the trading price of our stock could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i/>
          <w:sz w:val="20"/>
        </w:rPr>
        <w:t>We will continue to incur increased costs as a result of operating as a public company, and our management will be required to devote substantial time to new compliance initiatives and corporate governance practices.</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val="false"/>
          <w:sz w:val="20"/>
        </w:rPr>
        <w:t>As a public company,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have hired, and we expect that we will continue to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88</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Times New Roman" w:hAnsi="Times New Roman"/>
          <w:sz w:val="20"/>
        </w:rPr>
      </w:pPr>
      <w:r>
        <w:rPr>
          <w:rFonts w:ascii="Arial" w:hAnsi="Arial"/>
          <w:b w:val="false"/>
          <w:sz w:val="20"/>
        </w:rPr>
        <w:t>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i/>
          <w:sz w:val="20"/>
        </w:rPr>
        <w:t>If we are unable to maintain effective internal controls, our business, financial position and results of operations could be adversely affected.</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val="false"/>
          <w:sz w:val="20"/>
        </w:rPr>
        <w:t>As a public company, we are subject to reporting and other obligations under the Securities Exchange Act of 1934, as amended, or the Exchange Act, including the requirements of SOX Section 404, which require annual management assessments of the effectiveness of our internal control over financial reporting.</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val="false"/>
          <w:sz w:val="20"/>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of 2002. These reporting and other obligations place significant demands on our management and administrative and operational resources, including accounting resources.</w:t>
      </w:r>
      <w:r>
        <w:rPr>
          <w:rFonts w:ascii="Times New Roman" w:hAnsi="Times New Roman"/>
          <w:sz w:val="20"/>
        </w:rPr>
        <w:t xml:space="preserve"> </w:t>
      </w:r>
    </w:p>
    <w:p>
      <w:pPr>
        <w:pStyle w:val="TextBody"/>
        <w:spacing w:lineRule="auto" w:line="273" w:before="280" w:after="0"/>
        <w:jc w:val="both"/>
        <w:rPr>
          <w:rFonts w:ascii="Times New Roman" w:hAnsi="Times New Roman"/>
          <w:sz w:val="20"/>
        </w:rPr>
      </w:pPr>
      <w:r>
        <w:rPr>
          <w:rFonts w:ascii="Arial" w:hAnsi="Arial"/>
          <w:b w:val="false"/>
          <w:sz w:val="20"/>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80" w:after="0"/>
        <w:jc w:val="both"/>
        <w:rPr>
          <w:rFonts w:ascii="Arial" w:hAnsi="Arial"/>
          <w:b/>
          <w:sz w:val="20"/>
        </w:rPr>
      </w:pPr>
      <w:bookmarkStart w:id="15" w:name="item_2_unregistered_sales_equity_securit"/>
      <w:bookmarkEnd w:id="15"/>
      <w:r>
        <w:rPr>
          <w:rFonts w:ascii="Arial" w:hAnsi="Arial"/>
          <w:b/>
          <w:sz w:val="20"/>
        </w:rPr>
        <w:t>Item 2. Unregistered Sales of Equity Securities and Use of Proceeds.</w:t>
      </w:r>
    </w:p>
    <w:p>
      <w:pPr>
        <w:pStyle w:val="TextBody"/>
        <w:spacing w:lineRule="auto" w:line="273" w:before="280" w:after="0"/>
        <w:jc w:val="both"/>
        <w:rPr>
          <w:rFonts w:ascii="Arial" w:hAnsi="Arial"/>
          <w:b/>
          <w:i/>
          <w:sz w:val="20"/>
        </w:rPr>
      </w:pPr>
      <w:r>
        <w:rPr>
          <w:rFonts w:ascii="Arial" w:hAnsi="Arial"/>
          <w:b/>
          <w:i/>
          <w:sz w:val="20"/>
        </w:rPr>
        <w:t>Recent Sales of Unregistered Equity Securities</w:t>
      </w:r>
    </w:p>
    <w:p>
      <w:pPr>
        <w:pStyle w:val="TextBody"/>
        <w:spacing w:lineRule="auto" w:line="273" w:before="280" w:after="0"/>
        <w:jc w:val="both"/>
        <w:rPr>
          <w:rFonts w:ascii="Arial" w:hAnsi="Arial"/>
          <w:b w:val="false"/>
          <w:sz w:val="20"/>
        </w:rPr>
      </w:pPr>
      <w:r>
        <w:rPr>
          <w:rFonts w:ascii="Arial" w:hAnsi="Arial"/>
          <w:b w:val="false"/>
          <w:sz w:val="20"/>
        </w:rPr>
        <w:t>None.</w:t>
      </w:r>
    </w:p>
    <w:p>
      <w:pPr>
        <w:pStyle w:val="TextBody"/>
        <w:spacing w:lineRule="auto" w:line="273" w:before="280" w:after="0"/>
        <w:jc w:val="both"/>
        <w:rPr>
          <w:rFonts w:ascii="Arial" w:hAnsi="Arial"/>
          <w:b/>
          <w:i/>
          <w:sz w:val="20"/>
        </w:rPr>
      </w:pPr>
      <w:r>
        <w:rPr>
          <w:rFonts w:ascii="Arial" w:hAnsi="Arial"/>
          <w:b/>
          <w:i/>
          <w:sz w:val="20"/>
        </w:rPr>
        <w:t>Use of Proceeds from Initial Public Offering</w:t>
      </w:r>
    </w:p>
    <w:p>
      <w:pPr>
        <w:pStyle w:val="TextBody"/>
        <w:spacing w:lineRule="auto" w:line="273" w:before="280" w:after="0"/>
        <w:jc w:val="both"/>
        <w:rPr>
          <w:rFonts w:ascii="Times New Roman" w:hAnsi="Times New Roman"/>
          <w:sz w:val="20"/>
        </w:rPr>
      </w:pPr>
      <w:r>
        <w:rPr>
          <w:rFonts w:ascii="Arial" w:hAnsi="Arial"/>
          <w:b w:val="false"/>
          <w:sz w:val="20"/>
        </w:rPr>
        <w:t>On September 22, 2020, we closed our IPO, in which we sold and issued 12,000,000 shares of our common stock at a price to the public of $17.00 per share. On October 16, 2020, we sold and issued an additional 1,397,712 shares of common stock at $17.00 per share, less underwriting discounts and commissions, to the underwriters of our IPO following the partial exercise of their option to purchase additional shares of common stock.</w:t>
      </w:r>
      <w:r>
        <w:rPr>
          <w:rFonts w:ascii="Times New Roman" w:hAnsi="Times New Roman"/>
          <w:sz w:val="20"/>
        </w:rPr>
        <w:t xml:space="preserve"> </w:t>
      </w:r>
    </w:p>
    <w:p>
      <w:pPr>
        <w:pStyle w:val="TextBody"/>
        <w:spacing w:lineRule="auto" w:line="273" w:before="280" w:after="0"/>
        <w:jc w:val="both"/>
        <w:rPr>
          <w:rFonts w:ascii="Arial" w:hAnsi="Arial"/>
          <w:b w:val="false"/>
          <w:sz w:val="20"/>
        </w:rPr>
      </w:pPr>
      <w:r>
        <w:rPr>
          <w:rFonts w:ascii="Arial" w:hAnsi="Arial"/>
          <w:b w:val="false"/>
          <w:sz w:val="20"/>
        </w:rPr>
        <w:t>The offer and sale of all of the shares of our common stock in our IPO were registered under the Securities Act pursuant to a registration statement on Form S-1 (File No. 333-248428), which was declared effective by the SEC on September 17, 2020.</w:t>
      </w:r>
    </w:p>
    <w:p>
      <w:pPr>
        <w:pStyle w:val="TextBody"/>
        <w:spacing w:lineRule="auto" w:line="273" w:before="280" w:after="0"/>
        <w:jc w:val="both"/>
        <w:rPr>
          <w:rFonts w:ascii="Arial" w:hAnsi="Arial"/>
          <w:b w:val="false"/>
          <w:sz w:val="20"/>
        </w:rPr>
      </w:pPr>
      <w:r>
        <w:rPr>
          <w:rFonts w:ascii="Arial" w:hAnsi="Arial"/>
          <w:b w:val="false"/>
          <w:sz w:val="20"/>
        </w:rPr>
        <w:t>There has been no material change in our planned use of the net proceeds from our IPO as described in our final prospectus filed pursuant to Rule 424(b)(4) under the Securities Act with the SEC on September 18, 2020.</w:t>
      </w:r>
    </w:p>
    <w:p>
      <w:pPr>
        <w:pStyle w:val="TextBody"/>
        <w:spacing w:lineRule="auto" w:line="273" w:before="280" w:after="0"/>
        <w:jc w:val="both"/>
        <w:rPr>
          <w:rFonts w:ascii="Arial" w:hAnsi="Arial"/>
          <w:b/>
          <w:sz w:val="20"/>
        </w:rPr>
      </w:pPr>
      <w:bookmarkStart w:id="16" w:name="item_3_defaults_upon_senior_securities"/>
      <w:bookmarkEnd w:id="16"/>
      <w:r>
        <w:rPr>
          <w:rFonts w:ascii="Arial" w:hAnsi="Arial"/>
          <w:b/>
          <w:sz w:val="20"/>
        </w:rPr>
        <w:t>Item 3. Defaults Upon Senior Securities.</w:t>
      </w:r>
    </w:p>
    <w:p>
      <w:pPr>
        <w:pStyle w:val="TextBody"/>
        <w:spacing w:lineRule="auto" w:line="273" w:before="280" w:after="0"/>
        <w:jc w:val="both"/>
        <w:rPr>
          <w:rFonts w:ascii="Arial" w:hAnsi="Arial"/>
          <w:b w:val="false"/>
          <w:sz w:val="20"/>
        </w:rPr>
      </w:pPr>
      <w:r>
        <w:rPr>
          <w:rFonts w:ascii="Arial" w:hAnsi="Arial"/>
          <w:b w:val="false"/>
          <w:sz w:val="20"/>
        </w:rPr>
        <w:t>Not applicable.</w:t>
      </w:r>
    </w:p>
    <w:p>
      <w:pPr>
        <w:pStyle w:val="TextBody"/>
        <w:spacing w:lineRule="auto" w:line="273" w:before="280" w:after="0"/>
        <w:jc w:val="both"/>
        <w:rPr>
          <w:rFonts w:ascii="Arial" w:hAnsi="Arial"/>
          <w:b/>
          <w:sz w:val="20"/>
        </w:rPr>
      </w:pPr>
      <w:bookmarkStart w:id="17" w:name="item_4_mine_safety_disclosures"/>
      <w:bookmarkEnd w:id="17"/>
      <w:r>
        <w:rPr>
          <w:rFonts w:ascii="Arial" w:hAnsi="Arial"/>
          <w:b/>
          <w:sz w:val="20"/>
        </w:rPr>
        <w:t>Item 4. Mine Safety Disclosures.</w:t>
      </w:r>
    </w:p>
    <w:p>
      <w:pPr>
        <w:pStyle w:val="TextBody"/>
        <w:spacing w:lineRule="auto" w:line="273" w:before="280" w:after="0"/>
        <w:jc w:val="both"/>
        <w:rPr>
          <w:rFonts w:ascii="Arial" w:hAnsi="Arial"/>
          <w:b w:val="false"/>
          <w:sz w:val="20"/>
        </w:rPr>
      </w:pPr>
      <w:r>
        <w:rPr>
          <w:rFonts w:ascii="Arial" w:hAnsi="Arial"/>
          <w:b w:val="false"/>
          <w:sz w:val="20"/>
        </w:rPr>
        <w:t>Not applicable.</w:t>
      </w:r>
    </w:p>
    <w:p>
      <w:pPr>
        <w:pStyle w:val="TextBody"/>
        <w:spacing w:lineRule="auto" w:line="273" w:before="240" w:after="0"/>
        <w:jc w:val="center"/>
        <w:rPr>
          <w:rFonts w:ascii="Arial" w:hAnsi="Arial"/>
          <w:b w:val="false"/>
          <w:sz w:val="20"/>
        </w:rPr>
      </w:pPr>
      <w:r>
        <w:rPr>
          <w:rFonts w:ascii="Arial" w:hAnsi="Arial"/>
          <w:b w:val="false"/>
          <w:sz w:val="20"/>
        </w:rPr>
        <w:t>89</w:t>
      </w:r>
    </w:p>
    <w:p>
      <w:pPr>
        <w:pStyle w:val="HorizontalLine"/>
        <w:rPr/>
      </w:pPr>
      <w:r>
        <w:rPr/>
      </w:r>
    </w:p>
    <w:p>
      <w:pPr>
        <w:pStyle w:val="TextBody"/>
        <w:spacing w:lineRule="auto" w:line="273" w:before="0" w:after="0"/>
        <w:jc w:val="left"/>
        <w:rPr/>
      </w:pPr>
      <w:r>
        <w:rPr/>
        <w:t> </w:t>
      </w:r>
    </w:p>
    <w:p>
      <w:pPr>
        <w:pStyle w:val="TextBody"/>
        <w:spacing w:lineRule="auto" w:line="273" w:before="280" w:after="0"/>
        <w:jc w:val="both"/>
        <w:rPr>
          <w:rFonts w:ascii="Arial" w:hAnsi="Arial"/>
          <w:b/>
          <w:sz w:val="20"/>
        </w:rPr>
      </w:pPr>
      <w:bookmarkStart w:id="18" w:name="item_5_or_information"/>
      <w:bookmarkEnd w:id="18"/>
      <w:r>
        <w:rPr>
          <w:rFonts w:ascii="Arial" w:hAnsi="Arial"/>
          <w:b/>
          <w:sz w:val="20"/>
        </w:rPr>
        <w:t>Item 5. Other Information.</w:t>
      </w:r>
    </w:p>
    <w:p>
      <w:pPr>
        <w:pStyle w:val="TextBody"/>
        <w:spacing w:lineRule="auto" w:line="273" w:before="280" w:after="0"/>
        <w:jc w:val="both"/>
        <w:rPr>
          <w:rFonts w:ascii="Arial" w:hAnsi="Arial"/>
          <w:b w:val="false"/>
          <w:sz w:val="20"/>
        </w:rPr>
      </w:pPr>
      <w:r>
        <w:rPr>
          <w:rFonts w:ascii="Arial" w:hAnsi="Arial"/>
          <w:b w:val="false"/>
          <w:sz w:val="20"/>
        </w:rPr>
        <w:t>Not applicable.</w:t>
      </w:r>
    </w:p>
    <w:p>
      <w:pPr>
        <w:pStyle w:val="TextBody"/>
        <w:spacing w:lineRule="auto" w:line="273" w:before="240" w:after="0"/>
        <w:jc w:val="center"/>
        <w:rPr>
          <w:rFonts w:ascii="Arial" w:hAnsi="Arial"/>
          <w:b w:val="false"/>
          <w:sz w:val="20"/>
        </w:rPr>
      </w:pPr>
      <w:r>
        <w:rPr>
          <w:rFonts w:ascii="Arial" w:hAnsi="Arial"/>
          <w:b w:val="false"/>
          <w:sz w:val="20"/>
        </w:rPr>
        <w:t>90</w:t>
      </w:r>
    </w:p>
    <w:p>
      <w:pPr>
        <w:pStyle w:val="HorizontalLine"/>
        <w:rPr/>
      </w:pPr>
      <w:r>
        <w:rPr/>
      </w:r>
    </w:p>
    <w:p>
      <w:pPr>
        <w:pStyle w:val="TextBody"/>
        <w:spacing w:lineRule="auto" w:line="273" w:before="0" w:after="0"/>
        <w:jc w:val="left"/>
        <w:rPr/>
      </w:pPr>
      <w:r>
        <w:rPr/>
        <w:t> </w:t>
      </w:r>
    </w:p>
    <w:p>
      <w:pPr>
        <w:pStyle w:val="TextBody"/>
        <w:spacing w:lineRule="auto" w:line="273" w:before="0" w:after="0"/>
        <w:jc w:val="both"/>
        <w:rPr>
          <w:rFonts w:ascii="Arial" w:hAnsi="Arial"/>
          <w:b/>
          <w:sz w:val="20"/>
        </w:rPr>
      </w:pPr>
      <w:bookmarkStart w:id="19" w:name="item_6_exhibits"/>
      <w:bookmarkEnd w:id="19"/>
      <w:r>
        <w:rPr>
          <w:rFonts w:ascii="Arial" w:hAnsi="Arial"/>
          <w:b/>
          <w:sz w:val="20"/>
        </w:rPr>
        <w:t>Item 6. Exhibits.</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790"/>
        <w:gridCol w:w="146"/>
        <w:gridCol w:w="6103"/>
        <w:gridCol w:w="526"/>
        <w:gridCol w:w="729"/>
        <w:gridCol w:w="661"/>
        <w:gridCol w:w="1250"/>
      </w:tblGrid>
      <w:tr>
        <w:trPr/>
        <w:tc>
          <w:tcPr>
            <w:tcW w:w="79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103"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r>
      <w:tr>
        <w:trPr/>
        <w:tc>
          <w:tcPr>
            <w:tcW w:w="79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10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3166" w:type="dxa"/>
            <w:gridSpan w:val="4"/>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Incorporated by Reference</w:t>
            </w:r>
          </w:p>
        </w:tc>
      </w:tr>
      <w:tr>
        <w:trPr/>
        <w:tc>
          <w:tcPr>
            <w:tcW w:w="790"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Exhibit</w:t>
            </w:r>
          </w:p>
          <w:p>
            <w:pPr>
              <w:pStyle w:val="TableContents"/>
              <w:spacing w:lineRule="auto" w:line="252" w:before="0" w:after="0"/>
              <w:ind w:left="0" w:right="0" w:hanging="0"/>
              <w:jc w:val="center"/>
              <w:rPr>
                <w:rFonts w:ascii="Arial" w:hAnsi="Arial"/>
                <w:b/>
                <w:sz w:val="16"/>
              </w:rPr>
            </w:pPr>
            <w:r>
              <w:rPr>
                <w:rFonts w:ascii="Arial" w:hAnsi="Arial"/>
                <w:b/>
                <w:sz w:val="16"/>
              </w:rPr>
              <w:t>Number</w:t>
            </w:r>
          </w:p>
        </w:tc>
        <w:tc>
          <w:tcPr>
            <w:tcW w:w="146"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103"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Description</w:t>
            </w:r>
          </w:p>
        </w:tc>
        <w:tc>
          <w:tcPr>
            <w:tcW w:w="526"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Form</w:t>
            </w:r>
          </w:p>
        </w:tc>
        <w:tc>
          <w:tcPr>
            <w:tcW w:w="729"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File No.</w:t>
            </w:r>
          </w:p>
        </w:tc>
        <w:tc>
          <w:tcPr>
            <w:tcW w:w="661"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Exhibit</w:t>
            </w:r>
          </w:p>
        </w:tc>
        <w:tc>
          <w:tcPr>
            <w:tcW w:w="1250"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Filing Date</w:t>
            </w:r>
          </w:p>
        </w:tc>
      </w:tr>
      <w:tr>
        <w:trPr/>
        <w:tc>
          <w:tcPr>
            <w:tcW w:w="79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10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2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25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79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r>
              <w:rPr>
                <w:rFonts w:ascii="Arial" w:hAnsi="Arial"/>
                <w:b w:val="false"/>
                <w:sz w:val="20"/>
              </w:rPr>
              <w:t>3.1</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10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r:id="rId3">
              <w:r>
                <w:rPr>
                  <w:rStyle w:val="InternetLink"/>
                  <w:rFonts w:ascii="Arial" w:hAnsi="Arial"/>
                  <w:b w:val="false"/>
                  <w:sz w:val="20"/>
                  <w:u w:val="single"/>
                </w:rPr>
                <w:t>Amended and Restated Certificate of Incorporation of the Company</w:t>
              </w:r>
            </w:hyperlink>
          </w:p>
        </w:tc>
        <w:tc>
          <w:tcPr>
            <w:tcW w:w="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Arial" w:hAnsi="Arial"/>
                <w:b w:val="false"/>
                <w:sz w:val="20"/>
              </w:rPr>
            </w:pPr>
            <w:r>
              <w:rPr>
                <w:rFonts w:ascii="Arial" w:hAnsi="Arial"/>
                <w:b w:val="false"/>
                <w:sz w:val="20"/>
              </w:rPr>
              <w:t>10-Q</w:t>
            </w:r>
          </w:p>
        </w:tc>
        <w:tc>
          <w:tcPr>
            <w:tcW w:w="72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Arial" w:hAnsi="Arial"/>
                <w:b w:val="false"/>
                <w:sz w:val="20"/>
              </w:rPr>
            </w:pPr>
            <w:r>
              <w:rPr>
                <w:rFonts w:ascii="Arial" w:hAnsi="Arial"/>
                <w:b w:val="false"/>
                <w:sz w:val="20"/>
              </w:rPr>
              <w:t>001-39503</w:t>
            </w:r>
          </w:p>
        </w:tc>
        <w:tc>
          <w:tcPr>
            <w:tcW w:w="6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Arial" w:hAnsi="Arial"/>
                <w:b w:val="false"/>
                <w:sz w:val="20"/>
              </w:rPr>
            </w:pPr>
            <w:r>
              <w:rPr>
                <w:rFonts w:ascii="Arial" w:hAnsi="Arial"/>
                <w:b w:val="false"/>
                <w:sz w:val="20"/>
              </w:rPr>
              <w:t>3.1</w:t>
            </w:r>
          </w:p>
        </w:tc>
        <w:tc>
          <w:tcPr>
            <w:tcW w:w="125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Arial" w:hAnsi="Arial"/>
                <w:b w:val="false"/>
                <w:sz w:val="20"/>
              </w:rPr>
            </w:pPr>
            <w:r>
              <w:rPr>
                <w:rFonts w:ascii="Arial" w:hAnsi="Arial"/>
                <w:b w:val="false"/>
                <w:sz w:val="20"/>
              </w:rPr>
              <w:t>November 12, 2020</w:t>
            </w:r>
          </w:p>
        </w:tc>
      </w:tr>
      <w:tr>
        <w:trPr/>
        <w:tc>
          <w:tcPr>
            <w:tcW w:w="79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10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72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6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125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r>
      <w:tr>
        <w:trPr/>
        <w:tc>
          <w:tcPr>
            <w:tcW w:w="79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r>
              <w:rPr>
                <w:rFonts w:ascii="Arial" w:hAnsi="Arial"/>
                <w:b w:val="false"/>
                <w:sz w:val="20"/>
              </w:rPr>
              <w:t>3.2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10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r:id="rId4">
              <w:r>
                <w:rPr>
                  <w:rStyle w:val="InternetLink"/>
                  <w:rFonts w:ascii="Arial" w:hAnsi="Arial"/>
                  <w:b w:val="false"/>
                  <w:sz w:val="20"/>
                  <w:u w:val="single"/>
                </w:rPr>
                <w:t>Amended and Restated Bylaws of the Company</w:t>
              </w:r>
            </w:hyperlink>
          </w:p>
        </w:tc>
        <w:tc>
          <w:tcPr>
            <w:tcW w:w="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Arial" w:hAnsi="Arial"/>
                <w:b w:val="false"/>
                <w:sz w:val="20"/>
              </w:rPr>
            </w:pPr>
            <w:r>
              <w:rPr>
                <w:rFonts w:ascii="Arial" w:hAnsi="Arial"/>
                <w:b w:val="false"/>
                <w:sz w:val="20"/>
              </w:rPr>
              <w:t>10-Q</w:t>
            </w:r>
          </w:p>
        </w:tc>
        <w:tc>
          <w:tcPr>
            <w:tcW w:w="72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Arial" w:hAnsi="Arial"/>
                <w:b w:val="false"/>
                <w:sz w:val="20"/>
              </w:rPr>
            </w:pPr>
            <w:r>
              <w:rPr>
                <w:rFonts w:ascii="Arial" w:hAnsi="Arial"/>
                <w:b w:val="false"/>
                <w:sz w:val="20"/>
              </w:rPr>
              <w:t>001-39503</w:t>
            </w:r>
          </w:p>
        </w:tc>
        <w:tc>
          <w:tcPr>
            <w:tcW w:w="6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Arial" w:hAnsi="Arial"/>
                <w:b w:val="false"/>
                <w:sz w:val="20"/>
              </w:rPr>
            </w:pPr>
            <w:r>
              <w:rPr>
                <w:rFonts w:ascii="Arial" w:hAnsi="Arial"/>
                <w:b w:val="false"/>
                <w:sz w:val="20"/>
              </w:rPr>
              <w:t>3.2</w:t>
            </w:r>
          </w:p>
        </w:tc>
        <w:tc>
          <w:tcPr>
            <w:tcW w:w="125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Arial" w:hAnsi="Arial"/>
                <w:b w:val="false"/>
                <w:sz w:val="20"/>
              </w:rPr>
            </w:pPr>
            <w:r>
              <w:rPr>
                <w:rFonts w:ascii="Arial" w:hAnsi="Arial"/>
                <w:b w:val="false"/>
                <w:sz w:val="20"/>
              </w:rPr>
              <w:t>November 12, 2020</w:t>
            </w:r>
          </w:p>
        </w:tc>
      </w:tr>
      <w:tr>
        <w:trPr/>
        <w:tc>
          <w:tcPr>
            <w:tcW w:w="79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10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72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6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125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r>
      <w:tr>
        <w:trPr/>
        <w:tc>
          <w:tcPr>
            <w:tcW w:w="79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10.1</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10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r:id="rId5">
              <w:r>
                <w:rPr>
                  <w:rStyle w:val="InternetLink"/>
                  <w:rFonts w:ascii="Arial" w:hAnsi="Arial"/>
                  <w:b w:val="false"/>
                  <w:sz w:val="20"/>
                  <w:u w:val="single"/>
                </w:rPr>
                <w:t>Outside Director Compensation Policy, as amended</w:t>
              </w:r>
            </w:hyperlink>
          </w:p>
        </w:tc>
        <w:tc>
          <w:tcPr>
            <w:tcW w:w="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Arial" w:hAnsi="Arial"/>
                <w:b w:val="false"/>
                <w:sz w:val="20"/>
              </w:rPr>
            </w:pPr>
            <w:r>
              <w:rPr>
                <w:rFonts w:ascii="Arial" w:hAnsi="Arial"/>
                <w:b w:val="false"/>
                <w:sz w:val="20"/>
              </w:rPr>
              <w:t>8-K</w:t>
            </w:r>
          </w:p>
        </w:tc>
        <w:tc>
          <w:tcPr>
            <w:tcW w:w="72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Arial" w:hAnsi="Arial"/>
                <w:b w:val="false"/>
                <w:sz w:val="20"/>
              </w:rPr>
            </w:pPr>
            <w:r>
              <w:rPr>
                <w:rFonts w:ascii="Arial" w:hAnsi="Arial"/>
                <w:b w:val="false"/>
                <w:sz w:val="20"/>
              </w:rPr>
              <w:t>001-39503</w:t>
            </w:r>
          </w:p>
        </w:tc>
        <w:tc>
          <w:tcPr>
            <w:tcW w:w="6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Arial" w:hAnsi="Arial"/>
                <w:b w:val="false"/>
                <w:sz w:val="20"/>
              </w:rPr>
            </w:pPr>
            <w:r>
              <w:rPr>
                <w:rFonts w:ascii="Arial" w:hAnsi="Arial"/>
                <w:b w:val="false"/>
                <w:sz w:val="20"/>
              </w:rPr>
              <w:t>10.2</w:t>
            </w:r>
          </w:p>
        </w:tc>
        <w:tc>
          <w:tcPr>
            <w:tcW w:w="125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Arial" w:hAnsi="Arial"/>
                <w:b w:val="false"/>
                <w:sz w:val="20"/>
              </w:rPr>
            </w:pPr>
            <w:r>
              <w:rPr>
                <w:rFonts w:ascii="Arial" w:hAnsi="Arial"/>
                <w:b w:val="false"/>
                <w:sz w:val="20"/>
              </w:rPr>
              <w:t>January 31, 2022</w:t>
            </w:r>
          </w:p>
        </w:tc>
      </w:tr>
      <w:tr>
        <w:trPr/>
        <w:tc>
          <w:tcPr>
            <w:tcW w:w="79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10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72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6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125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r>
      <w:tr>
        <w:trPr/>
        <w:tc>
          <w:tcPr>
            <w:tcW w:w="79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10.2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10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r:id="rId6">
              <w:r>
                <w:rPr>
                  <w:rStyle w:val="InternetLink"/>
                  <w:rFonts w:ascii="Arial" w:hAnsi="Arial"/>
                  <w:b w:val="false"/>
                  <w:sz w:val="20"/>
                  <w:u w:val="single"/>
                </w:rPr>
                <w:t>Amended and Restated Change in Control and Severance Agreement between the Registrant and Mark Litton, Ph.D.</w:t>
              </w:r>
            </w:hyperlink>
          </w:p>
        </w:tc>
        <w:tc>
          <w:tcPr>
            <w:tcW w:w="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Arial" w:hAnsi="Arial"/>
                <w:b w:val="false"/>
                <w:sz w:val="20"/>
              </w:rPr>
            </w:pPr>
            <w:r>
              <w:rPr>
                <w:rFonts w:ascii="Arial" w:hAnsi="Arial"/>
                <w:b w:val="false"/>
                <w:sz w:val="20"/>
              </w:rPr>
              <w:t>8-K</w:t>
            </w:r>
          </w:p>
        </w:tc>
        <w:tc>
          <w:tcPr>
            <w:tcW w:w="72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Arial" w:hAnsi="Arial"/>
                <w:b w:val="false"/>
                <w:sz w:val="20"/>
              </w:rPr>
            </w:pPr>
            <w:r>
              <w:rPr>
                <w:rFonts w:ascii="Arial" w:hAnsi="Arial"/>
                <w:b w:val="false"/>
                <w:sz w:val="20"/>
              </w:rPr>
              <w:t>001-39503</w:t>
            </w:r>
          </w:p>
        </w:tc>
        <w:tc>
          <w:tcPr>
            <w:tcW w:w="6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Arial" w:hAnsi="Arial"/>
                <w:b w:val="false"/>
                <w:sz w:val="20"/>
              </w:rPr>
            </w:pPr>
            <w:r>
              <w:rPr>
                <w:rFonts w:ascii="Arial" w:hAnsi="Arial"/>
                <w:b w:val="false"/>
                <w:sz w:val="20"/>
              </w:rPr>
              <w:t>10.1</w:t>
            </w:r>
          </w:p>
        </w:tc>
        <w:tc>
          <w:tcPr>
            <w:tcW w:w="125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Arial" w:hAnsi="Arial"/>
                <w:b w:val="false"/>
                <w:sz w:val="20"/>
              </w:rPr>
            </w:pPr>
            <w:r>
              <w:rPr>
                <w:rFonts w:ascii="Arial" w:hAnsi="Arial"/>
                <w:b w:val="false"/>
                <w:sz w:val="20"/>
              </w:rPr>
              <w:t>January 31, 2022</w:t>
            </w:r>
          </w:p>
        </w:tc>
      </w:tr>
      <w:tr>
        <w:trPr/>
        <w:tc>
          <w:tcPr>
            <w:tcW w:w="79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10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72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6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125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r>
      <w:tr>
        <w:trPr/>
        <w:tc>
          <w:tcPr>
            <w:tcW w:w="79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10.3</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10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r:id="rId7">
              <w:r>
                <w:rPr>
                  <w:rStyle w:val="InternetLink"/>
                  <w:rFonts w:ascii="Arial" w:hAnsi="Arial"/>
                  <w:b w:val="false"/>
                  <w:sz w:val="20"/>
                  <w:u w:val="single"/>
                </w:rPr>
                <w:t>Change in Control and Severance Agreement between the Registrant and Kevin Church</w:t>
              </w:r>
            </w:hyperlink>
          </w:p>
        </w:tc>
        <w:tc>
          <w:tcPr>
            <w:tcW w:w="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Arial" w:hAnsi="Arial"/>
                <w:b w:val="false"/>
                <w:sz w:val="20"/>
              </w:rPr>
            </w:pPr>
            <w:r>
              <w:rPr>
                <w:rFonts w:ascii="Arial" w:hAnsi="Arial"/>
                <w:b w:val="false"/>
                <w:sz w:val="20"/>
              </w:rPr>
              <w:t>10-K</w:t>
            </w:r>
          </w:p>
        </w:tc>
        <w:tc>
          <w:tcPr>
            <w:tcW w:w="72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Arial" w:hAnsi="Arial"/>
                <w:b w:val="false"/>
                <w:sz w:val="20"/>
              </w:rPr>
            </w:pPr>
            <w:r>
              <w:rPr>
                <w:rFonts w:ascii="Arial" w:hAnsi="Arial"/>
                <w:b w:val="false"/>
                <w:sz w:val="20"/>
              </w:rPr>
              <w:t>001-39503</w:t>
            </w:r>
          </w:p>
        </w:tc>
        <w:tc>
          <w:tcPr>
            <w:tcW w:w="6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Arial" w:hAnsi="Arial"/>
                <w:b w:val="false"/>
                <w:sz w:val="20"/>
              </w:rPr>
            </w:pPr>
            <w:r>
              <w:rPr>
                <w:rFonts w:ascii="Arial" w:hAnsi="Arial"/>
                <w:b w:val="false"/>
                <w:sz w:val="20"/>
              </w:rPr>
              <w:t>10.28</w:t>
            </w:r>
          </w:p>
        </w:tc>
        <w:tc>
          <w:tcPr>
            <w:tcW w:w="125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Arial" w:hAnsi="Arial"/>
                <w:b w:val="false"/>
                <w:sz w:val="20"/>
              </w:rPr>
            </w:pPr>
            <w:r>
              <w:rPr>
                <w:rFonts w:ascii="Arial" w:hAnsi="Arial"/>
                <w:b w:val="false"/>
                <w:sz w:val="20"/>
              </w:rPr>
              <w:t>March 28, 2022</w:t>
            </w:r>
          </w:p>
        </w:tc>
      </w:tr>
      <w:tr>
        <w:trPr/>
        <w:tc>
          <w:tcPr>
            <w:tcW w:w="79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10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2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25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79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r>
              <w:rPr>
                <w:rFonts w:ascii="Arial" w:hAnsi="Arial"/>
                <w:b w:val="false"/>
                <w:sz w:val="20"/>
              </w:rPr>
              <w:t>31.1</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10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atha-ex31_1.htm">
              <w:r>
                <w:rPr>
                  <w:rStyle w:val="InternetLink"/>
                  <w:rFonts w:ascii="Arial" w:hAnsi="Arial"/>
                  <w:b w:val="false"/>
                  <w:sz w:val="20"/>
                  <w:u w:val="single"/>
                </w:rPr>
                <w:t>Certification of Principal Executive Officer Pursuant to Rules 13a-14(a) and 15d-14(a) under the Securities Exchange Act of 1934, as Adopted Pursuant to Section 302 of the Sarbanes-Oxley Act of 2002.</w:t>
              </w:r>
            </w:hyperlink>
          </w:p>
        </w:tc>
        <w:tc>
          <w:tcPr>
            <w:tcW w:w="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2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25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79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10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2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25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79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r>
              <w:rPr>
                <w:rFonts w:ascii="Arial" w:hAnsi="Arial"/>
                <w:b w:val="false"/>
                <w:sz w:val="20"/>
              </w:rPr>
              <w:t>31.2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10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atha-ex31_2.htm">
              <w:r>
                <w:rPr>
                  <w:rStyle w:val="InternetLink"/>
                  <w:rFonts w:ascii="Arial" w:hAnsi="Arial"/>
                  <w:b w:val="false"/>
                  <w:sz w:val="20"/>
                  <w:u w:val="single"/>
                </w:rPr>
                <w:t>Certification of Principal Accounting and Financial Officer Pursuant to Rules 13a-14(a) and 15d-14(a) under the Securities Exchange Act of 1934, as Adopted Pursuant to Section 302 of the Sarbanes-Oxley Act of 2002.</w:t>
              </w:r>
            </w:hyperlink>
          </w:p>
        </w:tc>
        <w:tc>
          <w:tcPr>
            <w:tcW w:w="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2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25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79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10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2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25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79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r>
              <w:rPr>
                <w:rFonts w:ascii="Arial" w:hAnsi="Arial"/>
                <w:b w:val="false"/>
                <w:sz w:val="20"/>
              </w:rPr>
              <w:t>32.1*</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10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atha-ex32_1.htm">
              <w:r>
                <w:rPr>
                  <w:rStyle w:val="InternetLink"/>
                  <w:rFonts w:ascii="Arial" w:hAnsi="Arial"/>
                  <w:b w:val="false"/>
                  <w:sz w:val="20"/>
                  <w:u w:val="single"/>
                </w:rPr>
                <w:t>Certification of Principal Executive Officer Pursuant to 18 U.S.C. Section 1350, as Adopted Pursuant to Section 906 of the Sarbanes-Oxley Act of 2002.</w:t>
              </w:r>
            </w:hyperlink>
          </w:p>
        </w:tc>
        <w:tc>
          <w:tcPr>
            <w:tcW w:w="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2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25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79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10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2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25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79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r>
              <w:rPr>
                <w:rFonts w:ascii="Arial" w:hAnsi="Arial"/>
                <w:b w:val="false"/>
                <w:sz w:val="20"/>
              </w:rPr>
              <w:t>32.2*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10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atha-ex32_2.htm">
              <w:r>
                <w:rPr>
                  <w:rStyle w:val="InternetLink"/>
                  <w:rFonts w:ascii="Arial" w:hAnsi="Arial"/>
                  <w:b w:val="false"/>
                  <w:sz w:val="20"/>
                  <w:u w:val="single"/>
                </w:rPr>
                <w:t>Certification of Principal Accounting and Financial Officer Pursuant to 18 U.S.C. Section 1350, as Adopted Pursuant to Section 906 of the Sarbanes-Oxley Act of 2002.</w:t>
              </w:r>
            </w:hyperlink>
          </w:p>
        </w:tc>
        <w:tc>
          <w:tcPr>
            <w:tcW w:w="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2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25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79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10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2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25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79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101.INS</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10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Inline XBRL Instance Document</w:t>
            </w:r>
          </w:p>
        </w:tc>
        <w:tc>
          <w:tcPr>
            <w:tcW w:w="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2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25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79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10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2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25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79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101.SCH</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10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Inline XBRL Taxonomy Extension Schema Document</w:t>
            </w:r>
          </w:p>
        </w:tc>
        <w:tc>
          <w:tcPr>
            <w:tcW w:w="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2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25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79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10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2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25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79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101.CAL</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10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Inline XBRL Taxonomy Extension Calculation Linkbase Document</w:t>
            </w:r>
          </w:p>
        </w:tc>
        <w:tc>
          <w:tcPr>
            <w:tcW w:w="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2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25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79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10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2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25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79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101.DEF</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10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Inline XBRL Taxonomy Extension Definition Linkbase Document</w:t>
            </w:r>
          </w:p>
        </w:tc>
        <w:tc>
          <w:tcPr>
            <w:tcW w:w="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2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25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79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10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2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25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79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101.LAB</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10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Inline XBRL Taxonomy Extension Label Linkbase Document</w:t>
            </w:r>
          </w:p>
        </w:tc>
        <w:tc>
          <w:tcPr>
            <w:tcW w:w="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2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25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79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10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2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25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79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101.PRE</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10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Inline XBRL Taxonomy Extension Presentation Linkbase Document</w:t>
            </w:r>
          </w:p>
        </w:tc>
        <w:tc>
          <w:tcPr>
            <w:tcW w:w="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2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25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79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10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2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25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79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104</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10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Cover Page Interactive Data File (formatted in Inline XBRL and included in Exhibit 101)</w:t>
            </w:r>
          </w:p>
        </w:tc>
        <w:tc>
          <w:tcPr>
            <w:tcW w:w="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2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25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bl>
    <w:p>
      <w:pPr>
        <w:pStyle w:val="TextBody"/>
        <w:pBdr>
          <w:bottom w:val="single" w:sz="4" w:space="1" w:color="000000"/>
        </w:pBdr>
        <w:spacing w:lineRule="auto" w:line="273" w:before="0" w:after="0"/>
        <w:jc w:val="both"/>
        <w:rPr/>
      </w:pPr>
      <w:r>
        <w:rPr/>
        <w:t> </w:t>
      </w:r>
    </w:p>
    <w:p>
      <w:pPr>
        <w:pStyle w:val="TextBody"/>
        <w:spacing w:lineRule="auto" w:line="273" w:before="40" w:after="0"/>
        <w:jc w:val="both"/>
        <w:rPr>
          <w:rFonts w:ascii="Arial" w:hAnsi="Arial"/>
          <w:b w:val="false"/>
          <w:sz w:val="16"/>
        </w:rPr>
      </w:pPr>
      <w:r>
        <w:rPr>
          <w:rFonts w:ascii="Arial" w:hAnsi="Arial"/>
          <w:b w:val="false"/>
          <w:sz w:val="16"/>
        </w:rPr>
        <w:t>* The certifications filed as Exhibits 32.1 and 32.2 are not deemed “filed” for purposes of Section 18 of the Securities Exchange Act of 1934 and are not to be incorporated by reference into any filing of the Company under the Securities Exchange Act of 1933 or the Securities Exchange Act of 1934, whether made before or after the date hereof irrespective of any general incorporation by reference language contained in any such filing, except to the extent that the registrant specifically incorporates it by reference.</w:t>
      </w:r>
    </w:p>
    <w:p>
      <w:pPr>
        <w:pStyle w:val="TextBody"/>
        <w:spacing w:lineRule="auto" w:line="273" w:before="40" w:after="0"/>
        <w:jc w:val="both"/>
        <w:rPr>
          <w:rFonts w:ascii="Arial" w:hAnsi="Arial"/>
          <w:b w:val="false"/>
          <w:sz w:val="16"/>
        </w:rPr>
      </w:pPr>
      <w:r>
        <w:rPr>
          <w:rFonts w:ascii="Arial" w:hAnsi="Arial"/>
          <w:b w:val="false"/>
          <w:sz w:val="16"/>
        </w:rPr>
        <w:t>+ Indicates a management contract or compensatory plan.</w:t>
      </w:r>
    </w:p>
    <w:p>
      <w:pPr>
        <w:pStyle w:val="TextBody"/>
        <w:spacing w:lineRule="auto" w:line="273" w:before="0" w:after="0"/>
        <w:jc w:val="both"/>
        <w:rPr/>
      </w:pPr>
      <w:r>
        <w:rPr/>
        <w:t> </w:t>
      </w:r>
    </w:p>
    <w:p>
      <w:pPr>
        <w:pStyle w:val="TextBody"/>
        <w:spacing w:lineRule="auto" w:line="273" w:before="0" w:after="0"/>
        <w:jc w:val="both"/>
        <w:rPr/>
      </w:pPr>
      <w:r>
        <w:rPr/>
        <w:t> </w:t>
      </w:r>
    </w:p>
    <w:p>
      <w:pPr>
        <w:pStyle w:val="TextBody"/>
        <w:spacing w:lineRule="auto" w:line="273" w:before="240" w:after="0"/>
        <w:jc w:val="center"/>
        <w:rPr>
          <w:rFonts w:ascii="Arial" w:hAnsi="Arial"/>
          <w:b w:val="false"/>
          <w:sz w:val="20"/>
        </w:rPr>
      </w:pPr>
      <w:r>
        <w:rPr>
          <w:rFonts w:ascii="Arial" w:hAnsi="Arial"/>
          <w:b w:val="false"/>
          <w:sz w:val="20"/>
        </w:rPr>
        <w:t>91</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Arial" w:hAnsi="Arial"/>
          <w:b/>
          <w:sz w:val="20"/>
        </w:rPr>
      </w:pPr>
      <w:bookmarkStart w:id="20" w:name="signatures"/>
      <w:bookmarkEnd w:id="20"/>
      <w:r>
        <w:rPr>
          <w:rFonts w:ascii="Arial" w:hAnsi="Arial"/>
          <w:b/>
          <w:sz w:val="20"/>
        </w:rPr>
        <w:t>SIGNATURES</w:t>
      </w:r>
    </w:p>
    <w:p>
      <w:pPr>
        <w:pStyle w:val="TextBody"/>
        <w:spacing w:lineRule="auto" w:line="273" w:before="280" w:after="0"/>
        <w:jc w:val="both"/>
        <w:rPr>
          <w:rFonts w:ascii="Arial" w:hAnsi="Arial"/>
          <w:b w:val="false"/>
          <w:sz w:val="20"/>
        </w:rPr>
      </w:pPr>
      <w:r>
        <w:rPr>
          <w:rFonts w:ascii="Arial" w:hAnsi="Arial"/>
          <w:b w:val="false"/>
          <w:sz w:val="20"/>
        </w:rPr>
        <w:t>Pursuant to the requirements of the Securities Exchange Act of 1934, the registrant has duly caused this report to be signed on its behalf by the undersigned thereunto duly authorized.</w:t>
      </w:r>
    </w:p>
    <w:p>
      <w:pPr>
        <w:pStyle w:val="TextBody"/>
        <w:spacing w:lineRule="auto" w:line="273" w:before="0" w:after="0"/>
        <w:jc w:val="both"/>
        <w:rPr/>
      </w:pPr>
      <w:r>
        <w:rPr/>
        <w:t> </w:t>
      </w:r>
    </w:p>
    <w:tbl>
      <w:tblPr>
        <w:tblW w:w="8384" w:type="dxa"/>
        <w:jc w:val="left"/>
        <w:tblInd w:w="0" w:type="dxa"/>
        <w:tblCellMar>
          <w:top w:w="28" w:type="dxa"/>
          <w:left w:w="28" w:type="dxa"/>
          <w:bottom w:w="28" w:type="dxa"/>
          <w:right w:w="28" w:type="dxa"/>
        </w:tblCellMar>
      </w:tblPr>
      <w:tblGrid>
        <w:gridCol w:w="1831"/>
        <w:gridCol w:w="146"/>
        <w:gridCol w:w="406"/>
        <w:gridCol w:w="6001"/>
      </w:tblGrid>
      <w:tr>
        <w:trPr/>
        <w:tc>
          <w:tcPr>
            <w:tcW w:w="18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6001" w:type="dxa"/>
            <w:tcBorders/>
            <w:shd w:fill="auto" w:val="clear"/>
            <w:vAlign w:val="center"/>
          </w:tcPr>
          <w:p>
            <w:pPr>
              <w:pStyle w:val="TableContents"/>
              <w:spacing w:before="0" w:after="283"/>
              <w:rPr>
                <w:sz w:val="4"/>
                <w:szCs w:val="4"/>
              </w:rPr>
            </w:pPr>
            <w:r>
              <w:rPr>
                <w:sz w:val="4"/>
                <w:szCs w:val="4"/>
              </w:rPr>
            </w:r>
          </w:p>
        </w:tc>
      </w:tr>
      <w:tr>
        <w:trPr/>
        <w:tc>
          <w:tcPr>
            <w:tcW w:w="18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407"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sz w:val="20"/>
              </w:rPr>
            </w:pPr>
            <w:r>
              <w:rPr>
                <w:rFonts w:ascii="Arial" w:hAnsi="Arial"/>
                <w:b/>
                <w:sz w:val="20"/>
              </w:rPr>
              <w:t>Athira Pharma, Inc.</w:t>
            </w:r>
          </w:p>
        </w:tc>
      </w:tr>
      <w:tr>
        <w:trPr/>
        <w:tc>
          <w:tcPr>
            <w:tcW w:w="18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0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18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Date: May 12, 2022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By:</w:t>
            </w:r>
          </w:p>
        </w:tc>
        <w:tc>
          <w:tcPr>
            <w:tcW w:w="600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/s/ Mark Litton</w:t>
            </w:r>
          </w:p>
        </w:tc>
      </w:tr>
      <w:tr>
        <w:trPr/>
        <w:tc>
          <w:tcPr>
            <w:tcW w:w="18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0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Mark Litton</w:t>
            </w:r>
          </w:p>
        </w:tc>
      </w:tr>
      <w:tr>
        <w:trPr/>
        <w:tc>
          <w:tcPr>
            <w:tcW w:w="18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0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sz w:val="24"/>
              </w:rPr>
            </w:pPr>
            <w:r>
              <w:rPr>
                <w:rFonts w:ascii="Arial" w:hAnsi="Arial"/>
                <w:b w:val="false"/>
                <w:sz w:val="20"/>
              </w:rPr>
              <w:t>President and Chief Executive Officer (</w:t>
            </w:r>
            <w:r>
              <w:rPr>
                <w:rFonts w:ascii="Arial" w:hAnsi="Arial"/>
                <w:b w:val="false"/>
                <w:i/>
                <w:sz w:val="20"/>
              </w:rPr>
              <w:t>Principal Executive Officer</w:t>
            </w:r>
            <w:r>
              <w:rPr>
                <w:rFonts w:ascii="Arial" w:hAnsi="Arial"/>
                <w:b w:val="false"/>
                <w:sz w:val="20"/>
              </w:rPr>
              <w:t>)</w:t>
            </w:r>
            <w:r>
              <w:rPr>
                <w:rFonts w:ascii="Times New Roman" w:hAnsi="Times New Roman"/>
                <w:sz w:val="24"/>
              </w:rPr>
              <w:t xml:space="preserve"> </w:t>
            </w:r>
          </w:p>
        </w:tc>
      </w:tr>
      <w:tr>
        <w:trPr/>
        <w:tc>
          <w:tcPr>
            <w:tcW w:w="18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0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18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Date: May 12, 2022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By:</w:t>
            </w:r>
          </w:p>
        </w:tc>
        <w:tc>
          <w:tcPr>
            <w:tcW w:w="600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/s/ Glenna Mileson</w:t>
            </w:r>
          </w:p>
        </w:tc>
      </w:tr>
      <w:tr>
        <w:trPr/>
        <w:tc>
          <w:tcPr>
            <w:tcW w:w="18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0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Glenna Mileson</w:t>
            </w:r>
          </w:p>
        </w:tc>
      </w:tr>
      <w:tr>
        <w:trPr/>
        <w:tc>
          <w:tcPr>
            <w:tcW w:w="18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0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sz w:val="20"/>
              </w:rPr>
            </w:pPr>
            <w:r>
              <w:rPr>
                <w:rFonts w:ascii="Arial" w:hAnsi="Arial"/>
                <w:b w:val="false"/>
                <w:sz w:val="20"/>
              </w:rPr>
              <w:t>Chief Financial Officer (</w:t>
            </w:r>
            <w:r>
              <w:rPr>
                <w:rFonts w:ascii="Arial" w:hAnsi="Arial"/>
                <w:b w:val="false"/>
                <w:i/>
                <w:sz w:val="20"/>
              </w:rPr>
              <w:t>Principal Financial and Accounting Officer</w:t>
            </w:r>
            <w:r>
              <w:rPr>
                <w:rFonts w:ascii="Arial" w:hAnsi="Arial"/>
                <w:b w:val="false"/>
                <w:sz w:val="20"/>
              </w:rPr>
              <w:t>)</w:t>
            </w:r>
          </w:p>
        </w:tc>
      </w:tr>
    </w:tbl>
    <w:p>
      <w:pPr>
        <w:pStyle w:val="TextBody"/>
        <w:spacing w:lineRule="auto" w:line="273" w:before="0" w:after="0"/>
        <w:jc w:val="both"/>
        <w:rPr/>
      </w:pPr>
      <w:r>
        <w:rPr/>
        <w:t> </w:t>
      </w:r>
    </w:p>
    <w:p>
      <w:pPr>
        <w:pStyle w:val="TextBody"/>
        <w:spacing w:lineRule="auto" w:line="273" w:before="240" w:after="0"/>
        <w:jc w:val="center"/>
        <w:rPr>
          <w:rFonts w:ascii="Arial" w:hAnsi="Arial"/>
          <w:b w:val="false"/>
          <w:sz w:val="20"/>
        </w:rPr>
      </w:pPr>
      <w:r>
        <w:rPr>
          <w:rFonts w:ascii="Arial" w:hAnsi="Arial"/>
          <w:b w:val="false"/>
          <w:sz w:val="20"/>
        </w:rPr>
        <w:t>92</w:t>
      </w:r>
    </w:p>
    <w:p>
      <w:pPr>
        <w:pStyle w:val="HorizontalLine"/>
        <w:rPr/>
      </w:pPr>
      <w:r>
        <w:rPr/>
      </w:r>
      <w:r>
        <w:br w:type="page"/>
      </w:r>
    </w:p>
    <w:p>
      <w:pPr>
        <w:pStyle w:val="TextBody"/>
        <w:spacing w:lineRule="auto" w:line="283" w:before="0" w:after="0"/>
        <w:jc w:val="left"/>
        <w:rPr/>
      </w:pPr>
      <w:bookmarkStart w:id="21" w:name="atha-ex31_1.htm"/>
      <w:bookmarkStart w:id="22" w:name="ksathaex31_1"/>
      <w:bookmarkEnd w:id="21"/>
      <w:bookmarkEnd w:id="22"/>
      <w:r>
        <w:rPr/>
        <w:t> </w:t>
      </w:r>
    </w:p>
    <w:p>
      <w:pPr>
        <w:pStyle w:val="TextBody"/>
        <w:spacing w:lineRule="auto" w:line="283" w:before="0" w:after="0"/>
        <w:jc w:val="right"/>
        <w:rPr>
          <w:rFonts w:ascii="Times New Roman" w:hAnsi="Times New Roman"/>
          <w:b/>
          <w:sz w:val="20"/>
        </w:rPr>
      </w:pPr>
      <w:r>
        <w:rPr>
          <w:rFonts w:ascii="Times New Roman" w:hAnsi="Times New Roman"/>
          <w:b/>
          <w:sz w:val="20"/>
        </w:rPr>
        <w:t>Exhibit 31.1</w:t>
      </w:r>
    </w:p>
    <w:p>
      <w:pPr>
        <w:pStyle w:val="TextBody"/>
        <w:spacing w:lineRule="auto" w:line="273" w:before="0" w:after="0"/>
        <w:jc w:val="center"/>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CERTIFICATION OF THE PRINCIPAL EXECUTIVE OFFICER PURSUANT TO SECTION 302 OF THE SARBANES-OXLEY ACT OF 2002</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I, Mark Litton, certify that:</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1.</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I have reviewed this Quarterly Report on Form 10-Q of Athira Pharma, Inc.;</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2.</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3.</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4.</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a)</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b)</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c)</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d)</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5.</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a)</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b)</w:t>
      </w:r>
    </w:p>
    <w:p>
      <w:pPr>
        <w:pStyle w:val="TextBody"/>
        <w:spacing w:lineRule="auto" w:line="283" w:before="240" w:after="283"/>
        <w:jc w:val="left"/>
        <w:rPr>
          <w:rFonts w:ascii="Times New Roman" w:hAnsi="Times New Roman"/>
          <w:b w:val="false"/>
          <w:sz w:val="20"/>
        </w:rPr>
      </w:pPr>
      <w:r>
        <w:rPr>
          <w:rFonts w:ascii="Times New Roman" w:hAnsi="Times New Roman"/>
          <w:b w:val="false"/>
          <w:sz w:val="20"/>
        </w:rPr>
        <w:t>Any fraud, whether or not material, that involves management or other employees who have a significant role in the registrant’s internal control over financial reporting.</w:t>
      </w:r>
    </w:p>
    <w:p>
      <w:pPr>
        <w:pStyle w:val="TextBody"/>
        <w:spacing w:lineRule="auto" w:line="283" w:before="240" w:after="100"/>
        <w:jc w:val="left"/>
        <w:rPr>
          <w:rFonts w:ascii="Times New Roman" w:hAnsi="Times New Roman"/>
          <w:sz w:val="20"/>
        </w:rPr>
      </w:pPr>
      <w:r>
        <w:rPr>
          <w:rFonts w:ascii="Times New Roman" w:hAnsi="Times New Roman"/>
          <w:b w:val="false"/>
          <w:sz w:val="20"/>
        </w:rPr>
        <w:t>Date: May 12, 2022</w:t>
      </w:r>
      <w:r>
        <w:rPr>
          <w:rFonts w:ascii="Times New Roman" w:hAnsi="Times New Roman"/>
          <w:sz w:val="20"/>
        </w:rPr>
        <w:t xml:space="preserve"> </w:t>
      </w:r>
    </w:p>
    <w:tbl>
      <w:tblPr>
        <w:tblW w:w="3402" w:type="dxa"/>
        <w:jc w:val="left"/>
        <w:tblInd w:w="0" w:type="dxa"/>
        <w:tblCellMar>
          <w:top w:w="28" w:type="dxa"/>
          <w:left w:w="28" w:type="dxa"/>
          <w:bottom w:w="28" w:type="dxa"/>
          <w:right w:w="28" w:type="dxa"/>
        </w:tblCellMar>
      </w:tblPr>
      <w:tblGrid>
        <w:gridCol w:w="3211"/>
        <w:gridCol w:w="191"/>
      </w:tblGrid>
      <w:tr>
        <w:trPr/>
        <w:tc>
          <w:tcPr>
            <w:tcW w:w="321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211" w:type="dxa"/>
            <w:tcBorders>
              <w:bottom w:val="single" w:sz="8" w:space="0" w:color="000000"/>
            </w:tcBorders>
            <w:shd w:fill="auto" w:val="clear"/>
            <w:tcMar>
              <w:top w:w="0" w:type="dxa"/>
              <w:left w:w="0" w:type="dxa"/>
              <w:right w:w="0" w:type="dxa"/>
            </w:tcMar>
            <w:vAlign w:val="center"/>
          </w:tcPr>
          <w:p>
            <w:pPr>
              <w:pStyle w:val="TableContents"/>
              <w:spacing w:lineRule="auto" w:line="208" w:before="53" w:after="30"/>
              <w:ind w:left="0" w:right="0" w:hanging="0"/>
              <w:jc w:val="left"/>
              <w:rPr>
                <w:rFonts w:ascii="Times New Roman" w:hAnsi="Times New Roman"/>
                <w:b w:val="false"/>
                <w:sz w:val="20"/>
              </w:rPr>
            </w:pPr>
            <w:r>
              <w:rPr>
                <w:rFonts w:ascii="Times New Roman" w:hAnsi="Times New Roman"/>
                <w:b w:val="false"/>
                <w:sz w:val="20"/>
              </w:rPr>
              <w:t>/s/ Mark Litton</w:t>
            </w:r>
          </w:p>
        </w:tc>
        <w:tc>
          <w:tcPr>
            <w:tcW w:w="191"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211" w:type="dxa"/>
            <w:tcBorders/>
            <w:shd w:fill="auto" w:val="clear"/>
            <w:tcMar>
              <w:top w:w="0" w:type="dxa"/>
              <w:left w:w="0" w:type="dxa"/>
              <w:bottom w:w="0" w:type="dxa"/>
              <w:right w:w="0" w:type="dxa"/>
            </w:tcMar>
            <w:vAlign w:val="center"/>
          </w:tcPr>
          <w:p>
            <w:pPr>
              <w:pStyle w:val="TableContents"/>
              <w:spacing w:lineRule="auto" w:line="208" w:before="33" w:after="30"/>
              <w:ind w:left="0" w:right="0" w:hanging="0"/>
              <w:jc w:val="left"/>
              <w:rPr>
                <w:rFonts w:ascii="Times New Roman" w:hAnsi="Times New Roman"/>
                <w:b w:val="false"/>
                <w:sz w:val="20"/>
              </w:rPr>
            </w:pPr>
            <w:r>
              <w:rPr>
                <w:rFonts w:ascii="Times New Roman" w:hAnsi="Times New Roman"/>
                <w:b w:val="false"/>
                <w:sz w:val="20"/>
              </w:rPr>
              <w:t>Mark Litton</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211" w:type="dxa"/>
            <w:tcBorders/>
            <w:shd w:fill="auto" w:val="clear"/>
            <w:tcMar>
              <w:top w:w="0" w:type="dxa"/>
              <w:left w:w="0" w:type="dxa"/>
              <w:bottom w:w="0" w:type="dxa"/>
              <w:right w:w="0" w:type="dxa"/>
            </w:tcMar>
            <w:vAlign w:val="center"/>
          </w:tcPr>
          <w:p>
            <w:pPr>
              <w:pStyle w:val="TableContents"/>
              <w:spacing w:lineRule="auto" w:line="208" w:before="53" w:after="30"/>
              <w:ind w:left="0" w:right="0" w:hanging="0"/>
              <w:jc w:val="left"/>
              <w:rPr>
                <w:rFonts w:ascii="Times New Roman" w:hAnsi="Times New Roman"/>
                <w:b w:val="false"/>
                <w:i/>
                <w:sz w:val="20"/>
              </w:rPr>
            </w:pPr>
            <w:r>
              <w:rPr>
                <w:rFonts w:ascii="Times New Roman" w:hAnsi="Times New Roman"/>
                <w:b w:val="false"/>
                <w:i/>
                <w:sz w:val="20"/>
              </w:rPr>
              <w:t>President and Chief Executive Officer</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211" w:type="dxa"/>
            <w:tcBorders/>
            <w:shd w:fill="auto" w:val="clear"/>
            <w:tcMar>
              <w:top w:w="0" w:type="dxa"/>
              <w:left w:w="0" w:type="dxa"/>
              <w:bottom w:w="0" w:type="dxa"/>
              <w:right w:w="0" w:type="dxa"/>
            </w:tcMar>
            <w:vAlign w:val="center"/>
          </w:tcPr>
          <w:p>
            <w:pPr>
              <w:pStyle w:val="TableContents"/>
              <w:spacing w:lineRule="auto" w:line="208" w:before="53" w:after="30"/>
              <w:ind w:left="0" w:right="0" w:hanging="0"/>
              <w:jc w:val="left"/>
              <w:rPr>
                <w:rFonts w:ascii="Times New Roman" w:hAnsi="Times New Roman"/>
                <w:b w:val="false"/>
                <w:i/>
                <w:sz w:val="20"/>
              </w:rPr>
            </w:pPr>
            <w:r>
              <w:rPr>
                <w:rFonts w:ascii="Times New Roman" w:hAnsi="Times New Roman"/>
                <w:b w:val="false"/>
                <w:i/>
                <w:sz w:val="20"/>
              </w:rPr>
              <w:t>(Principal Executive Officer)</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83" w:before="0" w:after="0"/>
        <w:jc w:val="left"/>
        <w:rPr/>
      </w:pPr>
      <w:r>
        <w:rPr/>
        <w:t> </w:t>
      </w:r>
    </w:p>
    <w:p>
      <w:pPr>
        <w:pStyle w:val="HorizontalLine"/>
        <w:rPr/>
      </w:pPr>
      <w:r>
        <w:rPr/>
      </w:r>
    </w:p>
    <w:p>
      <w:pPr>
        <w:pStyle w:val="TextBody"/>
        <w:spacing w:lineRule="auto" w:line="283" w:before="0" w:after="0"/>
        <w:jc w:val="left"/>
        <w:rPr/>
      </w:pPr>
      <w:r>
        <w:rPr/>
        <w:t> </w:t>
      </w:r>
    </w:p>
    <w:p>
      <w:pPr>
        <w:pStyle w:val="TextBody"/>
        <w:spacing w:lineRule="auto" w:line="283" w:before="100" w:after="0"/>
        <w:jc w:val="left"/>
        <w:rPr/>
      </w:pPr>
      <w:r>
        <w:rPr/>
        <w:t> </w:t>
      </w:r>
    </w:p>
    <w:p>
      <w:pPr>
        <w:pStyle w:val="TextBody"/>
        <w:spacing w:lineRule="auto" w:line="283" w:before="0" w:after="0"/>
        <w:jc w:val="left"/>
        <w:rPr/>
      </w:pPr>
      <w:r>
        <w:rPr/>
        <w:t> </w:t>
      </w:r>
    </w:p>
    <w:p>
      <w:pPr>
        <w:pStyle w:val="HorizontalLine"/>
        <w:rPr/>
      </w:pPr>
      <w:r>
        <w:rPr/>
      </w:r>
      <w:r>
        <w:br w:type="page"/>
      </w:r>
    </w:p>
    <w:p>
      <w:pPr>
        <w:pStyle w:val="TextBody"/>
        <w:spacing w:lineRule="auto" w:line="283" w:before="0" w:after="0"/>
        <w:jc w:val="left"/>
        <w:rPr/>
      </w:pPr>
      <w:bookmarkStart w:id="23" w:name="atha-ex31_2.htm"/>
      <w:bookmarkStart w:id="24" w:name="ksathaex31_2"/>
      <w:bookmarkEnd w:id="23"/>
      <w:bookmarkEnd w:id="24"/>
      <w:r>
        <w:rPr/>
        <w:t> </w:t>
      </w:r>
    </w:p>
    <w:p>
      <w:pPr>
        <w:pStyle w:val="TextBody"/>
        <w:spacing w:lineRule="auto" w:line="283" w:before="0" w:after="0"/>
        <w:jc w:val="right"/>
        <w:rPr>
          <w:rFonts w:ascii="Times New Roman" w:hAnsi="Times New Roman"/>
          <w:b/>
          <w:sz w:val="20"/>
        </w:rPr>
      </w:pPr>
      <w:r>
        <w:rPr>
          <w:rFonts w:ascii="Times New Roman" w:hAnsi="Times New Roman"/>
          <w:b/>
          <w:sz w:val="20"/>
        </w:rPr>
        <w:t>Exhibit 31.2</w:t>
      </w:r>
    </w:p>
    <w:p>
      <w:pPr>
        <w:pStyle w:val="TextBody"/>
        <w:spacing w:lineRule="auto" w:line="273" w:before="0" w:after="0"/>
        <w:jc w:val="center"/>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CERTIFICATION OF THE PRINCIPAL FINANCIAL OFFICER PURSUANT TO SECTION 302 OF THE SARBANES-OXLEY ACT OF 2002</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I, Glenna Mileson, certify that:</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1.</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I have reviewed this Quarterly Report on Form 10-Q of Athira Pharma, Inc.;</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2.</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3.</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4.</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a)</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b)</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c)</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d)</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5.</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a)</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3" w:before="240" w:after="0"/>
        <w:jc w:val="left"/>
        <w:rPr>
          <w:rFonts w:ascii="Times New Roman" w:hAnsi="Times New Roman"/>
          <w:b w:val="false"/>
          <w:sz w:val="20"/>
        </w:rPr>
      </w:pPr>
      <w:r>
        <w:rPr>
          <w:rFonts w:ascii="Times New Roman" w:hAnsi="Times New Roman"/>
          <w:b w:val="false"/>
          <w:sz w:val="20"/>
        </w:rPr>
        <w:t>b)</w:t>
      </w:r>
    </w:p>
    <w:p>
      <w:pPr>
        <w:pStyle w:val="TextBody"/>
        <w:spacing w:lineRule="auto" w:line="283" w:before="240" w:after="283"/>
        <w:jc w:val="left"/>
        <w:rPr>
          <w:rFonts w:ascii="Times New Roman" w:hAnsi="Times New Roman"/>
          <w:b w:val="false"/>
          <w:sz w:val="20"/>
        </w:rPr>
      </w:pPr>
      <w:r>
        <w:rPr>
          <w:rFonts w:ascii="Times New Roman" w:hAnsi="Times New Roman"/>
          <w:b w:val="false"/>
          <w:sz w:val="20"/>
        </w:rPr>
        <w:t>Any fraud, whether or not material, that involves management or other employees who have a significant role in the registrant’s internal control over financial reporting.</w:t>
      </w:r>
    </w:p>
    <w:p>
      <w:pPr>
        <w:pStyle w:val="TextBody"/>
        <w:spacing w:lineRule="auto" w:line="283" w:before="240" w:after="100"/>
        <w:jc w:val="left"/>
        <w:rPr>
          <w:rFonts w:ascii="Times New Roman" w:hAnsi="Times New Roman"/>
          <w:b w:val="false"/>
          <w:sz w:val="20"/>
        </w:rPr>
      </w:pPr>
      <w:r>
        <w:rPr>
          <w:rFonts w:ascii="Times New Roman" w:hAnsi="Times New Roman"/>
          <w:b w:val="false"/>
          <w:sz w:val="20"/>
        </w:rPr>
        <w:t>Date: May 12, 2022</w:t>
      </w:r>
    </w:p>
    <w:tbl>
      <w:tblPr>
        <w:tblW w:w="4032" w:type="dxa"/>
        <w:jc w:val="left"/>
        <w:tblInd w:w="0" w:type="dxa"/>
        <w:tblCellMar>
          <w:top w:w="28" w:type="dxa"/>
          <w:left w:w="28" w:type="dxa"/>
          <w:bottom w:w="28" w:type="dxa"/>
          <w:right w:w="28" w:type="dxa"/>
        </w:tblCellMar>
      </w:tblPr>
      <w:tblGrid>
        <w:gridCol w:w="3841"/>
        <w:gridCol w:w="191"/>
      </w:tblGrid>
      <w:tr>
        <w:trPr/>
        <w:tc>
          <w:tcPr>
            <w:tcW w:w="384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841" w:type="dxa"/>
            <w:tcBorders>
              <w:bottom w:val="single" w:sz="8" w:space="0" w:color="000000"/>
            </w:tcBorders>
            <w:shd w:fill="auto" w:val="clear"/>
            <w:tcMar>
              <w:top w:w="0" w:type="dxa"/>
              <w:left w:w="0" w:type="dxa"/>
              <w:right w:w="0" w:type="dxa"/>
            </w:tcMar>
            <w:vAlign w:val="center"/>
          </w:tcPr>
          <w:p>
            <w:pPr>
              <w:pStyle w:val="TableContents"/>
              <w:spacing w:lineRule="auto" w:line="208" w:before="53" w:after="30"/>
              <w:ind w:left="0" w:right="0" w:hanging="0"/>
              <w:jc w:val="left"/>
              <w:rPr>
                <w:rFonts w:ascii="Times New Roman" w:hAnsi="Times New Roman"/>
                <w:b w:val="false"/>
                <w:sz w:val="20"/>
              </w:rPr>
            </w:pPr>
            <w:r>
              <w:rPr>
                <w:rFonts w:ascii="Times New Roman" w:hAnsi="Times New Roman"/>
                <w:b w:val="false"/>
                <w:sz w:val="20"/>
              </w:rPr>
              <w:t>/s/ Glenna Mileson</w:t>
            </w:r>
          </w:p>
        </w:tc>
        <w:tc>
          <w:tcPr>
            <w:tcW w:w="191"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841" w:type="dxa"/>
            <w:tcBorders/>
            <w:shd w:fill="auto" w:val="clear"/>
            <w:tcMar>
              <w:top w:w="0" w:type="dxa"/>
              <w:left w:w="0" w:type="dxa"/>
              <w:bottom w:w="0" w:type="dxa"/>
              <w:right w:w="0" w:type="dxa"/>
            </w:tcMar>
            <w:vAlign w:val="center"/>
          </w:tcPr>
          <w:p>
            <w:pPr>
              <w:pStyle w:val="TableContents"/>
              <w:spacing w:lineRule="auto" w:line="208" w:before="33" w:after="30"/>
              <w:ind w:left="0" w:right="0" w:hanging="0"/>
              <w:jc w:val="left"/>
              <w:rPr>
                <w:rFonts w:ascii="Times New Roman" w:hAnsi="Times New Roman"/>
                <w:b w:val="false"/>
                <w:sz w:val="20"/>
              </w:rPr>
            </w:pPr>
            <w:r>
              <w:rPr>
                <w:rFonts w:ascii="Times New Roman" w:hAnsi="Times New Roman"/>
                <w:b w:val="false"/>
                <w:sz w:val="20"/>
              </w:rPr>
              <w:t>Glenna Mileson</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841" w:type="dxa"/>
            <w:tcBorders/>
            <w:shd w:fill="auto" w:val="clear"/>
            <w:tcMar>
              <w:top w:w="0" w:type="dxa"/>
              <w:left w:w="0" w:type="dxa"/>
              <w:bottom w:w="0" w:type="dxa"/>
              <w:right w:w="0" w:type="dxa"/>
            </w:tcMar>
            <w:vAlign w:val="center"/>
          </w:tcPr>
          <w:p>
            <w:pPr>
              <w:pStyle w:val="TableContents"/>
              <w:spacing w:lineRule="auto" w:line="208" w:before="53" w:after="30"/>
              <w:ind w:left="0" w:right="0" w:hanging="0"/>
              <w:jc w:val="left"/>
              <w:rPr>
                <w:rFonts w:ascii="Times New Roman" w:hAnsi="Times New Roman"/>
                <w:b w:val="false"/>
                <w:i/>
                <w:sz w:val="20"/>
              </w:rPr>
            </w:pPr>
            <w:r>
              <w:rPr>
                <w:rFonts w:ascii="Times New Roman" w:hAnsi="Times New Roman"/>
                <w:b w:val="false"/>
                <w:i/>
                <w:sz w:val="20"/>
              </w:rPr>
              <w:t>Chief Financial Officer</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841" w:type="dxa"/>
            <w:tcBorders/>
            <w:shd w:fill="auto" w:val="clear"/>
            <w:tcMar>
              <w:top w:w="0" w:type="dxa"/>
              <w:left w:w="0" w:type="dxa"/>
              <w:bottom w:w="0" w:type="dxa"/>
              <w:right w:w="0" w:type="dxa"/>
            </w:tcMar>
            <w:vAlign w:val="center"/>
          </w:tcPr>
          <w:p>
            <w:pPr>
              <w:pStyle w:val="TableContents"/>
              <w:spacing w:lineRule="auto" w:line="208" w:before="53" w:after="30"/>
              <w:ind w:left="0" w:right="0" w:hanging="0"/>
              <w:jc w:val="left"/>
              <w:rPr>
                <w:rFonts w:ascii="Times New Roman" w:hAnsi="Times New Roman"/>
                <w:b w:val="false"/>
                <w:i/>
                <w:sz w:val="20"/>
              </w:rPr>
            </w:pPr>
            <w:r>
              <w:rPr>
                <w:rFonts w:ascii="Times New Roman" w:hAnsi="Times New Roman"/>
                <w:b w:val="false"/>
                <w:i/>
                <w:sz w:val="20"/>
              </w:rPr>
              <w:t>(Principal Financial and Accounting Officer)</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83" w:before="0" w:after="0"/>
        <w:jc w:val="left"/>
        <w:rPr/>
      </w:pPr>
      <w:r>
        <w:rPr/>
        <w:t> </w:t>
      </w:r>
    </w:p>
    <w:p>
      <w:pPr>
        <w:pStyle w:val="HorizontalLine"/>
        <w:rPr/>
      </w:pPr>
      <w:r>
        <w:rPr/>
      </w:r>
    </w:p>
    <w:p>
      <w:pPr>
        <w:pStyle w:val="TextBody"/>
        <w:spacing w:lineRule="auto" w:line="283" w:before="0" w:after="0"/>
        <w:jc w:val="left"/>
        <w:rPr/>
      </w:pPr>
      <w:r>
        <w:rPr/>
        <w:t> </w:t>
      </w:r>
    </w:p>
    <w:p>
      <w:pPr>
        <w:pStyle w:val="TextBody"/>
        <w:spacing w:lineRule="auto" w:line="283" w:before="100" w:after="0"/>
        <w:jc w:val="left"/>
        <w:rPr/>
      </w:pPr>
      <w:r>
        <w:rPr/>
        <w:t> </w:t>
      </w:r>
    </w:p>
    <w:p>
      <w:pPr>
        <w:pStyle w:val="TextBody"/>
        <w:spacing w:lineRule="auto" w:line="283" w:before="0" w:after="0"/>
        <w:jc w:val="left"/>
        <w:rPr/>
      </w:pPr>
      <w:r>
        <w:rPr/>
        <w:t> </w:t>
      </w:r>
    </w:p>
    <w:p>
      <w:pPr>
        <w:pStyle w:val="HorizontalLine"/>
        <w:rPr/>
      </w:pPr>
      <w:r>
        <w:rPr/>
      </w:r>
      <w:r>
        <w:br w:type="page"/>
      </w:r>
    </w:p>
    <w:p>
      <w:pPr>
        <w:pStyle w:val="TextBody"/>
        <w:spacing w:lineRule="auto" w:line="283" w:before="0" w:after="0"/>
        <w:jc w:val="left"/>
        <w:rPr/>
      </w:pPr>
      <w:bookmarkStart w:id="25" w:name="atha-ex32_1.htm"/>
      <w:bookmarkStart w:id="26" w:name="ksathaex32_1"/>
      <w:bookmarkEnd w:id="25"/>
      <w:bookmarkEnd w:id="26"/>
      <w:r>
        <w:rPr/>
        <w:t> </w:t>
      </w:r>
    </w:p>
    <w:p>
      <w:pPr>
        <w:pStyle w:val="TextBody"/>
        <w:spacing w:lineRule="auto" w:line="283" w:before="0" w:after="0"/>
        <w:jc w:val="right"/>
        <w:rPr>
          <w:rFonts w:ascii="Times New Roman" w:hAnsi="Times New Roman"/>
          <w:b/>
          <w:sz w:val="20"/>
        </w:rPr>
      </w:pPr>
      <w:r>
        <w:rPr>
          <w:rFonts w:ascii="Times New Roman" w:hAnsi="Times New Roman"/>
          <w:b/>
          <w:sz w:val="20"/>
        </w:rPr>
        <w:t>Exhibit 32.1</w:t>
      </w:r>
    </w:p>
    <w:p>
      <w:pPr>
        <w:pStyle w:val="TextBody"/>
        <w:spacing w:lineRule="auto" w:line="283" w:before="240" w:after="0"/>
        <w:jc w:val="center"/>
        <w:rPr>
          <w:rFonts w:ascii="Times New Roman" w:hAnsi="Times New Roman"/>
          <w:b/>
          <w:sz w:val="20"/>
        </w:rPr>
      </w:pPr>
      <w:r>
        <w:rPr>
          <w:rFonts w:ascii="Times New Roman" w:hAnsi="Times New Roman"/>
          <w:b/>
          <w:sz w:val="20"/>
        </w:rPr>
        <w:t>ATHIRA PHARMA, INC.</w:t>
      </w:r>
    </w:p>
    <w:p>
      <w:pPr>
        <w:pStyle w:val="TextBody"/>
        <w:spacing w:lineRule="auto" w:line="283" w:before="0" w:after="0"/>
        <w:jc w:val="center"/>
        <w:rPr>
          <w:rFonts w:ascii="Times New Roman" w:hAnsi="Times New Roman"/>
          <w:b/>
          <w:sz w:val="20"/>
        </w:rPr>
      </w:pPr>
      <w:r>
        <w:rPr>
          <w:rFonts w:ascii="Times New Roman" w:hAnsi="Times New Roman"/>
          <w:b/>
          <w:sz w:val="20"/>
        </w:rPr>
        <w:t>CERTIFICATION PURSUANT TO</w:t>
      </w:r>
    </w:p>
    <w:p>
      <w:pPr>
        <w:pStyle w:val="TextBody"/>
        <w:spacing w:lineRule="auto" w:line="283" w:before="0" w:after="0"/>
        <w:jc w:val="center"/>
        <w:rPr>
          <w:rFonts w:ascii="Times New Roman" w:hAnsi="Times New Roman"/>
          <w:b/>
          <w:sz w:val="20"/>
        </w:rPr>
      </w:pPr>
      <w:r>
        <w:rPr>
          <w:rFonts w:ascii="Times New Roman" w:hAnsi="Times New Roman"/>
          <w:b/>
          <w:sz w:val="20"/>
        </w:rPr>
        <w:t>18 U.S.C. SECTION 1350,</w:t>
      </w:r>
    </w:p>
    <w:p>
      <w:pPr>
        <w:pStyle w:val="TextBody"/>
        <w:spacing w:lineRule="auto" w:line="283" w:before="0" w:after="0"/>
        <w:jc w:val="center"/>
        <w:rPr>
          <w:rFonts w:ascii="Times New Roman" w:hAnsi="Times New Roman"/>
          <w:b/>
          <w:sz w:val="20"/>
        </w:rPr>
      </w:pPr>
      <w:r>
        <w:rPr>
          <w:rFonts w:ascii="Times New Roman" w:hAnsi="Times New Roman"/>
          <w:b/>
          <w:sz w:val="20"/>
        </w:rPr>
        <w:t>AS ADOPTED PURSUANT TO</w:t>
      </w:r>
    </w:p>
    <w:p>
      <w:pPr>
        <w:pStyle w:val="TextBody"/>
        <w:spacing w:lineRule="auto" w:line="283" w:before="0" w:after="180"/>
        <w:jc w:val="center"/>
        <w:rPr>
          <w:rFonts w:ascii="Times New Roman" w:hAnsi="Times New Roman"/>
          <w:b/>
          <w:sz w:val="20"/>
        </w:rPr>
      </w:pPr>
      <w:r>
        <w:rPr>
          <w:rFonts w:ascii="Times New Roman" w:hAnsi="Times New Roman"/>
          <w:b/>
          <w:sz w:val="20"/>
        </w:rPr>
        <w:t>SECTION 906 OF THE SARBANES-OXLEY ACT OF 2002</w:t>
      </w:r>
    </w:p>
    <w:p>
      <w:pPr>
        <w:pStyle w:val="TextBody"/>
        <w:spacing w:lineRule="auto" w:line="283" w:before="0" w:after="240"/>
        <w:jc w:val="left"/>
        <w:rPr>
          <w:rFonts w:ascii="Times New Roman" w:hAnsi="Times New Roman"/>
          <w:sz w:val="20"/>
        </w:rPr>
      </w:pPr>
      <w:r>
        <w:rPr>
          <w:rFonts w:ascii="Times New Roman" w:hAnsi="Times New Roman"/>
          <w:b w:val="false"/>
          <w:sz w:val="20"/>
        </w:rPr>
        <w:t xml:space="preserve">In connection with the Quarterly Report on Form 10-Q of Athira Pharma, Inc. (the “Company”) for the quarter ended March 31, 2022, as filed with the Securities and Exchange Commission on the date hereof (the “Report”), I, Mark Litton, President and Chief Executive Officer </w:t>
      </w:r>
      <w:r>
        <w:rPr>
          <w:rFonts w:ascii="Times New Roman" w:hAnsi="Times New Roman"/>
          <w:b w:val="false"/>
          <w:i/>
          <w:sz w:val="20"/>
        </w:rPr>
        <w:t>(Principal Executive Officer)</w:t>
      </w:r>
      <w:r>
        <w:rPr>
          <w:rFonts w:ascii="Times New Roman" w:hAnsi="Times New Roman"/>
          <w:sz w:val="20"/>
        </w:rPr>
        <w:t xml:space="preserve"> </w:t>
      </w:r>
      <w:r>
        <w:rPr>
          <w:rFonts w:ascii="Times New Roman" w:hAnsi="Times New Roman"/>
          <w:b w:val="false"/>
          <w:sz w:val="20"/>
        </w:rPr>
        <w:t>of the Company, certify, pursuant to 18 U.S.C. Section 1350, as adopted pursuant to Section 906 of the Sarbanes-Oxley Act of 2002, that, to my knowledge:</w:t>
      </w:r>
      <w:r>
        <w:rPr>
          <w:rFonts w:ascii="Times New Roman" w:hAnsi="Times New Roman"/>
          <w:sz w:val="20"/>
        </w:rPr>
        <w:t xml:space="preserve"> </w:t>
      </w:r>
    </w:p>
    <w:p>
      <w:pPr>
        <w:pStyle w:val="TextBody"/>
        <w:spacing w:lineRule="auto" w:line="283" w:before="0" w:after="240"/>
        <w:jc w:val="left"/>
        <w:rPr>
          <w:rFonts w:ascii="Times New Roman" w:hAnsi="Times New Roman"/>
          <w:b w:val="false"/>
          <w:sz w:val="20"/>
        </w:rPr>
      </w:pPr>
      <w:r>
        <w:rPr>
          <w:rFonts w:ascii="Times New Roman" w:hAnsi="Times New Roman"/>
          <w:b w:val="false"/>
          <w:sz w:val="20"/>
        </w:rPr>
        <w:t>(1)</w:t>
      </w:r>
    </w:p>
    <w:p>
      <w:pPr>
        <w:pStyle w:val="TextBody"/>
        <w:spacing w:lineRule="auto" w:line="283" w:before="0" w:after="240"/>
        <w:jc w:val="left"/>
        <w:rPr>
          <w:rFonts w:ascii="Times New Roman" w:hAnsi="Times New Roman"/>
          <w:b w:val="false"/>
          <w:sz w:val="20"/>
        </w:rPr>
      </w:pPr>
      <w:r>
        <w:rPr>
          <w:rFonts w:ascii="Times New Roman" w:hAnsi="Times New Roman"/>
          <w:b w:val="false"/>
          <w:sz w:val="20"/>
        </w:rPr>
        <w:t>The Report fully complies with the requirements of Section 13(a) or 15(d), as applicable, of the Securities Exchange Act of 1934; and</w:t>
      </w:r>
    </w:p>
    <w:p>
      <w:pPr>
        <w:pStyle w:val="TextBody"/>
        <w:spacing w:lineRule="auto" w:line="283" w:before="0" w:after="340"/>
        <w:jc w:val="left"/>
        <w:rPr>
          <w:rFonts w:ascii="Times New Roman" w:hAnsi="Times New Roman"/>
          <w:b w:val="false"/>
          <w:sz w:val="20"/>
        </w:rPr>
      </w:pPr>
      <w:r>
        <w:rPr>
          <w:rFonts w:ascii="Times New Roman" w:hAnsi="Times New Roman"/>
          <w:b w:val="false"/>
          <w:sz w:val="20"/>
        </w:rPr>
        <w:t>(2)</w:t>
      </w:r>
    </w:p>
    <w:p>
      <w:pPr>
        <w:pStyle w:val="TextBody"/>
        <w:spacing w:lineRule="auto" w:line="283" w:before="0" w:after="340"/>
        <w:jc w:val="left"/>
        <w:rPr>
          <w:rFonts w:ascii="Times New Roman" w:hAnsi="Times New Roman"/>
          <w:b w:val="false"/>
          <w:sz w:val="20"/>
        </w:rPr>
      </w:pPr>
      <w:r>
        <w:rPr>
          <w:rFonts w:ascii="Times New Roman" w:hAnsi="Times New Roman"/>
          <w:b w:val="false"/>
          <w:sz w:val="20"/>
        </w:rPr>
        <w:t>The information contained in the Report fairly presents, in all material respects, the financial condition and results of operations of the Company.</w:t>
      </w:r>
    </w:p>
    <w:p>
      <w:pPr>
        <w:pStyle w:val="TextBody"/>
        <w:spacing w:lineRule="auto" w:line="283" w:before="0" w:after="340"/>
        <w:jc w:val="left"/>
        <w:rPr>
          <w:rFonts w:ascii="Times New Roman" w:hAnsi="Times New Roman"/>
          <w:b w:val="false"/>
          <w:sz w:val="20"/>
        </w:rPr>
      </w:pPr>
      <w:r>
        <w:rPr>
          <w:rFonts w:ascii="Times New Roman" w:hAnsi="Times New Roman"/>
          <w:b w:val="false"/>
          <w:sz w:val="20"/>
        </w:rPr>
        <w:t>Date: May 12, 2022</w:t>
      </w:r>
    </w:p>
    <w:tbl>
      <w:tblPr>
        <w:tblW w:w="3402" w:type="dxa"/>
        <w:jc w:val="left"/>
        <w:tblInd w:w="0" w:type="dxa"/>
        <w:tblCellMar>
          <w:top w:w="28" w:type="dxa"/>
          <w:left w:w="28" w:type="dxa"/>
          <w:bottom w:w="28" w:type="dxa"/>
          <w:right w:w="28" w:type="dxa"/>
        </w:tblCellMar>
      </w:tblPr>
      <w:tblGrid>
        <w:gridCol w:w="3211"/>
        <w:gridCol w:w="191"/>
      </w:tblGrid>
      <w:tr>
        <w:trPr/>
        <w:tc>
          <w:tcPr>
            <w:tcW w:w="321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211" w:type="dxa"/>
            <w:tcBorders>
              <w:bottom w:val="single" w:sz="8" w:space="0" w:color="000000"/>
            </w:tcBorders>
            <w:shd w:fill="auto" w:val="clear"/>
            <w:tcMar>
              <w:top w:w="0" w:type="dxa"/>
              <w:left w:w="0" w:type="dxa"/>
              <w:right w:w="0" w:type="dxa"/>
            </w:tcMar>
            <w:vAlign w:val="center"/>
          </w:tcPr>
          <w:p>
            <w:pPr>
              <w:pStyle w:val="TableContents"/>
              <w:spacing w:lineRule="auto" w:line="208" w:before="53" w:after="30"/>
              <w:ind w:left="0" w:right="0" w:hanging="0"/>
              <w:jc w:val="left"/>
              <w:rPr>
                <w:rFonts w:ascii="Times New Roman" w:hAnsi="Times New Roman"/>
                <w:b w:val="false"/>
                <w:sz w:val="20"/>
              </w:rPr>
            </w:pPr>
            <w:r>
              <w:rPr>
                <w:rFonts w:ascii="Times New Roman" w:hAnsi="Times New Roman"/>
                <w:b w:val="false"/>
                <w:sz w:val="20"/>
              </w:rPr>
              <w:t>/s/ Mark Litton</w:t>
            </w:r>
          </w:p>
        </w:tc>
        <w:tc>
          <w:tcPr>
            <w:tcW w:w="191"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211" w:type="dxa"/>
            <w:tcBorders/>
            <w:shd w:fill="auto" w:val="clear"/>
            <w:tcMar>
              <w:top w:w="0" w:type="dxa"/>
              <w:left w:w="0" w:type="dxa"/>
              <w:bottom w:w="0" w:type="dxa"/>
              <w:right w:w="0" w:type="dxa"/>
            </w:tcMar>
            <w:vAlign w:val="center"/>
          </w:tcPr>
          <w:p>
            <w:pPr>
              <w:pStyle w:val="TableContents"/>
              <w:spacing w:lineRule="auto" w:line="208" w:before="33" w:after="30"/>
              <w:ind w:left="0" w:right="0" w:hanging="0"/>
              <w:jc w:val="left"/>
              <w:rPr>
                <w:rFonts w:ascii="Times New Roman" w:hAnsi="Times New Roman"/>
                <w:b w:val="false"/>
                <w:sz w:val="20"/>
              </w:rPr>
            </w:pPr>
            <w:r>
              <w:rPr>
                <w:rFonts w:ascii="Times New Roman" w:hAnsi="Times New Roman"/>
                <w:b w:val="false"/>
                <w:sz w:val="20"/>
              </w:rPr>
              <w:t>Mark Litton</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211" w:type="dxa"/>
            <w:tcBorders/>
            <w:shd w:fill="auto" w:val="clear"/>
            <w:tcMar>
              <w:top w:w="0" w:type="dxa"/>
              <w:left w:w="0" w:type="dxa"/>
              <w:bottom w:w="0" w:type="dxa"/>
              <w:right w:w="0" w:type="dxa"/>
            </w:tcMar>
            <w:vAlign w:val="center"/>
          </w:tcPr>
          <w:p>
            <w:pPr>
              <w:pStyle w:val="TableContents"/>
              <w:spacing w:lineRule="auto" w:line="208" w:before="53" w:after="30"/>
              <w:ind w:left="0" w:right="0" w:hanging="0"/>
              <w:jc w:val="left"/>
              <w:rPr>
                <w:rFonts w:ascii="Times New Roman" w:hAnsi="Times New Roman"/>
                <w:b w:val="false"/>
                <w:i/>
                <w:sz w:val="20"/>
              </w:rPr>
            </w:pPr>
            <w:r>
              <w:rPr>
                <w:rFonts w:ascii="Times New Roman" w:hAnsi="Times New Roman"/>
                <w:b w:val="false"/>
                <w:i/>
                <w:sz w:val="20"/>
              </w:rPr>
              <w:t>President and Chief Executive Officer</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211" w:type="dxa"/>
            <w:tcBorders/>
            <w:shd w:fill="auto" w:val="clear"/>
            <w:tcMar>
              <w:top w:w="0" w:type="dxa"/>
              <w:left w:w="0" w:type="dxa"/>
              <w:bottom w:w="0" w:type="dxa"/>
              <w:right w:w="0" w:type="dxa"/>
            </w:tcMar>
            <w:vAlign w:val="center"/>
          </w:tcPr>
          <w:p>
            <w:pPr>
              <w:pStyle w:val="TableContents"/>
              <w:spacing w:lineRule="auto" w:line="208" w:before="53" w:after="30"/>
              <w:ind w:left="0" w:right="0" w:hanging="0"/>
              <w:jc w:val="left"/>
              <w:rPr>
                <w:rFonts w:ascii="Times New Roman" w:hAnsi="Times New Roman"/>
                <w:b w:val="false"/>
                <w:i/>
                <w:sz w:val="20"/>
              </w:rPr>
            </w:pPr>
            <w:r>
              <w:rPr>
                <w:rFonts w:ascii="Times New Roman" w:hAnsi="Times New Roman"/>
                <w:b w:val="false"/>
                <w:i/>
                <w:sz w:val="20"/>
              </w:rPr>
              <w:t>(Principal Executive Officer)</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83" w:before="240" w:after="0"/>
        <w:jc w:val="left"/>
        <w:rPr>
          <w:rFonts w:ascii="Times New Roman" w:hAnsi="Times New Roman"/>
          <w:b w:val="false"/>
          <w:sz w:val="20"/>
        </w:rPr>
      </w:pPr>
      <w:r>
        <w:rPr>
          <w:rFonts w:ascii="Times New Roman" w:hAnsi="Times New Roman"/>
          <w:b w:val="false"/>
          <w:sz w:val="20"/>
        </w:rPr>
        <w:t>This certification accompanies the Report to which it relates, is not deemed filed with the Securities and Exchange Commission and is not to be incorporated by reference into any filing of Athira Pharma, Inc. under the Securities Act of 1933, as amended, or the Securities Exchange Act of 1934, as amended (whether made before or after the date of the Report), irrespective of any general incorporation language contained in such filing.</w:t>
      </w:r>
    </w:p>
    <w:p>
      <w:pPr>
        <w:pStyle w:val="TextBody"/>
        <w:spacing w:lineRule="auto" w:line="283" w:before="0" w:after="0"/>
        <w:jc w:val="left"/>
        <w:rPr/>
      </w:pPr>
      <w:r>
        <w:rPr/>
        <w:t> </w:t>
      </w:r>
    </w:p>
    <w:p>
      <w:pPr>
        <w:pStyle w:val="HorizontalLine"/>
        <w:rPr/>
      </w:pPr>
      <w:r>
        <w:rPr/>
      </w:r>
      <w:r>
        <w:br w:type="page"/>
      </w:r>
    </w:p>
    <w:p>
      <w:pPr>
        <w:pStyle w:val="TextBody"/>
        <w:spacing w:lineRule="auto" w:line="283" w:before="0" w:after="0"/>
        <w:jc w:val="left"/>
        <w:rPr/>
      </w:pPr>
      <w:bookmarkStart w:id="27" w:name="atha-ex32_2.htm"/>
      <w:bookmarkStart w:id="28" w:name="ksathaex32_2"/>
      <w:bookmarkEnd w:id="27"/>
      <w:bookmarkEnd w:id="28"/>
      <w:r>
        <w:rPr/>
        <w:t> </w:t>
      </w:r>
    </w:p>
    <w:p>
      <w:pPr>
        <w:pStyle w:val="TextBody"/>
        <w:spacing w:lineRule="auto" w:line="283" w:before="0" w:after="0"/>
        <w:jc w:val="right"/>
        <w:rPr>
          <w:rFonts w:ascii="Times New Roman" w:hAnsi="Times New Roman"/>
          <w:b/>
          <w:sz w:val="20"/>
        </w:rPr>
      </w:pPr>
      <w:r>
        <w:rPr>
          <w:rFonts w:ascii="Times New Roman" w:hAnsi="Times New Roman"/>
          <w:b/>
          <w:sz w:val="20"/>
        </w:rPr>
        <w:t>Exhibit 32.2</w:t>
      </w:r>
    </w:p>
    <w:p>
      <w:pPr>
        <w:pStyle w:val="TextBody"/>
        <w:spacing w:lineRule="auto" w:line="283" w:before="240" w:after="0"/>
        <w:jc w:val="center"/>
        <w:rPr>
          <w:rFonts w:ascii="Times New Roman" w:hAnsi="Times New Roman"/>
          <w:b/>
          <w:sz w:val="20"/>
        </w:rPr>
      </w:pPr>
      <w:r>
        <w:rPr>
          <w:rFonts w:ascii="Times New Roman" w:hAnsi="Times New Roman"/>
          <w:b/>
          <w:sz w:val="20"/>
        </w:rPr>
        <w:t>ATHIRA PHARMA, INC.</w:t>
      </w:r>
    </w:p>
    <w:p>
      <w:pPr>
        <w:pStyle w:val="TextBody"/>
        <w:spacing w:lineRule="auto" w:line="283" w:before="0" w:after="0"/>
        <w:jc w:val="center"/>
        <w:rPr>
          <w:rFonts w:ascii="Times New Roman" w:hAnsi="Times New Roman"/>
          <w:b/>
          <w:sz w:val="20"/>
        </w:rPr>
      </w:pPr>
      <w:r>
        <w:rPr>
          <w:rFonts w:ascii="Times New Roman" w:hAnsi="Times New Roman"/>
          <w:b/>
          <w:sz w:val="20"/>
        </w:rPr>
        <w:t>CERTIFICATION PURSUANT TO</w:t>
      </w:r>
    </w:p>
    <w:p>
      <w:pPr>
        <w:pStyle w:val="TextBody"/>
        <w:spacing w:lineRule="auto" w:line="283" w:before="0" w:after="0"/>
        <w:jc w:val="center"/>
        <w:rPr>
          <w:rFonts w:ascii="Times New Roman" w:hAnsi="Times New Roman"/>
          <w:b/>
          <w:sz w:val="20"/>
        </w:rPr>
      </w:pPr>
      <w:r>
        <w:rPr>
          <w:rFonts w:ascii="Times New Roman" w:hAnsi="Times New Roman"/>
          <w:b/>
          <w:sz w:val="20"/>
        </w:rPr>
        <w:t>18 U.S.C. SECTION 1350,</w:t>
      </w:r>
    </w:p>
    <w:p>
      <w:pPr>
        <w:pStyle w:val="TextBody"/>
        <w:spacing w:lineRule="auto" w:line="283" w:before="0" w:after="0"/>
        <w:jc w:val="center"/>
        <w:rPr>
          <w:rFonts w:ascii="Times New Roman" w:hAnsi="Times New Roman"/>
          <w:b/>
          <w:sz w:val="20"/>
        </w:rPr>
      </w:pPr>
      <w:r>
        <w:rPr>
          <w:rFonts w:ascii="Times New Roman" w:hAnsi="Times New Roman"/>
          <w:b/>
          <w:sz w:val="20"/>
        </w:rPr>
        <w:t>AS ADOPTED PURSUANT TO</w:t>
      </w:r>
    </w:p>
    <w:p>
      <w:pPr>
        <w:pStyle w:val="TextBody"/>
        <w:spacing w:lineRule="auto" w:line="283" w:before="0" w:after="180"/>
        <w:jc w:val="center"/>
        <w:rPr>
          <w:rFonts w:ascii="Times New Roman" w:hAnsi="Times New Roman"/>
          <w:b/>
          <w:sz w:val="20"/>
        </w:rPr>
      </w:pPr>
      <w:r>
        <w:rPr>
          <w:rFonts w:ascii="Times New Roman" w:hAnsi="Times New Roman"/>
          <w:b/>
          <w:sz w:val="20"/>
        </w:rPr>
        <w:t>SECTION 906 OF THE SARBANES-OXLEY ACT OF 2002</w:t>
      </w:r>
    </w:p>
    <w:p>
      <w:pPr>
        <w:pStyle w:val="TextBody"/>
        <w:spacing w:lineRule="auto" w:line="283" w:before="0" w:after="120"/>
        <w:jc w:val="left"/>
        <w:rPr>
          <w:rFonts w:ascii="Times New Roman" w:hAnsi="Times New Roman"/>
          <w:sz w:val="20"/>
        </w:rPr>
      </w:pPr>
      <w:r>
        <w:rPr>
          <w:rFonts w:ascii="Times New Roman" w:hAnsi="Times New Roman"/>
          <w:b w:val="false"/>
          <w:sz w:val="20"/>
        </w:rPr>
        <w:t xml:space="preserve">In connection with the Quarterly Report on Form 10-Q of Athira Pharma, Inc. (the “Company”) for the quarter ended March 31, 2022, as filed with the Securities and Exchange Commission on the date hereof (the “Report”), I, Glenna Mileson, Chief Financial Officer </w:t>
      </w:r>
      <w:r>
        <w:rPr>
          <w:rFonts w:ascii="Times New Roman" w:hAnsi="Times New Roman"/>
          <w:b w:val="false"/>
          <w:i/>
          <w:sz w:val="20"/>
        </w:rPr>
        <w:t xml:space="preserve">(Principal Financial and Accounting Officer) </w:t>
      </w:r>
      <w:r>
        <w:rPr>
          <w:rFonts w:ascii="Times New Roman" w:hAnsi="Times New Roman"/>
          <w:b w:val="false"/>
          <w:sz w:val="20"/>
        </w:rPr>
        <w:t>of the Company, certify, pursuant to 18 U.S.C. Section 1350, as adopted pursuant to Section 906 of the Sarbanes-Oxley Act of 2002, that, to my knowledge:</w:t>
      </w:r>
      <w:r>
        <w:rPr>
          <w:rFonts w:ascii="Times New Roman" w:hAnsi="Times New Roman"/>
          <w:sz w:val="20"/>
        </w:rPr>
        <w:t xml:space="preserve"> </w:t>
      </w:r>
    </w:p>
    <w:p>
      <w:pPr>
        <w:pStyle w:val="TextBody"/>
        <w:spacing w:lineRule="auto" w:line="283" w:before="0" w:after="120"/>
        <w:jc w:val="left"/>
        <w:rPr>
          <w:rFonts w:ascii="Times New Roman" w:hAnsi="Times New Roman"/>
          <w:b w:val="false"/>
          <w:sz w:val="20"/>
        </w:rPr>
      </w:pPr>
      <w:r>
        <w:rPr>
          <w:rFonts w:ascii="Times New Roman" w:hAnsi="Times New Roman"/>
          <w:b w:val="false"/>
          <w:sz w:val="20"/>
        </w:rPr>
        <w:t>(1)</w:t>
      </w:r>
    </w:p>
    <w:p>
      <w:pPr>
        <w:pStyle w:val="TextBody"/>
        <w:spacing w:lineRule="auto" w:line="283" w:before="0" w:after="120"/>
        <w:jc w:val="left"/>
        <w:rPr>
          <w:rFonts w:ascii="Times New Roman" w:hAnsi="Times New Roman"/>
          <w:b w:val="false"/>
          <w:sz w:val="20"/>
        </w:rPr>
      </w:pPr>
      <w:r>
        <w:rPr>
          <w:rFonts w:ascii="Times New Roman" w:hAnsi="Times New Roman"/>
          <w:b w:val="false"/>
          <w:sz w:val="20"/>
        </w:rPr>
        <w:t>The Report fully complies with the requirements of Section 13(a) or 15(d), as applicable, of the Securities Exchange Act of 1934; and</w:t>
      </w:r>
    </w:p>
    <w:p>
      <w:pPr>
        <w:pStyle w:val="TextBody"/>
        <w:spacing w:lineRule="auto" w:line="283" w:before="0" w:after="220"/>
        <w:jc w:val="left"/>
        <w:rPr>
          <w:rFonts w:ascii="Times New Roman" w:hAnsi="Times New Roman"/>
          <w:b w:val="false"/>
          <w:sz w:val="20"/>
        </w:rPr>
      </w:pPr>
      <w:r>
        <w:rPr>
          <w:rFonts w:ascii="Times New Roman" w:hAnsi="Times New Roman"/>
          <w:b w:val="false"/>
          <w:sz w:val="20"/>
        </w:rPr>
        <w:t>(2)</w:t>
      </w:r>
    </w:p>
    <w:p>
      <w:pPr>
        <w:pStyle w:val="TextBody"/>
        <w:spacing w:lineRule="auto" w:line="283" w:before="0" w:after="220"/>
        <w:jc w:val="left"/>
        <w:rPr>
          <w:rFonts w:ascii="Times New Roman" w:hAnsi="Times New Roman"/>
          <w:b w:val="false"/>
          <w:sz w:val="20"/>
        </w:rPr>
      </w:pPr>
      <w:r>
        <w:rPr>
          <w:rFonts w:ascii="Times New Roman" w:hAnsi="Times New Roman"/>
          <w:b w:val="false"/>
          <w:sz w:val="20"/>
        </w:rPr>
        <w:t>The information contained in the Report fairly presents, in all material respects, the financial condition and results of operations of the Company.</w:t>
      </w:r>
    </w:p>
    <w:p>
      <w:pPr>
        <w:pStyle w:val="TextBody"/>
        <w:spacing w:lineRule="auto" w:line="283" w:before="0" w:after="220"/>
        <w:jc w:val="left"/>
        <w:rPr>
          <w:rFonts w:ascii="Times New Roman" w:hAnsi="Times New Roman"/>
          <w:b w:val="false"/>
          <w:sz w:val="20"/>
        </w:rPr>
      </w:pPr>
      <w:r>
        <w:rPr>
          <w:rFonts w:ascii="Times New Roman" w:hAnsi="Times New Roman"/>
          <w:b w:val="false"/>
          <w:sz w:val="20"/>
        </w:rPr>
        <w:t>Date: May 12, 2022</w:t>
      </w:r>
    </w:p>
    <w:tbl>
      <w:tblPr>
        <w:tblW w:w="3886" w:type="dxa"/>
        <w:jc w:val="left"/>
        <w:tblInd w:w="0" w:type="dxa"/>
        <w:tblCellMar>
          <w:top w:w="28" w:type="dxa"/>
          <w:left w:w="28" w:type="dxa"/>
          <w:bottom w:w="28" w:type="dxa"/>
          <w:right w:w="28" w:type="dxa"/>
        </w:tblCellMar>
      </w:tblPr>
      <w:tblGrid>
        <w:gridCol w:w="3886"/>
      </w:tblGrid>
      <w:tr>
        <w:trPr/>
        <w:tc>
          <w:tcPr>
            <w:tcW w:w="3886" w:type="dxa"/>
            <w:tcBorders/>
            <w:shd w:fill="auto" w:val="clear"/>
            <w:vAlign w:val="center"/>
          </w:tcPr>
          <w:p>
            <w:pPr>
              <w:pStyle w:val="TableContents"/>
              <w:spacing w:before="0" w:after="283"/>
              <w:rPr>
                <w:sz w:val="4"/>
                <w:szCs w:val="4"/>
              </w:rPr>
            </w:pPr>
            <w:r>
              <w:rPr>
                <w:sz w:val="4"/>
                <w:szCs w:val="4"/>
              </w:rPr>
            </w:r>
          </w:p>
        </w:tc>
      </w:tr>
      <w:tr>
        <w:trPr/>
        <w:tc>
          <w:tcPr>
            <w:tcW w:w="3886" w:type="dxa"/>
            <w:tcBorders>
              <w:bottom w:val="single" w:sz="8" w:space="0" w:color="000000"/>
            </w:tcBorders>
            <w:shd w:fill="auto" w:val="clear"/>
            <w:tcMar>
              <w:top w:w="0" w:type="dxa"/>
              <w:left w:w="0" w:type="dxa"/>
              <w:right w:w="0" w:type="dxa"/>
            </w:tcMar>
            <w:vAlign w:val="center"/>
          </w:tcPr>
          <w:p>
            <w:pPr>
              <w:pStyle w:val="TableContents"/>
              <w:spacing w:lineRule="auto" w:line="208" w:before="53" w:after="30"/>
              <w:ind w:left="0" w:right="0" w:hanging="0"/>
              <w:jc w:val="left"/>
              <w:rPr>
                <w:rFonts w:ascii="Times New Roman" w:hAnsi="Times New Roman"/>
                <w:b w:val="false"/>
                <w:sz w:val="20"/>
              </w:rPr>
            </w:pPr>
            <w:r>
              <w:rPr>
                <w:rFonts w:ascii="Times New Roman" w:hAnsi="Times New Roman"/>
                <w:b w:val="false"/>
                <w:sz w:val="20"/>
              </w:rPr>
              <w:t>/s/ Glenna Mileson</w:t>
            </w:r>
          </w:p>
        </w:tc>
      </w:tr>
      <w:tr>
        <w:trPr/>
        <w:tc>
          <w:tcPr>
            <w:tcW w:w="3886" w:type="dxa"/>
            <w:tcBorders/>
            <w:shd w:fill="auto" w:val="clear"/>
            <w:tcMar>
              <w:top w:w="0" w:type="dxa"/>
              <w:left w:w="0" w:type="dxa"/>
              <w:bottom w:w="0" w:type="dxa"/>
              <w:right w:w="0" w:type="dxa"/>
            </w:tcMar>
            <w:vAlign w:val="center"/>
          </w:tcPr>
          <w:p>
            <w:pPr>
              <w:pStyle w:val="TableContents"/>
              <w:spacing w:lineRule="auto" w:line="208" w:before="33" w:after="30"/>
              <w:ind w:left="0" w:right="0" w:hanging="0"/>
              <w:jc w:val="left"/>
              <w:rPr>
                <w:rFonts w:ascii="Times New Roman" w:hAnsi="Times New Roman"/>
                <w:b w:val="false"/>
                <w:sz w:val="20"/>
              </w:rPr>
            </w:pPr>
            <w:r>
              <w:rPr>
                <w:rFonts w:ascii="Times New Roman" w:hAnsi="Times New Roman"/>
                <w:b w:val="false"/>
                <w:sz w:val="20"/>
              </w:rPr>
              <w:t>Glenna Mileson</w:t>
            </w:r>
          </w:p>
        </w:tc>
      </w:tr>
      <w:tr>
        <w:trPr/>
        <w:tc>
          <w:tcPr>
            <w:tcW w:w="3886" w:type="dxa"/>
            <w:tcBorders/>
            <w:shd w:fill="auto" w:val="clear"/>
            <w:tcMar>
              <w:top w:w="0" w:type="dxa"/>
              <w:left w:w="0" w:type="dxa"/>
              <w:bottom w:w="0" w:type="dxa"/>
              <w:right w:w="0" w:type="dxa"/>
            </w:tcMar>
            <w:vAlign w:val="center"/>
          </w:tcPr>
          <w:p>
            <w:pPr>
              <w:pStyle w:val="TableContents"/>
              <w:spacing w:lineRule="auto" w:line="208" w:before="53" w:after="30"/>
              <w:ind w:left="0" w:right="0" w:hanging="0"/>
              <w:jc w:val="left"/>
              <w:rPr>
                <w:rFonts w:ascii="Times New Roman" w:hAnsi="Times New Roman"/>
                <w:b w:val="false"/>
                <w:i/>
                <w:sz w:val="20"/>
              </w:rPr>
            </w:pPr>
            <w:r>
              <w:rPr>
                <w:rFonts w:ascii="Times New Roman" w:hAnsi="Times New Roman"/>
                <w:b w:val="false"/>
                <w:i/>
                <w:sz w:val="20"/>
              </w:rPr>
              <w:t>Chief Financial Officer</w:t>
            </w:r>
          </w:p>
        </w:tc>
      </w:tr>
      <w:tr>
        <w:trPr/>
        <w:tc>
          <w:tcPr>
            <w:tcW w:w="3886" w:type="dxa"/>
            <w:tcBorders/>
            <w:shd w:fill="auto" w:val="clear"/>
            <w:tcMar>
              <w:top w:w="0" w:type="dxa"/>
              <w:left w:w="0" w:type="dxa"/>
              <w:bottom w:w="0" w:type="dxa"/>
              <w:right w:w="0" w:type="dxa"/>
            </w:tcMar>
            <w:vAlign w:val="center"/>
          </w:tcPr>
          <w:p>
            <w:pPr>
              <w:pStyle w:val="TableContents"/>
              <w:spacing w:lineRule="auto" w:line="208" w:before="53" w:after="30"/>
              <w:ind w:left="0" w:right="0" w:hanging="0"/>
              <w:jc w:val="left"/>
              <w:rPr>
                <w:rFonts w:ascii="Times New Roman" w:hAnsi="Times New Roman"/>
                <w:b w:val="false"/>
                <w:i/>
                <w:sz w:val="20"/>
              </w:rPr>
            </w:pPr>
            <w:r>
              <w:rPr>
                <w:rFonts w:ascii="Times New Roman" w:hAnsi="Times New Roman"/>
                <w:b w:val="false"/>
                <w:i/>
                <w:sz w:val="20"/>
              </w:rPr>
              <w:t>(Principal Financial and Accounting Officer)</w:t>
            </w:r>
          </w:p>
        </w:tc>
      </w:tr>
    </w:tbl>
    <w:p>
      <w:pPr>
        <w:pStyle w:val="TextBody"/>
        <w:spacing w:lineRule="auto" w:line="283" w:before="240" w:after="0"/>
        <w:jc w:val="left"/>
        <w:rPr>
          <w:rFonts w:ascii="Times New Roman" w:hAnsi="Times New Roman"/>
          <w:b w:val="false"/>
          <w:sz w:val="20"/>
        </w:rPr>
      </w:pPr>
      <w:r>
        <w:rPr>
          <w:rFonts w:ascii="Times New Roman" w:hAnsi="Times New Roman"/>
          <w:b w:val="false"/>
          <w:sz w:val="20"/>
        </w:rPr>
        <w:t>This certification accompanies the Report to which it relates, is not deemed filed with the Securities and Exchange Commission and is not to be incorporated by reference into any filing of Athira Pharma, Inc. under the Securities Act of 1933, as amended, or the Securities Exchange Act of 1934, as amended (whether made before or after the date of the Report), irrespective of any general incorporation language contained in such filing.</w:t>
      </w:r>
    </w:p>
    <w:p>
      <w:pPr>
        <w:pStyle w:val="TextBody"/>
        <w:spacing w:lineRule="auto" w:line="283"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620463/000156459020053574/atha-ex31_153.htm" TargetMode="External"/><Relationship Id="rId4" Type="http://schemas.openxmlformats.org/officeDocument/2006/relationships/hyperlink" Target="https://www.sec.gov/Archives/edgar/data/0001620463/000156459020053574/atha-ex32_154.htm" TargetMode="External"/><Relationship Id="rId5" Type="http://schemas.openxmlformats.org/officeDocument/2006/relationships/hyperlink" Target="https://www.sec.gov/Archives/edgar/data/0001620463/000119312522023358/d290928dex102.htm" TargetMode="External"/><Relationship Id="rId6" Type="http://schemas.openxmlformats.org/officeDocument/2006/relationships/hyperlink" Target="https://www.sec.gov/Archives/edgar/data/0001620463/000119312522023358/d290928dex101.htm" TargetMode="External"/><Relationship Id="rId7" Type="http://schemas.openxmlformats.org/officeDocument/2006/relationships/hyperlink" Target="https://www.sec.gov/Archives/edgar/data/0001620463/000095017022004782/atha-ex10_28.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61854</Words>
  <CharactersWithSpaces>408963</CharactersWithSpaces>
  <Paragraphs>4951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