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Lenington Rachel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00" w:type="dxa"/>
            <w:vAlign w:val="bottom"/>
            <w:tcBorders>
              <w:top w:val="single" w:sz="8" w:color="0000EE"/>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06/14/2021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Athira Pharma,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ATHA</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ATHIRA PHARMA, INC.</w:t>
      </w:r>
    </w:p>
    <w:p>
      <w:pPr>
        <w:spacing w:after="0" w:line="70" w:lineRule="exact"/>
        <w:rPr>
          <w:sz w:val="24"/>
          <w:szCs w:val="24"/>
          <w:color w:val="auto"/>
        </w:rPr>
      </w:pPr>
    </w:p>
    <w:p>
      <w:pPr>
        <w:ind w:left="140" w:right="1257"/>
        <w:spacing w:after="0" w:line="269" w:lineRule="auto"/>
        <w:rPr>
          <w:sz w:val="20"/>
          <w:szCs w:val="20"/>
          <w:color w:val="auto"/>
        </w:rPr>
      </w:pPr>
      <w:r>
        <w:rPr>
          <w:rFonts w:ascii="Arial" w:cs="Arial" w:eastAsia="Arial" w:hAnsi="Arial"/>
          <w:sz w:val="20"/>
          <w:szCs w:val="20"/>
          <w:color w:val="0000FF"/>
        </w:rPr>
        <w:t>18706 NORTH CREEK PARKWAY, SUITE 104</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BOTHELL  WA</w:t>
            </w:r>
          </w:p>
        </w:tc>
        <w:tc>
          <w:tcPr>
            <w:tcW w:w="860" w:type="dxa"/>
            <w:vAlign w:val="bottom"/>
          </w:tcPr>
          <w:p>
            <w:pPr>
              <w:jc w:val="right"/>
              <w:spacing w:after="0"/>
              <w:rPr>
                <w:sz w:val="20"/>
                <w:szCs w:val="20"/>
                <w:color w:val="auto"/>
              </w:rPr>
            </w:pPr>
            <w:r>
              <w:rPr>
                <w:rFonts w:ascii="Arial" w:cs="Arial" w:eastAsia="Arial" w:hAnsi="Arial"/>
                <w:sz w:val="20"/>
                <w:szCs w:val="20"/>
                <w:color w:val="0000FF"/>
              </w:rPr>
              <w:t>98011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563"/>
        <w:spacing w:after="0"/>
        <w:rPr>
          <w:sz w:val="20"/>
          <w:szCs w:val="20"/>
          <w:color w:val="auto"/>
        </w:rPr>
      </w:pPr>
      <w:r>
        <w:rPr>
          <w:rFonts w:ascii="Arial" w:cs="Arial" w:eastAsia="Arial" w:hAnsi="Arial"/>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w w:val="91"/>
              </w:rPr>
              <w:t>No securities are beneficially owned.</w:t>
            </w: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20" w:type="dxa"/>
            <w:vAlign w:val="bottom"/>
          </w:tcPr>
          <w:p>
            <w:pPr>
              <w:ind w:left="860"/>
              <w:spacing w:after="0"/>
              <w:rPr>
                <w:sz w:val="20"/>
                <w:szCs w:val="20"/>
                <w:color w:val="auto"/>
              </w:rPr>
            </w:pPr>
            <w:r>
              <w:rPr>
                <w:rFonts w:ascii="Arial" w:cs="Arial" w:eastAsia="Arial" w:hAnsi="Arial"/>
                <w:sz w:val="20"/>
                <w:szCs w:val="20"/>
                <w:color w:val="0000FF"/>
              </w:rPr>
              <w:t>0</w:t>
            </w:r>
          </w:p>
        </w:tc>
        <w:tc>
          <w:tcPr>
            <w:tcW w:w="1020" w:type="dxa"/>
            <w:vAlign w:val="bottom"/>
            <w:gridSpan w:val="2"/>
          </w:tcPr>
          <w:p>
            <w:pPr>
              <w:ind w:left="840"/>
              <w:spacing w:after="0"/>
              <w:rPr>
                <w:sz w:val="20"/>
                <w:szCs w:val="20"/>
                <w:color w:val="auto"/>
              </w:rPr>
            </w:pPr>
            <w:r>
              <w:rPr>
                <w:rFonts w:ascii="Arial" w:cs="Arial" w:eastAsia="Arial" w:hAnsi="Arial"/>
                <w:sz w:val="20"/>
                <w:szCs w:val="20"/>
                <w:color w:val="0000FF"/>
              </w:rPr>
              <w:t>D</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306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420" w:type="dxa"/>
            <w:vAlign w:val="bottom"/>
            <w:tcBorders>
              <w:bottom w:val="single" w:sz="8" w:color="2C2C2C"/>
            </w:tcBorders>
            <w:gridSpan w:val="2"/>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3060" w:type="dxa"/>
            <w:vAlign w:val="bottom"/>
            <w:tcBorders>
              <w:top w:val="single" w:sz="8" w:color="2C2C2C"/>
            </w:tcBorders>
          </w:tcPr>
          <w:p>
            <w:pPr>
              <w:spacing w:after="0"/>
              <w:rPr>
                <w:sz w:val="22"/>
                <w:szCs w:val="22"/>
                <w:color w:val="auto"/>
              </w:rPr>
            </w:pPr>
          </w:p>
        </w:tc>
        <w:tc>
          <w:tcPr>
            <w:tcW w:w="5460" w:type="dxa"/>
            <w:vAlign w:val="bottom"/>
            <w:tcBorders>
              <w:top w:val="single" w:sz="8" w:color="2C2C2C"/>
            </w:tcBorders>
            <w:gridSpan w:val="9"/>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520" w:type="dxa"/>
            <w:vAlign w:val="bottom"/>
            <w:gridSpan w:val="10"/>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5"/>
                <w:szCs w:val="15"/>
                <w:b w:val="1"/>
                <w:bCs w:val="1"/>
                <w:color w:val="auto"/>
                <w:w w:val="95"/>
              </w:rPr>
              <w:t>5.</w:t>
            </w:r>
          </w:p>
        </w:tc>
        <w:tc>
          <w:tcPr>
            <w:tcW w:w="700" w:type="dxa"/>
            <w:vAlign w:val="bottom"/>
          </w:tcPr>
          <w:p>
            <w:pPr>
              <w:spacing w:after="0"/>
              <w:rPr>
                <w:sz w:val="17"/>
                <w:szCs w:val="17"/>
                <w:color w:val="auto"/>
              </w:rPr>
            </w:pPr>
          </w:p>
        </w:tc>
        <w:tc>
          <w:tcPr>
            <w:tcW w:w="148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4"/>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40" w:type="dxa"/>
            <w:vAlign w:val="bottom"/>
            <w:gridSpan w:val="4"/>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20" w:type="dxa"/>
            <w:vAlign w:val="bottom"/>
            <w:gridSpan w:val="2"/>
          </w:tcPr>
          <w:p>
            <w:pPr>
              <w:ind w:left="320"/>
              <w:spacing w:after="0" w:line="161" w:lineRule="exact"/>
              <w:rPr>
                <w:sz w:val="20"/>
                <w:szCs w:val="20"/>
                <w:color w:val="auto"/>
              </w:rPr>
            </w:pPr>
            <w:r>
              <w:rPr>
                <w:rFonts w:ascii="Arial" w:cs="Arial" w:eastAsia="Arial" w:hAnsi="Arial"/>
                <w:sz w:val="15"/>
                <w:szCs w:val="15"/>
                <w:b w:val="1"/>
                <w:bCs w:val="1"/>
                <w:color w:val="auto"/>
              </w:rPr>
              <w:t>Number</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2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w w:val="91"/>
              </w:rPr>
              <w:t>No securities are beneficially owned.</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right"/>
              <w:ind w:right="309"/>
              <w:spacing w:after="0"/>
              <w:rPr>
                <w:sz w:val="20"/>
                <w:szCs w:val="20"/>
                <w:color w:val="auto"/>
              </w:rPr>
            </w:pPr>
            <w:r>
              <w:rPr>
                <w:rFonts w:ascii="Arial" w:cs="Arial" w:eastAsia="Arial" w:hAnsi="Arial"/>
                <w:sz w:val="13"/>
                <w:szCs w:val="13"/>
                <w:color w:val="008000"/>
              </w:rPr>
              <w:t>(1)</w:t>
            </w:r>
          </w:p>
        </w:tc>
        <w:tc>
          <w:tcPr>
            <w:tcW w:w="1620" w:type="dxa"/>
            <w:vAlign w:val="bottom"/>
          </w:tcPr>
          <w:p>
            <w:pPr>
              <w:ind w:left="340"/>
              <w:spacing w:after="0"/>
              <w:rPr>
                <w:sz w:val="20"/>
                <w:szCs w:val="20"/>
                <w:color w:val="auto"/>
              </w:rPr>
            </w:pPr>
            <w:r>
              <w:rPr>
                <w:rFonts w:ascii="Arial" w:cs="Arial" w:eastAsia="Arial" w:hAnsi="Arial"/>
                <w:sz w:val="20"/>
                <w:szCs w:val="20"/>
                <w:color w:val="0000FF"/>
                <w:w w:val="97"/>
              </w:rPr>
              <w:t>Not Applicable</w:t>
            </w:r>
          </w:p>
        </w:tc>
        <w:tc>
          <w:tcPr>
            <w:tcW w:w="960" w:type="dxa"/>
            <w:vAlign w:val="bottom"/>
          </w:tcPr>
          <w:p>
            <w:pPr>
              <w:ind w:left="560"/>
              <w:spacing w:after="0"/>
              <w:rPr>
                <w:sz w:val="20"/>
                <w:szCs w:val="20"/>
                <w:color w:val="auto"/>
              </w:rPr>
            </w:pPr>
            <w:r>
              <w:rPr>
                <w:rFonts w:ascii="Arial" w:cs="Arial" w:eastAsia="Arial" w:hAnsi="Arial"/>
                <w:sz w:val="20"/>
                <w:szCs w:val="20"/>
                <w:color w:val="0000FF"/>
              </w:rPr>
              <w:t>0</w:t>
            </w:r>
          </w:p>
        </w:tc>
        <w:tc>
          <w:tcPr>
            <w:tcW w:w="60" w:type="dxa"/>
            <w:vAlign w:val="bottom"/>
          </w:tcPr>
          <w:p>
            <w:pPr>
              <w:spacing w:after="0"/>
              <w:rPr>
                <w:sz w:val="24"/>
                <w:szCs w:val="24"/>
                <w:color w:val="auto"/>
              </w:rPr>
            </w:pPr>
          </w:p>
        </w:tc>
        <w:tc>
          <w:tcPr>
            <w:tcW w:w="940" w:type="dxa"/>
            <w:vAlign w:val="bottom"/>
            <w:gridSpan w:val="4"/>
          </w:tcPr>
          <w:p>
            <w:pPr>
              <w:ind w:left="280"/>
              <w:spacing w:after="0"/>
              <w:rPr>
                <w:sz w:val="20"/>
                <w:szCs w:val="20"/>
                <w:color w:val="auto"/>
              </w:rPr>
            </w:pPr>
            <w:r>
              <w:rPr>
                <w:rFonts w:ascii="Arial" w:cs="Arial" w:eastAsia="Arial" w:hAnsi="Arial"/>
                <w:sz w:val="20"/>
                <w:szCs w:val="20"/>
                <w:color w:val="0000FF"/>
              </w:rPr>
              <w:t>0.00</w:t>
            </w:r>
          </w:p>
        </w:tc>
        <w:tc>
          <w:tcPr>
            <w:tcW w:w="22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Arial" w:cs="Arial" w:eastAsia="Arial" w:hAnsi="Arial"/>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color w:val="008000"/>
              </w:rPr>
              <w:t>1. Not applicable.</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gridSpan w:val="6"/>
          </w:tcPr>
          <w:p>
            <w:pPr>
              <w:spacing w:after="0"/>
              <w:rPr>
                <w:sz w:val="20"/>
                <w:szCs w:val="20"/>
                <w:color w:val="auto"/>
              </w:rPr>
            </w:pPr>
            <w:r>
              <w:rPr>
                <w:rFonts w:ascii="Arial" w:cs="Arial" w:eastAsia="Arial" w:hAnsi="Arial"/>
                <w:sz w:val="20"/>
                <w:szCs w:val="20"/>
                <w:color w:val="0000FF"/>
              </w:rPr>
              <w:t>/s/ Glenna Mileson,</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960" w:type="dxa"/>
            <w:vAlign w:val="bottom"/>
            <w:gridSpan w:val="6"/>
          </w:tcPr>
          <w:p>
            <w:pPr>
              <w:spacing w:after="0" w:line="220" w:lineRule="exact"/>
              <w:rPr>
                <w:sz w:val="20"/>
                <w:szCs w:val="20"/>
                <w:color w:val="auto"/>
              </w:rPr>
            </w:pPr>
            <w:r>
              <w:rPr>
                <w:rFonts w:ascii="Arial" w:cs="Arial" w:eastAsia="Arial" w:hAnsi="Arial"/>
                <w:sz w:val="20"/>
                <w:szCs w:val="20"/>
                <w:color w:val="0000FF"/>
              </w:rPr>
              <w:t>Attorney in Fact for</w:t>
            </w:r>
          </w:p>
        </w:tc>
        <w:tc>
          <w:tcPr>
            <w:tcW w:w="2380" w:type="dxa"/>
            <w:vAlign w:val="bottom"/>
            <w:gridSpan w:val="4"/>
          </w:tcPr>
          <w:p>
            <w:pPr>
              <w:ind w:left="220"/>
              <w:spacing w:after="0" w:line="220" w:lineRule="exact"/>
              <w:rPr>
                <w:sz w:val="20"/>
                <w:szCs w:val="20"/>
                <w:color w:val="auto"/>
              </w:rPr>
            </w:pPr>
            <w:r>
              <w:rPr>
                <w:rFonts w:ascii="Arial" w:cs="Arial" w:eastAsia="Arial" w:hAnsi="Arial"/>
                <w:sz w:val="20"/>
                <w:szCs w:val="20"/>
                <w:color w:val="0000FF"/>
              </w:rPr>
              <w:t>06/14/2021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40" w:type="dxa"/>
            <w:vAlign w:val="bottom"/>
            <w:tcBorders>
              <w:top w:val="single" w:sz="8" w:color="auto"/>
            </w:tcBorders>
            <w:gridSpan w:val="5"/>
          </w:tcPr>
          <w:p>
            <w:pPr>
              <w:spacing w:after="0" w:line="220" w:lineRule="exact"/>
              <w:rPr>
                <w:sz w:val="20"/>
                <w:szCs w:val="20"/>
                <w:color w:val="auto"/>
              </w:rPr>
            </w:pPr>
            <w:r>
              <w:rPr>
                <w:rFonts w:ascii="Arial" w:cs="Arial" w:eastAsia="Arial" w:hAnsi="Arial"/>
                <w:sz w:val="20"/>
                <w:szCs w:val="20"/>
                <w:color w:val="0000FF"/>
                <w:w w:val="97"/>
              </w:rPr>
              <w:t>Rachel Lenington</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line="238" w:lineRule="auto"/>
        <w:rPr>
          <w:sz w:val="20"/>
          <w:szCs w:val="20"/>
          <w:color w:val="auto"/>
        </w:rPr>
      </w:pPr>
      <w:r>
        <w:rPr>
          <w:rFonts w:ascii="Courier New" w:cs="Courier New" w:eastAsia="Courier New" w:hAnsi="Courier New"/>
          <w:sz w:val="20"/>
          <w:szCs w:val="20"/>
          <w:color w:val="auto"/>
        </w:rPr>
        <w:t>SECTION 16 REPORTING OBLIGATIONS</w:t>
      </w:r>
    </w:p>
    <w:p>
      <w:pPr>
        <w:spacing w:after="0" w:line="200" w:lineRule="exact"/>
        <w:rPr>
          <w:sz w:val="20"/>
          <w:szCs w:val="20"/>
          <w:color w:val="auto"/>
        </w:rPr>
      </w:pPr>
    </w:p>
    <w:p>
      <w:pPr>
        <w:spacing w:after="0" w:line="255"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Athira Pharma, Inc. (the "Company"), hereby constitutes and appoints Glenna Mileson, V. Keophilavanh and each of the responsible attorneys and paralegals of Wilson Sonsini Goodrich &amp; Rosati, Professional Corporation, the undersigned's true and lawful attorney-in-fact to:</w:t>
      </w:r>
    </w:p>
    <w:p>
      <w:pPr>
        <w:spacing w:after="0" w:line="232" w:lineRule="exact"/>
        <w:rPr>
          <w:sz w:val="20"/>
          <w:szCs w:val="20"/>
          <w:color w:val="auto"/>
        </w:rPr>
      </w:pPr>
    </w:p>
    <w:p>
      <w:pPr>
        <w:ind w:right="3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ID, 3, 4, and 5 and other forms and all amendments thereto as such attorney-in-fact shall in his or her discretion determine to be required or advisable pursuant to Section 16 of the Securities Exchange Act of</w:t>
      </w:r>
    </w:p>
    <w:p>
      <w:pPr>
        <w:spacing w:after="0" w:line="2" w:lineRule="exact"/>
        <w:rPr>
          <w:rFonts w:ascii="Courier New" w:cs="Courier New" w:eastAsia="Courier New" w:hAnsi="Courier New"/>
          <w:sz w:val="18"/>
          <w:szCs w:val="18"/>
          <w:color w:val="auto"/>
        </w:rPr>
      </w:pPr>
    </w:p>
    <w:p>
      <w:pPr>
        <w:ind w:right="61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1934 (as amended) and the rules and regulations promulgated thereunder, or any successor laws and regulations, as a consequence of the undersigned's ownership, acquisition or disposition of securities of the Company; and</w:t>
      </w:r>
    </w:p>
    <w:p>
      <w:pPr>
        <w:spacing w:after="0" w:line="232" w:lineRule="exact"/>
        <w:rPr>
          <w:rFonts w:ascii="Courier New" w:cs="Courier New" w:eastAsia="Courier New" w:hAnsi="Courier New"/>
          <w:sz w:val="18"/>
          <w:szCs w:val="18"/>
          <w:color w:val="auto"/>
        </w:rPr>
      </w:pPr>
    </w:p>
    <w:p>
      <w:pPr>
        <w:ind w:right="499"/>
        <w:spacing w:after="0" w:line="237"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5" w:lineRule="exact"/>
        <w:rPr>
          <w:rFonts w:ascii="Courier New" w:cs="Courier New" w:eastAsia="Courier New" w:hAnsi="Courier New"/>
          <w:sz w:val="20"/>
          <w:szCs w:val="20"/>
          <w:color w:val="auto"/>
        </w:rPr>
      </w:pPr>
    </w:p>
    <w:p>
      <w:pPr>
        <w:ind w:right="61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attorneys-in-fact.</w:t>
      </w:r>
    </w:p>
    <w:p>
      <w:pPr>
        <w:spacing w:after="0" w:line="7"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May 5,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Rachel Lenington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1194" TargetMode="External"/><Relationship Id="rId11"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2021-06-14T16:00:00Z</dcterms:created>
  <dcterms:modified xsi:type="dcterms:W3CDTF">2021-06-14T16:00:00Z</dcterms:modified>
</cp:coreProperties>
</file>