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CHURCH KEVIN</w:t>
              </w:r>
            </w:hyperlink>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Athira 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ATHA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40" w:type="dxa"/>
            <w:vAlign w:val="bottom"/>
            <w:tcBorders>
              <w:top w:val="single" w:sz="8" w:color="0000EE"/>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ATHIRA PHARMA, INC.</w:t>
            </w:r>
          </w:p>
        </w:tc>
        <w:tc>
          <w:tcPr>
            <w:tcW w:w="1320" w:type="dxa"/>
            <w:vAlign w:val="bottom"/>
          </w:tcPr>
          <w:p>
            <w:pPr>
              <w:spacing w:after="0"/>
              <w:rPr>
                <w:sz w:val="19"/>
                <w:szCs w:val="19"/>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06/22/2022</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2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Executive VP, Research</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BOTHELL</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WA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98011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10,000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60,309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06/23/2022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6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2,614</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2.69</w:t>
            </w:r>
            <w:r>
              <w:rPr>
                <w:rFonts w:ascii="Times New Roman" w:cs="Times New Roman" w:eastAsia="Times New Roman" w:hAnsi="Times New Roman"/>
                <w:sz w:val="22"/>
                <w:szCs w:val="22"/>
                <w:color w:val="008000"/>
                <w:w w:val="92"/>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57,695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3, 2021, the reporting person was granted restricted stock units ("RSUs") representing 30,000 shares of Common Stock of the Issuer. The RSUs were scheduled to vest according to the following schedule: (1) one third (1/3rd) of the number of shares subject to the RSU award vest at the completion of the public readout of topline results of the Issuer's ACT-AD Phase 2 clinical trial; (2) one third (1/3rd) of the number of shares subject to the RSU award vest at the completion of the public readout of topline results of the Issuer's LIFT-AD Phase 2/3 clinical trial (the "LIFT-AD Readout") and (3) one third (1/3rd) of the number of shares subject to the RSU award vest six (6) months after the LIFT-AD Readout, in each case subject to continued service with the Issuer through the applicable vesting date. On June 22, 2022, the Issuer completed the public readout of topline results of the ACT-AD Phase 2 clinical trial and 10,000 RSUs vested and settled on such date.</w:t>
      </w:r>
    </w:p>
    <w:p>
      <w:pPr>
        <w:spacing w:after="0" w:line="26"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cover the Issuer's tax withholding obligations in connection with the vesting of RSUs. Such sale was made pursuant to an Issuer-mandated policy and was not subject to discretion.</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$2.62 to $2.78,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Glenna Mileson,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9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on behalf of Kevin</w:t>
      </w:r>
      <w:r>
        <w:rPr>
          <w:sz w:val="20"/>
          <w:szCs w:val="20"/>
          <w:color w:val="auto"/>
        </w:rPr>
        <w:tab/>
      </w:r>
      <w:r>
        <w:rPr>
          <w:rFonts w:ascii="Times New Roman" w:cs="Times New Roman" w:eastAsia="Times New Roman" w:hAnsi="Times New Roman"/>
          <w:sz w:val="17"/>
          <w:szCs w:val="17"/>
          <w:color w:val="0000FF"/>
        </w:rPr>
        <w:t>06/24/2022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2499"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2022-06-24T18:26:38Z</dcterms:created>
  <dcterms:modified xsi:type="dcterms:W3CDTF">2022-06-24T18:26:38Z</dcterms:modified>
</cp:coreProperties>
</file>