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gif" ContentType="image/gif"/>
  <Override PartName="/word/media/image6.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26"/>
        </w:rPr>
      </w:pPr>
      <w:bookmarkStart w:id="0" w:name="lona-20260223.htm"/>
      <w:bookmarkStart w:id="1" w:name="kslona20260223"/>
      <w:bookmarkEnd w:id="0"/>
      <w:bookmarkEnd w:id="1"/>
      <w:r>
        <w:rPr>
          <w:rFonts w:ascii="Arial" w:hAnsi="Arial"/>
          <w:b/>
          <w:color w:val="000000"/>
          <w:sz w:val="26"/>
        </w:rPr>
        <w:t>UNITED STATES</w:t>
      </w:r>
    </w:p>
    <w:p>
      <w:pPr>
        <w:pStyle w:val="TextBody"/>
        <w:bidi w:val="0"/>
        <w:jc w:val="center"/>
        <w:rPr>
          <w:rFonts w:ascii="Arial" w:hAnsi="Arial"/>
          <w:b/>
          <w:color w:val="000000"/>
          <w:sz w:val="26"/>
        </w:rPr>
      </w:pPr>
      <w:r>
        <w:rPr>
          <w:rFonts w:ascii="Arial" w:hAnsi="Arial"/>
          <w:b/>
          <w:color w:val="000000"/>
          <w:sz w:val="2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color w:val="000000"/>
        </w:rPr>
      </w:pPr>
      <w:r>
        <w:rPr>
          <w:color w:val="000000"/>
        </w:rPr>
        <w:t> </w:t>
      </w:r>
    </w:p>
    <w:p>
      <w:pPr>
        <w:pStyle w:val="TextBody"/>
        <w:bidi w:val="0"/>
        <w:jc w:val="center"/>
        <w:rPr>
          <w:rFonts w:ascii="Arial" w:hAnsi="Arial"/>
          <w:b/>
          <w:color w:val="000000"/>
          <w:sz w:val="26"/>
        </w:rPr>
      </w:pPr>
      <w:r>
        <w:rPr>
          <w:rFonts w:ascii="Arial" w:hAnsi="Arial"/>
          <w:b/>
          <w:color w:val="000000"/>
          <w:sz w:val="26"/>
        </w:rPr>
        <w:t>SCHEDULE 14A</w:t>
      </w:r>
    </w:p>
    <w:p>
      <w:pPr>
        <w:pStyle w:val="TextBody"/>
        <w:bidi w:val="0"/>
        <w:spacing w:before="0" w:after="283"/>
        <w:jc w:val="left"/>
        <w:rPr/>
      </w:pPr>
      <w:r>
        <w:rPr/>
        <w:t> </w:t>
      </w:r>
    </w:p>
    <w:p>
      <w:pPr>
        <w:pStyle w:val="TextBody"/>
        <w:bidi w:val="0"/>
        <w:jc w:val="center"/>
        <w:rPr>
          <w:rFonts w:ascii="Times New Roman" w:hAnsi="Times New Roman"/>
          <w:sz w:val="20"/>
        </w:rPr>
      </w:pPr>
      <w:r>
        <w:rPr>
          <w:rFonts w:ascii="Arial" w:hAnsi="Arial"/>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SECURITIES EXCHANGE ACT OF 1934</w:t>
      </w:r>
    </w:p>
    <w:p>
      <w:pPr>
        <w:pStyle w:val="TextBody"/>
        <w:bidi w:val="0"/>
        <w:jc w:val="center"/>
        <w:rPr>
          <w:rFonts w:ascii="Arial" w:hAnsi="Arial"/>
          <w:b/>
          <w:color w:val="000000"/>
          <w:sz w:val="20"/>
        </w:rPr>
      </w:pPr>
      <w:r>
        <w:rPr>
          <w:rFonts w:ascii="Arial" w:hAnsi="Arial"/>
          <w:b/>
          <w:color w:val="000000"/>
          <w:sz w:val="20"/>
        </w:rPr>
        <w:t>(AMENDMENT NO. )</w:t>
      </w:r>
    </w:p>
    <w:p>
      <w:pPr>
        <w:pStyle w:val="TextBody"/>
        <w:bidi w:val="0"/>
        <w:jc w:val="left"/>
        <w:rPr>
          <w:rFonts w:ascii="Times New Roman" w:hAnsi="Times New Roman"/>
          <w:sz w:val="20"/>
        </w:rPr>
      </w:pPr>
      <w:r>
        <w:rPr>
          <w:rFonts w:ascii="Arial" w:hAnsi="Arial"/>
          <w:color w:val="000000"/>
          <w:sz w:val="18"/>
        </w:rPr>
        <w:t xml:space="preserve">Filed by the Registrant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Filed by a Party other than the Registrant </w:t>
      </w:r>
      <w:r>
        <w:rPr>
          <w:rFonts w:ascii="Times New Roman" w:hAnsi="Times New Roman"/>
          <w:color w:val="000000"/>
          <w:sz w:val="20"/>
        </w:rPr>
        <w:t xml:space="preserve"> ☐ </w:t>
      </w:r>
    </w:p>
    <w:p>
      <w:pPr>
        <w:pStyle w:val="TextBody"/>
        <w:bidi w:val="0"/>
        <w:jc w:val="left"/>
        <w:rPr>
          <w:rFonts w:ascii="Times New Roman" w:hAnsi="Times New Roman"/>
          <w:sz w:val="20"/>
        </w:rPr>
      </w:pPr>
      <w:r>
        <w:rPr>
          <w:rFonts w:ascii="Arial" w:hAnsi="Arial"/>
          <w:color w:val="000000"/>
          <w:sz w:val="18"/>
        </w:rPr>
        <w:t>Check the appropriate box:</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 xml:space="preserve">Preliminary Proxy Statement </w:t>
      </w:r>
    </w:p>
    <w:p>
      <w:pPr>
        <w:pStyle w:val="TextBody"/>
        <w:bidi w:val="0"/>
        <w:jc w:val="left"/>
        <w:rPr/>
      </w:pPr>
      <w:r>
        <w:rPr>
          <w:color w:val="000000"/>
        </w:rPr>
        <w:t>  ☐  </w:t>
      </w:r>
      <w:r>
        <w:rPr>
          <w:rFonts w:ascii="Arial" w:hAnsi="Arial"/>
          <w:b/>
          <w:color w:val="000000"/>
          <w:sz w:val="18"/>
        </w:rPr>
        <w:t>Confidential, for Use of the Commission Only (as permitted by Rule 14a-6(e)(2))</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 xml:space="preserve">Definitive Proxy Statement </w:t>
      </w:r>
    </w:p>
    <w:p>
      <w:pPr>
        <w:pStyle w:val="TextBody"/>
        <w:bidi w:val="0"/>
        <w:jc w:val="left"/>
        <w:rPr/>
      </w:pPr>
      <w:r>
        <w:rPr>
          <w:color w:val="000000"/>
        </w:rPr>
        <w:t>  ☐  </w:t>
      </w:r>
      <w:r>
        <w:rPr>
          <w:rFonts w:ascii="Arial" w:hAnsi="Arial"/>
          <w:color w:val="000000"/>
          <w:sz w:val="18"/>
        </w:rPr>
        <w:t>Definitive Additional Materials</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Soliciting Material under §240.14a-12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6"/>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(Name of Person(s) Filing Proxy Statement, if other than the Registrant)</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Payment of Filing Fee (Check all boxes that apply):</w:t>
      </w:r>
    </w:p>
    <w:p>
      <w:pPr>
        <w:pStyle w:val="TextBody"/>
        <w:bidi w:val="0"/>
        <w:jc w:val="left"/>
        <w:rPr/>
      </w:pPr>
      <w:r>
        <w:rPr>
          <w:color w:val="000000"/>
        </w:rPr>
        <w:t> ☒  </w:t>
      </w:r>
      <w:r>
        <w:rPr>
          <w:rFonts w:ascii="Arial" w:hAnsi="Arial"/>
          <w:color w:val="000000"/>
          <w:sz w:val="18"/>
        </w:rPr>
        <w:t>No fee required</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Fee paid previously with preliminary materials</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Fee computed on table in exhibit required by Item 25(b) per Exchange Act Rules 14a-6(i)(1) and 0-11</w:t>
      </w:r>
      <w:r>
        <w:rPr>
          <w:rFonts w:ascii="Times New Roman" w:hAnsi="Times New Roman"/>
          <w:color w:val="000000"/>
          <w:sz w:val="20"/>
        </w:rPr>
        <w:t xml:space="preserve"> </w:t>
      </w:r>
    </w:p>
    <w:p>
      <w:pPr>
        <w:pStyle w:val="TextBody"/>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color w:val="000000"/>
        </w:rPr>
      </w:pPr>
      <w:r>
        <w:rPr>
          <w:color w:val="00000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525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1009650"/>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February 23,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Dear Fellow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are pleased to invite you to attend the special meeting of stockholders and any postponement, adjournments or other delays thereof, which we refer to as the Special Meeting of LeonaBio, Inc., a Delaware corporation, or the Company. The Special Meeting will be held on March 18, 2026, at 8:00 a.m., Pacific Time. The Special Meeting will be conducted virtually via live audio webcast. You will be able to attend the Special Meeting virtually by visiting www.virtualshareholdermeeting.com/LONA2026SM, where you will be able to listen to the meeting live, submit questions and vote online. The Special Meeting will be held for the following purposes: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1.</w:t>
      </w:r>
    </w:p>
    <w:p>
      <w:pPr>
        <w:pStyle w:val="TextBody"/>
        <w:bidi w:val="0"/>
        <w:jc w:val="left"/>
        <w:rPr>
          <w:rFonts w:ascii="Arial" w:hAnsi="Arial"/>
          <w:color w:val="000000"/>
          <w:sz w:val="18"/>
        </w:rPr>
      </w:pPr>
      <w:r>
        <w:rPr>
          <w:rFonts w:ascii="Arial" w:hAnsi="Arial"/>
          <w:color w:val="000000"/>
          <w:sz w:val="18"/>
        </w:rPr>
        <w:t>To approve the issuance of 5,502,402 shares of common stock, par value $0.0001 per share, or the common stock, pursuant to the exercise of a pre-funded warrant, or the Sermonix Pre-Funded Warrant, held by Sermonix Pharmaceuticals, Inc., or Sermonix, in accordance with Nasdaq Rule 5635(a)(2).</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2.</w:t>
      </w:r>
    </w:p>
    <w:p>
      <w:pPr>
        <w:pStyle w:val="TextBody"/>
        <w:bidi w:val="0"/>
        <w:jc w:val="left"/>
        <w:rPr>
          <w:rFonts w:ascii="Arial" w:hAnsi="Arial"/>
          <w:color w:val="000000"/>
          <w:sz w:val="18"/>
        </w:rPr>
      </w:pPr>
      <w:r>
        <w:rPr>
          <w:rFonts w:ascii="Arial" w:hAnsi="Arial"/>
          <w:color w:val="000000"/>
          <w:sz w:val="18"/>
        </w:rPr>
        <w:t>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or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3.</w:t>
      </w:r>
    </w:p>
    <w:p>
      <w:pPr>
        <w:pStyle w:val="TextBody"/>
        <w:bidi w:val="0"/>
        <w:jc w:val="left"/>
        <w:rPr>
          <w:rFonts w:ascii="Arial" w:hAnsi="Arial"/>
          <w:color w:val="000000"/>
          <w:sz w:val="18"/>
        </w:rPr>
      </w:pPr>
      <w:r>
        <w:rPr>
          <w:rFonts w:ascii="Arial" w:hAnsi="Arial"/>
          <w:color w:val="000000"/>
          <w:sz w:val="18"/>
        </w:rPr>
        <w:t>To approve the issuance of shares of common stock to Perceptive Advisors or its affiliates pursuant to the exercise of warrants if, immediately following such exercise, Perceptive Advisors, together with its affiliates and any other persons whose beneficial ownership of shares of common stock would be aggregated with Perceptive Advisors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4.</w:t>
      </w:r>
    </w:p>
    <w:p>
      <w:pPr>
        <w:pStyle w:val="TextBody"/>
        <w:bidi w:val="0"/>
        <w:jc w:val="left"/>
        <w:rPr>
          <w:rFonts w:ascii="Arial" w:hAnsi="Arial"/>
          <w:color w:val="000000"/>
          <w:sz w:val="18"/>
        </w:rPr>
      </w:pPr>
      <w:r>
        <w:rPr>
          <w:rFonts w:ascii="Arial" w:hAnsi="Arial"/>
          <w:color w:val="000000"/>
          <w:sz w:val="18"/>
        </w:rPr>
        <w:t>To approve the LeonaBio, Inc. 2026 Equity Incentive Plan.</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5.</w:t>
      </w:r>
    </w:p>
    <w:p>
      <w:pPr>
        <w:pStyle w:val="TextBody"/>
        <w:bidi w:val="0"/>
        <w:jc w:val="left"/>
        <w:rPr>
          <w:rFonts w:ascii="Arial" w:hAnsi="Arial"/>
          <w:color w:val="000000"/>
          <w:sz w:val="18"/>
        </w:rPr>
      </w:pPr>
      <w:r>
        <w:rPr>
          <w:rFonts w:ascii="Arial" w:hAnsi="Arial"/>
          <w:color w:val="000000"/>
          <w:sz w:val="18"/>
        </w:rPr>
        <w:t>To amend our amended and restated certificate of incorporation to increase the number of authorized shares of common stock.</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Proposal 6.</w:t>
      </w:r>
    </w:p>
    <w:p>
      <w:pPr>
        <w:pStyle w:val="TextBody"/>
        <w:bidi w:val="0"/>
        <w:jc w:val="left"/>
        <w:rPr>
          <w:rFonts w:ascii="Arial" w:hAnsi="Arial"/>
          <w:color w:val="000000"/>
          <w:sz w:val="18"/>
        </w:rPr>
      </w:pPr>
      <w:r>
        <w:rPr>
          <w:rFonts w:ascii="Arial" w:hAnsi="Arial"/>
          <w:color w:val="000000"/>
          <w:sz w:val="18"/>
        </w:rPr>
        <w:t>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These items of business are more fully described in the attached formal meeting notice and proxy statement. The record date for the Special Meeting is January 27, 2026. Only stockholders of record at the close of business on that date are entitled to notice of and may vote at the Special Meeting or any adjournment thereof.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Your vote is important. Whether or not you attend the Special Meeting virtually, it is important that your shares be represented and voted at the Special Meeting. Therefore, we urge you to vote and submit your proxy promptly via the internet, telephone or mail.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On behalf of our board of directors, we would like to express our appreciation for your continued support of and interest in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Sincerely,</w:t>
      </w:r>
    </w:p>
    <w:p>
      <w:pPr>
        <w:pStyle w:val="TextBody"/>
        <w:bidi w:val="0"/>
        <w:jc w:val="left"/>
        <w:rPr>
          <w:color w:val="000000"/>
        </w:rPr>
      </w:pPr>
      <w:r>
        <w:rPr>
          <w:color w:val="000000"/>
        </w:rPr>
        <w:t> </w:t>
      </w:r>
    </w:p>
    <w:p>
      <w:pPr>
        <w:pStyle w:val="TextBody"/>
        <w:bidi w:val="0"/>
        <w:jc w:val="left"/>
        <w:rPr/>
      </w:pPr>
      <w:r>
        <w:rPr/>
        <w:drawing>
          <wp:inline distT="0" distB="0" distL="0" distR="0">
            <wp:extent cx="11906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90625" cy="790575"/>
                    </a:xfrm>
                    <a:prstGeom prst="rect">
                      <a:avLst/>
                    </a:prstGeom>
                  </pic:spPr>
                </pic:pic>
              </a:graphicData>
            </a:graphic>
          </wp:inline>
        </w:drawing>
      </w:r>
      <w:r>
        <w:rPr/>
        <w:t> </w:t>
      </w:r>
    </w:p>
    <w:p>
      <w:pPr>
        <w:pStyle w:val="TextBody"/>
        <w:bidi w:val="0"/>
        <w:jc w:val="left"/>
        <w:rPr>
          <w:color w:val="000000"/>
        </w:rPr>
      </w:pPr>
      <w:r>
        <w:rPr>
          <w:color w:val="000000"/>
        </w:rPr>
        <w:t> </w:t>
      </w:r>
    </w:p>
    <w:p>
      <w:pPr>
        <w:pStyle w:val="TextBody"/>
        <w:bidi w:val="0"/>
        <w:jc w:val="left"/>
        <w:rPr>
          <w:rFonts w:ascii="Times New Roman" w:hAnsi="Times New Roman"/>
          <w:sz w:val="20"/>
        </w:rPr>
      </w:pPr>
      <w:r>
        <w:rPr>
          <w:rFonts w:ascii="Arial" w:hAnsi="Arial"/>
          <w:color w:val="000000"/>
          <w:sz w:val="18"/>
        </w:rPr>
        <w:t>Mark J. Litton, Ph.D.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President and Chief Executive Officer</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LeonaBio,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LEONABIO, INC.</w:t>
      </w:r>
    </w:p>
    <w:p>
      <w:pPr>
        <w:pStyle w:val="TextBody"/>
        <w:bidi w:val="0"/>
        <w:jc w:val="center"/>
        <w:rPr>
          <w:rFonts w:ascii="Arial" w:hAnsi="Arial"/>
          <w:b/>
          <w:color w:val="000000"/>
          <w:sz w:val="18"/>
        </w:rPr>
      </w:pPr>
      <w:r>
        <w:rPr>
          <w:rFonts w:ascii="Arial" w:hAnsi="Arial"/>
          <w:b/>
          <w:color w:val="000000"/>
          <w:sz w:val="18"/>
        </w:rPr>
        <w:t>18706 North Creek Parkway, Suite 104</w:t>
      </w:r>
    </w:p>
    <w:p>
      <w:pPr>
        <w:pStyle w:val="TextBody"/>
        <w:bidi w:val="0"/>
        <w:jc w:val="center"/>
        <w:rPr>
          <w:rFonts w:ascii="Arial" w:hAnsi="Arial"/>
          <w:b/>
          <w:color w:val="000000"/>
          <w:sz w:val="18"/>
        </w:rPr>
      </w:pPr>
      <w:r>
        <w:rPr>
          <w:rFonts w:ascii="Arial" w:hAnsi="Arial"/>
          <w:b/>
          <w:color w:val="000000"/>
          <w:sz w:val="18"/>
        </w:rPr>
        <w:t>Bothell, Washington 98011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NOTICE OF SPECIAL MEETING OF STOCKHOLDERS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Time and Date</w:t>
            </w:r>
          </w:p>
        </w:tc>
        <w:tc>
          <w:tcPr>
            <w:tcW w:w="8474"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8:00 a.m., Pacific Time, on March 18, 2026</w:t>
            </w:r>
          </w:p>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Place</w:t>
            </w:r>
          </w:p>
        </w:tc>
        <w:tc>
          <w:tcPr>
            <w:tcW w:w="8474"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Arial" w:hAnsi="Arial"/>
                <w:color w:val="000000"/>
                <w:sz w:val="18"/>
              </w:rPr>
              <w:t>The</w:t>
            </w:r>
            <w:r>
              <w:rPr>
                <w:rFonts w:ascii="Times New Roman" w:hAnsi="Times New Roman"/>
                <w:color w:val="000000"/>
                <w:sz w:val="18"/>
              </w:rPr>
              <w:t xml:space="preserve"> </w:t>
            </w:r>
            <w:r>
              <w:rPr>
                <w:rFonts w:ascii="Arial" w:hAnsi="Arial"/>
                <w:color w:val="000000"/>
                <w:sz w:val="18"/>
              </w:rPr>
              <w:t>Special Meeting will be conducted virtually via live audio webcast. You will be able to attend the Special Meeting virtually by visiting www.virtualshareholdermeeting.com/LONA2026SM, where you will be able to listen to the meeting live, submit questions and vote online during the meeting</w:t>
            </w:r>
          </w:p>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Items of Business</w:t>
            </w:r>
          </w:p>
        </w:tc>
        <w:tc>
          <w:tcPr>
            <w:tcW w:w="8474"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i/>
                <w:color w:val="000000"/>
                <w:sz w:val="18"/>
              </w:rPr>
              <w:t>Proposal No. 1</w:t>
            </w:r>
            <w:r>
              <w:rPr>
                <w:rFonts w:ascii="Arial" w:hAnsi="Arial"/>
                <w:color w:val="000000"/>
                <w:sz w:val="18"/>
              </w:rPr>
              <w:t>: To approve the issuance of 5,502,402 shares of common stock, par value $0.0001 per share, or the common stock, pursuant to the exercise of a pre-funded warrant, or the Sermonix Pre-Funded Warrant, held by Sermonix Pharmaceuticals, Inc., or Sermonix, in accordance with Nasdaq Rule 5635(a)(2).</w:t>
            </w:r>
          </w:p>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i/>
                <w:color w:val="000000"/>
                <w:sz w:val="18"/>
              </w:rPr>
              <w:t>Proposal No. 2</w:t>
            </w:r>
            <w:r>
              <w:rPr>
                <w:rFonts w:ascii="Arial" w:hAnsi="Arial"/>
                <w:color w:val="000000"/>
                <w:sz w:val="18"/>
              </w:rPr>
              <w:t>: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or the Exchange Act, would beneficially own in excess of 19.99% of our outstanding common stock, in accordance with Nasdaq Rule 5635(b).</w:t>
            </w:r>
          </w:p>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i/>
                <w:color w:val="000000"/>
                <w:sz w:val="18"/>
              </w:rPr>
              <w:t>Proposal No. 3</w:t>
            </w:r>
            <w:r>
              <w:rPr>
                <w:rFonts w:ascii="Arial" w:hAnsi="Arial"/>
                <w:color w:val="000000"/>
                <w:sz w:val="18"/>
              </w:rPr>
              <w:t>: To approve the issuance of shares of common stock to Perceptive Advisors or its affiliates, who we refer to together as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i/>
                <w:color w:val="000000"/>
                <w:sz w:val="18"/>
              </w:rPr>
              <w:t>Proposal No. 4</w:t>
            </w:r>
            <w:r>
              <w:rPr>
                <w:rFonts w:ascii="Arial" w:hAnsi="Arial"/>
                <w:color w:val="000000"/>
                <w:sz w:val="18"/>
              </w:rPr>
              <w:t>: To approve the LeonaBio, Inc. 2026 Equity Incentive Plan.</w:t>
            </w:r>
          </w:p>
          <w:p>
            <w:pPr>
              <w:pStyle w:val="TableContents"/>
              <w:bidi w:val="0"/>
              <w:spacing w:before="0" w:after="0"/>
              <w:jc w:val="left"/>
              <w:rPr>
                <w:color w:val="000000"/>
              </w:rPr>
            </w:pPr>
            <w:r>
              <w:rPr>
                <w:color w:val="000000"/>
              </w:rPr>
              <w:t>•</w:t>
            </w:r>
          </w:p>
          <w:p>
            <w:pPr>
              <w:pStyle w:val="TableContents"/>
              <w:bidi w:val="0"/>
              <w:spacing w:before="0" w:after="0"/>
              <w:jc w:val="left"/>
              <w:rPr/>
            </w:pPr>
            <w:r>
              <w:rPr>
                <w:rFonts w:ascii="Arial" w:hAnsi="Arial"/>
                <w:i/>
                <w:color w:val="000000"/>
                <w:sz w:val="18"/>
              </w:rPr>
              <w:t>Proposal No. 5</w:t>
            </w:r>
            <w:r>
              <w:rPr>
                <w:rFonts w:ascii="Arial" w:hAnsi="Arial"/>
                <w:color w:val="000000"/>
                <w:sz w:val="18"/>
              </w:rPr>
              <w:t>: To amend our amended and restated certificate of incorporation to increase the number of authorized shares of common stock.</w:t>
            </w:r>
          </w:p>
          <w:p>
            <w:pPr>
              <w:pStyle w:val="TableContents"/>
              <w:bidi w:val="0"/>
              <w:spacing w:before="0" w:after="0"/>
              <w:jc w:val="left"/>
              <w:rPr>
                <w:color w:val="000000"/>
              </w:rPr>
            </w:pPr>
            <w:r>
              <w:rPr>
                <w:color w:val="000000"/>
              </w:rPr>
              <w:t>•</w:t>
            </w:r>
          </w:p>
          <w:p>
            <w:pPr>
              <w:pStyle w:val="TableContents"/>
              <w:bidi w:val="0"/>
              <w:jc w:val="left"/>
              <w:rPr/>
            </w:pPr>
            <w:r>
              <w:rPr>
                <w:rFonts w:ascii="Arial" w:hAnsi="Arial"/>
                <w:i/>
                <w:color w:val="000000"/>
                <w:sz w:val="18"/>
              </w:rPr>
              <w:t>Proposal No. 6</w:t>
            </w:r>
            <w:r>
              <w:rPr>
                <w:rFonts w:ascii="Arial" w:hAnsi="Arial"/>
                <w:color w:val="000000"/>
                <w:sz w:val="18"/>
              </w:rPr>
              <w:t>: 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ableContents"/>
              <w:bidi w:val="0"/>
              <w:spacing w:before="0" w:after="283"/>
              <w:ind w:left="0" w:right="0" w:firstLine="720"/>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Record Date</w:t>
            </w:r>
          </w:p>
        </w:tc>
        <w:tc>
          <w:tcPr>
            <w:tcW w:w="8474"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January 27, 2026</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Only stockholders of record as of January 27, 2026 are entitled to notice of and to vote at the Special Meeting. For ten days prior to the Special Meeting, a complete list of stockholders of record entitled to vote at the Special Meeting will be available for examination by any stockholder for any purpose relevant to the Special Meeting. If you would like to view the list, please contact our corporate secretary to schedule an appointment by calling (425) 620-8520 or writing to LeonaBio, Inc., 18706 North Creek Parkway, Suite 104, Bothell, Washington 98011, Attention: Corporate Secretary.</w:t>
            </w:r>
          </w:p>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Proxy Materials</w:t>
            </w:r>
          </w:p>
        </w:tc>
        <w:tc>
          <w:tcPr>
            <w:tcW w:w="8474"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The proxy statement and accompanying proxy card were first sent or given on or about February 23, 2026 to all stockholders entitled to vote at the Special Meeting. You should have received a proxy card and postage-paid return envelope, through which your vote is being solicited on behalf of our board of directors.</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Voting</w:t>
            </w:r>
          </w:p>
        </w:tc>
        <w:tc>
          <w:tcPr>
            <w:tcW w:w="84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Whether or not you plan to attend the virtual Special Meeting, we urge you to submit your proxy via the internet or telephone or by mail as soon as possible. </w:t>
            </w:r>
          </w:p>
        </w:tc>
      </w:tr>
    </w:tbl>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000000"/>
          <w:sz w:val="18"/>
        </w:rPr>
        <w:t>By order of the Board of Directors,</w:t>
      </w:r>
      <w:r>
        <w:rPr>
          <w:rFonts w:ascii="Times New Roman" w:hAnsi="Times New Roman"/>
          <w:color w:val="000000"/>
          <w:sz w:val="20"/>
        </w:rPr>
        <w:t xml:space="preserve"> </w:t>
      </w:r>
    </w:p>
    <w:p>
      <w:pPr>
        <w:pStyle w:val="TextBody"/>
        <w:bidi w:val="0"/>
        <w:jc w:val="left"/>
        <w:rPr>
          <w:color w:val="000000"/>
        </w:rPr>
      </w:pPr>
      <w:r>
        <w:rPr>
          <w:color w:val="000000"/>
        </w:rPr>
        <w:t> </w:t>
      </w:r>
    </w:p>
    <w:p>
      <w:pPr>
        <w:pStyle w:val="TextBody"/>
        <w:bidi w:val="0"/>
        <w:jc w:val="left"/>
        <w:rPr/>
      </w:pPr>
      <w:r>
        <w:rPr/>
        <w:drawing>
          <wp:inline distT="0" distB="0" distL="0" distR="0">
            <wp:extent cx="6096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 cy="4095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Mark J. Litton, Ph.D.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President and Chief Executive Officer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Bothell, Washington</w:t>
      </w:r>
      <w:r>
        <w:rPr>
          <w:rFonts w:ascii="Times New Roman" w:hAnsi="Times New Roman"/>
          <w:color w:val="000000"/>
          <w:sz w:val="20"/>
        </w:rPr>
        <w:t xml:space="preserve"> </w:t>
      </w:r>
    </w:p>
    <w:p>
      <w:pPr>
        <w:pStyle w:val="TextBody"/>
        <w:bidi w:val="0"/>
        <w:jc w:val="left"/>
        <w:rPr>
          <w:rFonts w:ascii="Arial" w:hAnsi="Arial"/>
          <w:i/>
          <w:color w:val="000000"/>
          <w:sz w:val="18"/>
        </w:rPr>
      </w:pPr>
      <w:r>
        <w:rPr>
          <w:rFonts w:ascii="Arial" w:hAnsi="Arial"/>
          <w:i/>
          <w:color w:val="000000"/>
          <w:sz w:val="18"/>
        </w:rPr>
        <w:t xml:space="preserve">February 23, 2026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IMPORTANT NOTICE REGARDING THE AVAILABILITY OF PROXY MATERIALS FOR THE SPECIAL STOCKHOLDER MEETING TO BE HELD ON MARCH 18, 2026.</w:t>
      </w:r>
    </w:p>
    <w:p>
      <w:pPr>
        <w:pStyle w:val="TextBody"/>
        <w:bidi w:val="0"/>
        <w:jc w:val="center"/>
        <w:rPr>
          <w:rFonts w:ascii="Times New Roman" w:hAnsi="Times New Roman"/>
          <w:sz w:val="20"/>
        </w:rPr>
      </w:pPr>
      <w:r>
        <w:rPr>
          <w:rFonts w:ascii="Arial" w:hAnsi="Arial"/>
          <w:color w:val="000000"/>
          <w:sz w:val="18"/>
        </w:rPr>
        <w:t>The proxy statement is available free of charge at www.ProxyVote.com. Information on this website, other than this proxy statement, is not a part of this 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Please sign, date and return the enclosed proxy card in the envelope provided, or submit your proxy and voting instructions over the Internet or by telephone by following the instructions on the enclosed proxy card so that you may be represented at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TABLE OF CONTENTS</w:t>
      </w:r>
    </w:p>
    <w:p>
      <w:pPr>
        <w:pStyle w:val="TextBody"/>
        <w:bidi w:val="0"/>
        <w:jc w:val="left"/>
        <w:rPr/>
      </w:pPr>
      <w:r>
        <w:rPr/>
        <w:t> </w:t>
      </w:r>
    </w:p>
    <w:tbl>
      <w:tblPr>
        <w:tblW w:w="8793" w:type="dxa"/>
        <w:jc w:val="left"/>
        <w:tblInd w:w="0" w:type="dxa"/>
        <w:tblLayout w:type="fixed"/>
        <w:tblCellMar>
          <w:top w:w="28" w:type="dxa"/>
          <w:left w:w="28" w:type="dxa"/>
          <w:bottom w:w="28" w:type="dxa"/>
          <w:right w:w="28" w:type="dxa"/>
        </w:tblCellMar>
      </w:tblPr>
      <w:tblGrid>
        <w:gridCol w:w="8041"/>
        <w:gridCol w:w="146"/>
        <w:gridCol w:w="606"/>
      </w:tblGrid>
      <w:tr>
        <w:trPr/>
        <w:tc>
          <w:tcPr>
            <w:tcW w:w="8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xy_statement">
              <w:r>
                <w:rPr>
                  <w:rStyle w:val="InternetLink"/>
                  <w:rFonts w:ascii="Arial" w:hAnsi="Arial"/>
                  <w:b/>
                  <w:color w:val="0000FF"/>
                  <w:sz w:val="18"/>
                  <w:u w:val="single"/>
                </w:rPr>
                <w:t>PROXY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questions_and_answers_about_the_proxy">
              <w:r>
                <w:rPr>
                  <w:rStyle w:val="InternetLink"/>
                  <w:rFonts w:ascii="Arial" w:hAnsi="Arial"/>
                  <w:b/>
                  <w:color w:val="0000FF"/>
                  <w:sz w:val="18"/>
                  <w:u w:val="single"/>
                </w:rPr>
                <w:t>QUESTIONS AND ANSWERS ABOUT THE PROXY MATERIALS AND OUR SPECIAL MEETING</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description_of_the_sermonix_transaction">
              <w:r>
                <w:rPr>
                  <w:rStyle w:val="InternetLink"/>
                  <w:rFonts w:ascii="Arial" w:hAnsi="Arial"/>
                  <w:b/>
                  <w:color w:val="0000FF"/>
                  <w:sz w:val="18"/>
                  <w:u w:val="single"/>
                </w:rPr>
                <w:t>DESCRIPTION OF THE SERMONIX TRANSACTION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b/>
                <w:color w:val="000000"/>
                <w:sz w:val="18"/>
              </w:rPr>
            </w:pPr>
            <w:r>
              <w:rPr>
                <w:rFonts w:ascii="Arial" w:hAnsi="Arial"/>
                <w:b/>
                <w:color w:val="000000"/>
                <w:sz w:val="18"/>
              </w:rPr>
              <w:t>8</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sermonix_license">
              <w:r>
                <w:rPr>
                  <w:rStyle w:val="InternetLink"/>
                  <w:rFonts w:ascii="Arial" w:hAnsi="Arial"/>
                  <w:color w:val="0000FF"/>
                  <w:sz w:val="18"/>
                  <w:u w:val="single"/>
                </w:rPr>
                <w:t>Sermonix License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8</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sermonix_securities_issuance">
              <w:r>
                <w:rPr>
                  <w:rStyle w:val="InternetLink"/>
                  <w:rFonts w:ascii="Arial" w:hAnsi="Arial"/>
                  <w:color w:val="0000FF"/>
                  <w:sz w:val="18"/>
                  <w:u w:val="single"/>
                </w:rPr>
                <w:t>Sermonix Securities Issuance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18"/>
              </w:rPr>
            </w:pPr>
            <w:r>
              <w:rPr>
                <w:rFonts w:ascii="Arial" w:hAnsi="Arial"/>
                <w:color w:val="000000"/>
                <w:sz w:val="18"/>
              </w:rPr>
              <w:t>9</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description_of_the_pipe_financing">
              <w:r>
                <w:rPr>
                  <w:rStyle w:val="InternetLink"/>
                  <w:rFonts w:ascii="Arial" w:hAnsi="Arial"/>
                  <w:b/>
                  <w:color w:val="0000FF"/>
                  <w:sz w:val="18"/>
                  <w:u w:val="single"/>
                </w:rPr>
                <w:t>DESCRIPTION OF THE PIPE FINANCING</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10</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1">
              <w:r>
                <w:rPr>
                  <w:rStyle w:val="InternetLink"/>
                  <w:rFonts w:ascii="Arial" w:hAnsi="Arial"/>
                  <w:b/>
                  <w:color w:val="0000FF"/>
                  <w:sz w:val="18"/>
                  <w:u w:val="single"/>
                </w:rPr>
                <w:t>PROPOSAL NO. 1</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12</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2">
              <w:r>
                <w:rPr>
                  <w:rStyle w:val="InternetLink"/>
                  <w:rFonts w:ascii="Arial" w:hAnsi="Arial"/>
                  <w:b/>
                  <w:color w:val="0000FF"/>
                  <w:sz w:val="18"/>
                  <w:u w:val="single"/>
                </w:rPr>
                <w:t>PROPOSAL NO. 2</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14</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3">
              <w:r>
                <w:rPr>
                  <w:rStyle w:val="InternetLink"/>
                  <w:rFonts w:ascii="Arial" w:hAnsi="Arial"/>
                  <w:b/>
                  <w:color w:val="0000FF"/>
                  <w:sz w:val="18"/>
                  <w:u w:val="single"/>
                </w:rPr>
                <w:t>PROPOSAL NO. 3</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16</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4">
              <w:r>
                <w:rPr>
                  <w:rStyle w:val="InternetLink"/>
                  <w:rFonts w:ascii="Arial" w:hAnsi="Arial"/>
                  <w:b/>
                  <w:color w:val="0000FF"/>
                  <w:sz w:val="18"/>
                  <w:u w:val="single"/>
                </w:rPr>
                <w:t>PROPOSAL NO. 4</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18</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5">
              <w:r>
                <w:rPr>
                  <w:rStyle w:val="InternetLink"/>
                  <w:rFonts w:ascii="Arial" w:hAnsi="Arial"/>
                  <w:b/>
                  <w:color w:val="0000FF"/>
                  <w:sz w:val="18"/>
                  <w:u w:val="single"/>
                </w:rPr>
                <w:t>PROPOSAL NO. 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26</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proposal_no_6">
              <w:r>
                <w:rPr>
                  <w:rStyle w:val="InternetLink"/>
                  <w:rFonts w:ascii="Arial" w:hAnsi="Arial"/>
                  <w:b/>
                  <w:color w:val="0000FF"/>
                  <w:sz w:val="18"/>
                  <w:u w:val="single"/>
                </w:rPr>
                <w:t>PROPOSAL NO. 6</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28</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executive_compensation">
              <w:r>
                <w:rPr>
                  <w:rStyle w:val="InternetLink"/>
                  <w:rFonts w:ascii="Arial" w:hAnsi="Arial"/>
                  <w:b/>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b/>
                <w:color w:val="000000"/>
                <w:sz w:val="18"/>
              </w:rPr>
            </w:pPr>
            <w:r>
              <w:rPr>
                <w:rFonts w:ascii="Arial" w:hAnsi="Arial"/>
                <w:b/>
                <w:color w:val="000000"/>
                <w:sz w:val="18"/>
              </w:rPr>
              <w:t>29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processes_and_procedures_for_compensatio">
              <w:r>
                <w:rPr>
                  <w:rStyle w:val="InternetLink"/>
                  <w:rFonts w:ascii="Arial" w:hAnsi="Arial"/>
                  <w:color w:val="0000FF"/>
                  <w:sz w:val="18"/>
                  <w:u w:val="single"/>
                </w:rPr>
                <w:t xml:space="preserve">Processes And Procedures for Compensation Decisions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29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xecutive_compensation_1">
              <w:r>
                <w:rPr>
                  <w:rStyle w:val="InternetLink"/>
                  <w:rFonts w:ascii="Arial" w:hAnsi="Arial"/>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29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summary_compensation_table">
              <w:r>
                <w:rPr>
                  <w:rStyle w:val="InternetLink"/>
                  <w:rFonts w:ascii="Arial" w:hAnsi="Arial"/>
                  <w:color w:val="0000FF"/>
                  <w:sz w:val="18"/>
                  <w:u w:val="single"/>
                </w:rPr>
                <w:t xml:space="preserve">2024 – 2025 Summary Compensation Table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29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outstanding_equity_awards_at_december">
              <w:r>
                <w:rPr>
                  <w:rStyle w:val="InternetLink"/>
                  <w:rFonts w:ascii="Arial" w:hAnsi="Arial"/>
                  <w:color w:val="0000FF"/>
                  <w:sz w:val="18"/>
                  <w:u w:val="single"/>
                </w:rPr>
                <w:t>Outstanding Equity Awards at December 31,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30</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xecutive_employment_arrangements">
              <w:r>
                <w:rPr>
                  <w:rStyle w:val="InternetLink"/>
                  <w:rFonts w:ascii="Arial" w:hAnsi="Arial"/>
                  <w:color w:val="0000FF"/>
                  <w:sz w:val="18"/>
                  <w:u w:val="single"/>
                </w:rPr>
                <w:t xml:space="preserve">Executive Employment Arrangements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31</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change_in_control_and_severance_agreemen">
              <w:r>
                <w:rPr>
                  <w:rStyle w:val="InternetLink"/>
                  <w:rFonts w:ascii="Arial" w:hAnsi="Arial"/>
                  <w:color w:val="0000FF"/>
                  <w:sz w:val="18"/>
                  <w:u w:val="single"/>
                </w:rPr>
                <w:t>Change In Control And Severance Agreements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31</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quity_awards">
              <w:r>
                <w:rPr>
                  <w:rStyle w:val="InternetLink"/>
                  <w:rFonts w:ascii="Arial" w:hAnsi="Arial"/>
                  <w:color w:val="0000FF"/>
                  <w:sz w:val="18"/>
                  <w:u w:val="single"/>
                </w:rPr>
                <w:t>Equity Awards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32</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quity_incentive_plans">
              <w:r>
                <w:rPr>
                  <w:rStyle w:val="InternetLink"/>
                  <w:rFonts w:ascii="Arial" w:hAnsi="Arial"/>
                  <w:color w:val="0000FF"/>
                  <w:sz w:val="18"/>
                  <w:u w:val="single"/>
                </w:rPr>
                <w:t>Equity Incentive Plans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34</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clawback_policy">
              <w:r>
                <w:rPr>
                  <w:rStyle w:val="InternetLink"/>
                  <w:rFonts w:ascii="Arial" w:hAnsi="Arial"/>
                  <w:color w:val="0000FF"/>
                  <w:sz w:val="18"/>
                  <w:u w:val="single"/>
                </w:rPr>
                <w:t xml:space="preserve">Clawback Policy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34</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xecutive_incentive_compensation_plan">
              <w:r>
                <w:rPr>
                  <w:rStyle w:val="InternetLink"/>
                  <w:rFonts w:ascii="Arial" w:hAnsi="Arial"/>
                  <w:color w:val="0000FF"/>
                  <w:sz w:val="18"/>
                  <w:u w:val="single"/>
                </w:rPr>
                <w:t xml:space="preserve">Executive Incentive Compensation Plan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34</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retention_bonus_program">
              <w:r>
                <w:rPr>
                  <w:rStyle w:val="InternetLink"/>
                  <w:rFonts w:ascii="Arial" w:hAnsi="Arial"/>
                  <w:color w:val="0000FF"/>
                  <w:sz w:val="18"/>
                  <w:u w:val="single"/>
                </w:rPr>
                <w:t>Retention Bonus Program</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35</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quity_granting_practices">
              <w:r>
                <w:rPr>
                  <w:rStyle w:val="InternetLink"/>
                  <w:rFonts w:ascii="Arial" w:hAnsi="Arial"/>
                  <w:color w:val="0000FF"/>
                  <w:sz w:val="18"/>
                  <w:u w:val="single"/>
                </w:rPr>
                <w:t xml:space="preserve">Equity Granting Practices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35</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pay_versus_performance_disclosure">
              <w:r>
                <w:rPr>
                  <w:rStyle w:val="InternetLink"/>
                  <w:rFonts w:ascii="Arial" w:hAnsi="Arial"/>
                  <w:color w:val="0000FF"/>
                  <w:sz w:val="18"/>
                  <w:u w:val="single"/>
                </w:rPr>
                <w:t>Pay Versus Performance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36</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required_disclosure_of_relationships">
              <w:r>
                <w:rPr>
                  <w:rStyle w:val="InternetLink"/>
                  <w:rFonts w:ascii="Arial" w:hAnsi="Arial"/>
                  <w:color w:val="0000FF"/>
                  <w:sz w:val="18"/>
                  <w:u w:val="single"/>
                </w:rPr>
                <w:t>Required Disclosure of Relationships Between CAP and Financial Performance Measures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18"/>
              </w:rPr>
            </w:pPr>
            <w:r>
              <w:rPr>
                <w:rFonts w:ascii="Arial" w:hAnsi="Arial"/>
                <w:color w:val="000000"/>
                <w:sz w:val="18"/>
              </w:rPr>
              <w:t>37</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director_compensation">
              <w:r>
                <w:rPr>
                  <w:rStyle w:val="InternetLink"/>
                  <w:rFonts w:ascii="Arial" w:hAnsi="Arial"/>
                  <w:b/>
                  <w:color w:val="0000FF"/>
                  <w:sz w:val="18"/>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b/>
                <w:color w:val="000000"/>
                <w:sz w:val="18"/>
              </w:rPr>
            </w:pPr>
            <w:r>
              <w:rPr>
                <w:rFonts w:ascii="Arial" w:hAnsi="Arial"/>
                <w:b/>
                <w:color w:val="000000"/>
                <w:sz w:val="18"/>
              </w:rPr>
              <w:t>39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cash_compensation">
              <w:r>
                <w:rPr>
                  <w:rStyle w:val="InternetLink"/>
                  <w:rFonts w:ascii="Arial" w:hAnsi="Arial"/>
                  <w:color w:val="0000FF"/>
                  <w:sz w:val="18"/>
                  <w:u w:val="single"/>
                </w:rPr>
                <w:t xml:space="preserve">Cash Compensation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color w:val="000000"/>
                <w:sz w:val="18"/>
              </w:rPr>
            </w:pPr>
            <w:r>
              <w:rPr>
                <w:rFonts w:ascii="Arial" w:hAnsi="Arial"/>
                <w:color w:val="000000"/>
                <w:sz w:val="18"/>
              </w:rPr>
              <w:t>39</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equity_compensation">
              <w:r>
                <w:rPr>
                  <w:rStyle w:val="InternetLink"/>
                  <w:rFonts w:ascii="Arial" w:hAnsi="Arial"/>
                  <w:color w:val="0000FF"/>
                  <w:sz w:val="18"/>
                  <w:u w:val="single"/>
                </w:rPr>
                <w:t xml:space="preserve">Equity Compensation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18"/>
              </w:rPr>
            </w:pPr>
            <w:r>
              <w:rPr>
                <w:rFonts w:ascii="Arial" w:hAnsi="Arial"/>
                <w:color w:val="000000"/>
                <w:sz w:val="18"/>
              </w:rPr>
              <w:t>40</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security_ownership_of_certain_beneficial">
              <w:r>
                <w:rPr>
                  <w:rStyle w:val="InternetLink"/>
                  <w:rFonts w:ascii="Arial" w:hAnsi="Arial"/>
                  <w:b/>
                  <w:color w:val="0000FF"/>
                  <w:sz w:val="18"/>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b/>
                <w:color w:val="000000"/>
                <w:sz w:val="18"/>
              </w:rPr>
            </w:pPr>
            <w:r>
              <w:rPr>
                <w:rFonts w:ascii="Arial" w:hAnsi="Arial"/>
                <w:b/>
                <w:color w:val="000000"/>
                <w:sz w:val="18"/>
              </w:rPr>
              <w:t>41</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securities_authorized_for_issuance_under">
              <w:r>
                <w:rPr>
                  <w:rStyle w:val="InternetLink"/>
                  <w:rFonts w:ascii="Arial" w:hAnsi="Arial"/>
                  <w:color w:val="0000FF"/>
                  <w:sz w:val="18"/>
                  <w:u w:val="single"/>
                </w:rPr>
                <w:t xml:space="preserve">Securities Authorized for Issuance Under Equity Compensation Plans </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18"/>
              </w:rPr>
            </w:pPr>
            <w:r>
              <w:rPr>
                <w:rFonts w:ascii="Arial" w:hAnsi="Arial"/>
                <w:color w:val="000000"/>
                <w:sz w:val="18"/>
              </w:rPr>
              <w:t>43</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other_matters">
              <w:r>
                <w:rPr>
                  <w:rStyle w:val="InternetLink"/>
                  <w:rFonts w:ascii="Arial" w:hAnsi="Arial"/>
                  <w:b/>
                  <w:color w:val="0000FF"/>
                  <w:sz w:val="18"/>
                  <w:u w:val="single"/>
                </w:rPr>
                <w:t>OTHER MATTERS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ind w:left="0" w:right="0" w:firstLine="245"/>
              <w:jc w:val="right"/>
              <w:rPr>
                <w:rFonts w:ascii="Arial" w:hAnsi="Arial"/>
                <w:b/>
                <w:color w:val="000000"/>
                <w:sz w:val="18"/>
              </w:rPr>
            </w:pPr>
            <w:r>
              <w:rPr>
                <w:rFonts w:ascii="Arial" w:hAnsi="Arial"/>
                <w:b/>
                <w:color w:val="000000"/>
                <w:sz w:val="18"/>
              </w:rPr>
              <w:t>44</w:t>
            </w:r>
          </w:p>
        </w:tc>
      </w:tr>
      <w:tr>
        <w:trPr/>
        <w:tc>
          <w:tcPr>
            <w:tcW w:w="8041" w:type="dxa"/>
            <w:tcBorders/>
            <w:tcMar>
              <w:top w:w="0" w:type="dxa"/>
              <w:left w:w="0" w:type="dxa"/>
              <w:bottom w:w="0" w:type="dxa"/>
              <w:right w:w="0" w:type="dxa"/>
            </w:tcMar>
            <w:vAlign w:val="center"/>
          </w:tcPr>
          <w:p>
            <w:pPr>
              <w:pStyle w:val="TableContents"/>
              <w:bidi w:val="0"/>
              <w:spacing w:before="40" w:after="283"/>
              <w:ind w:left="0" w:right="0" w:firstLine="245"/>
              <w:jc w:val="left"/>
              <w:rPr/>
            </w:pPr>
            <w:hyperlink w:anchor="availability_of_bylaws">
              <w:r>
                <w:rPr>
                  <w:rStyle w:val="InternetLink"/>
                  <w:rFonts w:ascii="Arial" w:hAnsi="Arial"/>
                  <w:color w:val="0000FF"/>
                  <w:sz w:val="18"/>
                  <w:u w:val="single"/>
                </w:rPr>
                <w:t>Availability of Bylaws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18"/>
              </w:rPr>
            </w:pPr>
            <w:r>
              <w:rPr>
                <w:rFonts w:ascii="Arial" w:hAnsi="Arial"/>
                <w:color w:val="000000"/>
                <w:sz w:val="18"/>
              </w:rPr>
              <w:t>44</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annex_a">
              <w:r>
                <w:rPr>
                  <w:rStyle w:val="InternetLink"/>
                  <w:rFonts w:ascii="Arial" w:hAnsi="Arial"/>
                  <w:b/>
                  <w:color w:val="0000FF"/>
                  <w:sz w:val="18"/>
                  <w:u w:val="single"/>
                </w:rPr>
                <w:t>ANNEX A</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A-1</w:t>
            </w:r>
          </w:p>
        </w:tc>
      </w:tr>
      <w:tr>
        <w:trPr/>
        <w:tc>
          <w:tcPr>
            <w:tcW w:w="8041" w:type="dxa"/>
            <w:tcBorders/>
            <w:tcMar>
              <w:top w:w="0" w:type="dxa"/>
              <w:left w:w="0" w:type="dxa"/>
              <w:bottom w:w="0" w:type="dxa"/>
              <w:right w:w="0" w:type="dxa"/>
            </w:tcMar>
            <w:vAlign w:val="center"/>
          </w:tcPr>
          <w:p>
            <w:pPr>
              <w:pStyle w:val="TableContents"/>
              <w:bidi w:val="0"/>
              <w:spacing w:before="40" w:after="283"/>
              <w:jc w:val="left"/>
              <w:rPr/>
            </w:pPr>
            <w:hyperlink w:anchor="annex_b">
              <w:r>
                <w:rPr>
                  <w:rStyle w:val="InternetLink"/>
                  <w:rFonts w:ascii="Arial" w:hAnsi="Arial"/>
                  <w:b/>
                  <w:color w:val="0000FF"/>
                  <w:sz w:val="18"/>
                  <w:u w:val="single"/>
                </w:rPr>
                <w:t>ANNEX B</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B-1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LEONABIO, INC.</w:t>
      </w:r>
    </w:p>
    <w:p>
      <w:pPr>
        <w:pStyle w:val="TextBody"/>
        <w:bidi w:val="0"/>
        <w:jc w:val="center"/>
        <w:rPr>
          <w:rFonts w:ascii="Arial" w:hAnsi="Arial"/>
          <w:b/>
          <w:color w:val="000000"/>
          <w:sz w:val="18"/>
        </w:rPr>
      </w:pPr>
      <w:bookmarkStart w:id="2" w:name="proxy_statement"/>
      <w:bookmarkEnd w:id="2"/>
      <w:r>
        <w:rPr>
          <w:rFonts w:ascii="Arial" w:hAnsi="Arial"/>
          <w:b/>
          <w:color w:val="000000"/>
          <w:sz w:val="18"/>
        </w:rPr>
        <w:t>PROXY STATEMENT</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8"/>
        </w:rPr>
        <w:t>FOR SPECIAL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To be Held at 8:00 a.m., Pacific Time, on March 18, 2026</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8"/>
        </w:rPr>
        <w:t>The board of directors of LeonaBio, Inc., a Delaware corporation, or the Company, is soliciting proxies to be used at our special meeting of stockholders, including any adjournments, postponements or delays thereof, which we refer to as the Special Meeting. The Special Meeting will be held on March 18, 2026, at 8:00 a.m., Pacific Time. The Special Meeting will be conducted virtually via live audio webcast. You will be able to attend the Special Meeting virtually by visiting www.virtualshareholdermeeting.com/LONA2026SM, where you will be able to listen to the meeting live, submit questions and vote online during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This proxy statement, the accompanying notice of special meeting and proxy card are first being sent or given on or about February 23, 2026 to all stockholders of record as of January 27, 2026. The proxy materials can be accessed as of February 23, 2026 by visiting www.ProxyVote.com.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information provided in the “question and answer” format below is for your convenience only and is merely a summary of the information contained in this proxy statement. You should read this entire proxy statement carefully.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b/>
          <w:color w:val="000000"/>
          <w:sz w:val="18"/>
        </w:rPr>
      </w:pPr>
      <w:bookmarkStart w:id="3" w:name="questions_and_answers_about_the_proxy"/>
      <w:bookmarkEnd w:id="3"/>
      <w:r>
        <w:rPr>
          <w:rFonts w:ascii="Arial" w:hAnsi="Arial"/>
          <w:b/>
          <w:color w:val="000000"/>
          <w:sz w:val="18"/>
        </w:rPr>
        <w:t>QUESTIONS AND ANSWERS ABOUT THE PROXY MATERIALS AND OUR SPECIAL MEETING</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Why am I receiving these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This proxy statement and the accompanying proxy card are furnished in connection with the solicitation of proxies by our board of directors for use at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Your vote is very important.</w:t>
      </w:r>
      <w:r>
        <w:rPr>
          <w:rFonts w:ascii="Times New Roman" w:hAnsi="Times New Roman"/>
          <w:color w:val="000000"/>
          <w:sz w:val="20"/>
        </w:rPr>
        <w:t xml:space="preserve"> </w:t>
      </w:r>
      <w:r>
        <w:rPr>
          <w:rFonts w:ascii="Arial" w:hAnsi="Arial"/>
          <w:color w:val="000000"/>
          <w:sz w:val="18"/>
        </w:rPr>
        <w:t>Whether or not you attend the virtual Special Meeting, it is important that your shares be represented and voted at the Special Meeting. Therefore, we urge you to vote and submit your proxy promptly via the internet, telephone or mail. Voting your shares by proxy ensures that if you are unable to attend the Special Meeting, your shares will be voted at the Special Meeting. Voting now will not limit your right to change your vote or to attend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proposals will be voted on at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proposals will be voted on at the Special Meeting: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1</w:t>
      </w:r>
      <w:r>
        <w:rPr>
          <w:rFonts w:ascii="Arial" w:hAnsi="Arial"/>
          <w:color w:val="000000"/>
          <w:sz w:val="18"/>
        </w:rPr>
        <w:t>: To approve the issuance of 5,502,402 shares of common stock pursuant to the exercise of the Sermonix Pre-Funded Warrant in accordance with Nasdaq Rule 5635(a)(2).</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2</w:t>
      </w:r>
      <w:r>
        <w:rPr>
          <w:rFonts w:ascii="Arial" w:hAnsi="Arial"/>
          <w:color w:val="000000"/>
          <w:sz w:val="18"/>
        </w:rPr>
        <w:t>: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3</w:t>
      </w:r>
      <w:r>
        <w:rPr>
          <w:rFonts w:ascii="Arial" w:hAnsi="Arial"/>
          <w:color w:val="000000"/>
          <w:sz w:val="18"/>
        </w:rPr>
        <w:t>: To approve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4</w:t>
      </w:r>
      <w:r>
        <w:rPr>
          <w:rFonts w:ascii="Arial" w:hAnsi="Arial"/>
          <w:color w:val="000000"/>
          <w:sz w:val="18"/>
        </w:rPr>
        <w:t xml:space="preserve">: To approve the LeonaBio, Inc. 2026 Equity Incentive Plan.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5</w:t>
      </w:r>
      <w:r>
        <w:rPr>
          <w:rFonts w:ascii="Arial" w:hAnsi="Arial"/>
          <w:color w:val="000000"/>
          <w:sz w:val="18"/>
        </w:rPr>
        <w:t>: To amend our amended and restated certificate of incorporation to increase the number of authorized shares of common stock.</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Proposal No. 6</w:t>
      </w:r>
      <w:r>
        <w:rPr>
          <w:rFonts w:ascii="Arial" w:hAnsi="Arial"/>
          <w:color w:val="000000"/>
          <w:sz w:val="18"/>
        </w:rPr>
        <w:t>: 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How does the board of directors recommend that I vote on these proposals?</w:t>
      </w:r>
    </w:p>
    <w:p>
      <w:pPr>
        <w:pStyle w:val="TextBody"/>
        <w:bidi w:val="0"/>
        <w:jc w:val="left"/>
        <w:rPr>
          <w:rFonts w:ascii="Times New Roman" w:hAnsi="Times New Roman"/>
          <w:sz w:val="20"/>
        </w:rPr>
      </w:pPr>
      <w:r>
        <w:rPr>
          <w:rFonts w:ascii="Arial" w:hAnsi="Arial"/>
          <w:color w:val="000000"/>
          <w:sz w:val="18"/>
        </w:rPr>
        <w:t>Our board of directors recommends that you vote your shares: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5,502,402 shares of common stock pursuant to the exercise of the Sermonix Pre-Funded Warrant in accordance with Nasdaq Rule 5635(a)(2).</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LeonaBio, Inc. 2026 Equity Incentive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amendment of our amended and restated certificate of incorporation to increase the number of authorized shares of common stock.</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adjournment of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What will happen if the proposals are not approved at the special meeting?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consequences of not obtaining approval of each of the proposals at the Special Meeting are described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
        <w:gridCol w:w="4940"/>
        <w:gridCol w:w="4859"/>
      </w:tblGrid>
      <w:tr>
        <w:trPr/>
        <w:tc>
          <w:tcPr>
            <w:tcW w:w="406"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No.</w:t>
            </w:r>
          </w:p>
        </w:tc>
        <w:tc>
          <w:tcPr>
            <w:tcW w:w="4940"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Proposal</w:t>
            </w:r>
          </w:p>
        </w:tc>
        <w:tc>
          <w:tcPr>
            <w:tcW w:w="4859"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Consequences of Failure to Obtain Approval</w:t>
            </w:r>
          </w:p>
        </w:tc>
      </w:tr>
      <w:tr>
        <w:trPr/>
        <w:tc>
          <w:tcPr>
            <w:tcW w:w="40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w:t>
            </w:r>
          </w:p>
        </w:tc>
        <w:tc>
          <w:tcPr>
            <w:tcW w:w="4940"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approve the issuance of 5,502,402 shares of common stock pursuant to the exercise of the Sermonix Pre-Funded Warrant in accordance with Nasdaq Rule 5635(a)(2).</w:t>
            </w:r>
          </w:p>
        </w:tc>
        <w:tc>
          <w:tcPr>
            <w:tcW w:w="4859" w:type="dxa"/>
            <w:tcBorders/>
            <w:shd w:fill="CAEDFB" w:val="clear"/>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The Sermonix Pre-Funded Warrant will not be exercisable.</w:t>
            </w:r>
          </w:p>
          <w:p>
            <w:pPr>
              <w:pStyle w:val="TableContents"/>
              <w:bidi w:val="0"/>
              <w:jc w:val="left"/>
              <w:rPr>
                <w:rFonts w:ascii="Arial" w:hAnsi="Arial"/>
                <w:color w:val="000000"/>
                <w:sz w:val="18"/>
              </w:rPr>
            </w:pPr>
            <w:r>
              <w:rPr>
                <w:rFonts w:ascii="Arial" w:hAnsi="Arial"/>
                <w:color w:val="000000"/>
                <w:sz w:val="18"/>
              </w:rPr>
              <w:t>As further described under “Proposal One—Effect of Not Obtaining the Required Vote”, we may be required to pay up to $7.5 million to redeem a portion of the shares underlying the Sermonix Pre-Funded Warrant.</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In addition, we will be required to bring this proposal for another vote by stockholders, as described under “Proposal No. 1—Effect of Not Obtaining the Required Vote.</w:t>
            </w:r>
          </w:p>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w:t>
            </w:r>
          </w:p>
        </w:tc>
        <w:tc>
          <w:tcPr>
            <w:tcW w:w="49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tc>
        <w:tc>
          <w:tcPr>
            <w:tcW w:w="4859"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The Sermonix Pre-Funded Warrant will not be exercisable by Sermonix if, immediately following such exercise, Sermonix, together with its affiliates and any other persons whose beneficial ownership of shares of common stock would be aggregated with Sermonix for purposes of Section 13(d) of the Exchange Act, would own in excess of 19.99% of our outstanding common stock.</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Moreover, as further described under “Proposal Two—Effect of Not Obtaining the Required Vote”, we may be required to pay up to $7.5 million to redeem a portion of the shares underlying the Sermonix Pre-Funded Warrant.</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In addition, we will be required to bring this proposal for another vote by stockholders, as described under “Proposal No. 2—Effect of Not Obtaining the Required Vote.</w:t>
            </w:r>
          </w:p>
          <w:p>
            <w:pPr>
              <w:pStyle w:val="TableContents"/>
              <w:bidi w:val="0"/>
              <w:spacing w:before="0" w:after="283"/>
              <w:jc w:val="left"/>
              <w:rPr/>
            </w:pPr>
            <w:r>
              <w:rPr/>
              <w:t> </w:t>
            </w:r>
          </w:p>
        </w:tc>
      </w:tr>
      <w:tr>
        <w:trPr/>
        <w:tc>
          <w:tcPr>
            <w:tcW w:w="40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w:t>
            </w:r>
          </w:p>
        </w:tc>
        <w:tc>
          <w:tcPr>
            <w:tcW w:w="4940"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approve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tc>
        <w:tc>
          <w:tcPr>
            <w:tcW w:w="4859" w:type="dxa"/>
            <w:tcBorders/>
            <w:shd w:fill="CAEDFB" w:val="clear"/>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The warrants issued to Perceptive under the PIPE Financing, as described under “Description of the PIPE Financing,” will not be exercisable by Perceptive if, immediately following such exercise, Perceptive, together with any persons whose beneficial ownership of shares of common stock would be aggregated with Perceptive for purposes of Section 13(d) of the Exchange Act, would own in excess of 19.99% of our outstanding common stock.</w:t>
            </w:r>
          </w:p>
          <w:p>
            <w:pPr>
              <w:pStyle w:val="TableContents"/>
              <w:bidi w:val="0"/>
              <w:jc w:val="left"/>
              <w:rPr/>
            </w:pPr>
            <w:r>
              <w:rPr/>
              <w:t> </w:t>
            </w:r>
          </w:p>
          <w:p>
            <w:pPr>
              <w:pStyle w:val="TableContents"/>
              <w:bidi w:val="0"/>
              <w:jc w:val="left"/>
              <w:rPr>
                <w:rFonts w:ascii="Arial" w:hAnsi="Arial"/>
                <w:color w:val="000000"/>
                <w:sz w:val="18"/>
              </w:rPr>
            </w:pPr>
            <w:r>
              <w:rPr>
                <w:rFonts w:ascii="Arial" w:hAnsi="Arial"/>
                <w:color w:val="000000"/>
                <w:sz w:val="18"/>
              </w:rPr>
              <w:t>In addition, we will be required to bring this proposal for another vote by stockholders, as described under “Proposal No. 3—Effect of Not Obtaining the Required Vote.</w:t>
            </w:r>
          </w:p>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4</w:t>
            </w:r>
          </w:p>
        </w:tc>
        <w:tc>
          <w:tcPr>
            <w:tcW w:w="49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approve the LeonaBio, Inc. 2026 Equity Incentive Plan.</w:t>
            </w:r>
          </w:p>
        </w:tc>
        <w:tc>
          <w:tcPr>
            <w:tcW w:w="48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If our stockholders do not approve our 2026 Equity Incentive Plan, the 2026 Equity Incentive Plan will not come into effect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4299"/>
        <w:gridCol w:w="5680"/>
      </w:tblGrid>
      <w:tr>
        <w:trPr/>
        <w:tc>
          <w:tcPr>
            <w:tcW w:w="226" w:type="dxa"/>
            <w:tcBorders/>
            <w:vAlign w:val="center"/>
          </w:tcPr>
          <w:p>
            <w:pPr>
              <w:pStyle w:val="TableContents"/>
              <w:bidi w:val="0"/>
              <w:spacing w:before="0" w:after="283"/>
              <w:jc w:val="left"/>
              <w:rPr>
                <w:sz w:val="4"/>
                <w:szCs w:val="4"/>
              </w:rPr>
            </w:pPr>
            <w:r>
              <w:rPr>
                <w:sz w:val="4"/>
                <w:szCs w:val="4"/>
              </w:rPr>
            </w:r>
          </w:p>
        </w:tc>
        <w:tc>
          <w:tcPr>
            <w:tcW w:w="4299" w:type="dxa"/>
            <w:tcBorders/>
            <w:vAlign w:val="center"/>
          </w:tcPr>
          <w:p>
            <w:pPr>
              <w:pStyle w:val="TableContents"/>
              <w:bidi w:val="0"/>
              <w:spacing w:before="0" w:after="283"/>
              <w:jc w:val="left"/>
              <w:rPr>
                <w:sz w:val="4"/>
                <w:szCs w:val="4"/>
              </w:rPr>
            </w:pPr>
            <w:r>
              <w:rPr>
                <w:sz w:val="4"/>
                <w:szCs w:val="4"/>
              </w:rPr>
            </w:r>
          </w:p>
        </w:tc>
        <w:tc>
          <w:tcPr>
            <w:tcW w:w="5680"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5680"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and our 2020 Equity Incentive Plan will remain in effect through the remainder of its term.</w:t>
            </w:r>
          </w:p>
          <w:p>
            <w:pPr>
              <w:pStyle w:val="TableContents"/>
              <w:bidi w:val="0"/>
              <w:spacing w:before="0" w:after="283"/>
              <w:jc w:val="left"/>
              <w:rPr/>
            </w:pPr>
            <w:r>
              <w:rPr/>
              <w:t> </w:t>
            </w:r>
          </w:p>
        </w:tc>
      </w:tr>
      <w:tr>
        <w:trPr/>
        <w:tc>
          <w:tcPr>
            <w:tcW w:w="22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w:t>
            </w:r>
          </w:p>
        </w:tc>
        <w:tc>
          <w:tcPr>
            <w:tcW w:w="4299"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amend our amended and restated certificate of incorporation to increase the number of authorized shares of common stock.</w:t>
            </w:r>
          </w:p>
        </w:tc>
        <w:tc>
          <w:tcPr>
            <w:tcW w:w="5680" w:type="dxa"/>
            <w:tcBorders/>
            <w:shd w:fill="CAEDFB" w:val="clear"/>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Only 20,148,158 shares of common stock will remain unreserved and available for future issuance. Moreover, if the proposal to approve our 2026 Equity Incentive Plan is approved but the proposal to increase the number of authorized shares of common stock is not approved, only 14,448,158 shares of common stock will remain unreserved and available for future issuance.</w:t>
            </w:r>
          </w:p>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w:t>
            </w:r>
          </w:p>
        </w:tc>
        <w:tc>
          <w:tcPr>
            <w:tcW w:w="42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tc>
        <w:tc>
          <w:tcPr>
            <w:tcW w:w="568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 will be unable to adjourn the Special Meeting if necessary or appropriate in the view of the board of directors. In such circumstances, we may be required to call an additional special meeting of stockholders.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Who is entitled to vote at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Holders of our common stock as of the close of business on January 27, 2026, the record date for the Special Meeting, may vote at the Special Meeting. As of the record date, there were 9,335,913 shares of our common stock outstanding. Each share of common stock is entitled to one vote on each matter properly brought before the Special Meeting. We do not have any outstanding shares of preferred stock.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Notwithstanding the above, and in compliance with the rules of Nasdaq, Perceptive has agreed that it will not vote 1,319,026 shares of common stock on Proposal 3. We refer to this as the Voting Restriction. Perceptive received the shares subject to the Voting Restriction pursuant to the Securities Purchase Agreement between the Company and the investors named therein, dated December 18, 2025, and further described under “Description of the PIPE Financing.”</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Stockholders of Record</w:t>
      </w:r>
      <w:r>
        <w:rPr>
          <w:rFonts w:ascii="Arial" w:hAnsi="Arial"/>
          <w:color w:val="000000"/>
          <w:sz w:val="18"/>
        </w:rPr>
        <w:t xml:space="preserve">. If your shares are registered directly in your name with our transfer agent, Computershare Inc., then you are considered the stockholder of record with respect to those shares, and this proxy statement was sent directly to you by us. As a stockholder of record, you have the right to grant your proxy directly to the individuals listed on the proxy card or to vote by ballot at the Special Meeting. Throughout this proxy statement, we refer to these holders as “stockholders of record.” Only stockholders of record as of January 27, 2026 are entitled to notice of and to vote at the Special Meeting. For ten days prior to the Special Meeting, a complete list of stockholders of record entitled to vote at the Special Meeting will be available for examination by any stockholder for any purpose relevant to the Special Meeting. If you would like to view the list, please contact our corporate secretary to schedule an appointment by calling (425) 620-8520 or writing to LeonaBio, Inc., 18706 North Creek Parkway, Suite 104, Bothell, Washington 98011, Attention: Corporate Secretary.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Street Name Stockholders</w:t>
      </w:r>
      <w:r>
        <w:rPr>
          <w:rFonts w:ascii="Arial" w:hAnsi="Arial"/>
          <w:color w:val="000000"/>
          <w:sz w:val="18"/>
        </w:rPr>
        <w:t>. If your shares are held in a brokerage account or by a broker, bank or other nominee, then you are considered the beneficial owner of shares held in street name, and this proxy statement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Special Meeting. However, since a beneficial owner is not the stockholder of record, you may not vote your shares directly at the Special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How many votes are needed for approval of each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For each of the proposals submitted to the stockholders for a vote at the Special Meeting, approval will require the affirmative vote of the majority of the votes cast, affirmatively or negatively, for such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Broker non-votes and abstentions will be counted for purposes of determining the presence or absence of a quorum. However, neither broker non-votes nor abstentions will be considered votes cast for or against any proposal. Accordingly, broker non-votes and abstentions will have no impact on the outcome of any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With respect to Proposal 3 only, shares subject to the Voting Restriction are not entitled to vote on and will have no effect on the results.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What are broker non-votes?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Shares held in a brokerage account or by another nominee are considered held in “street name” by the stockholder or “beneficial owner.” A broker or nominee holding shares for a beneficial owner does not have discretion to vote on non-routine matters unless the broker or nominee receives specific voting instructions from the beneficial owner of the shares. A broker non-vote occurs when the broker or nominee does not receive voting instructions from the beneficial owner and does not have discretion to direct the voting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shares on a non-routine matter. Proposals 1, 2, 3, 4 and 6 are non-routine matters and therefore, brokers may not vote on such matters without specific voting instruction from the beneficial holder. Proposal 5 is a routine matter and, as a result, we do not expect broker non-votes on this proposal.</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is the quorum requirement for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 quorum is the minimum number of shares required to be present or represented at the Special Meeting for the meeting to be properly held under our amended and restated bylaws, or the Bylaws, and Delaware law. The presence, including virtually or by proxy, of a majority of the voting power of the capital stock of the Company issued and outstanding and entitled to vote will constitute a quorum to transact business at the Special Meeting. Abstentions and broker non-votes, if any, are counted as present and entitled to vote for purposes of determining a quorum. Whether or not a quorum exists, the chairperson of the meeting may adjourn the meeting to another time or place.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How do I vote and what are the voting deadlines?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you may vote in one of the following ways: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By internet following the instructions using the control number provided on your proxy card;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By telephone using the numbers provided on your proxy card;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By attending the Special Meeting virtually by visiting www.virtualshareholdermeeting.com/LONA2026SM, where you can vote during the meeting;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By signing, dating and returning your proxy card following the instructions on your proxy card. Your proxy card must be received prior to the Special Meeting</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Street Name Stockholders</w:t>
      </w:r>
      <w:r>
        <w:rPr>
          <w:rFonts w:ascii="Arial" w:hAnsi="Arial"/>
          <w:color w:val="000000"/>
          <w:sz w:val="18"/>
        </w:rPr>
        <w:t xml:space="preserve">. If you are a street name stockholder, then you will receive voting instructions from your broker, bank or 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hAnsi="Arial"/>
          <w:b/>
          <w:color w:val="000000"/>
          <w:sz w:val="18"/>
        </w:rPr>
        <w:t>As discussed above, if you are a street name stockholder, then you may not vote your shares by ballot at the Special Meeting unless you obtain a “legal proxy” from your broker, bank or other nominee.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Notwithstanding the above, no shares subject to the Voting Restriction are entitled to vote on Proposal 3 and, accordingly, any proxies that we receive through this solicitation with respect to shares subject to the Voting Restriction will not confer authority to represent or vote such shares on Proposal 3.</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if I do not specify how my shares are to be voted or fail to provide timely directions to my broker, bank or other nominee?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and you submit a proxy but you do not provide voting instructions, your shares will be voted: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5,502,402 shares of common stock pursuant to the exercise of the Sermonix Pre-Funded Warrant in accordance with Nasdaq Rule 5635(a)(2);</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approval of the LeonaBio, Inc. 2026 Equity Incentive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amendment of our amended and restated certificate of incorporation to increase the number of authorized shares of common stock;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adjournment of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Street Name Stockholders</w:t>
      </w:r>
      <w:r>
        <w:rPr>
          <w:rFonts w:ascii="Arial" w:hAnsi="Arial"/>
          <w:color w:val="000000"/>
          <w:sz w:val="18"/>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amend our amended and restated certificate of incorporation to increase the number of authorized shares of common stock. Your broker, bank or other nominee will not have discretion to vote on any other proposals, which are considered non-routine matters, absent direction from you. In the event that your broker, bank or other nominee votes your shares on our routine matters, but is not able to vote your shares on non-routine matters, then those shares will be treated as broker non-votes with respect to non-routine proposals. Accordingly, if you own shares through a nominee, such as a broker or bank, please be sure to instruct your nominee how to vote to ensure that your shares are counted on each of the proposals.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Notwithstanding the above, no shares subject to the Voting Restriction are entitled to vote on Proposal 3 and, accordingly, any proxies that we receive through this solicitation with respect to shares subject to the Voting Restriction will not confer authority to represent or vote such shares on Proposal 3.</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Can I change my vote or revoke my proxy?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you can change your vote or revoke your proxy before the Special Meeting by:</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entering a new vote by internet or telephone (subject to the applicable deadlines for each method as set forth above);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completing and returning a later-dated proxy card, which must be received prior to the Special Meeting;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delivering a written notice of revocation to our corporate secretary at LeonaBio, Inc., 18706 North Creek Parkway, Suite 104, Bothell, Washington 98011, Attention: Corporate Secretary, which must be received prior to the Special Meeting;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attending virtually and voting at the Special Meeting (although attendance at the Special Meeting will not, by itself, revoke a proxy).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rPr>
        <w:t>Street Name Stockholders</w:t>
      </w:r>
      <w:r>
        <w:rPr>
          <w:rFonts w:ascii="Arial" w:hAnsi="Arial"/>
          <w:color w:val="000000"/>
          <w:sz w:val="18"/>
        </w:rPr>
        <w:t>. If you are a street name stockholder, then your broker, bank or other nominee can provide you with instructions on how to change or revoke your proxy.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do I need to do to attend the special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We will be hosting the Special Meeting via live webcast only. You will be able to attend the Special Meeting virtually, submit your questions during the meeting and vote your shares electronically during the meeting by visiting www.virtualshareholdermeeting.com/LONA2026SM. To participate in the Special Meeting, you will need the control number included on your proxy card. The Special Meeting webcast will begin promptly at 8:00 a.m., Pacific Time. We encourage you to access the meeting prior to the start time. Online check-in will begin at 7:45 a.m., Pacific Time, and you should allow ample time for the check-in procedures.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How can I get help if I have trouble checking in or listening to the special meeting online?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you encounter difficulties accessing the virtual meeting during the check-in or meeting time, please call the technical support number that will be posted on the virtual meeting log-in page.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is the effect of giving a proxy?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Proxies are being solicited by and on behalf of our board of directors. Mark Litton, our president and chief executive officer, Robert Renninger, our chief financial officer, and Mark Worthington, our general counsel, chief compliance officer and corporate secretary, have been designated as proxy holders for the Special Meeting by our board of directors. When proxies are properly dated, executed and returned, the shares represented by such proxies will be voted at the Special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Special Meeting, then the proxy holders will use their own judgment to determine how to vote your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Who will count the votes?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 representative of Broadridge Financial Solutions, Inc. will tabulate the votes and act as inspector of election.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How can I contact LeonaBio’s transfer agent?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You may contact our transfer agent, Computershare Inc., by telephone at (800) 736-3001, or by writing Computershare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P.O. Box 43006, Providence, RI 02940-3078. You may also access instructions with respect to certain stockholder matters (e.g., change of address) via the internet at www.computershare.com/investor.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How are proxies solicited for the special meeting and who is paying for such solicitation?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board of directors is soliciting proxies for use at the Special Meeting by means of these proxy materials. By signing, dating and returning the proxy card, or by submitting your proxy over the internet or by telephone using the instructions found on the proxy card, you are authorizing the persons named as proxies to vote your shares at the Special Meeting as you have instructed. Proxies will be solicited on behalf of the board of directors by our directors, and certain of our executive officers and other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will bear the cost of soliciting proxies and will reimburse brokerage firms and other custodians, nominees and fiduciaries for their reasonable out-of-pocket expenses for sending proxy materials to stockholders and obtaining their proxies. We have retained the services of Innisfree M&amp;A Incorporated to assist in soliciting proxies from our stockholders for a fee of $25,000 plus reimbursement of reasonable expenses. In addition to soliciting the proxies by mail and the internet, certain of our directors, officers and employees, without compensation, may solicit proxies personally or by telephone, facsimile and e-mail.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will bear the entire cost of proxy solicitation, including the preparation, assembly, printing, mailing and distribution of LeonaBio’s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Could other matters be decided at the special meeting?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 business may be transacted at the Special Meeting except that referred to in this notice of special meeting and proxy statement, or in a supplemental notice given also in compliance with the provisions of the Bylaws, or such other business as may be germane or supplementary to the business that is stated in this notice of special meeting and proxy statement or any supplemental notice. We do not know of any other matters that may be presented for action at the Special Meeting other than those described in this proxy statement.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What happens if the special meeting is postponed?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Do I have appraisal rights?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stockholders are not entitled to dissenters’ or appraisal rights under the DGCL with respect to any of the proposals being voted on at the Special Meeting.</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What is the reverse stock split?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September 17, 2025, we effected a 10-for-1 reverse stock split of our common stock. The reverse stock split was approved by our stockholders at our 2025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a result of the reverse stock split, every ten shares of our issued and outstanding common stock were automatically combined into one issued and outstanding share of common stock, without any change in the par value per share. Any fractional shares that would otherwise be issuable as a result of the reverse stock split were paid out in cash. The total number of authorized shares of common stock under our amended and restated charter was reduced from 900,000,000 to 90,000,000 and the total number of authorized shares of our capital stock was reduced from 1,000,000,000 to 190,000,000. Proportional adjustments were made to the number of shares of common stock issuable upon the exercise or settlement of our outstanding options and restricted stock units, and the number of shares authorized and reserved for issuance pursuant to our equity incentive plans.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Unless otherwise noted, all share amounts in this proxy statement reflect the 10-for-1 reverse stock split.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Where can I find the voting results of the special meeting?</w:t>
      </w:r>
    </w:p>
    <w:p>
      <w:pPr>
        <w:pStyle w:val="TextBody"/>
        <w:bidi w:val="0"/>
        <w:jc w:val="left"/>
        <w:rPr>
          <w:rFonts w:ascii="Times New Roman" w:hAnsi="Times New Roman"/>
          <w:sz w:val="20"/>
        </w:rPr>
      </w:pPr>
      <w:r>
        <w:rPr>
          <w:rFonts w:ascii="Arial" w:hAnsi="Arial"/>
          <w:color w:val="000000"/>
          <w:sz w:val="18"/>
        </w:rPr>
        <w:t>We will disclose voting results on a Current Report on Form 8-K that we will file with the Securities and Exchange Commission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What does it mean if I receive more than one copy of the proxy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you receive more than one copy of the proxy materials, then your shares may be registered in more than one name and/or are registered in different accounts. Please follow the voting instructions on each proxy card to ensure that all of your shares are voted.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I share an address with another stockholder, and we received only one paper copy of the proxy materials. How may i obtain an additional copy of the proxy materials?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We have adopted a procedure called “householding,” which the Securities and Exchange Commission has approved. Under this procedure, we can deliver a single copy of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proxy materials to any stockholder at a shared address to which we delivered a single copy of any of these documents. To receive a separate copy, or, if a stockholder is receiving multiple copies, to request that we only send a single copy of future Notices of Internet Availability or proxy statements and annual reports, as applicable, stockholders may contact us at the following address and telephone number: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Attention: Investor Relations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18706 North Creek Parkway, Suite 104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Bothell, Washington 98011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Tel: (425) 620-8501</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8"/>
        </w:rPr>
        <w:t xml:space="preserve">Stockholders may also request additional copies of this proxy statement, or copies of the proxy statement, annual report and form of proxy relating to future stockholder meetings by (1) visiting www.ProxyVote.com, (2) calling 1-800-579-1639 or (3) sending an email to </w:t>
      </w:r>
      <w:r>
        <w:rPr>
          <w:rFonts w:ascii="Arial" w:hAnsi="Arial"/>
          <w:color w:val="0000FF"/>
          <w:sz w:val="18"/>
          <w:u w:val="single"/>
        </w:rPr>
        <w:t>sendmaterial@proxyvote.com</w:t>
      </w:r>
      <w:r>
        <w:rPr>
          <w:rFonts w:ascii="Arial" w:hAnsi="Arial"/>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Street name stockholders may contact their broker, bank or other nominee to request information about householding.</w:t>
      </w:r>
    </w:p>
    <w:p>
      <w:pPr>
        <w:pStyle w:val="TextBody"/>
        <w:bidi w:val="0"/>
        <w:jc w:val="left"/>
        <w:rPr>
          <w:rFonts w:ascii="Times New Roman" w:hAnsi="Times New Roman"/>
          <w:sz w:val="20"/>
        </w:rPr>
      </w:pPr>
      <w:r>
        <w:rPr>
          <w:rFonts w:ascii="Arial" w:hAnsi="Arial"/>
          <w:b/>
          <w:color w:val="000000"/>
          <w:sz w:val="18"/>
        </w:rPr>
        <w:t>What is the deadline to propose actions for consideration at the 2026 annual meeting of stockholders or to nominate individuals to serve as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a stockholder would like us to consider including a proposal in our proxy statement for the 2026 annual meeting of stockholders pursuant to Rule 14a-8 of the Securities Exchange Act of 1934, as amended, or the Exchange Act, then the proposal must have been received by our corporate secretary at our principal executive offices on or before December 15, 2025. In addition, stockholder proposals must comply with the requirements of Rule 14a-8 regarding the inclusion of stockholder proposals in company-sponsored proxy materials. Proposals should be addressed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Attention: Corporate Secretary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18706 North Creek Parkway, Suite 104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Bothell, Washington 98011</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8"/>
        </w:rPr>
        <w:t>The Bylaws also establish an advance notice procedure for stockholders who wish to present a proposal or nominate a director at an annual meeting, but do not seek to include the proposal or director nominee in our proxy statement. In order to be properly brought before the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no earlier than 8:00 a.m., Eastern time, on January 29, 2026;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no later than 5:00 p.m., Eastern time, on February 28, 2026.</w:t>
      </w:r>
    </w:p>
    <w:p>
      <w:pPr>
        <w:pStyle w:val="TextBody"/>
        <w:bidi w:val="0"/>
        <w:jc w:val="left"/>
        <w:rPr>
          <w:rFonts w:ascii="Times New Roman" w:hAnsi="Times New Roman"/>
          <w:sz w:val="20"/>
        </w:rPr>
      </w:pPr>
      <w:r>
        <w:rPr>
          <w:rFonts w:ascii="Arial" w:hAnsi="Arial"/>
          <w:color w:val="000000"/>
          <w:sz w:val="18"/>
        </w:rPr>
        <w:t>If we hold our 2026 annual meeting more than 25 days before or after the one-year anniversary of the 2025 annual meeting, then such written notice must be received by our corporate secretary at our principal executive offices: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18"/>
        </w:rPr>
        <w:t>no earlier than 8:00 a.m., Eastern time, on the 120</w:t>
      </w:r>
      <w:r>
        <w:rPr>
          <w:rFonts w:ascii="Arial" w:hAnsi="Arial"/>
          <w:color w:val="000000"/>
          <w:sz w:val="12"/>
        </w:rPr>
        <w:t>th</w:t>
      </w:r>
      <w:r>
        <w:rPr>
          <w:color w:val="000000"/>
        </w:rPr>
        <w:t xml:space="preserve"> </w:t>
      </w:r>
      <w:r>
        <w:rPr>
          <w:rFonts w:ascii="Arial" w:hAnsi="Arial"/>
          <w:color w:val="000000"/>
          <w:sz w:val="18"/>
        </w:rPr>
        <w:t>day prior to the day of our 2026 annual meeting,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18"/>
        </w:rPr>
        <w:t>no later than 5:00 p.m., Eastern time, on the later of the 90</w:t>
      </w:r>
      <w:r>
        <w:rPr>
          <w:rFonts w:ascii="Arial" w:hAnsi="Arial"/>
          <w:color w:val="000000"/>
          <w:sz w:val="12"/>
        </w:rPr>
        <w:t>th</w:t>
      </w:r>
      <w:r>
        <w:rPr>
          <w:color w:val="000000"/>
        </w:rPr>
        <w:t xml:space="preserve"> </w:t>
      </w:r>
      <w:r>
        <w:rPr>
          <w:rFonts w:ascii="Arial" w:hAnsi="Arial"/>
          <w:color w:val="000000"/>
          <w:sz w:val="18"/>
        </w:rPr>
        <w:t>day prior to the day of the 2026 annual meeting and, if the first public announcement of the date of such annual meeting is less than 100 days prior to the date of such annual meeting, the 10</w:t>
      </w:r>
      <w:r>
        <w:rPr>
          <w:rFonts w:ascii="Arial" w:hAnsi="Arial"/>
          <w:color w:val="000000"/>
          <w:sz w:val="12"/>
        </w:rPr>
        <w:t>th</w:t>
      </w:r>
      <w:r>
        <w:rPr>
          <w:color w:val="000000"/>
        </w:rPr>
        <w:t xml:space="preserve"> </w:t>
      </w:r>
      <w:r>
        <w:rPr>
          <w:rFonts w:ascii="Arial" w:hAnsi="Arial"/>
          <w:color w:val="000000"/>
          <w:sz w:val="18"/>
        </w:rPr>
        <w:t>day following the day on which public announcement of the date of the annual meeting is first made by us.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addition, stockholders who intend to solicit proxies in support of director nominees other than the Company’s nominees must also comply with the additional requirements of Rule 14a-19(b) of the Exchange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4" w:name="description_of_the_sermonix_transaction"/>
      <w:bookmarkEnd w:id="4"/>
      <w:r>
        <w:rPr>
          <w:rFonts w:ascii="Arial" w:hAnsi="Arial"/>
          <w:b/>
          <w:color w:val="000000"/>
          <w:sz w:val="18"/>
        </w:rPr>
        <w:t>DESCRIPTION OF THE SERMONIX TRANSACTION</w:t>
      </w:r>
    </w:p>
    <w:p>
      <w:pPr>
        <w:pStyle w:val="TextBody"/>
        <w:bidi w:val="0"/>
        <w:jc w:val="center"/>
        <w:rPr/>
      </w:pPr>
      <w:r>
        <w:rPr/>
        <w:t> </w:t>
      </w:r>
    </w:p>
    <w:p>
      <w:pPr>
        <w:pStyle w:val="TextBody"/>
        <w:bidi w:val="0"/>
        <w:jc w:val="left"/>
        <w:rPr>
          <w:rFonts w:ascii="Arial" w:hAnsi="Arial"/>
          <w:b/>
          <w:color w:val="000000"/>
          <w:sz w:val="18"/>
        </w:rPr>
      </w:pPr>
      <w:bookmarkStart w:id="5" w:name="sermonix_license"/>
      <w:bookmarkEnd w:id="5"/>
      <w:r>
        <w:rPr>
          <w:rFonts w:ascii="Arial" w:hAnsi="Arial"/>
          <w:b/>
          <w:color w:val="000000"/>
          <w:sz w:val="18"/>
        </w:rPr>
        <w:t>Sermonix License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December 18, 2025, we entered into agreements with Sermonix Pharmaceuticals, Inc., or Sermonix, and Ligand Pharmaceuticals Incorporated, or Ligand, granting us exclusive licenses and rights to develop, manufacture and commercialize oral forms of the selective estrogen-receptor modulator known as lasofoxifene in all countries and territories of the world except for Asia and certain countries in the Middle East. Under the terms of our license agreement with Sermonix, or the Sermonix License, we assumed responsibility, in such countries and territories, for the ongoing global Phase 3 clinical trial of oral lasofoxifene entitled “Evaluation of Lasofoxifene in ESR1 Mutations (ELAINE-3),” or the ELAINE-3 Study, and we are coordinating with Sermonix and Shanghai Henlius Biotech, Inc., or Henlius, Sermonix’s exclusive licensee for oral lasofoxifene in Asia and certain countries in the Middle East, or the Retained Territory, with respect to Henlius’ conduct of the ELAINE-3 Study in the Retained Territory.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Licenses and Exclusivity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 the Sermonix License, we received from Sermonix an exclusive (even as to Sermonix), sublicensable license, under relevant patents and know-how owned or in-licensed by Sermonix, to develop, manufacture, commercialize and otherwise exploit products containing lasofoxifene, or the Licensed Products, in all countries outside the Retained Territory, or the Licensed Territory. Such license does not include a sublicense under the patents and know-how that Sermonix previously in-licensed from Ligand because we entered into a direct license agreement with Ligand to replace Sermonix’s license from Ligand with respect to Licensed Products in the Licensed Territory. During the term of the Sermonix License, Sermonix and its affiliates are prohibited from developing, manufacturing, commercializing or otherwise exploiting products that selectively modulate the estrogen receptor, although Sermonix retains the ability to fulfill its obligations under its license agreement with Henlius, or the Sermonix-Henlius Agreement, with respect to the Licensed Products in the Retained Territory.</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Development, Manufacture and Commercialization Activities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 the Sermonix License, we have the sole right to conduct all development (including regulatory activities), manufacturing and commercialization of Licensed Products in the Licensed Territory, at our sole cost and expense. We are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We have assumed certain of Sermonix’s agreements with third parties that are conducting or supporting the ELAINE-3 Study in the Licensed Territory and certain agreements with third-party contract manufacturers that have been supplying drug substance and drug product for the ELAINE-3 Study. All of Sermonix’s existing inventory of Licensed Product drug substance and drug product will be transferred to us at no additional cost and we will provide a portion of such inventory to Henlius for use in the ELAINE-3 Study in the Retained Territory.</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Financial Terms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consideration for the rights granted to us under the Sermonix License, we agreed to issue securities to Sermonix as discussed below under “Sermonix Transaction—Sermonix Securities Issuance”, make payments to certain of Sermonix’s third-party service providers that total approximately $16.8 million, and make payments to Sermonix of $75,000 per month, subject to adjustment from time to time upon mutual agreement of the parties. We may credit the amount of such monthly payments against all milestone, royalty, and net proceed payments that become due to Sermonix under the Sermonix License, and our obligation to make such monthly payments will end upon Sermonix’s receipt of the first such milestone, royalty or net proceeds payment. If we or our affiliates achieve certain commercialization or annual net sales milestones with respect to the Licensed Products, we will make milestone payments to Sermonix up to a maximum aggregate total of $100.0 million, a portion of which may be payable in cash or shares of common stock at our discretion, with final terms to be negotiated between the parties. In addition, we are obligated to make royalty payments to Sermonix based on our and our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 (i) the expiration of the last valid claim of a patent licensed to us by Sermonix that covers such Licensed Product in such country, (ii) the expiration of regulatory exclusivity of such Licensed Product in such country; and (iii) 10 years after the first commercial sale of such Licensed Product in such country. If we sublicense or divest our rights to the Licensed Products to a third party, then in lieu of the milestone and royalty payments described above, we will pay to Sermonix a percentage of the net proceeds from such sublicensing or divestiture transaction. The applicable percentage is based on the type of payment received by us from the third party as well as status of development of the Licensed Products at the time that the sublicense or divestiture transaction is entered into, with rates starting in the high-double digit and decreasing to low-double digit percentages. As consideration for our payment and other obligations under the Sermonix License, we will be eligible to receive from Henlius all milestone and royalty payments that Henlius owes to Sermonix under the Sermonix-Henlius Agreement other than royalties that Sermonix owes to Ligand on account of Sermonix’s license agreement with Ligand, and with the further exception that, if Henlius and Sermonix later agree to share the costs of developing the Licensed Products in Japan, then we will not be entitled to receive Sermonix’s share of income arising from the sublicensing of Japanese rights to the Licensed Product.</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Term and Termination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Sermonix License will remain in effect until we, our affiliates and our sublicensees are no longer developing or commercializing any Licensed Product in the Licensed Territory. Each party may terminate the Sermonix License in its entirety for the uncured material breach by or insolvency of the other party. We may terminate the Sermonix License in its entirety for safety reasons or for convenience at any time after the topline data readout of the ELAINE 3 Study. Upon termination, all rights and licenses granted to us will revert to Sermonix.</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Sermonix License includes certain other customary terms and conditions, including mutual representations and warranties, indemnification, and confidentiality provisions.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An affiliate of Perceptive held approximately 29% of the outstanding capital stock of Sermonix (excluding securities convertible into shares of capital stock) at the time of entry into the Sermonix License and Sermonix Securities Purchase Agreement. Joseph Edelman, a member of the Company’s Board, is the managing member of Perceptive Advisors LLC, the investment manager of Perceptive.</w:t>
      </w:r>
    </w:p>
    <w:p>
      <w:pPr>
        <w:pStyle w:val="TextBody"/>
        <w:bidi w:val="0"/>
        <w:jc w:val="left"/>
        <w:rPr/>
      </w:pPr>
      <w:r>
        <w:rPr/>
        <w:t> </w:t>
      </w:r>
    </w:p>
    <w:p>
      <w:pPr>
        <w:pStyle w:val="TextBody"/>
        <w:bidi w:val="0"/>
        <w:jc w:val="left"/>
        <w:rPr>
          <w:rFonts w:ascii="Arial" w:hAnsi="Arial"/>
          <w:b/>
          <w:color w:val="000000"/>
          <w:sz w:val="18"/>
        </w:rPr>
      </w:pPr>
      <w:bookmarkStart w:id="6" w:name="sermonix_securities_issuance"/>
      <w:bookmarkEnd w:id="6"/>
      <w:r>
        <w:rPr>
          <w:rFonts w:ascii="Arial" w:hAnsi="Arial"/>
          <w:b/>
          <w:color w:val="000000"/>
          <w:sz w:val="18"/>
        </w:rPr>
        <w:t>Sermonix Securities Issuance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connection with entry into the Sermonix License, on December 18, 2025 we and Sermonix entered into a securities purchase agreement, or the Sermonix Securities Purchase Agreement, pursuant to which on December 23, 2025 we issued to Sermonix a pre-funded warrant to purchase 5,502,402 shares of common stock at an exercise price of $0.001 per share, or the Sermonix Pre-Funded Warrant. The shares issuable upon exercise of the Sermonix Pre-Funded Warrant constitute partial consideration for Sermonix’s entry into the Sermonix License.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Sermonix Pre-Funded Warrant is subject to two restrictions on exercise: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In compliance with Nasdaq Rule 5635(a)(2), the Sermonix Pre-Funded Warrant will not be exercisable until our stockholders approve the issuance of shares to Sermonix pursuant thereto;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In compliance with Nasdaq Rule 5635(b), the Sermonix Pre-Funded Warrant may not be exercised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19.99% of our common stock prior to receipt of the stockholder approval.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have agreed to, no later than in connection with our 2026 annual meeting of stockholders, or the Annual Meeting, provide notice of, and solicit proxies from our stockholders to obtain approval such that the Sermonix Pre-Funded Warrant can be exercised at any time without restriction or additional stockholder approval. If such stockholder approval is not obtained at or before the Annual Meeting, we have agreed to cause an additional meeting (special or general) of stockholders to be held every 90 days thereafter for the purpose of obtaining stockholder approval until stockholder approval is obtained.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 underlying the Sermonix Pre-Funded Warrant, subject to certain conditions and limitations. If Sermonix exercises its redemption right, 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additional information about the Sermonix License or the Sermonix Securities Purchase Agreement, see Amendment No. 1 to the Company’s Current Report on Form 8-K, filed on December 18, 2025.</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7" w:name="description_of_the_pipe_financing"/>
      <w:bookmarkEnd w:id="7"/>
      <w:r>
        <w:rPr>
          <w:rFonts w:ascii="Arial" w:hAnsi="Arial"/>
          <w:b/>
          <w:color w:val="000000"/>
          <w:sz w:val="18"/>
        </w:rPr>
        <w:t>DESCRIPTION OF THE PIPE FINANCING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On December 18, 2025, we entered into a securities purchase agreement, or the PIPE Securities Purchase Agreement, with a select group of investors, including Perceptive, and other accredited investors. We refer to this transaction as the PIPE Financing. Pursuant to the PIPE Securities Purchase Agreement, on December 23, 2025 we issued and sold, by way of a private placement, an aggregate of:</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5,356,547 shares of common stock, or the PIPE Initial Shares;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pre-funded warrants, or the PIPE Pre-Funded Warrants, to purchase 8,816,684 shares of common stock;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accompanying warrants, or the PIPE Series A Common Warrants, to purchase 23,031,494 shares of common stock and/or shares underlying pre-funded warrants, representing 162.5% of the aggregate of PIPE Initial Shares and the shares of common stock underlying the PIPE Pre-Funded Warrants;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accompanying warrants, or the PIPE Series B Common Warrants to purchase 21,259,842 shares of common stock and/or shares underlying pre-funded warrants, representing 150% of the aggregate of PIPE Initial Shares and the shares of common stock underlying the PIPE Pre-Funded Warrants.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purchase price for each PIPE Initial Share (including the accompanying PIPE Series A Common Warrants and Series B Common Warrants) was $6.35 and the purchase price for each PIPE Pre-Funded Warrant (including the accompanying PIPE Series A Common Warrants and PIPE Series B Common Warrants) was $6.349 per each share underlying the PIPE Pre-Funded Warrant. Gross proceeds were approximately $90 million, excluding placement agent fees and offering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PIPE Pre-Funded Warrants are exercisable at an exercise price of $0.001 per share, subject to customary adjustments under the terms thereof and are exercisable at any time on or after issuance, subject to the restriction discussed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PIPE Series A Common Warrants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we publicly announce, by means of a widely disseminated press release or a Current Report on Form 8-K, the enrollment of the 500th subject or the last subject, whichever is earlier, in the ELAINE-3 Study;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The PIPE Series A Common Warrants will remain exercisable until the 30th day following their initial exercise date, except that if such initial exercise date has not occurred by December 23, 2030, then the PIPE Series A Common Warrants will terminate on December 23, 2030.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PIPE Series B Common Warrants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Study. The PIPE Series B Common Warrants will remain exercisable until the 30th day following their initial exercise date, except that if the initial exercise date has not occurred by December 23, 2030, then the PIPE Series B Common Warrants will terminate on December 23, 2030.</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Each of the PIPE Pre-Funded Warrants, the PIPE Series A Common Warrants and the PIPE Series B Common Warrants contain a restriction on exercise such that none can be exercised if, immediately prior to or following such exercise, the applicable holder, together with its affiliates and any other persons whose beneficial ownership of shares of common stock would be aggregated with the holder for purposes of Section 13(d) of the Exchange Act, would beneficially own more than one of 4.99%, 9.99% or 19.99% of the total number of issued and outstanding shares of our common stock following the exercise. The percentage to be included in each PIPE Pre-Funded Warrant, PIPE Series A Common Warrant and PIPE Series B Common Warrant was selected by the PIPE purchaser at closing of the PIPE Financing. Such percentage may be increased or decreased by the applicable holder with 61 days’ written notice to us; provided, however, that such percentage may in no event exceed 19.99% prior to a vote of our stockholders approving the removal of such exercise limitation, in compliance with Nasdaq Rule 5635(b). Certain PIPE purchasers elected a maximum percentage of 4.99% that is not subject to increase.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Perceptive, a current stockholder of the Company, together with an affiliated fund, purchased an aggregate of $20.0 million of the securities sold in the PIPE Financing. Joseph Edelman, a member of the Company’s Board, is the managing member of Perceptive Advisors LLC, the investment manager of Perceptive.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Company will use the net proceeds from the PIPE Financing for working capital and will not use such proceeds for (1) the repayment of borrowed debt, (2) to redeem any common stock or any securities of the Company that would entitle the holder thereof to acquire at any time common stock, subject to certain exceptions, (3) for the settlement of any litigation that is outstanding as of the closing of the PIPE Financing, and (4) to in-license or develop a drug candidate other than lasofoxifene or any drug or drug candidate in the Company’s pipeline as of the closing of the PIPE Financing until the earlier of such time as the topline results of the ELAINE-3 Study become available and the second anniversary of the effective date of the PIPE Securities Purchase Agreement.</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pursuant to the terms of the PIPE Securities Purchase Agreement, for so long as funds affiliated with each of Commodore Capital LP, or Commodore, and TCG Crossover Management LLC, or TCGX, respectively, beneficially own 5% or more in the aggregate of our issued and outstanding common stock (including any shares of common stock issuable upon the exercise of any outstanding warrants issued in the PIPE Financing whose initial exercise date has occurred), each of Commodore and TCGX will be entitled to designate one member of our board of directors, and we will take all actions reasonably necessary to have such designee promptly appointed to our board of directors, including, but not limited to, increasing the size of the board of directors to accommodate the appointment of such designee, subject to specified conditions. In addition, we have agreed to use reasonable best efforts to cause the resignation of two (2) current members of the board of directors by the six-month anniversary of closing of the PIPE Financing.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additional information about the PIPE Financing or the PIPE Securities Purchase Agreement, see Amendment No. 1 to the Company’s Current Report on Form 8-K, filed on December 18, 2025.</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8" w:name="proposal_no_1"/>
      <w:bookmarkEnd w:id="8"/>
      <w:r>
        <w:rPr>
          <w:rFonts w:ascii="Arial" w:hAnsi="Arial"/>
          <w:b/>
          <w:color w:val="000000"/>
          <w:sz w:val="18"/>
        </w:rPr>
        <w:t>PROPOSAL NO. 1</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approve the issuance of 5,502,402 shares of common stock pursuant to the exercise of the Sermonix Pre-Funded Warrant in accordance with Nasdaq Rule 5635(a)(2).</w:t>
      </w:r>
    </w:p>
    <w:p>
      <w:pPr>
        <w:pStyle w:val="TextBody"/>
        <w:bidi w:val="0"/>
        <w:jc w:val="left"/>
        <w:rPr/>
      </w:pPr>
      <w:r>
        <w:rPr/>
        <w:t> </w:t>
      </w:r>
    </w:p>
    <w:p>
      <w:pPr>
        <w:pStyle w:val="TextBody"/>
        <w:bidi w:val="0"/>
        <w:jc w:val="center"/>
        <w:rPr>
          <w:rFonts w:ascii="Arial" w:hAnsi="Arial"/>
          <w:b/>
          <w:color w:val="000000"/>
          <w:sz w:val="18"/>
        </w:rPr>
      </w:pPr>
      <w:bookmarkStart w:id="9" w:name="description_of_proposal_1"/>
      <w:bookmarkEnd w:id="9"/>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b/>
          <w:color w:val="000000"/>
          <w:sz w:val="18"/>
        </w:rPr>
      </w:pPr>
      <w:bookmarkStart w:id="10" w:name="overview_1"/>
      <w:bookmarkEnd w:id="10"/>
      <w:r>
        <w:rPr>
          <w:rFonts w:ascii="Arial" w:hAnsi="Arial"/>
          <w:b/>
          <w:color w:val="000000"/>
          <w:sz w:val="18"/>
        </w:rPr>
        <w:t>Overview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described above under “Description of the Sermonix Transaction,” on December 23, 2025, we issued the Sermonix Pre-Funded Warrant, representing a right to purchase 5,502,402 shares of common stock at an exercise price of $0.001 per share. Pursuant to Nasdaq Rule 5635(a)(2), the Sermonix Pre-Funded Warrant may not be exercised unless approval from our stockholders is obtained. We are seeking stockholder approval pursuant to Nasdaq Rule 5635(a)(2) for the issuance of 5,502,402 shares of common stock pursuant to the full or partial exercise of the Sermonix Pre-Funded Warrant.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An affiliate of Perceptive held approximately 29% of the outstanding capital stock of Sermonix (excluding securities convertible into shares of capital stock) at the time of entry into the Sermonix License and Sermonix Securities Purchase Agreement.</w:t>
      </w:r>
    </w:p>
    <w:p>
      <w:pPr>
        <w:pStyle w:val="TextBody"/>
        <w:bidi w:val="0"/>
        <w:jc w:val="left"/>
        <w:rPr/>
      </w:pPr>
      <w:r>
        <w:rPr/>
        <w:t> </w:t>
      </w:r>
    </w:p>
    <w:p>
      <w:pPr>
        <w:pStyle w:val="TextBody"/>
        <w:bidi w:val="0"/>
        <w:jc w:val="left"/>
        <w:rPr>
          <w:rFonts w:ascii="Arial" w:hAnsi="Arial"/>
          <w:b/>
          <w:color w:val="000000"/>
          <w:sz w:val="18"/>
        </w:rPr>
      </w:pPr>
      <w:bookmarkStart w:id="11" w:name="reasons_for_stockholder_approval_1"/>
      <w:bookmarkEnd w:id="11"/>
      <w:r>
        <w:rPr>
          <w:rFonts w:ascii="Arial" w:hAnsi="Arial"/>
          <w:b/>
          <w:color w:val="000000"/>
          <w:sz w:val="18"/>
        </w:rPr>
        <w:t>Reasons for Stockholder Approval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common stock is listed on the Nasdaq Capital Market and, as such, we are subject to the applicable rules of Nasdaq, including Nasdaq Rule 5635(a)(2). Pursuant to Nasdaq Rule 5635(a)(2), stockholder approval is required prior to the issuance of securities in connection with the acquisition of stock or assets of another company if (1) any director, officer, or Substantial Shareholder (as defined by Nasdaq Rule 5635(e)(3)) has a 5% or greater interest (or such persons collectively have a 10% or greater interest), directly or indirectly, in the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further described under “Description of the Sermonix Transaction,” under the Sermonix License, we acquired certain rights from Sermonix relating to lasofoxifene. In addition, an affiliate of Perceptive, which at the time of entry into the Sermonix License held more than 10% of our outstanding common stock, then held approximately 29% of the outstanding capital stock of Sermonix (excluding securities convertible into shares of capital stock). Moreover, Joseph Edelman, a member of our board of directors, is the managing member of the investment manager of Perceptive. For these reasons, and because the Sermonix Pre-Funded Warrant was issued in partial consideration for the Sermonix License, the issuance of shares to the holder of the Sermonix Pre-Funded Warrant upon exercise is subject to approval by our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Sermonix Pre-Funded Warrant includes a restriction on exercise providing that it is not exercisable in the absence of stockholder approval. Please see “Description of the Sermonix Transaction” above for descriptions of the Sermonix License, the Sermonix Securities Purchase Agreement and the Sermonix Pre-Funded Warrant.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12" w:name="effect_of_vote_in_favor_of_the_pro_1"/>
      <w:bookmarkEnd w:id="12"/>
      <w:r>
        <w:rPr>
          <w:rFonts w:ascii="Arial" w:hAnsi="Arial"/>
          <w:b/>
          <w:color w:val="000000"/>
          <w:sz w:val="18"/>
        </w:rPr>
        <w:t>Effect of Vote in Favor of the Proposal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our stockholders approve this proposal at the Special Meeting, the Sermonix Pre-Funded Warrant will become fully exercisable for an aggregate of 5,502,402 shares of common stock, subject to the restrictions of Nasdaq Rule 5635(b), the removal of which is the subject of Proposal 2 discussed below.</w:t>
      </w:r>
    </w:p>
    <w:p>
      <w:pPr>
        <w:pStyle w:val="TextBody"/>
        <w:bidi w:val="0"/>
        <w:jc w:val="left"/>
        <w:rPr/>
      </w:pPr>
      <w:r>
        <w:rPr/>
        <w:t> </w:t>
      </w:r>
    </w:p>
    <w:p>
      <w:pPr>
        <w:pStyle w:val="TextBody"/>
        <w:bidi w:val="0"/>
        <w:jc w:val="left"/>
        <w:rPr>
          <w:rFonts w:ascii="Arial" w:hAnsi="Arial"/>
          <w:b/>
          <w:color w:val="000000"/>
          <w:sz w:val="18"/>
        </w:rPr>
      </w:pPr>
      <w:bookmarkStart w:id="13" w:name="effect_of_not_obtaining_the_requi_vote_1"/>
      <w:bookmarkEnd w:id="13"/>
      <w:r>
        <w:rPr>
          <w:rFonts w:ascii="Arial" w:hAnsi="Arial"/>
          <w:b/>
          <w:color w:val="000000"/>
          <w:sz w:val="18"/>
        </w:rPr>
        <w:t>Effect of Not Obtaining the Required Vote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the event our stockholders do not approve this proposal at the Special Meeting, the Sermonix Pre-Funded Warrant will not be exercisable.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described above under “Description of the Sermonix Transaction—Sermonix Securities Issuance,” 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 underlying the Sermonix Pre-Funded Warrant, subject to certain conditions and limitations. If Sermonix exercises its redemption right, 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pursuant to the Sermonix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pStyle w:val="TextBody"/>
        <w:bidi w:val="0"/>
        <w:jc w:val="left"/>
        <w:rPr/>
      </w:pPr>
      <w:r>
        <w:rPr/>
        <w:t> </w:t>
      </w:r>
    </w:p>
    <w:p>
      <w:pPr>
        <w:pStyle w:val="TextBody"/>
        <w:bidi w:val="0"/>
        <w:jc w:val="left"/>
        <w:rPr>
          <w:rFonts w:ascii="Arial" w:hAnsi="Arial"/>
          <w:b/>
          <w:color w:val="000000"/>
          <w:sz w:val="18"/>
        </w:rPr>
      </w:pPr>
      <w:bookmarkStart w:id="14" w:name="vote_required_1"/>
      <w:bookmarkEnd w:id="14"/>
      <w:r>
        <w:rPr>
          <w:rFonts w:ascii="Arial" w:hAnsi="Arial"/>
          <w:b/>
          <w:color w:val="000000"/>
          <w:sz w:val="18"/>
        </w:rPr>
        <w:t>Vote Required</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15" w:name="board_recommendation_1"/>
      <w:bookmarkEnd w:id="15"/>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1.</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16" w:name="proposal_no_2"/>
      <w:bookmarkEnd w:id="16"/>
      <w:r>
        <w:rPr>
          <w:rFonts w:ascii="Arial" w:hAnsi="Arial"/>
          <w:b/>
          <w:color w:val="000000"/>
          <w:sz w:val="18"/>
        </w:rPr>
        <w:t>PROPOSAL NO. 2</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jc w:val="center"/>
        <w:rPr>
          <w:rFonts w:ascii="Arial" w:hAnsi="Arial"/>
          <w:b/>
          <w:color w:val="000000"/>
          <w:sz w:val="18"/>
        </w:rPr>
      </w:pPr>
      <w:bookmarkStart w:id="17" w:name="description_of_proposal_2"/>
      <w:bookmarkEnd w:id="17"/>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b/>
          <w:color w:val="000000"/>
          <w:sz w:val="18"/>
        </w:rPr>
      </w:pPr>
      <w:bookmarkStart w:id="18" w:name="overview_2"/>
      <w:bookmarkEnd w:id="18"/>
      <w:r>
        <w:rPr>
          <w:rFonts w:ascii="Arial" w:hAnsi="Arial"/>
          <w:b/>
          <w:color w:val="000000"/>
          <w:sz w:val="18"/>
        </w:rPr>
        <w:t>Overview</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described above under “Description of Sermonix Transaction,” on December 23, 2025, we issued the Sermonix Pre-Funded Warrant, representing a right to purchase 5,502,402 shares of common stock at an exercise price of $0.001 per share. We are seeking stockholder approval for Sermonix to exercise the Sermonix Pre-Funded Warrant in the event such exercise results in Sermonix, together with its affiliates and any other persons whose beneficial ownership of shares of common stock would be aggregated with Sermonix for purposes of Section 13(d) of the Exchange Act, owning in excess of 19.99% of our outstanding common stock immediately following the exercise. Such ownership may be reached upon initial exercise of the warrant or following one or more partial exercises.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An affiliate of Perceptive held approximately 29% of the outstanding capital stock of Sermonix (excluding securities convertible into shares of capital stock) at the time of entry into the Sermonix License and Sermonix Securities Purchase Agreement. Joseph Edelman, a member of the Company’s Board, is the managing member of Perceptive Advisors LLC, the investment manager of Perceptive.</w:t>
      </w:r>
    </w:p>
    <w:p>
      <w:pPr>
        <w:pStyle w:val="TextBody"/>
        <w:bidi w:val="0"/>
        <w:jc w:val="left"/>
        <w:rPr/>
      </w:pPr>
      <w:r>
        <w:rPr/>
        <w:t> </w:t>
      </w:r>
    </w:p>
    <w:p>
      <w:pPr>
        <w:pStyle w:val="TextBody"/>
        <w:bidi w:val="0"/>
        <w:jc w:val="left"/>
        <w:rPr>
          <w:rFonts w:ascii="Arial" w:hAnsi="Arial"/>
          <w:b/>
          <w:color w:val="000000"/>
          <w:sz w:val="18"/>
        </w:rPr>
      </w:pPr>
      <w:bookmarkStart w:id="19" w:name="reasons_for_stockholder_approval_2"/>
      <w:bookmarkEnd w:id="19"/>
      <w:r>
        <w:rPr>
          <w:rFonts w:ascii="Arial" w:hAnsi="Arial"/>
          <w:b/>
          <w:color w:val="000000"/>
          <w:sz w:val="18"/>
        </w:rPr>
        <w:t>Reasons for Stockholder Approval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common stock is listed on the Nasdaq Capital Market and, as such, we are subject to the applicable rules of Nasdaq, including Nasdaq Rule 5635(b). Pursuant to Nasdaq Rule 5635(b), stockholder approval is required prior to the issuance of securities when the issuance or potential issuance will result in a change of control of the company. Under Nasdaq guidance, a change of control may occur when, as a result of the issuance, the recipient owns, or has the right to acquire, 20% or more of the outstanding shares of common stock or voting power of a company.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We have an aggregate of 9,335,913 shares of common stock outstanding as of the record date. As a result, assuming full exercise by Sermonix of the Sermonix Pre-Funded Warrant and no other exercises of outstanding derivative securities held by other holders, Sermonix would own approximately 37% of our common stock immediately following such exercise, which would be more than 19.99% of our outstanding common stock.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Under Nasdaq guidance, an issuance of all the shares underlying the Sermonix Pre-Funded Warrant may constitute a change of control (including, among other reasons, because such issuance may result in Sermonix owning 20% or more of our outstanding common stock). As a result, the issuance of shares to Sermonix pursuant to full exercise of the Sermonix Pre-Funded Warrant is subject to approval by our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Sermonix Pre-Funded Warrant includes a restriction on exercise providing that it is not exercisable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19.99% of our common stock prior to receipt of the stockholder approval. Please see “Description of the Sermonix Transaction” above for descriptions of the Sermonix License, the Sermonix Securities Purchase Agreement and the Sermonix Pre-Funded Warrant.</w:t>
      </w:r>
    </w:p>
    <w:p>
      <w:pPr>
        <w:pStyle w:val="TextBody"/>
        <w:bidi w:val="0"/>
        <w:jc w:val="left"/>
        <w:rPr/>
      </w:pPr>
      <w:r>
        <w:rPr/>
        <w:t> </w:t>
      </w:r>
    </w:p>
    <w:p>
      <w:pPr>
        <w:pStyle w:val="TextBody"/>
        <w:bidi w:val="0"/>
        <w:jc w:val="left"/>
        <w:rPr>
          <w:rFonts w:ascii="Arial" w:hAnsi="Arial"/>
          <w:b/>
          <w:color w:val="000000"/>
          <w:sz w:val="18"/>
        </w:rPr>
      </w:pPr>
      <w:bookmarkStart w:id="20" w:name="effect_of_vote_in_favor_of_the_pro_2"/>
      <w:bookmarkEnd w:id="20"/>
      <w:r>
        <w:rPr>
          <w:rFonts w:ascii="Arial" w:hAnsi="Arial"/>
          <w:b/>
          <w:color w:val="000000"/>
          <w:sz w:val="18"/>
        </w:rPr>
        <w:t>Effect of Vote in Favor of the Proposal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our stockholders approve this proposal at the Special Meeting, the Sermonix Pre-Funded Warrant will become fully exercisable for an aggregate of 5,502,402 shares of common stock regardless of Sermonix’s ownership of our common stock immediately following such exercise.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However, if stockholders do not approve Proposal 1 at the Special Meeting, the Sermonix Pre-Funded Warrant will not be exercisable by Sermonix even if this Proposal 2 is approved. See “Proposal 2—Effect of Not Obtaining the Required Vote.”</w:t>
      </w:r>
    </w:p>
    <w:p>
      <w:pPr>
        <w:pStyle w:val="TextBody"/>
        <w:bidi w:val="0"/>
        <w:jc w:val="left"/>
        <w:rPr/>
      </w:pPr>
      <w:r>
        <w:rPr/>
        <w:t> </w:t>
      </w:r>
    </w:p>
    <w:p>
      <w:pPr>
        <w:pStyle w:val="TextBody"/>
        <w:bidi w:val="0"/>
        <w:jc w:val="left"/>
        <w:rPr>
          <w:rFonts w:ascii="Times New Roman" w:hAnsi="Times New Roman"/>
          <w:sz w:val="20"/>
        </w:rPr>
      </w:pPr>
      <w:bookmarkStart w:id="21" w:name="effect_of_not_obtaining_the_requ_vote_2"/>
      <w:bookmarkEnd w:id="21"/>
      <w:r>
        <w:rPr>
          <w:rFonts w:ascii="Arial" w:hAnsi="Arial"/>
          <w:b/>
          <w:color w:val="000000"/>
          <w:sz w:val="18"/>
        </w:rPr>
        <w:t>Effect of Not Obtaining the Required Vote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the event our stockholders do not approve this proposal at the Special Meeting, the Sermonix Pre-Funded Warrant will not be exercisable by Sermonix if, immediately following such exercise, Sermonix, together with its affiliates and any other persons whose beneficial ownership of shares of common stock would be aggregated with Sermonix for purposes of Section 13(d) of the Exchange Act, would own in excess of 19.99% of our outstanding 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described above under “Description of the Sermonix Transaction—Sermonix Securities Issuance,” 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underlying the Sermonix Pre-Funded Warrant, subject to certain conditions and limitations. If Sermonix exercises its redemption right, 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pursuant to the Sermonix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pStyle w:val="TextBody"/>
        <w:bidi w:val="0"/>
        <w:jc w:val="left"/>
        <w:rPr/>
      </w:pPr>
      <w:r>
        <w:rPr/>
        <w:t> </w:t>
      </w:r>
    </w:p>
    <w:p>
      <w:pPr>
        <w:pStyle w:val="TextBody"/>
        <w:bidi w:val="0"/>
        <w:jc w:val="left"/>
        <w:rPr>
          <w:rFonts w:ascii="Arial" w:hAnsi="Arial"/>
          <w:b/>
          <w:color w:val="000000"/>
          <w:sz w:val="18"/>
        </w:rPr>
      </w:pPr>
      <w:bookmarkStart w:id="22" w:name="vote_required_2"/>
      <w:bookmarkEnd w:id="22"/>
      <w:r>
        <w:rPr>
          <w:rFonts w:ascii="Arial" w:hAnsi="Arial"/>
          <w:b/>
          <w:color w:val="000000"/>
          <w:sz w:val="18"/>
        </w:rPr>
        <w:t>Vote Required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23" w:name="board_recommendation_2"/>
      <w:bookmarkEnd w:id="23"/>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2.</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24" w:name="proposal_no_3"/>
      <w:bookmarkEnd w:id="24"/>
      <w:r>
        <w:rPr>
          <w:rFonts w:ascii="Arial" w:hAnsi="Arial"/>
          <w:b/>
          <w:color w:val="000000"/>
          <w:sz w:val="18"/>
        </w:rPr>
        <w:t>PROPOSAL NO. 3</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approve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pStyle w:val="TextBody"/>
        <w:bidi w:val="0"/>
        <w:jc w:val="left"/>
        <w:rPr/>
      </w:pPr>
      <w:r>
        <w:rPr/>
        <w:t> </w:t>
      </w:r>
    </w:p>
    <w:p>
      <w:pPr>
        <w:pStyle w:val="TextBody"/>
        <w:bidi w:val="0"/>
        <w:jc w:val="center"/>
        <w:rPr>
          <w:rFonts w:ascii="Arial" w:hAnsi="Arial"/>
          <w:b/>
          <w:color w:val="000000"/>
          <w:sz w:val="18"/>
        </w:rPr>
      </w:pPr>
      <w:bookmarkStart w:id="25" w:name="description_of_proposal_3"/>
      <w:bookmarkEnd w:id="25"/>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b/>
          <w:color w:val="000000"/>
          <w:sz w:val="18"/>
        </w:rPr>
      </w:pPr>
      <w:bookmarkStart w:id="26" w:name="overview_3"/>
      <w:bookmarkEnd w:id="26"/>
      <w:r>
        <w:rPr>
          <w:rFonts w:ascii="Arial" w:hAnsi="Arial"/>
          <w:b/>
          <w:color w:val="000000"/>
          <w:sz w:val="18"/>
        </w:rPr>
        <w:t>Overview</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described under “Description of the PIPE Financing,” on December 23, 2025, we issued and sold, by way of the Private Placement: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5,356,547 PIPE Initial Shares, of which 1,319,026 were sold to Perceptive or an affiliate thereof;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PIPE Pre-Funded Warrants to purchase 8,816,684 shares of common stock, of which 1,830,580 shares are subject to PIPE Pre-Funded Warrants held by Perceptive and its affiliates;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PIPE Series A Common Warrants, to purchase 23,031,494 shares of common stock, including PIPE Series A Common Warrants to Perceptive to purchase 5,118,109 shares of common stock;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PIPE Series B Common Warrants to purchase 21,259,842 shares of common stock, including PIPE Series B Common Warrants to Perceptive to purchase 4,724,408 shares of common stock.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a result of the PIPE Financing, we issued or may issue an aggregate of 12,992,123 shares of common stock to Perceptive. An affiliate of Perceptive held approximately 29% of the outstanding capital stock of Sermonix (excluding securities convertible into shares of capital stock) at the time of entry into the PIPE Securities Purchase Agreement. Joseph Edelman, a member of the Company’s Board, is the managing member of Perceptive Advisors LLC, the investment manager of Perceptive.</w:t>
      </w:r>
    </w:p>
    <w:p>
      <w:pPr>
        <w:pStyle w:val="TextBody"/>
        <w:bidi w:val="0"/>
        <w:jc w:val="left"/>
        <w:rPr/>
      </w:pPr>
      <w:r>
        <w:rPr/>
        <w:t> </w:t>
      </w:r>
    </w:p>
    <w:p>
      <w:pPr>
        <w:pStyle w:val="TextBody"/>
        <w:bidi w:val="0"/>
        <w:jc w:val="left"/>
        <w:rPr>
          <w:rFonts w:ascii="Arial" w:hAnsi="Arial"/>
          <w:b/>
          <w:color w:val="000000"/>
          <w:sz w:val="18"/>
        </w:rPr>
      </w:pPr>
      <w:bookmarkStart w:id="27" w:name="reasons_for_stockholder_approval_3"/>
      <w:bookmarkEnd w:id="27"/>
      <w:r>
        <w:rPr>
          <w:rFonts w:ascii="Arial" w:hAnsi="Arial"/>
          <w:b/>
          <w:color w:val="000000"/>
          <w:sz w:val="18"/>
        </w:rPr>
        <w:t>Reasons for Stockholder Approval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common stock is listed on the Nasdaq Capital Market and, as such, we are subject to the applicable rules of Nasdaq, including Nasdaq Rule 5635(b). Pursuant to Nasdaq Rule 5635(b), stockholder approval is required prior to the issuance of securities when the issuance or potential issuance will result in a change of control of the company. Under Nasdaq guidance, a change of control may occur when, as a result of the issuance, the recipient owns, or has the right to acquire, 20% or more of the outstanding shares of common stock or voting power of a company.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have an aggregate of 9,335,913 shares of common stock outstanding as of the record date. As a result, assuming full exercise by Perceptive (assuming a cash exercise) of its PIPE Pre-Funded Warrants, PIPE Series A Common Warrants and PIPE Series B Common Warrants and no other exercises of outstanding derivative securities held by other holders, Perceptive would own approximately 64% of our common stock immediately following such exercise, which would be more than 19.99% of our outstanding common stock. We note that neither the PIPE Series A Common Warrants nor the PIPE Series B Common Warrants are currently exercisable pursuant to their terms and that the PIPE Series B Common Warrants are only exercisable on a net exercise basis and not for cash. As a result, Perceptive’s pro forma ownership percentage of our common stock discussed in this paragraph is illustrative only.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Under Nasdaq guidance, such issuance may constitute a change of control (including, among other reasons, because such issuance may result in Perceptive owning 20% or more of our outstanding common stock). As a result, the issuance of shares to Perceptive pursuant to full exercise of its PIPE Pre-Funded Warrants, PIPE Series A Common Warrants and PIPE Series B Common Warrants is subject to approval by our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PIPE Pre-Funded Warrants, PIPE Series A Common Warrants and PIPE Series B Common Warrants include a restriction on exercise providing that they are not exercisable if, immediately prior to or following such exercise, Perceptive, together with any other persons whose beneficial ownership of shares of common stock would be aggregated with Perceptive for purposes of Section 13(d) of the Exchange Act, would beneficially own more than 19.99% of our common stock prior to receipt of the stockholder approval. Please see “Description of the PIPE Financing” above for descriptions of the PIPE Securities Purchase Agreement, the PIPE Pre-Funded Warrants, the PIPE Series A Common Warrants and the PIPE Series B Common Warrants.</w:t>
      </w:r>
    </w:p>
    <w:p>
      <w:pPr>
        <w:pStyle w:val="TextBody"/>
        <w:bidi w:val="0"/>
        <w:jc w:val="left"/>
        <w:rPr/>
      </w:pPr>
      <w:r>
        <w:rPr/>
        <w:t> </w:t>
      </w:r>
    </w:p>
    <w:p>
      <w:pPr>
        <w:pStyle w:val="TextBody"/>
        <w:bidi w:val="0"/>
        <w:jc w:val="left"/>
        <w:rPr>
          <w:rFonts w:ascii="Times New Roman" w:hAnsi="Times New Roman"/>
          <w:sz w:val="20"/>
        </w:rPr>
      </w:pPr>
      <w:bookmarkStart w:id="28" w:name="effect_of_vote_in_favor_of_the_propo_3"/>
      <w:bookmarkEnd w:id="28"/>
      <w:r>
        <w:rPr>
          <w:rFonts w:ascii="Arial" w:hAnsi="Arial"/>
          <w:b/>
          <w:color w:val="000000"/>
          <w:sz w:val="18"/>
        </w:rPr>
        <w:t>Effect of Vote in Favor of the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our stockholders approve this proposal at the Special Meeting, an aggregate of 8,267,715 shares of common stock may be issued upon full exercise (assuming exercise for cash) of the PIPE Pre-Funded Warrants and PIPE Series A Common Warrants held by Perceptive. The 8,267,715 shares of common stock excludes any shares issuable upon exercise of the PIPE Series B Common Warrants, which warrants are only exercisable by way of a cashless, net exercise mechanism that references the then-current market price of the common stock. As a result, the actual number of shares of common stock to be issued upon exercise of the PIPE Series B Common Warrants cannot be confirmed at this time.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18"/>
        </w:rPr>
      </w:pPr>
      <w:bookmarkStart w:id="29" w:name="effect_of_not_obtaining_the_requi_vote_3"/>
      <w:bookmarkEnd w:id="29"/>
      <w:r>
        <w:rPr>
          <w:rFonts w:ascii="Arial" w:hAnsi="Arial"/>
          <w:b/>
          <w:color w:val="000000"/>
          <w:sz w:val="18"/>
        </w:rPr>
        <w:t>Effect of Not Obtaining the Required Vote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the event our stockholders do not approve this proposal at the Special Meeting, the PIPE Pre-Funded Warrants, PIPE Series A Common Warrants and PIPE Series B Common Warrants will not be exercisable by Perceptive if, immediately following such exercise, Perceptive, together with any persons whose beneficial ownership of shares of common stock would be aggregated with Perceptive for purposes of Section 13(d) of the Exchange Act, would own in excess of 19.99% of our outstanding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pursuant to the PIPE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pStyle w:val="TextBody"/>
        <w:bidi w:val="0"/>
        <w:jc w:val="left"/>
        <w:rPr/>
      </w:pPr>
      <w:r>
        <w:rPr/>
        <w:t> </w:t>
      </w:r>
    </w:p>
    <w:p>
      <w:pPr>
        <w:pStyle w:val="TextBody"/>
        <w:bidi w:val="0"/>
        <w:jc w:val="left"/>
        <w:rPr>
          <w:rFonts w:ascii="Arial" w:hAnsi="Arial"/>
          <w:b/>
          <w:color w:val="000000"/>
          <w:sz w:val="18"/>
        </w:rPr>
      </w:pPr>
      <w:bookmarkStart w:id="30" w:name="vote_required_3"/>
      <w:bookmarkEnd w:id="30"/>
      <w:r>
        <w:rPr>
          <w:rFonts w:ascii="Arial" w:hAnsi="Arial"/>
          <w:b/>
          <w:color w:val="000000"/>
          <w:sz w:val="18"/>
        </w:rPr>
        <w:t>Vote Required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compliance with the rules of Nasdaq, Perceptive may not vote 1,319,026 shares of common stock on Proposal 3, consisting of the shares received by Perceptive pursuant to the PIPE Securities Purchase Agreement.</w:t>
      </w:r>
    </w:p>
    <w:p>
      <w:pPr>
        <w:pStyle w:val="TextBody"/>
        <w:bidi w:val="0"/>
        <w:jc w:val="left"/>
        <w:rPr/>
      </w:pPr>
      <w:r>
        <w:rPr/>
        <w:t> </w:t>
      </w:r>
    </w:p>
    <w:p>
      <w:pPr>
        <w:pStyle w:val="TextBody"/>
        <w:bidi w:val="0"/>
        <w:jc w:val="left"/>
        <w:rPr>
          <w:rFonts w:ascii="Arial" w:hAnsi="Arial"/>
          <w:b/>
          <w:color w:val="000000"/>
          <w:sz w:val="18"/>
        </w:rPr>
      </w:pPr>
      <w:bookmarkStart w:id="31" w:name="board_recommendation_3"/>
      <w:bookmarkEnd w:id="31"/>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32" w:name="proposal_no_4"/>
      <w:bookmarkEnd w:id="32"/>
      <w:r>
        <w:rPr>
          <w:rFonts w:ascii="Arial" w:hAnsi="Arial"/>
          <w:b/>
          <w:color w:val="000000"/>
          <w:sz w:val="18"/>
        </w:rPr>
        <w:t>PROPOSAL NO. 4</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approve the LeonaBio, Inc. 2026 Equity Incentive Plan.</w:t>
      </w:r>
    </w:p>
    <w:p>
      <w:pPr>
        <w:pStyle w:val="TextBody"/>
        <w:bidi w:val="0"/>
        <w:jc w:val="left"/>
        <w:rPr/>
      </w:pPr>
      <w:r>
        <w:rPr/>
        <w:t> </w:t>
      </w:r>
    </w:p>
    <w:p>
      <w:pPr>
        <w:pStyle w:val="TextBody"/>
        <w:bidi w:val="0"/>
        <w:jc w:val="center"/>
        <w:rPr>
          <w:rFonts w:ascii="Arial" w:hAnsi="Arial"/>
          <w:b/>
          <w:color w:val="000000"/>
          <w:sz w:val="18"/>
        </w:rPr>
      </w:pPr>
      <w:bookmarkStart w:id="33" w:name="description_of_proposal_4"/>
      <w:bookmarkEnd w:id="33"/>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Company’s stockholders are being asked to consider and vote upon a proposal to approve the Company’s new 2026 Equity Incentive Plan. Upon stockholder approval of the 2026 Equity Incentive Plan, our 2020 Equity Incentive Plan will terminate, and we will cease granting awards under that plan. The terms of the 2026 Equity Incentive Plan are described below and a copy of the 2026 Equity Incentive Plan is set forth in this proxy statement as Annex A.</w:t>
      </w:r>
    </w:p>
    <w:p>
      <w:pPr>
        <w:pStyle w:val="TextBody"/>
        <w:bidi w:val="0"/>
        <w:jc w:val="left"/>
        <w:rPr/>
      </w:pPr>
      <w:r>
        <w:rPr/>
        <w:t> </w:t>
      </w:r>
    </w:p>
    <w:p>
      <w:pPr>
        <w:pStyle w:val="TextBody"/>
        <w:bidi w:val="0"/>
        <w:jc w:val="left"/>
        <w:rPr>
          <w:rFonts w:ascii="Times New Roman" w:hAnsi="Times New Roman"/>
          <w:sz w:val="20"/>
        </w:rPr>
      </w:pPr>
      <w:bookmarkStart w:id="34" w:name="general_information_4"/>
      <w:bookmarkEnd w:id="34"/>
      <w:r>
        <w:rPr>
          <w:rFonts w:ascii="Arial" w:hAnsi="Arial"/>
          <w:b/>
          <w:color w:val="000000"/>
          <w:sz w:val="18"/>
        </w:rPr>
        <w:t>General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2026 Equity Incentive Plan, if approved by stockholders, will allow the Company to continue providing stock-based compensation to align stockholder and participant interests and motivate, attract and retain talented service providers. If our stockholders do not approve the 2026 Equity Incentive Plan, the 2020 Equity Incentive Plan will remain in effect through the remainder of its term.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Company’s named executive officers and directors have an interest in this proposal as they are eligible to receive equity awards under the 2026 Equity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35" w:name="requested_share_reserve_4"/>
      <w:bookmarkEnd w:id="35"/>
      <w:r>
        <w:rPr>
          <w:rFonts w:ascii="Arial" w:hAnsi="Arial"/>
          <w:b/>
          <w:color w:val="000000"/>
          <w:sz w:val="18"/>
        </w:rPr>
        <w:t>Requested Share Reserve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our stockholders approve the 2026 Equity Incentive Plan, subject to adjustment upon certain changes in our capitalization as described in the 2026 Equity Incentive Plan, the maximum number of shares of common stock available for grants under the 2026 Equity Incentive Plan will be: (i) 5,700,000 shares of common stock, plus (ii) any shares of common stock subject to awards granted under the 2020 Equity Incentive Plan that, on or after the stockholder approval date of the 2026 Equity Incentive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Equity Incentive Plan, are forfeited to or repurchased by the Company due to failure to vest, or are not issued under an award due to the award being paid out in cash rather than shares of common stock, with the maximum number of shares of common stock to be added pursuant to this section (ii) equal to 1,300,000 shares, plus (iii) an annual increase commencing January 1, 2027 and continuing each January 1 until the final increase on January 1, 2036, in an amount equal to 5% of the aggregate of outstanding shares of common stock and outstanding pre-funded warrants to purchase shares of common stock, or such lower number as determined by the Board. Subject to the number of shares that may be granted under the 2026 Equity Incentive Plan as described above, the maximum number of shares of common stock that may be issued under the 2026 Equity Incentive Plan upon exercise of incentive stock options is 57,000,000 shares.</w:t>
      </w:r>
    </w:p>
    <w:p>
      <w:pPr>
        <w:pStyle w:val="TextBody"/>
        <w:bidi w:val="0"/>
        <w:jc w:val="left"/>
        <w:rPr/>
      </w:pPr>
      <w:r>
        <w:rPr/>
        <w:t> </w:t>
      </w:r>
    </w:p>
    <w:p>
      <w:pPr>
        <w:pStyle w:val="TextBody"/>
        <w:bidi w:val="0"/>
        <w:jc w:val="left"/>
        <w:rPr>
          <w:rFonts w:ascii="Arial" w:hAnsi="Arial"/>
          <w:b/>
          <w:color w:val="000000"/>
          <w:sz w:val="18"/>
        </w:rPr>
      </w:pPr>
      <w:bookmarkStart w:id="36" w:name="the_plan_will_allow_the_company_to_eff_4"/>
      <w:bookmarkEnd w:id="36"/>
      <w:r>
        <w:rPr>
          <w:rFonts w:ascii="Arial" w:hAnsi="Arial"/>
          <w:b/>
          <w:color w:val="000000"/>
          <w:sz w:val="18"/>
        </w:rPr>
        <w:t>The Plan will Allow the Company to Effectively Recruit and Retain Key Talent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determining the number of shares to request for approval under the 2026 Equity Incentive Plan, the Compensation Committee and the Board considered historical grant practices, the current stock price of the Company’s common stock and guidance from Pearl Meyer &amp; Partners, LLC, the Compensation Committee’s independent compensation consultant. Shares of common stock remaining under the 2020 Equity Incentive Plan are expected to be insufficient to meet the Company’s compensation needs. We anticipate that shares of common stock reserved under the 2026 Equity Incentive Plan will allow us to grant equity awards at market levels and to use equity awards as an effective incentive and retention tool.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37" w:name="promotion_of_good_corporate_gov_practi_4"/>
      <w:bookmarkEnd w:id="37"/>
      <w:r>
        <w:rPr>
          <w:rFonts w:ascii="Arial" w:hAnsi="Arial"/>
          <w:b/>
          <w:color w:val="000000"/>
          <w:sz w:val="18"/>
        </w:rPr>
        <w:t>Promotion of Good Corporate Governance Practices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Board and the Compensation Committee believe the use of stock-based incentive awards promotes best practices in corporate governance by maximizing stockholder value. By providing participants in the 2026 Equity Incentive Plan with a stake in the Company’s success, the interests of the participants are aligned with those of the Company’s stockholders. Specific features of the 2026 Equity Incentive Plan that are consistent with good corporate governance practices include, but are not limited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Administration</w:t>
      </w:r>
      <w:r>
        <w:rPr>
          <w:rFonts w:ascii="Arial" w:hAnsi="Arial"/>
          <w:color w:val="000000"/>
          <w:sz w:val="18"/>
        </w:rPr>
        <w:t>. The Board has delegated primary administration authority to the Compensation Committee, which consists entirely of independent non-employee directors.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Annual Limits on Compensation to Non-Employee Directors</w:t>
      </w:r>
      <w:r>
        <w:rPr>
          <w:rFonts w:ascii="Arial" w:hAnsi="Arial"/>
          <w:color w:val="000000"/>
          <w:sz w:val="18"/>
        </w:rPr>
        <w:t xml:space="preserve">. The 2026 Equity Incentive Plan sets reasonable annual limits as to the cash compensation and awards that non-employee directors may receive during each fiscal year.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Limited transferability</w:t>
      </w:r>
      <w:r>
        <w:rPr>
          <w:rFonts w:ascii="Arial" w:hAnsi="Arial"/>
          <w:color w:val="000000"/>
          <w:sz w:val="18"/>
        </w:rPr>
        <w:t xml:space="preserve">. Awards under the 2026 Equity Incentive Plan generally may not be sold, assigned, transferred, pledged, or otherwise alienated, unless otherwise approved by the administrator.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18"/>
        </w:rPr>
        <w:t>Forfeiture Events</w:t>
      </w:r>
      <w:r>
        <w:rPr>
          <w:rFonts w:ascii="Arial" w:hAnsi="Arial"/>
          <w:color w:val="000000"/>
          <w:sz w:val="18"/>
        </w:rPr>
        <w:t>. Each award under the 2026 Equity Incentive Plan will be subject to any clawback policy that the Company is required by applicable stock exchange rules or applicable laws to adopt (including any such clawback policy that is adopted after the grant of the award), and the administrator may require a participant to forfeit, return, or reimburse the Company for all or a portion of the award and any amounts paid under the award in order to comply with the clawback policy or applicable laws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8" w:name="summary_of_the_2026_equity_incent_plan_4"/>
      <w:bookmarkEnd w:id="38"/>
      <w:r>
        <w:rPr>
          <w:rFonts w:ascii="Arial" w:hAnsi="Arial"/>
          <w:b/>
          <w:color w:val="000000"/>
          <w:sz w:val="18"/>
        </w:rPr>
        <w:t>Summary of the 2026 Equity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2026 Equity Incentive Plan permits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This summary does not contain all of the terms and conditions of the 2026 Equity Incentive Plan and is qualified in its entirety by reference to the 2026 Equity Incentive Plan as set forth in Annex 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39" w:name="purposes_4"/>
      <w:bookmarkEnd w:id="39"/>
      <w:r>
        <w:rPr>
          <w:rFonts w:ascii="Arial" w:hAnsi="Arial"/>
          <w:b/>
          <w:color w:val="000000"/>
          <w:sz w:val="18"/>
        </w:rPr>
        <w:t>Purposes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The purposes of the 2026 Equity Incentive Plan will be to attract and retain the best available personnel for positions of substantial responsibility with the Company or any parent or subsidiary of the Company; to provide additional incentive to eligible employees, directors, and consultants; and to promote the success of our business. These incentives will be provided through the grant of stock options, stock appreciation rights, restricted stock, restricted stock units, or RSUs, and performance awards as the administrator of the 2026 Equity Incentive Plan may determine. As of the record date, we had eight members of our Board of Directors (of whom one is an employee), approximately 21 employees (including five executive officers) and approximately seven natural person consultants, who would be eligible for grants under the 2026 Equity Incentive Plan. The basis for participation in the 2026 Equity Incentive Plan is being eligible and being selected by the administrator of the 2026 Equity Incentive Plan, in its discretion, to receive a grant thereunder. </w:t>
      </w:r>
    </w:p>
    <w:p>
      <w:pPr>
        <w:pStyle w:val="TextBody"/>
        <w:bidi w:val="0"/>
        <w:jc w:val="left"/>
        <w:rPr/>
      </w:pPr>
      <w:r>
        <w:rPr/>
        <w:t> </w:t>
      </w:r>
    </w:p>
    <w:p>
      <w:pPr>
        <w:pStyle w:val="TextBody"/>
        <w:bidi w:val="0"/>
        <w:jc w:val="left"/>
        <w:rPr>
          <w:rFonts w:ascii="Arial" w:hAnsi="Arial"/>
          <w:b/>
          <w:color w:val="000000"/>
          <w:sz w:val="18"/>
        </w:rPr>
      </w:pPr>
      <w:bookmarkStart w:id="40" w:name="authorized_shares_4"/>
      <w:bookmarkEnd w:id="40"/>
      <w:r>
        <w:rPr>
          <w:rFonts w:ascii="Arial" w:hAnsi="Arial"/>
          <w:b/>
          <w:color w:val="000000"/>
          <w:sz w:val="18"/>
        </w:rPr>
        <w:t>Authorized Shares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 total of 5,700,000 shares of our common stock will be reserved for issuance pursuant to our 2026 Equity Incentive Plan. In addition, the shares reserved for issuance under our 2026 Equity Incentive Plan will include any shares subject to awards granted under the 2020 Equity Incentive Plan that, on or after the stockholder approval date of the 2026 Equity Incentive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Equity Incentive Plan, are forfeited to or repurchased by the Company due to failure to vest, or are not issued under an award due to the award being paid out in cash rather than shares of common stock (provided that the maximum number of shares of common stock that may be added to the 2026 Equity Incentive Plan pursuant to this sentence is 1,300,000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the number of shares available for issuance under our 2026 Equity Incentive Plan also will include an annual increase on the first day of each fiscal year for a period of ten years, beginning with our fiscal year 2027, equal to the least of:</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five percent (5%) of the aggregate of outstanding shares of common stock and outstanding pre-funded warrants to purchase shares of common stock as of the last day of the immediately preceding fiscal year; 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such number of shares as our board of directors may determine no later than the last day of our immediately preceding fiscal year.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Shares issuable under our 2026 Equity Incentive Plan will be authorized, but unissued, or reacquired shares of our common stock. If an award expires or becomes unexercisable without having been exercised in full, is surrendered pursuant to an exchange program (as described below), surrendered to pay tax withholding relating to an award or the exercise price of an award,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2026 Equity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With respect to stock appreciation rights, the gross number of shares actually issued will cease to be available under the 2026 Equity Incentive Plan and all remaining shares under stock appreciation rights will remain available for future grant or sale under the 2026 Equity Incentive Plan. Shares that have actually been issued under the 2026 Equity Incentive Plan under any award will not be returned to the 2026 Equity Incentive Plan; except if shares issued pursuant to awards of restricted stock, restricted stock units, or performance awards are repurchased or forfeited due to failure to vest, such shares will become available for future grant under the 2026 Equity Incentive Plan. Shares used to pay the exercise price of an award or satisfy the tax withholding obligations related to an award will become available for future grant or sale under the 2026 Equity Incentive Plan. To the extent an award is paid out in cash rather than shares, such cash payment will not result in a reduction in the number of shares available for issuance under the 2026 Equity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Subject to the number of shares that may be granted under the 2026 Equity Incentive Plan as described above, the maximum number of shares of common stock that may be issued under the 2026 Equity Incentive Plan upon exercise of incentive stock options is 57,000,000 shares.</w:t>
      </w:r>
    </w:p>
    <w:p>
      <w:pPr>
        <w:pStyle w:val="TextBody"/>
        <w:bidi w:val="0"/>
        <w:jc w:val="left"/>
        <w:rPr/>
      </w:pPr>
      <w:r>
        <w:rPr/>
        <w:t> </w:t>
      </w:r>
    </w:p>
    <w:p>
      <w:pPr>
        <w:pStyle w:val="TextBody"/>
        <w:bidi w:val="0"/>
        <w:jc w:val="left"/>
        <w:rPr>
          <w:rFonts w:ascii="Arial" w:hAnsi="Arial"/>
          <w:b/>
          <w:color w:val="000000"/>
          <w:sz w:val="18"/>
        </w:rPr>
      </w:pPr>
      <w:bookmarkStart w:id="41" w:name="plan_administration_4"/>
      <w:bookmarkEnd w:id="41"/>
      <w:r>
        <w:rPr>
          <w:rFonts w:ascii="Arial" w:hAnsi="Arial"/>
          <w:b/>
          <w:color w:val="000000"/>
          <w:sz w:val="18"/>
        </w:rPr>
        <w:t>Plan Administration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board of directors or one or more committees appointed by our board of directors will have authority to administer our 2026 Equity Incentive Plan. The compensation committee of our board of directors initially will administer our 2026 Equity Incentive Plan. In addition,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we determine it is desirable to qualify transactions under our 2026 Equity Incentive Plan as exempt under Rule 16b-3 of the Exchange Act, such transactions will be structured to satisfy the requirements for exemption under Rule 16b-3. Subject to the provisions of our 2026 Equity Incentive Plan, the administrator has the power to administer our 2026 Equity Incentive Plan and make all determinations deemed necessary or advisable for administering the 2026 Equity Incentive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2026 Equity Incentive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2026 Equity Incentive Plan and awards granted under it, prescribe, amend and rescind rules relating to our 2026 Equity Incentive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2026 Equity Incentive Plan to a financial institution or other person or entity selected by the administrator, and to institute an exchange program by which outstanding awards granted under the 2026 Equity Incentive Plan may be surrendered or cancelled in exchange for awards of the same type, which may have a higher or lower exercise price and/or different terms, awards of a different type and/or cash, or by which the exercise price of an outstanding award granted under the 2026 Equity Incentive Plan is reduced or increased. The administrator’s decisions, interpretations and other actions are final and binding on all participants and will be given the maximum deference permitted by applicable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42" w:name="stock_options_4"/>
      <w:bookmarkEnd w:id="42"/>
      <w:r>
        <w:rPr>
          <w:rFonts w:ascii="Arial" w:hAnsi="Arial"/>
          <w:b/>
          <w:color w:val="000000"/>
          <w:sz w:val="18"/>
        </w:rPr>
        <w:t>Stock Options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Stock options may be granted under our 2026 Equity Incentive Plan. The exercise price of options granted under our 2026 Equity Incentive Plan must be equal to at least 100% of the fair market value of a share of our common stock on the date of grant. However, stock options may be granted with a per share exercise price of less than 100% of the fair market value of a Share on the date of grant pursuant to a transaction described in, and in a manner consistent with, Section 424(a) of the Code.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2026 Equity Incentive Plan for a period of ten years from the earlier of the date our board of directors approves the 2026 Equity Incentive Plan or the date that our stockholders approve the 2026 Equity Incentive Plan. The administrator will determine the methods of payment of the exercise price of an option, which may include cash and cash equivalents, check, certain shares, cashless exercise, net exercise, promissory notes,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agreement may also provide for the tolling of the expiration of the option after the option holder’s termination of service if the exercise would result in liability under Section 16(b) of the Exchange Act or would be prohibited solely because the issuance of shares of common stock would violate the registration requirements under the Securities Act of 1933, as amended, or the Securities Act. An option, however, may not be exercised later than the expiration of its term. Subject to the provisions of our 2026 Equity Incentive Plan, the administrator determines the terms of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43" w:name="stock_appreciation_rights_4"/>
      <w:bookmarkEnd w:id="43"/>
      <w:r>
        <w:rPr>
          <w:rFonts w:ascii="Arial" w:hAnsi="Arial"/>
          <w:b/>
          <w:color w:val="000000"/>
          <w:sz w:val="18"/>
        </w:rPr>
        <w:t>Stock Appreciation Rights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Stock appreciation rights may be granted under our 2026 Equity Incentive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A stock appreciation right agreement may also provide for the tolling of the expiration of the stock appreciation right after the award holder’s termination of service if the exercise would result in liability under Section 16(b) of the Exchange Act or would be prohibited solely because the issuance of shares of common stock would violate the registration requirements under the Securities Act. However, in no event may a stock appreciation right be exercised later than the expiration of its term. Subject to the provisions of our 2026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 However, stock appreciation right may be granted with a per share exercise price of less than 100% of the fair market value of a share of common stock on the date of grant pursuant to a transaction described in, and in a manner consistent with, Section 424(a) of the Code.</w:t>
      </w:r>
    </w:p>
    <w:p>
      <w:pPr>
        <w:pStyle w:val="TextBody"/>
        <w:bidi w:val="0"/>
        <w:jc w:val="left"/>
        <w:rPr/>
      </w:pPr>
      <w:r>
        <w:rPr/>
        <w:t> </w:t>
      </w:r>
    </w:p>
    <w:p>
      <w:pPr>
        <w:pStyle w:val="TextBody"/>
        <w:bidi w:val="0"/>
        <w:jc w:val="left"/>
        <w:rPr>
          <w:rFonts w:ascii="Arial" w:hAnsi="Arial"/>
          <w:b/>
          <w:color w:val="000000"/>
          <w:sz w:val="18"/>
        </w:rPr>
      </w:pPr>
      <w:bookmarkStart w:id="44" w:name="restricted_stock_4"/>
      <w:bookmarkEnd w:id="44"/>
      <w:r>
        <w:rPr>
          <w:rFonts w:ascii="Arial" w:hAnsi="Arial"/>
          <w:b/>
          <w:color w:val="000000"/>
          <w:sz w:val="18"/>
        </w:rPr>
        <w:t>Restricted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Restricted stock may be granted under our 2026 Equity Incentive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2026 Equity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Incentive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45" w:name="restricted_stock_units_4"/>
      <w:bookmarkEnd w:id="45"/>
      <w:r>
        <w:rPr>
          <w:rFonts w:ascii="Arial" w:hAnsi="Arial"/>
          <w:b/>
          <w:color w:val="000000"/>
          <w:sz w:val="18"/>
        </w:rPr>
        <w:t>Restricted</w:t>
      </w:r>
      <w:r>
        <w:rPr>
          <w:rFonts w:ascii="Times New Roman" w:hAnsi="Times New Roman"/>
          <w:color w:val="000000"/>
          <w:sz w:val="20"/>
        </w:rPr>
        <w:t xml:space="preserve"> </w:t>
      </w:r>
      <w:r>
        <w:rPr>
          <w:rFonts w:ascii="Arial" w:hAnsi="Arial"/>
          <w:b/>
          <w:color w:val="000000"/>
          <w:sz w:val="18"/>
        </w:rPr>
        <w:t>Stock Units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Restricted stock units may be granted under our 2026 Equity Incentive Plan. Restricted stock units are bookkeeping entries representing an amount equal to the fair market value of one share of our common stock. Subject to the provisions of our 2026 Equity Incentive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46" w:name="performance_awards_4"/>
      <w:bookmarkEnd w:id="46"/>
      <w:r>
        <w:rPr>
          <w:rFonts w:ascii="Arial" w:hAnsi="Arial"/>
          <w:b/>
          <w:color w:val="000000"/>
          <w:sz w:val="18"/>
        </w:rPr>
        <w:t>Performance Awards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Performance awards may be granted under the 2026 Equity Incentive Plan. Performance awards are awards that may be earned in whole or in part on the attainment of performance goals or other vesting criteria that the administrator may determine, and that may be denominated in cash or stock. Subject to the terms and conditions of the 2026 Equity Incentive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pStyle w:val="TextBody"/>
        <w:bidi w:val="0"/>
        <w:jc w:val="left"/>
        <w:rPr/>
      </w:pPr>
      <w:r>
        <w:rPr/>
        <w:t> </w:t>
      </w:r>
    </w:p>
    <w:p>
      <w:pPr>
        <w:pStyle w:val="TextBody"/>
        <w:bidi w:val="0"/>
        <w:jc w:val="left"/>
        <w:rPr>
          <w:rFonts w:ascii="Times New Roman" w:hAnsi="Times New Roman"/>
          <w:sz w:val="20"/>
        </w:rPr>
      </w:pPr>
      <w:bookmarkStart w:id="47" w:name="outside_directors_4"/>
      <w:bookmarkEnd w:id="47"/>
      <w:r>
        <w:rPr>
          <w:rFonts w:ascii="Arial" w:hAnsi="Arial"/>
          <w:b/>
          <w:color w:val="000000"/>
          <w:sz w:val="18"/>
        </w:rPr>
        <w:t>Outside</w:t>
      </w:r>
      <w:r>
        <w:rPr>
          <w:rFonts w:ascii="Times New Roman" w:hAnsi="Times New Roman"/>
          <w:color w:val="000000"/>
          <w:sz w:val="20"/>
        </w:rPr>
        <w:t xml:space="preserve"> </w:t>
      </w:r>
      <w:r>
        <w:rPr>
          <w:rFonts w:ascii="Arial" w:hAnsi="Arial"/>
          <w:b/>
          <w:color w:val="000000"/>
          <w:sz w:val="18"/>
        </w:rPr>
        <w:t>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All outside (non-employee) directors will be eligible to receive all types of awards (except for incentive stock options) under our 2026 Equity Incentive Plan. The 2026 Equity Incentive Plan provides that in any given fiscal year, no outside director may be granted awards (the value of which will be based on their grant date fair value) granted under our 2026 Equity Incentive Plan and provided any other compensation (including without limitation any cash retainers and fees) that in the aggregate exceed $500,000, provided that in the initial year of service such amount is increased to $750,000. Awards or other compensation provided to an individual for his or her services as an employee or as a consultant other than a director are excluded for purposes of these limits. The grant-date fair values of awards granted under our 2026 Equity Incentive Plan will be determined according to U.S.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48" w:name="non_transferability_of_awards_04"/>
      <w:bookmarkEnd w:id="48"/>
      <w:r>
        <w:rPr>
          <w:rFonts w:ascii="Arial" w:hAnsi="Arial"/>
          <w:b/>
          <w:color w:val="000000"/>
          <w:sz w:val="18"/>
        </w:rPr>
        <w:t>Non-Transferability of Awards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Unless the administrator provides otherwise, our 2026 Equity Incentive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49" w:name="certain_adjustments_4"/>
      <w:bookmarkEnd w:id="49"/>
      <w:r>
        <w:rPr>
          <w:rFonts w:ascii="Arial" w:hAnsi="Arial"/>
          <w:b/>
          <w:color w:val="000000"/>
          <w:sz w:val="18"/>
        </w:rPr>
        <w:t>Certain Adjustments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the event of certain changes in our capitalization, such as a dividend or other distribution, recapitalization, stock split, reverse stock split, reorganization, merger, consolidation, split-up, spin-off, combination, reclassification, repurchase or exchange of our shares of common stock or other securities or other change in our corporate structure affecting our common stock (other than ordinary dividends or other ordinary distributions), to prevent diminution or enlargement of the benefits or potential benefits available under our 2026 Equity Incentive Plan, the administrator will adjust the number and class of shares that may be delivered under our 2026 Equity Incentive Plan and/or the number, class and price of shares covered by each outstanding award and any numerical share limits set forth in our 2026 Equity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50" w:name="dissolution_or_liquidation_4"/>
      <w:bookmarkEnd w:id="50"/>
      <w:r>
        <w:rPr>
          <w:rFonts w:ascii="Arial" w:hAnsi="Arial"/>
          <w:b/>
          <w:color w:val="000000"/>
          <w:sz w:val="18"/>
        </w:rPr>
        <w:t>Dissolution or Liquidation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the event of our proposed liquidation or dissolution, the administrator will notify participants as soon as practicable and all awards will terminate immediately prior to the consummation of such proposed transaction.</w:t>
      </w:r>
    </w:p>
    <w:p>
      <w:pPr>
        <w:pStyle w:val="TextBody"/>
        <w:bidi w:val="0"/>
        <w:jc w:val="left"/>
        <w:rPr/>
      </w:pPr>
      <w:r>
        <w:rPr/>
        <w:t> </w:t>
      </w:r>
    </w:p>
    <w:p>
      <w:pPr>
        <w:pStyle w:val="TextBody"/>
        <w:bidi w:val="0"/>
        <w:jc w:val="left"/>
        <w:rPr>
          <w:rFonts w:ascii="Arial" w:hAnsi="Arial"/>
          <w:b/>
          <w:color w:val="000000"/>
          <w:sz w:val="18"/>
        </w:rPr>
      </w:pPr>
      <w:bookmarkStart w:id="51" w:name="merger_or_change_in_control_4"/>
      <w:bookmarkEnd w:id="51"/>
      <w:r>
        <w:rPr>
          <w:rFonts w:ascii="Arial" w:hAnsi="Arial"/>
          <w:b/>
          <w:color w:val="000000"/>
          <w:sz w:val="18"/>
        </w:rPr>
        <w:t>Merger or Change in Control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2026 Equity Incentive Plan provides that in the event of our merger or change in control, as defined in our 2026 Equity Incentive Plan, each outstanding award will be treated as the administrator determines, without a participant’s consent. For example,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administrator may provide that awards granted under the 2026 Equity Incentive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the event that a successor corporation or its parent or subsidiary does not assume, continue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Awards granted to outside director, regardless of whether assumed or substituted for in our merger or change in control, will fully vest immediately prior to the change in control provided the participant remains an outside director through the date of such change in control, and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52" w:name="clawback_4"/>
      <w:bookmarkEnd w:id="52"/>
      <w:r>
        <w:rPr>
          <w:rFonts w:ascii="Arial" w:hAnsi="Arial"/>
          <w:b/>
          <w:color w:val="000000"/>
          <w:sz w:val="18"/>
        </w:rPr>
        <w:t>Clawback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Awards are subject to any clawback policy of ours in effect at the time of grant or that the Company is required to adopt to comply with applicable laws. The administrator may require a participant to forfeit, return or reimburse us all or a portion of the award and any amounts paid under the award in order to comply with any such clawback policy or applicable laws. The administrator also may specify in an award agreement that the participant’s rights, payments and benefits with respect to an award will be subject to reduction, cancellation, forfeiture or recoupment upon the occurrence of certain specified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53" w:name="amendment_termination_4"/>
      <w:bookmarkEnd w:id="53"/>
      <w:r>
        <w:rPr>
          <w:rFonts w:ascii="Arial" w:hAnsi="Arial"/>
          <w:b/>
          <w:color w:val="000000"/>
          <w:sz w:val="18"/>
        </w:rPr>
        <w:t>Amendment; Termination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administrator has the authority to amend, suspend or terminate our 2026 Equity Incentive Plan, provided such action does not materially impair the rights of any participant unless mutually agreed otherwise. Our 2026 Equity Incentive Plan will remain in effect for a term of 10 years from the date of stockholder approval of the 2026 Equity Incentive Plan, until earlier terminated in accordance with its terms.</w:t>
      </w:r>
    </w:p>
    <w:p>
      <w:pPr>
        <w:pStyle w:val="TextBody"/>
        <w:bidi w:val="0"/>
        <w:jc w:val="left"/>
        <w:rPr/>
      </w:pPr>
      <w:r>
        <w:rPr/>
        <w:t> </w:t>
      </w:r>
    </w:p>
    <w:p>
      <w:pPr>
        <w:pStyle w:val="TextBody"/>
        <w:bidi w:val="0"/>
        <w:jc w:val="left"/>
        <w:rPr>
          <w:rFonts w:ascii="Arial" w:hAnsi="Arial"/>
          <w:b/>
          <w:color w:val="000000"/>
          <w:sz w:val="18"/>
        </w:rPr>
      </w:pPr>
      <w:bookmarkStart w:id="54" w:name="summary_of_u_s_federal_income_tax_con_4"/>
      <w:bookmarkEnd w:id="54"/>
      <w:r>
        <w:rPr>
          <w:rFonts w:ascii="Arial" w:hAnsi="Arial"/>
          <w:b/>
          <w:color w:val="000000"/>
          <w:sz w:val="18"/>
        </w:rPr>
        <w:t>Summary of U.S. Federal Income Tax Consequences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summary is intended only as a general guide to the material U.S. federal income tax consequences of participation in the 2026 Equity Incentive Plan. The summary is based on existing U.S. federal income tax laws and regulations, and there can be no assurance that those laws and regulations will not change in the future. The summary does not purport to be complete and does not discuss the tax consequences upon a participant’s death, or the provisions of the tax laws of any municipality, state or non-U.S. jurisdiction to which the participant may be subject. As a result, tax consequences for any particular participant may vary based on individual circumstances.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Options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Options granted under the 2026 Equity Incentive Plan may be either “incentive stock options,” within the meaning of Section 422 of the Code, or nonstatutory stock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 taxable income is reportable when an incentive stock option is granted or exercised, although the exercise may subject the participant to the alternative minimum tax or may affect the determination of the participant’s alternative minimum tax (unless the shares are sold or otherwise disposed of in the same year). If the participant exercises an incentive stock option and then later sells or otherwise disposes of the shares acquired more than two years after the grant date and more than one year after the exercise date, the difference between the sale price and the exercise price generally will be taxed as capital gain or loss. If the participant exercises the incentive stock option and then later sells or otherwise disposes of the shares before the end of the two- or one</w:t>
        <w:noBreakHyphen/>
        <w:t>year holding periods described above, he or she generally will have ordinary income at the time of the sale equal to the fair market value of the shares on the exercise date (or the sale price, if less) minus the exercise price of the option. For purposes of the alternative minimum tax, the difference between the option exercise price and the fair market value of the shares on the exercise date generally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Any options that do not qualify as incentive stock options are referred to as nonstatutory stock options. No taxable income is reportable when a nonstatutory stock option with a per share exercise price at least equal to the fair market value of a share of the underlying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share on the date of grant is granted to a participant. Upon exercise, the participant generally will recognize ordinary income in an amount equal to the excess of the fair market value (on the exercise date) of the shares purchased over the exercise price of the exercised shares subject to the option. Any taxable income recognized in connection with the exercise of a nonstatutory stock option by an employee is subject to tax withholding by us. Any additional gain or loss recognized upon any later disposition of the shares generally would be capital gain or loss to the participant.</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Stock Appreciation Rights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 taxable income is reportable when a stock appreciation right with a per share exercise price equal to at least the fair market value of a share of the underlying share on the date of grant is granted to a participant. Upon exercise, the participant generally will recognize ordinary income in an amount equal to the amount of cash received and the fair market value of any shares received. Any taxable income recognized in connection with the exercise of a stock appreciation right by an employee is subject to tax withholding by us. Any additional gain or loss recognized upon any later disposition of the shares generally would be capital gain or loss to the participant.</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Restricted Stock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 taxable income is reportable when an award of restricted stock is granted to a participant. Instead, the participant will recognize ordinary income in the first taxable year in which the shares underlying the award becomes transferable or no longer subject to a substantial risk of forfeiture at the then fair market value of the shares. However, a participant who is granted a restricted stock award may elect to recognize ordinary income at the time the participant receives shares under the award in an amount equal to the then fair market value of the shares less any amount paid for the shares. If the participant is an employee, such ordinary income generally is subject to tax withholding by us. Any gain or loss recognized upon any later disposition of shares acquired under the restricted stock generally will be treated as capital gain or loss.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Restricted Stock Units, and Performance Awards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participant generally will not have taxable income at the time an award of RSUs or performance awards are granted. Instead, the participant will recognize ordinary income in an amount equal to the fair market value of shares issued to the participant at the end of the applicable vesting period or, if later, the settlement date of the award. If the participant is an employee, such ordinary income generally is subject to tax withholding by us. Any gain or loss recognized upon any later disposition of shares acquired under the restricted stock units or performance awards generally will be treated as capital gain or loss.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Medicare Surtax</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2026 Equity Incentive Plan. Whether a participant’s net investment income will be subject to the Medicare Surtax will depend on the participant’s level of annual income and other factors.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Section 409A</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Section 409A of the Code provides certain requirements for nonqualified deferred compensation arrangements with respect to an individual’s deferral and distribution elections and permissible distribution events. Awards granted under the 2026 Equity Incentive Plan with a deferral feature will be subject to the requirements of Section 409A of the Code. Section 409A also generally provides that distributions must be made on or following the occurrence of certain events (e.g., the individual’s separation from service, a predetermined date, or the individual’s death). For certain individuals who are key employees, subject to certain exceptions, Section 409A requires that distributions in connection with his or her separation from service commence no earlier than six months after such separation from service.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an award granted under the 2026 Equity Incentive Plan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potential penalties and interest, on such deferred compensation. Certain states such as California have enacted laws similar to Section 409A which impose additional taxes, and potential penalties and interest, on nonqualified deferred compensation arrangements that fail to comply with such state laws. We will also have withholding and reporting requirements with respect to such amounts. The 2026 Equity Incentive Plan provides that neither we nor any of our parents or subsidiaries will have any obligation to reimburse, indemnify, or hold harmless a participant in respect of awards granted under the 2026 Equity Incentive Plan for any taxes, interest or penalties imposed, or other costs incurred, as a result of Section 409A.</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Tax Effect for the Company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generally will be entitled to a tax deduction in connection with an award under the 2026 Equity Incentive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employees” within the meaning of Code Section 162(m). Under Code Section 162(m), the annual compensation paid to any of these specified employees will be deductible only to the extent that it does not exceed $1,000,000.</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FOREGOING IS ONLY A SUMMARY OF THE EFFECT OF U.S. FEDERAL INCOME TAXATION UPON PARTICIPANTS AND IMMUNITYBIO WITH RESPECT TO AWARDS UNDER THE 2025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pStyle w:val="TextBody"/>
        <w:bidi w:val="0"/>
        <w:jc w:val="left"/>
        <w:rPr/>
      </w:pPr>
      <w:r>
        <w:rPr/>
        <w:t> </w:t>
      </w:r>
    </w:p>
    <w:p>
      <w:pPr>
        <w:pStyle w:val="TextBody"/>
        <w:bidi w:val="0"/>
        <w:jc w:val="left"/>
        <w:rPr>
          <w:rFonts w:ascii="Arial" w:hAnsi="Arial"/>
          <w:b/>
          <w:color w:val="000000"/>
          <w:sz w:val="18"/>
        </w:rPr>
      </w:pPr>
      <w:bookmarkStart w:id="55" w:name="new_plan_benefits_4"/>
      <w:bookmarkEnd w:id="55"/>
      <w:r>
        <w:rPr>
          <w:rFonts w:ascii="Arial" w:hAnsi="Arial"/>
          <w:b/>
          <w:color w:val="000000"/>
          <w:sz w:val="18"/>
        </w:rPr>
        <w:t>New Plan Benefits</w:t>
      </w:r>
    </w:p>
    <w:p>
      <w:pPr>
        <w:pStyle w:val="TextBody"/>
        <w:bidi w:val="0"/>
        <w:jc w:val="both"/>
        <w:rPr/>
      </w:pPr>
      <w:r>
        <w:rPr/>
        <w:t> </w:t>
      </w:r>
    </w:p>
    <w:p>
      <w:pPr>
        <w:pStyle w:val="TextBody"/>
        <w:bidi w:val="0"/>
        <w:jc w:val="left"/>
        <w:rPr>
          <w:rFonts w:ascii="Arial" w:hAnsi="Arial"/>
          <w:color w:val="000000"/>
          <w:sz w:val="18"/>
        </w:rPr>
      </w:pPr>
      <w:r>
        <w:rPr>
          <w:rFonts w:ascii="Arial" w:hAnsi="Arial"/>
          <w:color w:val="000000"/>
          <w:sz w:val="18"/>
        </w:rPr>
        <w:t>The Company’s executive officers and directors have an interest in the approval of the 2026 Equity Incentive Plan because they are eligible to receive equity awards under the 2026 Equity Incentive Plan.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number of awards that an employee or consultant may receive under the 2026 Equity Incentive Plan is at the discretion of the administrator and therefore cannot be determined in advance. Awards to our non-employee directors are granted automatically pursuant to our outside director compensation policy as described in our proxy statement under the heading “Director Compensation”, and such directors also are eligible for awards under the 2026 Equity Incentive Plan granted at the discretion of the administrator. The following table sets forth: (i) the aggregate number of shares of common stock subject to options granted under the 2020 Equity Incentive Plan during the fiscal year ended December 31, 2025 to each of our named executive officers; all executive officers, as a group; all directors who are not executive officers, as a group; and all employees who are not executive officers, as a group; (ii) the average per Share exercise price of such options; (iii) the aggregate number of shares of common stock subject to restricted stock units granted under the 2020 Equity Incentive Plan during the fiscal year ended December 31, 2025 to each of our named executive officers; all executive officers, as a group; all directors who are not executive officers, as a group; and all employees who are not executive officers, as a group; and (iv) the grant date value of option and restricted stock unit awards granted under the 2020 Equity Incentive Plan during the fiscal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38"/>
        <w:gridCol w:w="146"/>
        <w:gridCol w:w="981"/>
        <w:gridCol w:w="146"/>
        <w:gridCol w:w="1005"/>
        <w:gridCol w:w="146"/>
        <w:gridCol w:w="981"/>
        <w:gridCol w:w="146"/>
        <w:gridCol w:w="1316"/>
      </w:tblGrid>
      <w:tr>
        <w:trPr/>
        <w:tc>
          <w:tcPr>
            <w:tcW w:w="5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533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 of Individual or Group</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Shares</w:t>
            </w:r>
          </w:p>
          <w:p>
            <w:pPr>
              <w:pStyle w:val="TableContents"/>
              <w:bidi w:val="0"/>
              <w:jc w:val="center"/>
              <w:rPr>
                <w:rFonts w:ascii="Arial" w:hAnsi="Arial"/>
                <w:b/>
                <w:color w:val="000000"/>
                <w:sz w:val="18"/>
              </w:rPr>
            </w:pPr>
            <w:r>
              <w:rPr>
                <w:rFonts w:ascii="Arial" w:hAnsi="Arial"/>
                <w:b/>
                <w:color w:val="000000"/>
                <w:sz w:val="18"/>
              </w:rPr>
              <w:t>Subject to</w:t>
            </w:r>
          </w:p>
          <w:p>
            <w:pPr>
              <w:pStyle w:val="TableContents"/>
              <w:bidi w:val="0"/>
              <w:jc w:val="center"/>
              <w:rPr>
                <w:rFonts w:ascii="Arial" w:hAnsi="Arial"/>
                <w:b/>
                <w:color w:val="000000"/>
                <w:sz w:val="18"/>
              </w:rPr>
            </w:pPr>
            <w:r>
              <w:rPr>
                <w:rFonts w:ascii="Arial" w:hAnsi="Arial"/>
                <w:b/>
                <w:color w:val="000000"/>
                <w:sz w:val="18"/>
              </w:rPr>
              <w:t>Options</w:t>
            </w:r>
          </w:p>
          <w:p>
            <w:pPr>
              <w:pStyle w:val="TableContents"/>
              <w:bidi w:val="0"/>
              <w:spacing w:before="0" w:after="283"/>
              <w:jc w:val="center"/>
              <w:rPr>
                <w:rFonts w:ascii="Arial" w:hAnsi="Arial"/>
                <w:b/>
                <w:color w:val="000000"/>
                <w:sz w:val="18"/>
              </w:rPr>
            </w:pPr>
            <w:r>
              <w:rPr>
                <w:rFonts w:ascii="Arial" w:hAnsi="Arial"/>
                <w:b/>
                <w:color w:val="000000"/>
                <w:sz w:val="18"/>
              </w:rPr>
              <w:t>Granted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Average</w:t>
            </w:r>
          </w:p>
          <w:p>
            <w:pPr>
              <w:pStyle w:val="TableContents"/>
              <w:bidi w:val="0"/>
              <w:jc w:val="center"/>
              <w:rPr>
                <w:rFonts w:ascii="Arial" w:hAnsi="Arial"/>
                <w:b/>
                <w:color w:val="000000"/>
                <w:sz w:val="18"/>
              </w:rPr>
            </w:pPr>
            <w:r>
              <w:rPr>
                <w:rFonts w:ascii="Arial" w:hAnsi="Arial"/>
                <w:b/>
                <w:color w:val="000000"/>
                <w:sz w:val="18"/>
              </w:rPr>
              <w:t>Per Share</w:t>
            </w:r>
          </w:p>
          <w:p>
            <w:pPr>
              <w:pStyle w:val="TableContents"/>
              <w:bidi w:val="0"/>
              <w:jc w:val="center"/>
              <w:rPr>
                <w:rFonts w:ascii="Arial" w:hAnsi="Arial"/>
                <w:b/>
                <w:color w:val="000000"/>
                <w:sz w:val="18"/>
              </w:rPr>
            </w:pPr>
            <w:r>
              <w:rPr>
                <w:rFonts w:ascii="Arial" w:hAnsi="Arial"/>
                <w:b/>
                <w:color w:val="000000"/>
                <w:sz w:val="18"/>
              </w:rPr>
              <w:t>Exercise</w:t>
            </w:r>
          </w:p>
          <w:p>
            <w:pPr>
              <w:pStyle w:val="TableContents"/>
              <w:bidi w:val="0"/>
              <w:jc w:val="center"/>
              <w:rPr>
                <w:rFonts w:ascii="Arial" w:hAnsi="Arial"/>
                <w:b/>
                <w:color w:val="000000"/>
                <w:sz w:val="18"/>
              </w:rPr>
            </w:pPr>
            <w:r>
              <w:rPr>
                <w:rFonts w:ascii="Arial" w:hAnsi="Arial"/>
                <w:b/>
                <w:color w:val="000000"/>
                <w:sz w:val="18"/>
              </w:rPr>
              <w:t>Price of</w:t>
            </w:r>
          </w:p>
          <w:p>
            <w:pPr>
              <w:pStyle w:val="TableContents"/>
              <w:bidi w:val="0"/>
              <w:jc w:val="center"/>
              <w:rPr>
                <w:rFonts w:ascii="Arial" w:hAnsi="Arial"/>
                <w:b/>
                <w:color w:val="000000"/>
                <w:sz w:val="18"/>
              </w:rPr>
            </w:pPr>
            <w:r>
              <w:rPr>
                <w:rFonts w:ascii="Arial" w:hAnsi="Arial"/>
                <w:b/>
                <w:color w:val="000000"/>
                <w:sz w:val="18"/>
              </w:rPr>
              <w:t>Options</w:t>
            </w:r>
          </w:p>
          <w:p>
            <w:pPr>
              <w:pStyle w:val="TableContents"/>
              <w:bidi w:val="0"/>
              <w:spacing w:before="0" w:after="283"/>
              <w:jc w:val="center"/>
              <w:rPr>
                <w:rFonts w:ascii="Arial" w:hAnsi="Arial"/>
                <w:b/>
                <w:color w:val="000000"/>
                <w:sz w:val="18"/>
              </w:rPr>
            </w:pPr>
            <w:r>
              <w:rPr>
                <w:rFonts w:ascii="Arial" w:hAnsi="Arial"/>
                <w:b/>
                <w:color w:val="000000"/>
                <w:sz w:val="18"/>
              </w:rPr>
              <w:t>Granted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Shares</w:t>
            </w:r>
          </w:p>
          <w:p>
            <w:pPr>
              <w:pStyle w:val="TableContents"/>
              <w:bidi w:val="0"/>
              <w:jc w:val="center"/>
              <w:rPr>
                <w:rFonts w:ascii="Arial" w:hAnsi="Arial"/>
                <w:b/>
                <w:color w:val="000000"/>
                <w:sz w:val="18"/>
              </w:rPr>
            </w:pPr>
            <w:r>
              <w:rPr>
                <w:rFonts w:ascii="Arial" w:hAnsi="Arial"/>
                <w:b/>
                <w:color w:val="000000"/>
                <w:sz w:val="18"/>
              </w:rPr>
              <w:t>Subject to</w:t>
            </w:r>
          </w:p>
          <w:p>
            <w:pPr>
              <w:pStyle w:val="TableContents"/>
              <w:bidi w:val="0"/>
              <w:jc w:val="center"/>
              <w:rPr>
                <w:rFonts w:ascii="Arial" w:hAnsi="Arial"/>
                <w:b/>
                <w:color w:val="000000"/>
                <w:sz w:val="18"/>
              </w:rPr>
            </w:pPr>
            <w:r>
              <w:rPr>
                <w:rFonts w:ascii="Arial" w:hAnsi="Arial"/>
                <w:b/>
                <w:color w:val="000000"/>
                <w:sz w:val="18"/>
              </w:rPr>
              <w:t>Stock</w:t>
            </w:r>
          </w:p>
          <w:p>
            <w:pPr>
              <w:pStyle w:val="TableContents"/>
              <w:bidi w:val="0"/>
              <w:jc w:val="center"/>
              <w:rPr>
                <w:rFonts w:ascii="Arial" w:hAnsi="Arial"/>
                <w:b/>
                <w:color w:val="000000"/>
                <w:sz w:val="18"/>
              </w:rPr>
            </w:pPr>
            <w:r>
              <w:rPr>
                <w:rFonts w:ascii="Arial" w:hAnsi="Arial"/>
                <w:b/>
                <w:color w:val="000000"/>
                <w:sz w:val="18"/>
              </w:rPr>
              <w:t>Awards</w:t>
            </w:r>
          </w:p>
          <w:p>
            <w:pPr>
              <w:pStyle w:val="TableContents"/>
              <w:bidi w:val="0"/>
              <w:spacing w:before="0" w:after="283"/>
              <w:jc w:val="center"/>
              <w:rPr>
                <w:rFonts w:ascii="Arial" w:hAnsi="Arial"/>
                <w:b/>
                <w:color w:val="000000"/>
                <w:sz w:val="18"/>
              </w:rPr>
            </w:pPr>
            <w:r>
              <w:rPr>
                <w:rFonts w:ascii="Arial" w:hAnsi="Arial"/>
                <w:b/>
                <w:color w:val="000000"/>
                <w:sz w:val="18"/>
              </w:rPr>
              <w:t>Granted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Grant Date</w:t>
            </w:r>
          </w:p>
          <w:p>
            <w:pPr>
              <w:pStyle w:val="TableContents"/>
              <w:bidi w:val="0"/>
              <w:jc w:val="center"/>
              <w:rPr>
                <w:rFonts w:ascii="Arial" w:hAnsi="Arial"/>
                <w:b/>
                <w:color w:val="000000"/>
                <w:sz w:val="18"/>
              </w:rPr>
            </w:pPr>
            <w:r>
              <w:rPr>
                <w:rFonts w:ascii="Arial" w:hAnsi="Arial"/>
                <w:b/>
                <w:color w:val="000000"/>
                <w:sz w:val="18"/>
              </w:rPr>
              <w:t>Fair Value</w:t>
            </w:r>
          </w:p>
          <w:p>
            <w:pPr>
              <w:pStyle w:val="TableContents"/>
              <w:bidi w:val="0"/>
              <w:jc w:val="center"/>
              <w:rPr>
                <w:rFonts w:ascii="Arial" w:hAnsi="Arial"/>
                <w:b/>
                <w:color w:val="000000"/>
                <w:sz w:val="18"/>
              </w:rPr>
            </w:pPr>
            <w:r>
              <w:rPr>
                <w:rFonts w:ascii="Arial" w:hAnsi="Arial"/>
                <w:b/>
                <w:color w:val="000000"/>
                <w:sz w:val="18"/>
              </w:rPr>
              <w:t>of Option</w:t>
            </w:r>
          </w:p>
          <w:p>
            <w:pPr>
              <w:pStyle w:val="TableContents"/>
              <w:bidi w:val="0"/>
              <w:jc w:val="center"/>
              <w:rPr>
                <w:rFonts w:ascii="Arial" w:hAnsi="Arial"/>
                <w:b/>
                <w:color w:val="000000"/>
                <w:sz w:val="18"/>
              </w:rPr>
            </w:pPr>
            <w:r>
              <w:rPr>
                <w:rFonts w:ascii="Arial" w:hAnsi="Arial"/>
                <w:b/>
                <w:color w:val="000000"/>
                <w:sz w:val="18"/>
              </w:rPr>
              <w:t>and Stock</w:t>
            </w:r>
          </w:p>
          <w:p>
            <w:pPr>
              <w:pStyle w:val="TableContents"/>
              <w:bidi w:val="0"/>
              <w:spacing w:before="0" w:after="283"/>
              <w:jc w:val="center"/>
              <w:rPr>
                <w:rFonts w:ascii="Arial" w:hAnsi="Arial"/>
                <w:b/>
                <w:color w:val="000000"/>
                <w:sz w:val="18"/>
              </w:rPr>
            </w:pPr>
            <w:r>
              <w:rPr>
                <w:rFonts w:ascii="Arial" w:hAnsi="Arial"/>
                <w:b/>
                <w:color w:val="000000"/>
                <w:sz w:val="18"/>
              </w:rPr>
              <w:t>Awards ($) (1)</w:t>
            </w:r>
          </w:p>
        </w:tc>
      </w:tr>
      <w:tr>
        <w:trPr/>
        <w:tc>
          <w:tcPr>
            <w:tcW w:w="5338"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 Litton Ph.D., President and Chief Executive Officer</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166,906</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3.80</w:t>
            </w:r>
          </w:p>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22,254</w:t>
            </w:r>
          </w:p>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601,854.36</w:t>
            </w:r>
          </w:p>
          <w:p>
            <w:pPr>
              <w:pStyle w:val="TableContents"/>
              <w:bidi w:val="0"/>
              <w:spacing w:before="0" w:after="283"/>
              <w:jc w:val="left"/>
              <w:rPr/>
            </w:pPr>
            <w:r>
              <w:rPr/>
              <w:t> </w:t>
            </w:r>
          </w:p>
        </w:tc>
      </w:tr>
      <w:tr>
        <w:trPr/>
        <w:tc>
          <w:tcPr>
            <w:tcW w:w="53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Javier San Martin, M.D., Chief Medical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55,635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7,418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210,049.50</w:t>
            </w:r>
          </w:p>
          <w:p>
            <w:pPr>
              <w:pStyle w:val="TableContents"/>
              <w:bidi w:val="0"/>
              <w:spacing w:before="0" w:after="283"/>
              <w:jc w:val="left"/>
              <w:rPr/>
            </w:pPr>
            <w:r>
              <w:rPr/>
              <w:t> </w:t>
            </w:r>
          </w:p>
        </w:tc>
      </w:tr>
      <w:tr>
        <w:trPr/>
        <w:tc>
          <w:tcPr>
            <w:tcW w:w="5338"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 Worthington, General Counsel, Chief Compliance Officer and Corporate Secretary</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42,946</w:t>
            </w:r>
          </w:p>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4.01</w:t>
            </w:r>
          </w:p>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5,726</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162,142.13</w:t>
            </w:r>
          </w:p>
          <w:p>
            <w:pPr>
              <w:pStyle w:val="TableContents"/>
              <w:bidi w:val="0"/>
              <w:spacing w:before="0" w:after="283"/>
              <w:jc w:val="left"/>
              <w:rPr/>
            </w:pPr>
            <w:r>
              <w:rPr/>
              <w:t> </w:t>
            </w:r>
          </w:p>
        </w:tc>
      </w:tr>
      <w:tr>
        <w:trPr/>
        <w:tc>
          <w:tcPr>
            <w:tcW w:w="53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executive officers, as a group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356,951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45,154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1,309,153.14</w:t>
            </w:r>
          </w:p>
          <w:p>
            <w:pPr>
              <w:pStyle w:val="TableContents"/>
              <w:bidi w:val="0"/>
              <w:spacing w:before="0" w:after="283"/>
              <w:jc w:val="left"/>
              <w:rPr/>
            </w:pPr>
            <w:r>
              <w:rPr/>
              <w:t> </w:t>
            </w:r>
          </w:p>
        </w:tc>
      </w:tr>
      <w:tr>
        <w:trPr/>
        <w:tc>
          <w:tcPr>
            <w:tcW w:w="5338"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directors who are not executive officers, as a group</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14,630</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AEDFB"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AEDFB" w:val="clear"/>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36,100.84</w:t>
            </w:r>
          </w:p>
          <w:p>
            <w:pPr>
              <w:pStyle w:val="TableContents"/>
              <w:bidi w:val="0"/>
              <w:spacing w:before="0" w:after="283"/>
              <w:jc w:val="left"/>
              <w:rPr/>
            </w:pPr>
            <w:r>
              <w:rPr/>
              <w:t> </w:t>
            </w:r>
          </w:p>
        </w:tc>
      </w:tr>
      <w:tr>
        <w:trPr/>
        <w:tc>
          <w:tcPr>
            <w:tcW w:w="53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employees who are not executive officers, as a group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115,999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15,742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134,649.00</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pPr>
      <w:r>
        <w:rPr>
          <w:rFonts w:ascii="Arial" w:hAnsi="Arial"/>
          <w:color w:val="000000"/>
          <w:sz w:val="18"/>
        </w:rPr>
        <w:t xml:space="preserve">Amounts shown represent the grant date fair value of option and RSU awards determined in accordance with Financial Accounting Standards Board (FASB) Accounting Standards Codification (ASC) Topic 718 (ASC Topic 718), </w:t>
      </w:r>
      <w:r>
        <w:rPr>
          <w:rFonts w:ascii="Arial" w:hAnsi="Arial"/>
          <w:i/>
          <w:color w:val="000000"/>
          <w:sz w:val="18"/>
        </w:rPr>
        <w:t>Stock Compensation</w:t>
      </w:r>
      <w:r>
        <w:rPr>
          <w:rFonts w:ascii="Arial" w:hAnsi="Arial"/>
          <w:color w:val="000000"/>
          <w:sz w:val="18"/>
        </w:rPr>
        <w:t>.</w:t>
      </w:r>
    </w:p>
    <w:p>
      <w:pPr>
        <w:pStyle w:val="TextBody"/>
        <w:bidi w:val="0"/>
        <w:jc w:val="both"/>
        <w:rPr/>
      </w:pPr>
      <w:r>
        <w:rPr/>
        <w:t> </w:t>
      </w:r>
    </w:p>
    <w:p>
      <w:pPr>
        <w:pStyle w:val="TextBody"/>
        <w:bidi w:val="0"/>
        <w:jc w:val="left"/>
        <w:rPr>
          <w:rFonts w:ascii="Arial" w:hAnsi="Arial"/>
          <w:color w:val="000000"/>
          <w:sz w:val="18"/>
        </w:rPr>
      </w:pPr>
      <w:r>
        <w:rPr>
          <w:rFonts w:ascii="Arial" w:hAnsi="Arial"/>
          <w:color w:val="000000"/>
          <w:sz w:val="18"/>
        </w:rPr>
        <w:t xml:space="preserve">As of the record date, the closing price of the Company’s common stock was $5.36 per share.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6" w:name="effect_of_vote_in_favor_of_the_propo_4"/>
      <w:bookmarkEnd w:id="56"/>
      <w:r>
        <w:rPr>
          <w:rFonts w:ascii="Arial" w:hAnsi="Arial"/>
          <w:b/>
          <w:color w:val="000000"/>
          <w:sz w:val="18"/>
        </w:rPr>
        <w:t>Effect of Vote</w:t>
      </w:r>
      <w:r>
        <w:rPr>
          <w:rFonts w:ascii="Times New Roman" w:hAnsi="Times New Roman"/>
          <w:color w:val="000000"/>
          <w:sz w:val="20"/>
        </w:rPr>
        <w:t xml:space="preserve"> </w:t>
      </w:r>
      <w:r>
        <w:rPr>
          <w:rFonts w:ascii="Arial" w:hAnsi="Arial"/>
          <w:b/>
          <w:color w:val="000000"/>
          <w:sz w:val="18"/>
        </w:rPr>
        <w:t>in Favor of the Proposal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this proposal is approved by our stockholders, our 2026 Equity Incentive Plan will come into effect.</w:t>
      </w:r>
    </w:p>
    <w:p>
      <w:pPr>
        <w:pStyle w:val="TextBody"/>
        <w:bidi w:val="0"/>
        <w:jc w:val="left"/>
        <w:rPr/>
      </w:pPr>
      <w:r>
        <w:rPr/>
        <w:t> </w:t>
      </w:r>
    </w:p>
    <w:p>
      <w:pPr>
        <w:pStyle w:val="TextBody"/>
        <w:bidi w:val="0"/>
        <w:jc w:val="left"/>
        <w:rPr>
          <w:rFonts w:ascii="Arial" w:hAnsi="Arial"/>
          <w:b/>
          <w:color w:val="000000"/>
          <w:sz w:val="18"/>
        </w:rPr>
      </w:pPr>
      <w:bookmarkStart w:id="57" w:name="effect_of_not_obtaining_the_requi_vote_4"/>
      <w:bookmarkEnd w:id="57"/>
      <w:r>
        <w:rPr>
          <w:rFonts w:ascii="Arial" w:hAnsi="Arial"/>
          <w:b/>
          <w:color w:val="000000"/>
          <w:sz w:val="18"/>
        </w:rPr>
        <w:t>Effect of Not Obtaining the Required Vote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our stockholders do not approve our 2026 Equity Incentive Plan, the 2026 Equity Incentive Plan will not come into effect and our 2020 Equity Incentive Plan will remain in effect through the remainder of its term.</w:t>
      </w:r>
    </w:p>
    <w:p>
      <w:pPr>
        <w:pStyle w:val="TextBody"/>
        <w:bidi w:val="0"/>
        <w:jc w:val="left"/>
        <w:rPr/>
      </w:pPr>
      <w:r>
        <w:rPr/>
        <w:t> </w:t>
      </w:r>
    </w:p>
    <w:p>
      <w:pPr>
        <w:pStyle w:val="TextBody"/>
        <w:bidi w:val="0"/>
        <w:jc w:val="left"/>
        <w:rPr>
          <w:rFonts w:ascii="Arial" w:hAnsi="Arial"/>
          <w:b/>
          <w:color w:val="000000"/>
          <w:sz w:val="18"/>
        </w:rPr>
      </w:pPr>
      <w:bookmarkStart w:id="58" w:name="vote_required_4"/>
      <w:bookmarkEnd w:id="58"/>
      <w:r>
        <w:rPr>
          <w:rFonts w:ascii="Arial" w:hAnsi="Arial"/>
          <w:b/>
          <w:color w:val="000000"/>
          <w:sz w:val="18"/>
        </w:rPr>
        <w:t>Vote Required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Broker non-votes and abstentions will be counted for purposes of determining the presence or absence of a quorum. However, neither broker non-votes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59" w:name="board_recommendation_4"/>
      <w:bookmarkEnd w:id="59"/>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4.</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60" w:name="proposal_no_5"/>
      <w:bookmarkEnd w:id="60"/>
      <w:r>
        <w:rPr>
          <w:rFonts w:ascii="Arial" w:hAnsi="Arial"/>
          <w:b/>
          <w:color w:val="000000"/>
          <w:sz w:val="18"/>
        </w:rPr>
        <w:t>PROPOSAL NO. 5</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amend our amended and restated certificate of incorporation to increase the number of authorized shares of common stock.</w:t>
      </w:r>
    </w:p>
    <w:p>
      <w:pPr>
        <w:pStyle w:val="TextBody"/>
        <w:bidi w:val="0"/>
        <w:jc w:val="left"/>
        <w:rPr/>
      </w:pPr>
      <w:r>
        <w:rPr/>
        <w:t> </w:t>
      </w:r>
    </w:p>
    <w:p>
      <w:pPr>
        <w:pStyle w:val="TextBody"/>
        <w:bidi w:val="0"/>
        <w:jc w:val="center"/>
        <w:rPr>
          <w:rFonts w:ascii="Arial" w:hAnsi="Arial"/>
          <w:b/>
          <w:color w:val="000000"/>
          <w:sz w:val="18"/>
        </w:rPr>
      </w:pPr>
      <w:bookmarkStart w:id="61" w:name="description_of_proposal_5"/>
      <w:bookmarkEnd w:id="61"/>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b/>
          <w:color w:val="000000"/>
          <w:sz w:val="18"/>
        </w:rPr>
      </w:pPr>
      <w:bookmarkStart w:id="62" w:name="overview_5"/>
      <w:bookmarkEnd w:id="62"/>
      <w:r>
        <w:rPr>
          <w:rFonts w:ascii="Arial" w:hAnsi="Arial"/>
          <w:b/>
          <w:color w:val="000000"/>
          <w:sz w:val="18"/>
        </w:rPr>
        <w:t>Overview</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are asking our stockholders to approve an amendment of our amended and restated certificate of incorporation to increase our authorized common stock. Our authorized capital stock currently consists of 190,000,000 shares, of which 90,000,000 are common stock and 100,000,000 are preferred stock, par value $0.0001 per share. On January 26, 2026, our board of directors approved and declared advisable an amendment of our amended and restated certificate of incorporation to increase the number of authorized shares of common stock from 90,000,000 shares to 400,000,000 shares. The number of authorized shares of preferred stock would not be affected by the amendment. The board of directors further directed that the increase in common stock be submitted to stockholders for approval and adoption. The total number of authorized shares of our capital stock (which is the sum of the authorized number of shares of our common stock and our preferred stock) would, by virtue of the amendment, increase from 190,000,000 to 500,000,000.</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full text of the certificate of amendment to our amended and restated certificate of incorporation is attached to this proxy statement as Annex B. If our stockholders approve the proposal, subject to the discretion of our board of directors, we will file the certificate of amendment with the Secretary of State of the State of Delaware as soon as possible.</w:t>
      </w:r>
    </w:p>
    <w:p>
      <w:pPr>
        <w:pStyle w:val="TextBody"/>
        <w:bidi w:val="0"/>
        <w:jc w:val="left"/>
        <w:rPr/>
      </w:pPr>
      <w:r>
        <w:rPr/>
        <w:t> </w:t>
      </w:r>
    </w:p>
    <w:p>
      <w:pPr>
        <w:pStyle w:val="TextBody"/>
        <w:bidi w:val="0"/>
        <w:jc w:val="left"/>
        <w:rPr>
          <w:rFonts w:ascii="Arial" w:hAnsi="Arial"/>
          <w:b/>
          <w:color w:val="000000"/>
          <w:sz w:val="18"/>
        </w:rPr>
      </w:pPr>
      <w:bookmarkStart w:id="63" w:name="reasons_for_stockholder_approval_5"/>
      <w:bookmarkEnd w:id="63"/>
      <w:r>
        <w:rPr>
          <w:rFonts w:ascii="Arial" w:hAnsi="Arial"/>
          <w:b/>
          <w:color w:val="000000"/>
          <w:sz w:val="18"/>
        </w:rPr>
        <w:t>Reasons for Stockholder Approval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proposed increase in the authorized number of shares of common stock is intended to ensure that we continue to have an adequate number of authorized and unissued shares of common stock for future use. The increase in authorized common stock would ensure we have sufficient additional authorized but unissued shares of common stock to permit issuances from time to time in the board of directors’ discretion in connection with future financings, investment opportunities or dividends, strategic transactions, equity incentive plan arrangements or for other corporate purposes.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of the record date, a total of 9,335,913 shares of common stock were issued and outstanding and no shares of preferred stock were issued and outstanding. In addition, as of the record date, there were: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1,213,464 shares of common stock issuable upon exercise of outstanding options;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57,601 shares of common stock issuable upon settlement of outstanding restricted stock units;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378,088 shares of common stock reserved for future issuance under our 2020 Equity Incentive Plan and any future increase in shares reserved for issuance under such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221,354 shares of common stock reserved for issuance under our 2020 Employee Stock Purchase Plan, and any future increase in shares reserved for issuance under such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35,000 shares of common stock reserved for issuance under our 2024 Inducement Equity Incentive Plan, or the Inducement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5,502,402 shares of common stock issuable upon exercise of the Sermonix Pre-Funded Warrant;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8,816,684 shares of common stock issuable upon exercise of the PIPE Pre-Funded Warrants;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23,031,494 shares of common stock issuable upon exercise of the PIPE Series A Common Warrants;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21,259,842 shares of common stock issuable upon exercise of the PIPE Series B Common Warrants.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Accordingly, as of the record date, out of the 90,000,000 shares of common stock presently authorized, 69,851,842 shares of common stock were issued and outstanding or reserved for issuance and 20,148,158 shares of common stock were not reserved and remained available for future issuance. In addition, if the proposal to adopt our 2026 Equity Incentive Plan (Proposal 4) is approved, an additional 5,700,000 shares of common stock would be reserved for issuance under our 2026 Equity Incentive Plan and 14,448,158 shares of common stock would remain not reserved and available for future issuance.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proposed increase in the number of shares of authorized common stock is not required to issue the shares upon exercise of the warrants described in Proposal 1, Proposal 2 or Proposal 3, or to reserve shares for issuance pursuant to our 2026 Equity Incentive Plan, if approved under Proposal 4.</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board of directors recommends the proposed increase in the authorized number of shares of common stock to facilitate issuing shares in the event that the board of directors determines it is appropriate. The increase in the authorized number of shares of common stock is intended to ensure that there will be a sufficient number of unissued shares available for future issuance.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the proposal to increase the number of authorized shares of common stock is adopted by our stockholders, it is possible that we could issue a significant portion of the newly authorized shares. If stockholders do not vote to increase the authorized shares of common stock, we may be unable to issue shares when needed. Approving the authorized shares of common stock will provide greater flexibility to ensure that there will be a sufficient number of unissued shares of common stock for issuance in the future.</w:t>
      </w:r>
    </w:p>
    <w:p>
      <w:pPr>
        <w:pStyle w:val="TextBody"/>
        <w:bidi w:val="0"/>
        <w:jc w:val="left"/>
        <w:rPr/>
      </w:pPr>
      <w:r>
        <w:rPr/>
        <w:t> </w:t>
      </w:r>
    </w:p>
    <w:p>
      <w:pPr>
        <w:pStyle w:val="TextBody"/>
        <w:bidi w:val="0"/>
        <w:jc w:val="left"/>
        <w:rPr>
          <w:rFonts w:ascii="Times New Roman" w:hAnsi="Times New Roman"/>
          <w:sz w:val="20"/>
        </w:rPr>
      </w:pPr>
      <w:bookmarkStart w:id="64" w:name="effect_of_vote_in_favor_of_the_prop_5"/>
      <w:bookmarkEnd w:id="64"/>
      <w:r>
        <w:rPr>
          <w:rFonts w:ascii="Arial" w:hAnsi="Arial"/>
          <w:b/>
          <w:color w:val="000000"/>
          <w:sz w:val="18"/>
        </w:rPr>
        <w:t>Effect of Vote in Favor of the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this proposal is approved by our stockholders, the proposed certificate of amendment to our amended and restated certificate of incorporation will be filed with the Secretary of State of the State of Delaware and we will have 400,000,000 shares of authorized common stock and 500,000,000 shares of capital stock.</w:t>
      </w:r>
    </w:p>
    <w:p>
      <w:pPr>
        <w:pStyle w:val="TextBody"/>
        <w:bidi w:val="0"/>
        <w:jc w:val="left"/>
        <w:rPr/>
      </w:pPr>
      <w:r>
        <w:rPr/>
        <w:t> </w:t>
      </w:r>
    </w:p>
    <w:p>
      <w:pPr>
        <w:pStyle w:val="TextBody"/>
        <w:bidi w:val="0"/>
        <w:jc w:val="left"/>
        <w:rPr>
          <w:rFonts w:ascii="Arial" w:hAnsi="Arial"/>
          <w:b/>
          <w:color w:val="000000"/>
          <w:sz w:val="18"/>
        </w:rPr>
      </w:pPr>
      <w:bookmarkStart w:id="65" w:name="effect_of_not_obtaining_the_requi_vote_5"/>
      <w:bookmarkEnd w:id="65"/>
      <w:r>
        <w:rPr>
          <w:rFonts w:ascii="Arial" w:hAnsi="Arial"/>
          <w:b/>
          <w:color w:val="000000"/>
          <w:sz w:val="18"/>
        </w:rPr>
        <w:t>Effect of Not Obtaining the Required Vote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we are unable to obtain approval of the increase in the number of authorized shares of common stock, only 20,148,158 shares of common stock will remain unreserved and available for future issuance. Moreover, if the proposal to approve our 2026 Equity Incentive Plan (Proposal 4) is approved but this proposal to increase the number of authorized shares of common stock is not approved, only 14,448,158 shares of common stock will remain unreserved and available for future issuance. As a result, we may be unable to issue shares of common stock when deemed by our board of directors to be in the best interests of the Company, including to carry out opportunistic financing or strategic transactions.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proposed increase in the number of shares of authorized common stock is not required to issue the shares upon exercise of the warrants described in Proposal 1, Proposal 2 or Proposal 3, or to reserve shares for issuance pursuant to our 2026 Equity Incentive Plan, if approved under Proposal 4.</w:t>
      </w:r>
    </w:p>
    <w:p>
      <w:pPr>
        <w:pStyle w:val="TextBody"/>
        <w:bidi w:val="0"/>
        <w:jc w:val="left"/>
        <w:rPr/>
      </w:pPr>
      <w:r>
        <w:rPr/>
        <w:t> </w:t>
      </w:r>
    </w:p>
    <w:p>
      <w:pPr>
        <w:pStyle w:val="TextBody"/>
        <w:bidi w:val="0"/>
        <w:jc w:val="left"/>
        <w:rPr>
          <w:rFonts w:ascii="Arial" w:hAnsi="Arial"/>
          <w:b/>
          <w:color w:val="000000"/>
          <w:sz w:val="18"/>
        </w:rPr>
      </w:pPr>
      <w:bookmarkStart w:id="66" w:name="vote_required_5"/>
      <w:bookmarkEnd w:id="66"/>
      <w:r>
        <w:rPr>
          <w:rFonts w:ascii="Arial" w:hAnsi="Arial"/>
          <w:b/>
          <w:color w:val="000000"/>
          <w:sz w:val="18"/>
        </w:rPr>
        <w:t>Vote Required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in accordance with Section 242(d)(2) of the DGCL.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67" w:name="board_recommendation_5"/>
      <w:bookmarkEnd w:id="67"/>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5.</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68" w:name="proposal_no_6"/>
      <w:bookmarkEnd w:id="68"/>
      <w:r>
        <w:rPr>
          <w:rFonts w:ascii="Arial" w:hAnsi="Arial"/>
          <w:b/>
          <w:color w:val="000000"/>
          <w:sz w:val="18"/>
        </w:rPr>
        <w:t>PROPOSAL NO. 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proposal 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pStyle w:val="TextBody"/>
        <w:bidi w:val="0"/>
        <w:jc w:val="left"/>
        <w:rPr/>
      </w:pPr>
      <w:r>
        <w:rPr/>
        <w:t> </w:t>
      </w:r>
    </w:p>
    <w:p>
      <w:pPr>
        <w:pStyle w:val="TextBody"/>
        <w:bidi w:val="0"/>
        <w:jc w:val="center"/>
        <w:rPr>
          <w:rFonts w:ascii="Arial" w:hAnsi="Arial"/>
          <w:b/>
          <w:color w:val="000000"/>
          <w:sz w:val="18"/>
        </w:rPr>
      </w:pPr>
      <w:bookmarkStart w:id="69" w:name="description_of_proposal_6"/>
      <w:bookmarkEnd w:id="69"/>
      <w:r>
        <w:rPr>
          <w:rFonts w:ascii="Arial" w:hAnsi="Arial"/>
          <w:b/>
          <w:color w:val="000000"/>
          <w:sz w:val="18"/>
        </w:rPr>
        <w:t>DESCRIPTION OF PROPOSAL</w:t>
      </w:r>
    </w:p>
    <w:p>
      <w:pPr>
        <w:pStyle w:val="TextBody"/>
        <w:bidi w:val="0"/>
        <w:jc w:val="left"/>
        <w:rPr/>
      </w:pPr>
      <w:r>
        <w:rPr/>
        <w:t> </w:t>
      </w:r>
    </w:p>
    <w:p>
      <w:pPr>
        <w:pStyle w:val="TextBody"/>
        <w:bidi w:val="0"/>
        <w:jc w:val="left"/>
        <w:rPr>
          <w:rFonts w:ascii="Arial" w:hAnsi="Arial"/>
          <w:b/>
          <w:color w:val="000000"/>
          <w:sz w:val="18"/>
        </w:rPr>
      </w:pPr>
      <w:bookmarkStart w:id="70" w:name="overview_6"/>
      <w:bookmarkEnd w:id="70"/>
      <w:r>
        <w:rPr>
          <w:rFonts w:ascii="Arial" w:hAnsi="Arial"/>
          <w:b/>
          <w:color w:val="000000"/>
          <w:sz w:val="18"/>
        </w:rPr>
        <w:t>Overview</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Stockholders are being asked to approve a proposal providing for adjournment of the Special Meeting if necessary or appropriate in the view of the board of directors, including to solicit additional proxies if there are not sufficient votes at the time of the Special Meeting to approve any of Proposal 1, Proposal 2, Proposal 3, Proposal 4 or Proposal 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this proposal, we are asking our stockholders to authorize one or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any one or more of Proposal 1, Proposal 2, Proposal 3, Proposal 4 or Proposal 5, we could adjourn the Special Meeting without a vote on such proposal and seek to convince our stockholders to change their votes in favor of such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jc w:val="left"/>
        <w:rPr/>
      </w:pPr>
      <w:r>
        <w:rPr/>
        <w:t> </w:t>
      </w:r>
    </w:p>
    <w:p>
      <w:pPr>
        <w:pStyle w:val="TextBody"/>
        <w:bidi w:val="0"/>
        <w:jc w:val="left"/>
        <w:rPr>
          <w:rFonts w:ascii="Times New Roman" w:hAnsi="Times New Roman"/>
          <w:sz w:val="20"/>
        </w:rPr>
      </w:pPr>
      <w:bookmarkStart w:id="71" w:name="effect_of_vote_in_favor_of_the_propo_6"/>
      <w:bookmarkEnd w:id="71"/>
      <w:r>
        <w:rPr>
          <w:rFonts w:ascii="Arial" w:hAnsi="Arial"/>
          <w:b/>
          <w:color w:val="000000"/>
          <w:sz w:val="18"/>
        </w:rPr>
        <w:t>Effect of Vote in Favor of the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this proposal is approved by our stockholders, the board of directors may adjourn the Special Meeting if necessary or appropriate in its view, including to solicit additional proxies if there are not sufficient votes at the time of the Special Meeting to approve any of Proposal 1, Proposal 2, Proposal 3, Proposal 4 or Proposal 5.</w:t>
      </w:r>
    </w:p>
    <w:p>
      <w:pPr>
        <w:pStyle w:val="TextBody"/>
        <w:bidi w:val="0"/>
        <w:jc w:val="left"/>
        <w:rPr/>
      </w:pPr>
      <w:r>
        <w:rPr/>
        <w:t> </w:t>
      </w:r>
    </w:p>
    <w:p>
      <w:pPr>
        <w:pStyle w:val="TextBody"/>
        <w:bidi w:val="0"/>
        <w:jc w:val="left"/>
        <w:rPr>
          <w:rFonts w:ascii="Arial" w:hAnsi="Arial"/>
          <w:b/>
          <w:color w:val="000000"/>
          <w:sz w:val="18"/>
        </w:rPr>
      </w:pPr>
      <w:bookmarkStart w:id="72" w:name="effect_of_not_obtaining_the_requi_vote_6"/>
      <w:bookmarkEnd w:id="72"/>
      <w:r>
        <w:rPr>
          <w:rFonts w:ascii="Arial" w:hAnsi="Arial"/>
          <w:b/>
          <w:color w:val="000000"/>
          <w:sz w:val="18"/>
        </w:rPr>
        <w:t>Effect of Not Obtaining the Required Vote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we are unable to obtain approval of providing for adjournment of the Special Meeting if necessary or appropriate in the view of the board of directors, we may be unable to adjourn the Special Meeting in such circumstances, and may be required to call an additional special meeting of stockholders.</w:t>
      </w:r>
    </w:p>
    <w:p>
      <w:pPr>
        <w:pStyle w:val="TextBody"/>
        <w:bidi w:val="0"/>
        <w:jc w:val="left"/>
        <w:rPr/>
      </w:pPr>
      <w:r>
        <w:rPr/>
        <w:t> </w:t>
      </w:r>
    </w:p>
    <w:p>
      <w:pPr>
        <w:pStyle w:val="TextBody"/>
        <w:bidi w:val="0"/>
        <w:jc w:val="left"/>
        <w:rPr>
          <w:rFonts w:ascii="Arial" w:hAnsi="Arial"/>
          <w:b/>
          <w:color w:val="000000"/>
          <w:sz w:val="18"/>
        </w:rPr>
      </w:pPr>
      <w:bookmarkStart w:id="73" w:name="vote_required_6"/>
      <w:bookmarkEnd w:id="73"/>
      <w:r>
        <w:rPr>
          <w:rFonts w:ascii="Arial" w:hAnsi="Arial"/>
          <w:b/>
          <w:color w:val="000000"/>
          <w:sz w:val="18"/>
        </w:rPr>
        <w:t>Vote Required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74" w:name="board_recommendation_6"/>
      <w:bookmarkEnd w:id="74"/>
      <w:r>
        <w:rPr>
          <w:rFonts w:ascii="Arial" w:hAnsi="Arial"/>
          <w:b/>
          <w:color w:val="000000"/>
          <w:sz w:val="18"/>
        </w:rPr>
        <w:t>Board Recommendation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THE BOARD OF DIRECTORS UNANIMOUSLY RECOMMENDS THAT STOCKHOLDERS VOTE “FOR” PROPOSAL 6.</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5" w:name="executive_compensation"/>
      <w:bookmarkEnd w:id="75"/>
      <w:r>
        <w:rPr>
          <w:rFonts w:ascii="Arial" w:hAnsi="Arial"/>
          <w:b/>
          <w:color w:val="000000"/>
          <w:sz w:val="18"/>
        </w:rPr>
        <w:t>EXECUTIVE</w:t>
      </w:r>
      <w:r>
        <w:rPr>
          <w:rFonts w:ascii="Times New Roman" w:hAnsi="Times New Roman"/>
          <w:color w:val="000000"/>
          <w:sz w:val="20"/>
        </w:rPr>
        <w:t xml:space="preserve"> </w:t>
      </w:r>
      <w:r>
        <w:rPr>
          <w:rFonts w:ascii="Arial" w:hAnsi="Arial"/>
          <w:b/>
          <w:color w:val="000000"/>
          <w:sz w:val="18"/>
        </w:rPr>
        <w:t>COMPENSATION</w:t>
      </w:r>
    </w:p>
    <w:p>
      <w:pPr>
        <w:pStyle w:val="TextBody"/>
        <w:bidi w:val="0"/>
        <w:jc w:val="left"/>
        <w:rPr/>
      </w:pPr>
      <w:r>
        <w:rPr/>
        <w:t> </w:t>
      </w:r>
    </w:p>
    <w:p>
      <w:pPr>
        <w:pStyle w:val="TextBody"/>
        <w:bidi w:val="0"/>
        <w:jc w:val="left"/>
        <w:rPr>
          <w:rFonts w:ascii="Times New Roman" w:hAnsi="Times New Roman"/>
          <w:sz w:val="20"/>
        </w:rPr>
      </w:pPr>
      <w:bookmarkStart w:id="76" w:name="processes_and_procedures_for_compensatio"/>
      <w:bookmarkEnd w:id="76"/>
      <w:r>
        <w:rPr>
          <w:rFonts w:ascii="Arial" w:hAnsi="Arial"/>
          <w:b/>
          <w:color w:val="000000"/>
          <w:sz w:val="18"/>
        </w:rPr>
        <w:t>Processes And Procedures for Compensation Decisions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executive compensation programs are designed to:</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attract, motivate, incentivize and retain employees at the executive level who contribute to our long-term success;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provide compensation packages to our executives that are fair and competitive and reward high levels of performance and the achievement of our business objectives;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more closely align our executives’ interests with those of our stockholders by focusing on long-term equity incentives that correlate with the growth of sustainable long-term value for our stockholders.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compensation committee is responsible for making compensation decisions for executive officers other than our chief executive officer, but may, in its discretion, choose to make compensation recommendations to the full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compensation committee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77" w:name="executive_compensation_1"/>
      <w:bookmarkEnd w:id="77"/>
      <w:r>
        <w:rPr>
          <w:rFonts w:ascii="Arial" w:hAnsi="Arial"/>
          <w:b/>
          <w:color w:val="000000"/>
          <w:sz w:val="18"/>
        </w:rPr>
        <w:t>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This section discusses the material components of the executive compensation program for our named executive officers who are named in the subsection titled “2024 – 2025 Summary Compensation Table” below. For 2025, our “named executive officers” and their positions were as follows: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Mark Litton, Ph.D., our president and chief executive officer;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Javier San Martin, M.D., our chief medical officer;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Mark Worthington, our general counsel, chief compliance officer and corporate secretary.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All share amounts in this section reflect the Company’s 10-for-1 reverse stock split that became effective on September 17, 2025.</w:t>
      </w:r>
    </w:p>
    <w:p>
      <w:pPr>
        <w:pStyle w:val="TextBody"/>
        <w:bidi w:val="0"/>
        <w:jc w:val="left"/>
        <w:rPr/>
      </w:pPr>
      <w:r>
        <w:rPr/>
        <w:t> </w:t>
      </w:r>
    </w:p>
    <w:p>
      <w:pPr>
        <w:pStyle w:val="TextBody"/>
        <w:bidi w:val="0"/>
        <w:jc w:val="left"/>
        <w:rPr>
          <w:rFonts w:ascii="Times New Roman" w:hAnsi="Times New Roman"/>
          <w:sz w:val="20"/>
        </w:rPr>
      </w:pPr>
      <w:bookmarkStart w:id="78" w:name="summary_compensation_table"/>
      <w:bookmarkEnd w:id="78"/>
      <w:r>
        <w:rPr>
          <w:rFonts w:ascii="Arial" w:hAnsi="Arial"/>
          <w:b/>
          <w:color w:val="000000"/>
          <w:sz w:val="18"/>
        </w:rPr>
        <w:t>2024 – 2025</w:t>
      </w:r>
      <w:r>
        <w:rPr>
          <w:rFonts w:ascii="Times New Roman" w:hAnsi="Times New Roman"/>
          <w:color w:val="000000"/>
          <w:sz w:val="20"/>
        </w:rPr>
        <w:t xml:space="preserve"> </w:t>
      </w:r>
      <w:r>
        <w:rPr>
          <w:rFonts w:ascii="Arial" w:hAnsi="Arial"/>
          <w:b/>
          <w:color w:val="000000"/>
          <w:sz w:val="18"/>
        </w:rPr>
        <w:t>Summary Compensation 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table represents information regarding the total compensation awarded to, earned by or paid to our named executive officers for the years ended December 31, 2025 and December 31,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0"/>
        <w:gridCol w:w="646"/>
        <w:gridCol w:w="790"/>
        <w:gridCol w:w="938"/>
        <w:gridCol w:w="926"/>
        <w:gridCol w:w="1069"/>
        <w:gridCol w:w="1685"/>
        <w:gridCol w:w="1433"/>
        <w:gridCol w:w="1108"/>
      </w:tblGrid>
      <w:tr>
        <w:trPr/>
        <w:tc>
          <w:tcPr>
            <w:tcW w:w="1610"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938"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069" w:type="dxa"/>
            <w:tcBorders/>
            <w:shd w:fill="FFFFFF" w:val="clear"/>
            <w:vAlign w:val="center"/>
          </w:tcPr>
          <w:p>
            <w:pPr>
              <w:pStyle w:val="TableContents"/>
              <w:bidi w:val="0"/>
              <w:spacing w:before="0" w:after="283"/>
              <w:jc w:val="left"/>
              <w:rPr>
                <w:sz w:val="4"/>
                <w:szCs w:val="4"/>
              </w:rPr>
            </w:pPr>
            <w:r>
              <w:rPr>
                <w:sz w:val="4"/>
                <w:szCs w:val="4"/>
              </w:rPr>
            </w:r>
          </w:p>
        </w:tc>
        <w:tc>
          <w:tcPr>
            <w:tcW w:w="1685" w:type="dxa"/>
            <w:tcBorders/>
            <w:shd w:fill="FFFFFF" w:val="clear"/>
            <w:vAlign w:val="center"/>
          </w:tcPr>
          <w:p>
            <w:pPr>
              <w:pStyle w:val="TableContents"/>
              <w:bidi w:val="0"/>
              <w:spacing w:before="0" w:after="283"/>
              <w:jc w:val="left"/>
              <w:rPr>
                <w:sz w:val="4"/>
                <w:szCs w:val="4"/>
              </w:rPr>
            </w:pPr>
            <w:r>
              <w:rPr>
                <w:sz w:val="4"/>
                <w:szCs w:val="4"/>
              </w:rPr>
            </w:r>
          </w:p>
        </w:tc>
        <w:tc>
          <w:tcPr>
            <w:tcW w:w="1433"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r>
      <w:tr>
        <w:trPr/>
        <w:tc>
          <w:tcPr>
            <w:tcW w:w="16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Principal Position</w:t>
            </w:r>
          </w:p>
        </w:tc>
        <w:tc>
          <w:tcPr>
            <w:tcW w:w="64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Arial" w:hAnsi="Arial"/>
                <w:b/>
                <w:color w:val="000000"/>
                <w:sz w:val="16"/>
              </w:rPr>
              <w:t>Year</w:t>
            </w:r>
            <w:r>
              <w:rPr>
                <w:rFonts w:ascii="Times New Roman" w:hAnsi="Times New Roman"/>
                <w:color w:val="000000"/>
                <w:sz w:val="16"/>
              </w:rPr>
              <w:t xml:space="preserve"> </w:t>
            </w:r>
          </w:p>
        </w:tc>
        <w:tc>
          <w:tcPr>
            <w:tcW w:w="790"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Salary ($)</w:t>
            </w:r>
          </w:p>
        </w:tc>
        <w:tc>
          <w:tcPr>
            <w:tcW w:w="93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Bonus ($) (1)</w:t>
            </w:r>
          </w:p>
        </w:tc>
        <w:tc>
          <w:tcPr>
            <w:tcW w:w="92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Stock Awards ($) (2)</w:t>
            </w:r>
          </w:p>
        </w:tc>
        <w:tc>
          <w:tcPr>
            <w:tcW w:w="106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Option Awards ($) (3)</w:t>
            </w:r>
          </w:p>
        </w:tc>
        <w:tc>
          <w:tcPr>
            <w:tcW w:w="1685"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Non-Equity Incentive Plan Compensation ($) (4)</w:t>
            </w:r>
          </w:p>
        </w:tc>
        <w:tc>
          <w:tcPr>
            <w:tcW w:w="143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All Other Compensation ($)</w:t>
            </w:r>
          </w:p>
        </w:tc>
        <w:tc>
          <w:tcPr>
            <w:tcW w:w="110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Total ($)</w:t>
            </w:r>
          </w:p>
        </w:tc>
      </w:tr>
      <w:tr>
        <w:trPr/>
        <w:tc>
          <w:tcPr>
            <w:tcW w:w="1610" w:type="dxa"/>
            <w:vMerge w:val="restart"/>
            <w:tcBorders/>
            <w:shd w:fill="CAEDFB" w:val="clear"/>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Mark Litton, Ph.D.,</w:t>
            </w:r>
          </w:p>
          <w:p>
            <w:pPr>
              <w:pStyle w:val="TableContents"/>
              <w:bidi w:val="0"/>
              <w:jc w:val="left"/>
              <w:rPr>
                <w:rFonts w:ascii="Times New Roman" w:hAnsi="Times New Roman"/>
                <w:sz w:val="18"/>
              </w:rPr>
            </w:pPr>
            <w:r>
              <w:rPr>
                <w:rFonts w:ascii="Arial" w:hAnsi="Arial"/>
                <w:color w:val="000000"/>
                <w:sz w:val="18"/>
              </w:rPr>
              <w:t>President and</w:t>
            </w:r>
            <w:r>
              <w:rPr>
                <w:rFonts w:ascii="Times New Roman" w:hAnsi="Times New Roman"/>
                <w:color w:val="000000"/>
                <w:sz w:val="18"/>
              </w:rPr>
              <w:t xml:space="preserve"> </w:t>
            </w:r>
          </w:p>
          <w:p>
            <w:pPr>
              <w:pStyle w:val="TableContents"/>
              <w:bidi w:val="0"/>
              <w:jc w:val="left"/>
              <w:rPr>
                <w:rFonts w:ascii="Arial" w:hAnsi="Arial"/>
                <w:color w:val="000000"/>
                <w:sz w:val="18"/>
              </w:rPr>
            </w:pPr>
            <w:r>
              <w:rPr>
                <w:rFonts w:ascii="Arial" w:hAnsi="Arial"/>
                <w:color w:val="000000"/>
                <w:sz w:val="18"/>
              </w:rPr>
              <w:t>Chief Executive</w:t>
            </w:r>
          </w:p>
          <w:p>
            <w:pPr>
              <w:pStyle w:val="TableContents"/>
              <w:bidi w:val="0"/>
              <w:spacing w:before="0" w:after="283"/>
              <w:jc w:val="left"/>
              <w:rPr>
                <w:rFonts w:ascii="Arial" w:hAnsi="Arial"/>
                <w:color w:val="000000"/>
                <w:sz w:val="18"/>
              </w:rPr>
            </w:pPr>
            <w:r>
              <w:rPr>
                <w:rFonts w:ascii="Arial" w:hAnsi="Arial"/>
                <w:color w:val="000000"/>
                <w:sz w:val="18"/>
              </w:rPr>
              <w:t>Officer</w:t>
            </w:r>
          </w:p>
        </w:tc>
        <w:tc>
          <w:tcPr>
            <w:tcW w:w="64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2025</w:t>
            </w:r>
          </w:p>
        </w:tc>
        <w:tc>
          <w:tcPr>
            <w:tcW w:w="790"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625,000</w:t>
            </w:r>
          </w:p>
        </w:tc>
        <w:tc>
          <w:tcPr>
            <w:tcW w:w="938"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171,875</w:t>
            </w:r>
            <w:r>
              <w:rPr>
                <w:rFonts w:ascii="Times New Roman" w:hAnsi="Times New Roman"/>
                <w:color w:val="000000"/>
                <w:sz w:val="18"/>
              </w:rPr>
              <w:t xml:space="preserve"> </w:t>
            </w:r>
          </w:p>
          <w:p>
            <w:pPr>
              <w:pStyle w:val="TableContents"/>
              <w:bidi w:val="0"/>
              <w:spacing w:before="0" w:after="283"/>
              <w:jc w:val="right"/>
              <w:rPr/>
            </w:pPr>
            <w:r>
              <w:rPr/>
              <w:t> </w:t>
            </w:r>
          </w:p>
        </w:tc>
        <w:tc>
          <w:tcPr>
            <w:tcW w:w="9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83,720</w:t>
            </w:r>
          </w:p>
        </w:tc>
        <w:tc>
          <w:tcPr>
            <w:tcW w:w="106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518,135</w:t>
            </w:r>
          </w:p>
        </w:tc>
        <w:tc>
          <w:tcPr>
            <w:tcW w:w="16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33"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25,085 (5)</w:t>
            </w:r>
          </w:p>
        </w:tc>
        <w:tc>
          <w:tcPr>
            <w:tcW w:w="1108"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1,423,814</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1610"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64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2024</w:t>
            </w:r>
          </w:p>
        </w:tc>
        <w:tc>
          <w:tcPr>
            <w:tcW w:w="790"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625,000</w:t>
            </w:r>
          </w:p>
        </w:tc>
        <w:tc>
          <w:tcPr>
            <w:tcW w:w="938"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138,353</w:t>
            </w:r>
          </w:p>
        </w:tc>
        <w:tc>
          <w:tcPr>
            <w:tcW w:w="106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1,991,260</w:t>
            </w:r>
          </w:p>
        </w:tc>
        <w:tc>
          <w:tcPr>
            <w:tcW w:w="16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395,313</w:t>
            </w:r>
          </w:p>
        </w:tc>
        <w:tc>
          <w:tcPr>
            <w:tcW w:w="1433"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25,085 (5)</w:t>
            </w:r>
          </w:p>
        </w:tc>
        <w:tc>
          <w:tcPr>
            <w:tcW w:w="110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3,175,009</w:t>
            </w:r>
          </w:p>
        </w:tc>
      </w:tr>
      <w:tr>
        <w:trPr/>
        <w:tc>
          <w:tcPr>
            <w:tcW w:w="1610" w:type="dxa"/>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Javier San Martin, M.D.,</w:t>
            </w:r>
          </w:p>
          <w:p>
            <w:pPr>
              <w:pStyle w:val="TableContents"/>
              <w:bidi w:val="0"/>
              <w:spacing w:before="0" w:after="283"/>
              <w:jc w:val="left"/>
              <w:rPr>
                <w:rFonts w:ascii="Arial" w:hAnsi="Arial"/>
                <w:color w:val="000000"/>
                <w:sz w:val="18"/>
              </w:rPr>
            </w:pPr>
            <w:r>
              <w:rPr>
                <w:rFonts w:ascii="Arial" w:hAnsi="Arial"/>
                <w:color w:val="000000"/>
                <w:sz w:val="18"/>
              </w:rPr>
              <w:t>Chief Medical Officer</w:t>
            </w:r>
          </w:p>
        </w:tc>
        <w:tc>
          <w:tcPr>
            <w:tcW w:w="646" w:type="dxa"/>
            <w:tcBorders/>
            <w:tcMar>
              <w:top w:w="0" w:type="dxa"/>
              <w:left w:w="0" w:type="dxa"/>
              <w:bottom w:w="0" w:type="dxa"/>
              <w:right w:w="0" w:type="dxa"/>
            </w:tcMar>
            <w:vAlign w:val="center"/>
          </w:tcPr>
          <w:p>
            <w:pPr>
              <w:pStyle w:val="TableContents"/>
              <w:bidi w:val="0"/>
              <w:jc w:val="right"/>
              <w:rPr>
                <w:color w:val="000000"/>
              </w:rPr>
            </w:pPr>
            <w:r>
              <w:rPr>
                <w:color w:val="000000"/>
              </w:rPr>
              <w:t>  </w:t>
            </w:r>
            <w:r>
              <w:rPr>
                <w:rFonts w:ascii="Arial" w:hAnsi="Arial"/>
                <w:color w:val="000000"/>
                <w:sz w:val="18"/>
              </w:rPr>
              <w:t>2025</w:t>
            </w:r>
          </w:p>
          <w:p>
            <w:pPr>
              <w:pStyle w:val="TableContents"/>
              <w:bidi w:val="0"/>
              <w:spacing w:before="0" w:after="283"/>
              <w:jc w:val="right"/>
              <w:rPr/>
            </w:pPr>
            <w:r>
              <w:rPr/>
              <w:t> </w:t>
            </w:r>
          </w:p>
        </w:tc>
        <w:tc>
          <w:tcPr>
            <w:tcW w:w="790"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500,000</w:t>
            </w:r>
          </w:p>
          <w:p>
            <w:pPr>
              <w:pStyle w:val="TableContents"/>
              <w:bidi w:val="0"/>
              <w:spacing w:before="0" w:after="283"/>
              <w:jc w:val="right"/>
              <w:rPr/>
            </w:pPr>
            <w:r>
              <w:rPr/>
              <w:t> </w:t>
            </w:r>
          </w:p>
        </w:tc>
        <w:tc>
          <w:tcPr>
            <w:tcW w:w="938"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100,000</w:t>
            </w:r>
            <w:r>
              <w:rPr>
                <w:rFonts w:ascii="Times New Roman" w:hAnsi="Times New Roman"/>
                <w:color w:val="000000"/>
                <w:sz w:val="18"/>
              </w:rPr>
              <w:t xml:space="preserve"> </w:t>
            </w:r>
          </w:p>
          <w:p>
            <w:pPr>
              <w:pStyle w:val="TableContents"/>
              <w:bidi w:val="0"/>
              <w:spacing w:before="0" w:after="283"/>
              <w:jc w:val="right"/>
              <w:rPr/>
            </w:pPr>
            <w:r>
              <w:rPr/>
              <w:t> </w:t>
            </w:r>
          </w:p>
        </w:tc>
        <w:tc>
          <w:tcPr>
            <w:tcW w:w="926"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27,907</w:t>
            </w:r>
          </w:p>
          <w:p>
            <w:pPr>
              <w:pStyle w:val="TableContents"/>
              <w:bidi w:val="0"/>
              <w:spacing w:before="0" w:after="283"/>
              <w:jc w:val="right"/>
              <w:rPr/>
            </w:pPr>
            <w:r>
              <w:rPr/>
              <w:t> </w:t>
            </w:r>
          </w:p>
        </w:tc>
        <w:tc>
          <w:tcPr>
            <w:tcW w:w="1069"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182,143</w:t>
            </w:r>
          </w:p>
          <w:p>
            <w:pPr>
              <w:pStyle w:val="TableContents"/>
              <w:bidi w:val="0"/>
              <w:spacing w:before="0" w:after="283"/>
              <w:jc w:val="right"/>
              <w:rPr/>
            </w:pPr>
            <w:r>
              <w:rPr/>
              <w:t> </w:t>
            </w:r>
          </w:p>
        </w:tc>
        <w:tc>
          <w:tcPr>
            <w:tcW w:w="1685" w:type="dxa"/>
            <w:tcBorders/>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jc w:val="right"/>
              <w:rPr/>
            </w:pPr>
            <w:r>
              <w:rPr/>
              <w:t> </w:t>
            </w:r>
          </w:p>
        </w:tc>
        <w:tc>
          <w:tcPr>
            <w:tcW w:w="1433"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85 (6)</w:t>
            </w:r>
          </w:p>
          <w:p>
            <w:pPr>
              <w:pStyle w:val="TableContents"/>
              <w:bidi w:val="0"/>
              <w:spacing w:before="0" w:after="283"/>
              <w:jc w:val="right"/>
              <w:rPr/>
            </w:pPr>
            <w:r>
              <w:rPr/>
              <w:t> </w:t>
            </w:r>
          </w:p>
        </w:tc>
        <w:tc>
          <w:tcPr>
            <w:tcW w:w="1108"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810,134</w:t>
            </w:r>
          </w:p>
          <w:p>
            <w:pPr>
              <w:pStyle w:val="TableContents"/>
              <w:bidi w:val="0"/>
              <w:spacing w:before="0" w:after="283"/>
              <w:jc w:val="right"/>
              <w:rPr/>
            </w:pPr>
            <w:r>
              <w:rPr/>
              <w:t> </w:t>
            </w:r>
          </w:p>
        </w:tc>
      </w:tr>
      <w:tr>
        <w:trPr/>
        <w:tc>
          <w:tcPr>
            <w:tcW w:w="1610" w:type="dxa"/>
            <w:vMerge w:val="restart"/>
            <w:tcBorders/>
            <w:shd w:fill="CAEDFB" w:val="clear"/>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Mark Worthington,</w:t>
            </w:r>
          </w:p>
          <w:p>
            <w:pPr>
              <w:pStyle w:val="TableContents"/>
              <w:bidi w:val="0"/>
              <w:jc w:val="left"/>
              <w:rPr>
                <w:rFonts w:ascii="Times New Roman" w:hAnsi="Times New Roman"/>
                <w:sz w:val="18"/>
              </w:rPr>
            </w:pPr>
            <w:r>
              <w:rPr>
                <w:rFonts w:ascii="Arial" w:hAnsi="Arial"/>
                <w:color w:val="000000"/>
                <w:sz w:val="18"/>
              </w:rPr>
              <w:t>General Counsel, Chief Compliance Officer and</w:t>
            </w:r>
            <w:r>
              <w:rPr>
                <w:rFonts w:ascii="Times New Roman" w:hAnsi="Times New Roman"/>
                <w:color w:val="000000"/>
                <w:sz w:val="18"/>
              </w:rPr>
              <w:t xml:space="preserve"> </w:t>
            </w:r>
          </w:p>
          <w:p>
            <w:pPr>
              <w:pStyle w:val="TableContents"/>
              <w:bidi w:val="0"/>
              <w:spacing w:before="0" w:after="283"/>
              <w:jc w:val="left"/>
              <w:rPr>
                <w:rFonts w:ascii="Arial" w:hAnsi="Arial"/>
                <w:color w:val="000000"/>
                <w:sz w:val="18"/>
              </w:rPr>
            </w:pPr>
            <w:r>
              <w:rPr>
                <w:rFonts w:ascii="Arial" w:hAnsi="Arial"/>
                <w:color w:val="000000"/>
                <w:sz w:val="18"/>
              </w:rPr>
              <w:t>Corporate Secretary</w:t>
            </w:r>
          </w:p>
        </w:tc>
        <w:tc>
          <w:tcPr>
            <w:tcW w:w="64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2025</w:t>
            </w:r>
          </w:p>
        </w:tc>
        <w:tc>
          <w:tcPr>
            <w:tcW w:w="790"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450,000</w:t>
            </w:r>
          </w:p>
        </w:tc>
        <w:tc>
          <w:tcPr>
            <w:tcW w:w="938" w:type="dxa"/>
            <w:tcBorders/>
            <w:shd w:fill="CAEDFB" w:val="clear"/>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90,000</w:t>
            </w:r>
          </w:p>
          <w:p>
            <w:pPr>
              <w:pStyle w:val="TableContents"/>
              <w:bidi w:val="0"/>
              <w:spacing w:before="0" w:after="283"/>
              <w:jc w:val="right"/>
              <w:rPr/>
            </w:pPr>
            <w:r>
              <w:rPr/>
              <w:t> </w:t>
            </w:r>
          </w:p>
        </w:tc>
        <w:tc>
          <w:tcPr>
            <w:tcW w:w="9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21,541</w:t>
            </w:r>
          </w:p>
        </w:tc>
        <w:tc>
          <w:tcPr>
            <w:tcW w:w="106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140,601</w:t>
            </w:r>
          </w:p>
        </w:tc>
        <w:tc>
          <w:tcPr>
            <w:tcW w:w="16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33"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29,335 (5)</w:t>
            </w:r>
          </w:p>
        </w:tc>
        <w:tc>
          <w:tcPr>
            <w:tcW w:w="1108"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731,477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1610"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64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2024</w:t>
            </w:r>
          </w:p>
        </w:tc>
        <w:tc>
          <w:tcPr>
            <w:tcW w:w="790"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450,000</w:t>
            </w:r>
          </w:p>
        </w:tc>
        <w:tc>
          <w:tcPr>
            <w:tcW w:w="938"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49,489</w:t>
            </w:r>
          </w:p>
        </w:tc>
        <w:tc>
          <w:tcPr>
            <w:tcW w:w="106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606,498</w:t>
            </w:r>
          </w:p>
        </w:tc>
        <w:tc>
          <w:tcPr>
            <w:tcW w:w="16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207,000</w:t>
            </w:r>
          </w:p>
        </w:tc>
        <w:tc>
          <w:tcPr>
            <w:tcW w:w="1433"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24,523 (5)</w:t>
            </w:r>
          </w:p>
        </w:tc>
        <w:tc>
          <w:tcPr>
            <w:tcW w:w="110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1,337,509</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In January 2025, the compensation committee, and with respect to Dr. Litton, the board of directors, approved a retention bonus program under the Company’s Executive Incentive Compensation Plan, which program was amended in February 2025. As amended, the retention bonus program provided that each employee would be entitled to receive a cash bonus equal to the greater of (i) 50% of the employee’s 2025 annual target bonus and (ii) 10% of the employee’s 2025 annual base salary, due on the earliest of (i) September 20, 2025, (ii) consummation of a contemplated strategic transaction and (iii) the date the Company wound up its affairs. The bonuses reflected in this column were paid to the executives on September 30, 2025.</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 xml:space="preserve">In accordance with Securities and Exchange Commission rules, amounts in this column reflect the aggregate grant date fair value of time-based and performance RSU awards granted during 2024 and 2025 computed in accordance with ASC Topic 718, rather than the amounts paid or realized by the named executive officer. The performance RSU award amounts reflect the probable outcome of the performance conditions, in accordance with ASC Topic 718. For a discussion of valuation assumptions, see Note 9 and the sections titled “Stock-based Compensation” to our financial statements included in our Annual Report on Form 10-K for the year ended December 31, 2024. The fair value of the performance RSU awards at the grant date has been calculated assuming that the highest level of performance conditions will be achieved for each award.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 xml:space="preserve">In accordance with Securities and Exchange Commission rules, amounts in this column reflect the aggregate grant date fair value of stock options granted during 2024 and 2025 computed in accordance with ASC Topic 718, rather than the amounts paid or realized by the named executive officer. For a discussion of valuation assumptions, see Note 9 and the sections titled “Stock-based Compensation” to our financial statements included in our Annual Report on Form 10-K for the year ended December 31, 2024.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 xml:space="preserve">Represents cash bonuses earned by the named executive officers pursuant to our Executive Incentive Compensation Plan for 2024 performance, paid in 2025. </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spacing w:before="0" w:after="0"/>
        <w:jc w:val="left"/>
        <w:rPr>
          <w:rFonts w:ascii="Arial" w:hAnsi="Arial"/>
          <w:color w:val="000000"/>
          <w:sz w:val="18"/>
        </w:rPr>
      </w:pPr>
      <w:r>
        <w:rPr>
          <w:rFonts w:ascii="Arial" w:hAnsi="Arial"/>
          <w:color w:val="000000"/>
          <w:sz w:val="18"/>
        </w:rPr>
        <w:t xml:space="preserve">Represents payments made on the executive’s behalf for basic life insurance and contributions to vested and unvested defined contribution plans. </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jc w:val="left"/>
        <w:rPr>
          <w:rFonts w:ascii="Arial" w:hAnsi="Arial"/>
          <w:color w:val="000000"/>
          <w:sz w:val="18"/>
        </w:rPr>
      </w:pPr>
      <w:r>
        <w:rPr>
          <w:rFonts w:ascii="Arial" w:hAnsi="Arial"/>
          <w:color w:val="000000"/>
          <w:sz w:val="18"/>
        </w:rPr>
        <w:t>Represents payments made on the executive’s behalf for basic life insurance.</w:t>
      </w:r>
    </w:p>
    <w:p>
      <w:pPr>
        <w:pStyle w:val="TextBody"/>
        <w:bidi w:val="0"/>
        <w:jc w:val="left"/>
        <w:rPr/>
      </w:pPr>
      <w:r>
        <w:rPr/>
        <w:t> </w:t>
      </w:r>
    </w:p>
    <w:p>
      <w:pPr>
        <w:pStyle w:val="TextBody"/>
        <w:bidi w:val="0"/>
        <w:jc w:val="left"/>
        <w:rPr>
          <w:rFonts w:ascii="Times New Roman" w:hAnsi="Times New Roman"/>
          <w:sz w:val="20"/>
        </w:rPr>
      </w:pPr>
      <w:bookmarkStart w:id="79" w:name="outstanding_equity_awards_at_december"/>
      <w:bookmarkEnd w:id="79"/>
      <w:r>
        <w:rPr>
          <w:rFonts w:ascii="Arial" w:hAnsi="Arial"/>
          <w:b/>
          <w:color w:val="000000"/>
          <w:sz w:val="18"/>
        </w:rPr>
        <w:t>Outstanding Equity Awards at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table shows grants of stock options and RSUs to each of our named executive officers outstanding at December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9"/>
        <w:gridCol w:w="1698"/>
        <w:gridCol w:w="537"/>
        <w:gridCol w:w="537"/>
        <w:gridCol w:w="1285"/>
        <w:gridCol w:w="1118"/>
        <w:gridCol w:w="1026"/>
        <w:gridCol w:w="603"/>
        <w:gridCol w:w="603"/>
        <w:gridCol w:w="1459"/>
      </w:tblGrid>
      <w:tr>
        <w:trPr/>
        <w:tc>
          <w:tcPr>
            <w:tcW w:w="1339" w:type="dxa"/>
            <w:tcBorders/>
            <w:shd w:fill="FFFFFF" w:val="clear"/>
            <w:vAlign w:val="center"/>
          </w:tcPr>
          <w:p>
            <w:pPr>
              <w:pStyle w:val="TableContents"/>
              <w:bidi w:val="0"/>
              <w:spacing w:before="0" w:after="283"/>
              <w:jc w:val="left"/>
              <w:rPr>
                <w:sz w:val="4"/>
                <w:szCs w:val="4"/>
              </w:rPr>
            </w:pPr>
            <w:r>
              <w:rPr>
                <w:sz w:val="4"/>
                <w:szCs w:val="4"/>
              </w:rPr>
            </w:r>
          </w:p>
        </w:tc>
        <w:tc>
          <w:tcPr>
            <w:tcW w:w="1698"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1285" w:type="dxa"/>
            <w:tcBorders/>
            <w:shd w:fill="FFFFFF" w:val="clear"/>
            <w:vAlign w:val="center"/>
          </w:tcPr>
          <w:p>
            <w:pPr>
              <w:pStyle w:val="TableContents"/>
              <w:bidi w:val="0"/>
              <w:spacing w:before="0" w:after="283"/>
              <w:jc w:val="left"/>
              <w:rPr>
                <w:sz w:val="4"/>
                <w:szCs w:val="4"/>
              </w:rPr>
            </w:pPr>
            <w:r>
              <w:rPr>
                <w:sz w:val="4"/>
                <w:szCs w:val="4"/>
              </w:rPr>
            </w:r>
          </w:p>
        </w:tc>
        <w:tc>
          <w:tcPr>
            <w:tcW w:w="1118"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shd w:fill="FFFFFF" w:val="clear"/>
            <w:vAlign w:val="center"/>
          </w:tcPr>
          <w:p>
            <w:pPr>
              <w:pStyle w:val="TableContents"/>
              <w:bidi w:val="0"/>
              <w:spacing w:before="0" w:after="283"/>
              <w:jc w:val="left"/>
              <w:rPr>
                <w:sz w:val="4"/>
                <w:szCs w:val="4"/>
              </w:rPr>
            </w:pPr>
            <w:r>
              <w:rPr>
                <w:sz w:val="4"/>
                <w:szCs w:val="4"/>
              </w:rPr>
            </w:r>
          </w:p>
        </w:tc>
        <w:tc>
          <w:tcPr>
            <w:tcW w:w="1459" w:type="dxa"/>
            <w:tcBorders/>
            <w:shd w:fill="FFFFFF" w:val="cle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 Securities</w:t>
            </w:r>
            <w:r>
              <w:rPr>
                <w:rFonts w:ascii="Times New Roman" w:hAnsi="Times New Roman"/>
                <w:color w:val="000000"/>
                <w:sz w:val="16"/>
              </w:rPr>
              <w:t xml:space="preserve"> </w:t>
            </w:r>
            <w:r>
              <w:rPr>
                <w:rFonts w:ascii="Arial" w:hAnsi="Arial"/>
                <w:b/>
                <w:color w:val="000000"/>
                <w:sz w:val="16"/>
              </w:rPr>
              <w:t>Underlying Unexercised Options</w:t>
            </w:r>
          </w:p>
        </w:tc>
        <w:tc>
          <w:tcPr>
            <w:tcW w:w="20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Awards (unvested)</w:t>
            </w:r>
          </w:p>
        </w:tc>
      </w:tr>
      <w:tr>
        <w:trPr/>
        <w:tc>
          <w:tcPr>
            <w:tcW w:w="13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69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Vesting Commencement Date</w:t>
            </w:r>
          </w:p>
        </w:tc>
        <w:tc>
          <w:tcPr>
            <w:tcW w:w="1074" w:type="dxa"/>
            <w:gridSpan w:val="2"/>
            <w:tcBorders>
              <w:top w:val="single" w:sz="4" w:space="0" w:color="000000"/>
            </w:tcBorders>
            <w:tcMar>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Exercisable (#)</w:t>
            </w:r>
          </w:p>
        </w:tc>
        <w:tc>
          <w:tcPr>
            <w:tcW w:w="1285" w:type="dxa"/>
            <w:tcBorders>
              <w:top w:val="single" w:sz="4" w:space="0" w:color="000000"/>
            </w:tcBorders>
            <w:tcMar>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Unexercisable (#)</w:t>
            </w:r>
          </w:p>
        </w:tc>
        <w:tc>
          <w:tcPr>
            <w:tcW w:w="1118" w:type="dxa"/>
            <w:tcBorders>
              <w:top w:val="single" w:sz="4" w:space="0" w:color="000000"/>
            </w:tcBorders>
            <w:tcMar>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Option Exercise Price ($)</w:t>
            </w:r>
          </w:p>
        </w:tc>
        <w:tc>
          <w:tcPr>
            <w:tcW w:w="1026" w:type="dxa"/>
            <w:tcBorders>
              <w:top w:val="single" w:sz="4" w:space="0" w:color="000000"/>
            </w:tcBorders>
            <w:tcMar>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Expiration Date</w:t>
            </w:r>
          </w:p>
        </w:tc>
        <w:tc>
          <w:tcPr>
            <w:tcW w:w="1206"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Number of Shares or Units (#)</w:t>
            </w:r>
          </w:p>
        </w:tc>
        <w:tc>
          <w:tcPr>
            <w:tcW w:w="145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Market Value of Shares or Units ($)(4)</w:t>
            </w:r>
          </w:p>
        </w:tc>
      </w:tr>
      <w:tr>
        <w:trPr/>
        <w:tc>
          <w:tcPr>
            <w:tcW w:w="1339" w:type="dxa"/>
            <w:vMerge w:val="restart"/>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Mark Litton, Ph.D.</w:t>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7/1/2019</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10,088</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8/14/2029</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8/26/2020</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4,665</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9/16/2030</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1/8/2021</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8,499</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2/17/2031</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1/27/2022</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39,166</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833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99.10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1/26/2032</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1/27/2023</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41,319</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1,180 (2)</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1/26/2033</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2/15/2024</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29,795</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35,204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2/14/2034</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10/3/2024</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32,500</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10/2/2034</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6,259</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27,121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22,254 (3)</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168,463</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133,526 (5)</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Javier San Martin, M.D.</w:t>
            </w:r>
          </w:p>
        </w:tc>
        <w:tc>
          <w:tcPr>
            <w:tcW w:w="169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4/15/2024</w:t>
            </w:r>
          </w:p>
        </w:tc>
        <w:tc>
          <w:tcPr>
            <w:tcW w:w="1074"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16,675</w:t>
            </w:r>
          </w:p>
        </w:tc>
        <w:tc>
          <w:tcPr>
            <w:tcW w:w="12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23,325 (6)</w:t>
            </w:r>
          </w:p>
        </w:tc>
        <w:tc>
          <w:tcPr>
            <w:tcW w:w="11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20.60</w:t>
            </w:r>
          </w:p>
        </w:tc>
        <w:tc>
          <w:tcPr>
            <w:tcW w:w="10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4/14/2034</w:t>
            </w:r>
          </w:p>
        </w:tc>
        <w:tc>
          <w:tcPr>
            <w:tcW w:w="1206"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tcMar>
              <w:top w:w="0" w:type="dxa"/>
              <w:left w:w="0" w:type="dxa"/>
              <w:bottom w:w="0" w:type="dxa"/>
              <w:right w:w="0" w:type="dxa"/>
            </w:tcMar>
            <w:vAlign w:val="center"/>
          </w:tcPr>
          <w:p>
            <w:pPr>
              <w:pStyle w:val="Normal"/>
              <w:bidi w:val="0"/>
              <w:jc w:val="left"/>
              <w:rPr/>
            </w:pPr>
            <w:r>
              <w:rPr/>
            </w:r>
          </w:p>
        </w:tc>
        <w:tc>
          <w:tcPr>
            <w:tcW w:w="169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074"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14,000</w:t>
            </w:r>
          </w:p>
        </w:tc>
        <w:tc>
          <w:tcPr>
            <w:tcW w:w="128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w:t>
            </w:r>
          </w:p>
        </w:tc>
        <w:tc>
          <w:tcPr>
            <w:tcW w:w="10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206"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tcMar>
              <w:top w:w="0" w:type="dxa"/>
              <w:left w:w="0" w:type="dxa"/>
              <w:bottom w:w="0" w:type="dxa"/>
              <w:right w:w="0" w:type="dxa"/>
            </w:tcMar>
            <w:vAlign w:val="center"/>
          </w:tcPr>
          <w:p>
            <w:pPr>
              <w:pStyle w:val="Normal"/>
              <w:bidi w:val="0"/>
              <w:jc w:val="left"/>
              <w:rPr/>
            </w:pPr>
            <w:r>
              <w:rPr/>
            </w:r>
          </w:p>
        </w:tc>
        <w:tc>
          <w:tcPr>
            <w:tcW w:w="169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w:t>
            </w:r>
          </w:p>
        </w:tc>
        <w:tc>
          <w:tcPr>
            <w:tcW w:w="12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9,039 (1)</w:t>
            </w:r>
          </w:p>
        </w:tc>
        <w:tc>
          <w:tcPr>
            <w:tcW w:w="11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w:t>
            </w:r>
          </w:p>
        </w:tc>
        <w:tc>
          <w:tcPr>
            <w:tcW w:w="10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tcMar>
              <w:top w:w="0" w:type="dxa"/>
              <w:left w:w="0" w:type="dxa"/>
              <w:bottom w:w="0" w:type="dxa"/>
              <w:right w:w="0" w:type="dxa"/>
            </w:tcMar>
            <w:vAlign w:val="center"/>
          </w:tcPr>
          <w:p>
            <w:pPr>
              <w:pStyle w:val="Normal"/>
              <w:bidi w:val="0"/>
              <w:jc w:val="left"/>
              <w:rPr/>
            </w:pPr>
            <w:r>
              <w:rPr/>
            </w:r>
          </w:p>
        </w:tc>
        <w:tc>
          <w:tcPr>
            <w:tcW w:w="169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7,418 (3)</w:t>
            </w:r>
          </w:p>
        </w:tc>
        <w:tc>
          <w:tcPr>
            <w:tcW w:w="145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56,154</w:t>
            </w:r>
          </w:p>
        </w:tc>
      </w:tr>
      <w:tr>
        <w:trPr/>
        <w:tc>
          <w:tcPr>
            <w:tcW w:w="1339" w:type="dxa"/>
            <w:vMerge w:val="continue"/>
            <w:tcBorders/>
            <w:tcMar>
              <w:top w:w="0" w:type="dxa"/>
              <w:left w:w="0" w:type="dxa"/>
              <w:bottom w:w="0" w:type="dxa"/>
              <w:right w:w="0" w:type="dxa"/>
            </w:tcMar>
            <w:vAlign w:val="center"/>
          </w:tcPr>
          <w:p>
            <w:pPr>
              <w:pStyle w:val="Normal"/>
              <w:bidi w:val="0"/>
              <w:jc w:val="left"/>
              <w:rPr/>
            </w:pPr>
            <w:r>
              <w:rPr/>
            </w:r>
          </w:p>
        </w:tc>
        <w:tc>
          <w:tcPr>
            <w:tcW w:w="169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9/24/2025</w:t>
            </w:r>
          </w:p>
        </w:tc>
        <w:tc>
          <w:tcPr>
            <w:tcW w:w="1074"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44,508 (5)</w:t>
            </w:r>
          </w:p>
        </w:tc>
        <w:tc>
          <w:tcPr>
            <w:tcW w:w="11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10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9/23/2035</w:t>
            </w:r>
          </w:p>
        </w:tc>
        <w:tc>
          <w:tcPr>
            <w:tcW w:w="1206"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restart"/>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Mark Worthington</w:t>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6/1/2021</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14,999</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11/2/2031</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1/18/2022</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14,687</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1/17/2032</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1/19/2023</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14,583</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 (2)</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1/18/2033</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2/14/2024</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10,087</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11,912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2/13/2034</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10,999</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1,611</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6,977 (1)</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5,726 (3)</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43,346</w:t>
            </w:r>
          </w:p>
        </w:tc>
      </w:tr>
      <w:tr>
        <w:trPr/>
        <w:tc>
          <w:tcPr>
            <w:tcW w:w="1339" w:type="dxa"/>
            <w:vMerge w:val="continue"/>
            <w:tcBorders/>
            <w:shd w:fill="CAEDFB" w:val="clear"/>
            <w:tcMar>
              <w:top w:w="0" w:type="dxa"/>
              <w:left w:w="0" w:type="dxa"/>
              <w:bottom w:w="0" w:type="dxa"/>
              <w:right w:w="0" w:type="dxa"/>
            </w:tcMar>
            <w:vAlign w:val="center"/>
          </w:tcPr>
          <w:p>
            <w:pPr>
              <w:pStyle w:val="Normal"/>
              <w:bidi w:val="0"/>
              <w:jc w:val="left"/>
              <w:rPr/>
            </w:pPr>
            <w:r>
              <w:rPr/>
            </w:r>
          </w:p>
        </w:tc>
        <w:tc>
          <w:tcPr>
            <w:tcW w:w="169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9/24/2025</w:t>
            </w:r>
          </w:p>
        </w:tc>
        <w:tc>
          <w:tcPr>
            <w:tcW w:w="1074"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85"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34,358 (5)</w:t>
            </w:r>
          </w:p>
        </w:tc>
        <w:tc>
          <w:tcPr>
            <w:tcW w:w="1118"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10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9/23/2035</w:t>
            </w:r>
          </w:p>
        </w:tc>
        <w:tc>
          <w:tcPr>
            <w:tcW w:w="1206" w:type="dxa"/>
            <w:gridSpan w:val="2"/>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59"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 xml:space="preserve">Stock option vests over four years, with 1/48 vesting on the monthly anniversary of the vesting commencement date, subject to continued service with us through the applicable vesting date.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 xml:space="preserve">Stock option vests over three years, with 1/36 vesting on the monthly anniversary of the vesting commencement date, subject to continued service with us through the applicable vesting date.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100% of the RSUs will vest on the one-year anniversary of the vesting commencement date.</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The market value of RSUs that have not vested is based on the closing price of the Company’s common stock on Nasdaq on December 31, 2025, which was $7.57 per share.</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spacing w:before="0" w:after="0"/>
        <w:jc w:val="left"/>
        <w:rPr>
          <w:rFonts w:ascii="Arial" w:hAnsi="Arial"/>
          <w:color w:val="000000"/>
          <w:sz w:val="18"/>
        </w:rPr>
      </w:pPr>
      <w:r>
        <w:rPr>
          <w:rFonts w:ascii="Arial" w:hAnsi="Arial"/>
          <w:color w:val="000000"/>
          <w:sz w:val="18"/>
        </w:rPr>
        <w:t>Stock option scheduled to vest only upon satisfaction of both a milestone requirement and a service-based requirement. The milestone requirement was satisfied on December 23, 2025. The service-based requirement will be satisfied as to 50% of the total number of shares granted under the option on December 23, 2026 and as to 1/36th of the remaining 50% on each monthly anniversary thereafter.</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jc w:val="left"/>
        <w:rPr>
          <w:rFonts w:ascii="Arial" w:hAnsi="Arial"/>
          <w:color w:val="000000"/>
          <w:sz w:val="18"/>
        </w:rPr>
      </w:pPr>
      <w:r>
        <w:rPr>
          <w:rFonts w:ascii="Arial" w:hAnsi="Arial"/>
          <w:color w:val="000000"/>
          <w:sz w:val="18"/>
        </w:rPr>
        <w:t>Stock option vests as to 25% on the first anniversary of the vesting commencement date, with the remaining stock options vesting monthly thereafter.</w:t>
      </w:r>
    </w:p>
    <w:p>
      <w:pPr>
        <w:pStyle w:val="TextBody"/>
        <w:bidi w:val="0"/>
        <w:jc w:val="left"/>
        <w:rPr/>
      </w:pPr>
      <w:r>
        <w:rPr/>
        <w:t> </w:t>
      </w:r>
    </w:p>
    <w:p>
      <w:pPr>
        <w:pStyle w:val="TextBody"/>
        <w:bidi w:val="0"/>
        <w:jc w:val="left"/>
        <w:rPr>
          <w:rFonts w:ascii="Times New Roman" w:hAnsi="Times New Roman"/>
          <w:sz w:val="20"/>
        </w:rPr>
      </w:pPr>
      <w:bookmarkStart w:id="80" w:name="executive_employment_arrangements"/>
      <w:bookmarkEnd w:id="80"/>
      <w:r>
        <w:rPr>
          <w:rFonts w:ascii="Arial" w:hAnsi="Arial"/>
          <w:b/>
          <w:color w:val="000000"/>
          <w:sz w:val="18"/>
        </w:rPr>
        <w:t>Executive Employment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Each of our named executive officers has executed our standard form of confidential information, invention assignment and arbitration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18"/>
        </w:rPr>
        <w:t>Dr. Mark Litton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February 2025, the board of directors, upon recommendation of our compensation committee, approved a continuation of Dr. Litton’s annual base salary at $625,000, effective as of January 1, 2025. Dr. Litton’s current annual base salary remains $625,000 and his target annual bonus amount under the Company’s bonus plan is 55% of his annual base salary.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Javier San Martin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March 2024, we entered into an offer letter with Dr. San Martin, our chief medical officer. The offer letter has no specific term and provides that Dr. San Martin is an at-will employee. In January 2025, our compensation committee approved a continuation of Dr. San Martin’s annual base salary at $500,000, effective as of January 1, 2025. Dr. San Martin’s current base salary remains $500,000 and his target annual bonus amount under the Company’s bonus plan is 40% of his annual base salary.</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Mark Worthington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May 2021, we entered into an offer letter with Mr. Worthington, our general counsel, chief compliance officer and corporate secretary. The offer letter has no specific term and provides that Mr. Worthington is an at-will employee. In January 2025, our compensation committee approved a continuation of Mr. Worthington’s annual base salary at $450,000, effective as of January 1, 2025. Mr. Worthington’s current base salary remains $450,000 and his target annual bonus amount under the Company’s bonus plan is 40% of his annual base salary.</w:t>
      </w:r>
    </w:p>
    <w:p>
      <w:pPr>
        <w:pStyle w:val="TextBody"/>
        <w:bidi w:val="0"/>
        <w:jc w:val="left"/>
        <w:rPr/>
      </w:pPr>
      <w:r>
        <w:rPr/>
        <w:t> </w:t>
      </w:r>
    </w:p>
    <w:p>
      <w:pPr>
        <w:pStyle w:val="TextBody"/>
        <w:bidi w:val="0"/>
        <w:jc w:val="left"/>
        <w:rPr>
          <w:rFonts w:ascii="Arial" w:hAnsi="Arial"/>
          <w:b/>
          <w:color w:val="000000"/>
          <w:sz w:val="18"/>
        </w:rPr>
      </w:pPr>
      <w:bookmarkStart w:id="81" w:name="change_in_control_and_severance_agreemen"/>
      <w:bookmarkEnd w:id="81"/>
      <w:r>
        <w:rPr>
          <w:rFonts w:ascii="Arial" w:hAnsi="Arial"/>
          <w:b/>
          <w:color w:val="000000"/>
          <w:sz w:val="18"/>
        </w:rPr>
        <w:t>Change In Control And Severance Agreements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June 2021 we entered into a change in control and severance agreement with Mr. Worthington, in January 2022 we entered into an amended change in control and severance agreement with Dr. Litton, and in April 2024 we entered into a change in control and severance agreement with Dr. San Martin. These agreements provide for certain severance and change in control benefits as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the employment of a named executive officer with whom we have entered into a change in control and severance agreement is terminated outside the period beginning one month prior to the date of a change in control and ending 12 months following that change in control, or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payment of premiums for coverage under the Consolidated Omnibus Budget Reconciliation Act of 1985, as amended (COBRA), for the named executive officer and his eligible dependents, if any, for up to 9 months (or up to 12 months for Dr. Litton);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in the case of Dr. Litton, 25% accelerated vesting and exercisability of the shares subject to the stock option award granted to Dr. Litton on August 15, 2019, that are outstanding and unvested as of the date of such termination.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during the Change in Control Period, the employment of a named executive officer with whom we have entered into a change in control and severance agreement is terminated either (1) by the Company without cause (excluding by reason of death or disability)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(2) by the named executive officer for good reason, the named executive officer will receive the following benefits if the named executive officer timely signs and does not revoke a release of claims in our favor:</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a lump-sum payment equal to 100% (or 150% in the case of Dr. Litton) of the named executive officer’s target annual bonus as in effect for the fiscal year in which such termination occurs or if greater, at the level in effect immediately prior to the change in control;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payment of premiums for coverage under COBRA for the named executive officer and the named executive officer’s eligible dependents, if any, for up to 12 months (or up to 18 months for Dr. Litton); and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100% accelerated vesting and exercisability of all Company equity awards with service-based vesting (but that are not subject to performance-based vesting) that are outstanding and unvested as of the date of the qualifying termination.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pStyle w:val="TextBody"/>
        <w:bidi w:val="0"/>
        <w:jc w:val="left"/>
        <w:rPr/>
      </w:pPr>
      <w:r>
        <w:rPr/>
        <w:t> </w:t>
      </w:r>
    </w:p>
    <w:p>
      <w:pPr>
        <w:pStyle w:val="TextBody"/>
        <w:bidi w:val="0"/>
        <w:jc w:val="left"/>
        <w:rPr>
          <w:rFonts w:ascii="Arial" w:hAnsi="Arial"/>
          <w:b/>
          <w:color w:val="000000"/>
          <w:sz w:val="18"/>
        </w:rPr>
      </w:pPr>
      <w:bookmarkStart w:id="82" w:name="equity_awards"/>
      <w:bookmarkEnd w:id="82"/>
      <w:r>
        <w:rPr>
          <w:rFonts w:ascii="Arial" w:hAnsi="Arial"/>
          <w:b/>
          <w:color w:val="000000"/>
          <w:sz w:val="18"/>
        </w:rPr>
        <w:t>Equity Awards</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2025 Time-Based Options and RSUs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February 2025, our compensation committee approved, or recommended that our board of directors approve, grants of stock options under our 2020 Equity Incentive Plan to our named executive officers. Dr. San Martin and Mr. Worthington were awarded stock options equal to 11,127 and 8,589 shares, respectively, which vest monthly over four years, subject to continued service with us through the applicable vesting date. In February 2025, our compensation committee recommended, and our board of directors approved, a grant of stock options under our 2020 Equity Incentive Plan of 33,381 shares to Dr. Litton, which vest monthly over four years, subject to continued service with us through the applicable vesting date. Each of the named executive officer’s options are also subject to acceleration pursuant to the terms of his change in control and severance agreement, as described above.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February 2025, our compensation committee approved, or recommended that our board of directors approve, grants of RSUs under our 2020 Equity Incentive Plan to our named executive officers. Dr. San Martin and Mr. Worthington were awarded 7,418 and 5,726 RSUs, respectively, which vest as to 100% on the one-year anniversary of the applicable vesting commencement date. In February 2025, our compensation committee recommended, and our board of directors approved, a grant of 22,254 RSUs under our 2020 Equity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Incentive Plan to Dr. Litton, which vest as to 100% on the one-year anniversary of the applicable vesting commencement date. Each of the named executive officer’s RSU awards are also subject to acceleration pursuant to the terms of his change in control and severance agreement, as described above.</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Retention Awards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October 2024, our compensation committee approved, or recommended that our board of directors approve, the grant of retention equity awards under our 2020 Equity Incentive Plan to each of Dr. Litton, Dr. San Martin and Mr. Worthington in the form of stock options and RSUs.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compensation committee awarded to Dr. San Martin 14,000 stock options and 14,000 RSUs and Mr. Worthington 11,000 stock options and 11,000 RSUs, and our board of directors awarded to Dr. Litton 32,500 stock options and 32,500 RSUs, which were scheduled to vest in accordance with the following schedule: one-third (1/3rd) of each award vested on each of December 31, 2024, June 30, 2025 and December 31, 2025, subject to continued service with us through the applicable vesting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to the accelerated vesting provisions of our 2020 Equity Incentive Plan described below and, once the performance milestones were met, of the applicable named executive officer’s change in control and severance agreement, as described above, upon a Qualifying Merger (as defined in the applicable award agreement and generally meaning a transaction with a privately held corporation the primary purpose of which is a go-public transaction for the private company, and where the Company or its successor is publicly traded following the transaction), each of the aforementioned retention equity awards would accelerate vesting in full, subject to the applicable named executive officer’s continued service to us through the date of such Qualifying Merger.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September 2025, the compensation committee approved, or, with respect to Dr. Litton, recommended that the board of directors approve, grants of stock options under our 2020 Equity Incentive Plan to each of Dr. Litton, Dr. San Martin and Mr. Worthington. Our compensation committee awarded to Dr. San Martin and Mr. Worthington 44,508 stock options and 34,358 stock options, respectively, and our board of directors awarded Dr. Litton 133,526 stock options. Such options were scheduled to vest only upon satisfaction of both a milestone requirement and a service-based requirement. In December 2025, the compensation committee determined that the milestone requirement was met due to the Company then having cash resources of at least $30 million available for Phase 3 clinical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service-based requirement will be satisfied as to fifty percent (50%) of the total number of shares granted under the stock options on the one-year anniversary of the compensation committee’s determination that the milestone requirement was met and as to one thirty-sixth (1/36th) of the remaining fifty percent (50%) of the total number of shares granted under the stock options each month thereafter on the same day of the month as the date of the compensation committee’s determination (and if there is no corresponding day, the last day of the month), subject to the recipient continuing to be a service provider through the applicable vesting dates.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addition to the accelerated vesting provisions of our 2020 EIP described below and, once the performance milestones were met, of the applicable named executive officer’s change in control and severance agreement, as described above, upon a Qualifying Merger (as defined in the applicable award agreement and generally having the same meaning as described above), each of the September 2025 retention equity awards will accelerate vesting in full, subject to the applicable named executive officer’s continued service to us through the date of such Qualifying Merger. In addition, if, after the performance milestones were met, there is a sale or exclusive license or sublicense of a Company asset with respect to which all or a portion of the net proceeds are distributed to Company stockholders, the vesting of the September 2025 retention equity awards accelerate vesting in full, subject to the applicable named executive officer’s continued service to us through the date of such asset transaction.</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Certain RSU Awards Granted in Prior Years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compensation committee approved a grant of 3,000 RSUs to Mr. Worthington, and our board of directors approved a grant of 6,000 RSUs to Dr. Litton, in November 2021, under the Company’s 2020 Equity Incentive Plan to provide additional performance incentives aligned with key strategic goals.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December 2022, our compensation committee revised the vesting schedule of the RSU awards held by Mr. Worthington, and Dr. Litton due to changed circumstances relating to the performance goals under the original vesting schedule.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or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RSU award agreements provided for 100% vesting acceleration in the event that, on or within 12 months following a Change in Control (within the meaning of our 2020 Equity Incentive Plan), the award recipient was terminated by the Company without “cause” (as defined in the recipient’s award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83" w:name="equity_incentive_plans"/>
      <w:bookmarkEnd w:id="83"/>
      <w:r>
        <w:rPr>
          <w:rFonts w:ascii="Arial" w:hAnsi="Arial"/>
          <w:b/>
          <w:color w:val="000000"/>
          <w:sz w:val="18"/>
        </w:rPr>
        <w:t>Equity Incentive Plans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 our 2020 Equity Incentive Plan and our 2024 Inducement Equity Incentive Plan unless otherwise specified in an award agreement for a particular award, all unvested options, RSUs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board of directors or the compensation committee, as administrator of our equity incentive plans, has the authority to provide for the accelerated vesting of any or all outstanding equity awards under the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84" w:name="clawback_policy"/>
      <w:bookmarkEnd w:id="84"/>
      <w:r>
        <w:rPr>
          <w:rFonts w:ascii="Arial" w:hAnsi="Arial"/>
          <w:b/>
          <w:color w:val="000000"/>
          <w:sz w:val="18"/>
        </w:rPr>
        <w:t>Clawback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February 2023, our board of directors adopted an executive compensation recovery, or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85" w:name="executive_incentive_compensation_plan"/>
      <w:bookmarkEnd w:id="85"/>
      <w:r>
        <w:rPr>
          <w:rFonts w:ascii="Arial" w:hAnsi="Arial"/>
          <w:b/>
          <w:color w:val="000000"/>
          <w:sz w:val="18"/>
        </w:rPr>
        <w:t>Executive Incentive Compensation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Payment of awards occurs as soon as administratively practicable after they are earned, but no later than the dates set forth in our Executive Incentive Compensation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86" w:name="retention_bonus_program"/>
      <w:bookmarkEnd w:id="86"/>
      <w:r>
        <w:rPr>
          <w:rFonts w:ascii="Arial" w:hAnsi="Arial"/>
          <w:b/>
          <w:color w:val="000000"/>
          <w:sz w:val="18"/>
        </w:rPr>
        <w:t>Retention Bonus Program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January 2025, the compensation committee, and with respect to Dr. Litton, the board of directors, approved a cash retention program under the Company’s Executive Incentive Compensation Plan, or the Bonus Plan, under which covered employees are entitled to receive a cash bonus, or the Retention Bonus Program, upon the satisfaction of retention criteria set forth in the Retention Bonus Program. In February 2025, the compensation committee approved an amendment to the Retention Bonus Program, pursuant to which each applicable employee would be entitled to receive a cash bonus equal to the greater of (i) 50% of such employee’s 2025 annual target bonus and (ii) 10% of such employee’s 2025 annual base salary, and with such bonus due to be paid, less applicable tax withholdings, on the earliest of (x) September 30, 2025, (y) the consummation of a contemplated strategic transaction and (z) the date the Company winds up its affairs, subject, in each case, to each applicable employee remaining employed through such payment date. The retention bonuses awarded to our named executive officers for 2025 are set forth in the “</w:t>
      </w:r>
      <w:r>
        <w:rPr>
          <w:rFonts w:ascii="Arial" w:hAnsi="Arial"/>
          <w:i/>
          <w:color w:val="000000"/>
          <w:sz w:val="18"/>
        </w:rPr>
        <w:t>2024-2025 Summary Compensation Table</w:t>
      </w:r>
      <w:r>
        <w:rPr>
          <w:rFonts w:ascii="Times New Roman" w:hAnsi="Times New Roman"/>
          <w:color w:val="000000"/>
          <w:sz w:val="20"/>
        </w:rPr>
        <w:t xml:space="preserve">” </w:t>
      </w:r>
      <w:r>
        <w:rPr>
          <w:rFonts w:ascii="Arial" w:hAnsi="Arial"/>
          <w:color w:val="000000"/>
          <w:sz w:val="18"/>
        </w:rPr>
        <w:t>above.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September 2025, the compensation committee, and with respect to Dr. Litton, the board of directors, amended the Retention Bonus Program to provide additional retention into 2026. The amendment provides that certain employees will be entitled to receive an additional cash bonus equal to the greater of (i) 50% of such employee’s 2025 annual target bonus and (ii) 10% of such employee’s 2025 annual base salary, and with such bonus due to be paid, less applicable tax withholdings, on the earliest of (x) January 31, 2026, and (y) the date the Company winds up its affairs, subject, in each case, to (a) each applicable employee remaining employed through such payment date and (b) by no later than December 31, 2025, the Company having cash and cash equivalents of at least $30 million available for Phase 3 clinical development of an in-licensed drug candidate, as determined by the compensation committee or the board of directors, or the Bonus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December 2025, our compensation committee determined that the Bonus Condition had been achieved.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87" w:name="equity_granting_practices"/>
      <w:bookmarkEnd w:id="87"/>
      <w:r>
        <w:rPr>
          <w:rFonts w:ascii="Arial" w:hAnsi="Arial"/>
          <w:b/>
          <w:color w:val="000000"/>
          <w:sz w:val="18"/>
        </w:rPr>
        <w:t>Equity Granting Practices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board of directors or compensation committee, as applicable, does not grant equity awards on a predetermined schedule. 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 outside director compensation policy.</w:t>
      </w:r>
      <w:r>
        <w:rPr>
          <w:rFonts w:ascii="Times New Roman" w:hAnsi="Times New Roman"/>
          <w:color w:val="000000"/>
          <w:sz w:val="20"/>
        </w:rPr>
        <w:t xml:space="preserve"> </w:t>
      </w:r>
      <w:r>
        <w:rPr>
          <w:rFonts w:ascii="Arial" w:hAnsi="Arial"/>
          <w:color w:val="000000"/>
          <w:sz w:val="18"/>
        </w:rPr>
        <w:t xml:space="preserve">We have not granted, nor do we intend to grant, stock options in anticipation of the release of material, nonpublic information, and we have not taken, nor do we intend to take, material nonpublic information into account when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determining the terms of stock options. Similarly, we have not timed, nor do we intend to time, the release of material, nonpublic information for the purpose of affecting the value of executive compensation or for any other purpose.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18"/>
        </w:rPr>
      </w:pPr>
      <w:bookmarkStart w:id="88" w:name="pay_versus_performance_disclosure"/>
      <w:bookmarkEnd w:id="88"/>
      <w:r>
        <w:rPr>
          <w:rFonts w:ascii="Arial" w:hAnsi="Arial"/>
          <w:b/>
          <w:color w:val="000000"/>
          <w:sz w:val="18"/>
        </w:rPr>
        <w:t>Pay Versus Performance Disclosure</w:t>
      </w:r>
    </w:p>
    <w:p>
      <w:pPr>
        <w:pStyle w:val="TextBody"/>
        <w:bidi w:val="0"/>
        <w:spacing w:before="0" w:after="283"/>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required by Item 402(v) of SEC Regulation S-K, the following table, footnotes and discussion provide “Pay versus Performance” regarding the relationship between executive compensation actually paid, or CAP, as calculated under the applicable SEC rules, for the last two (2) fiscal years. As required by SEC rules, as it applies to smaller reporting companies, the table presented below discloses CAP for (i) our principal executive officer, or PEO, and (ii) our NEOs other than the PEO, or the non-PEO NEOs, on an average basis. The information provided below was not considered by our compensation committee in structuring or determining compensation for our NEOs.</w:t>
      </w:r>
    </w:p>
    <w:p>
      <w:pPr>
        <w:pStyle w:val="TextBody"/>
        <w:bidi w:val="0"/>
        <w:spacing w:before="0" w:after="283"/>
        <w:jc w:val="left"/>
        <w:rPr/>
      </w:pPr>
      <w:r>
        <w:rPr/>
        <w:t> </w:t>
      </w:r>
    </w:p>
    <w:p>
      <w:pPr>
        <w:pStyle w:val="TextBody"/>
        <w:bidi w:val="0"/>
        <w:jc w:val="left"/>
        <w:rPr/>
      </w:pPr>
      <w:r>
        <w:rPr/>
        <w:t> </w:t>
      </w:r>
    </w:p>
    <w:tbl>
      <w:tblPr>
        <w:tblW w:w="11039" w:type="dxa"/>
        <w:jc w:val="left"/>
        <w:tblInd w:w="0" w:type="dxa"/>
        <w:tblLayout w:type="fixed"/>
        <w:tblCellMar>
          <w:top w:w="28" w:type="dxa"/>
          <w:left w:w="28" w:type="dxa"/>
          <w:bottom w:w="28" w:type="dxa"/>
          <w:right w:w="28" w:type="dxa"/>
        </w:tblCellMar>
      </w:tblPr>
      <w:tblGrid>
        <w:gridCol w:w="741"/>
        <w:gridCol w:w="286"/>
        <w:gridCol w:w="252"/>
        <w:gridCol w:w="1189"/>
        <w:gridCol w:w="146"/>
        <w:gridCol w:w="146"/>
        <w:gridCol w:w="252"/>
        <w:gridCol w:w="1189"/>
        <w:gridCol w:w="146"/>
        <w:gridCol w:w="146"/>
        <w:gridCol w:w="252"/>
        <w:gridCol w:w="1189"/>
        <w:gridCol w:w="146"/>
        <w:gridCol w:w="146"/>
        <w:gridCol w:w="292"/>
        <w:gridCol w:w="1149"/>
        <w:gridCol w:w="146"/>
        <w:gridCol w:w="146"/>
        <w:gridCol w:w="367"/>
        <w:gridCol w:w="564"/>
        <w:gridCol w:w="426"/>
        <w:gridCol w:w="426"/>
        <w:gridCol w:w="274"/>
        <w:gridCol w:w="657"/>
        <w:gridCol w:w="366"/>
      </w:tblGrid>
      <w:tr>
        <w:trPr/>
        <w:tc>
          <w:tcPr>
            <w:tcW w:w="7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egoe UI;sans-serif" w:hAnsi="Segoe UI;sans-serif"/>
                <w:b/>
                <w:color w:val="000000"/>
                <w:sz w:val="16"/>
              </w:rPr>
            </w:pPr>
            <w:r>
              <w:rPr>
                <w:rFonts w:ascii="Segoe UI;sans-serif" w:hAnsi="Segoe UI;sans-serif"/>
                <w:b/>
                <w:color w:val="000000"/>
                <w:sz w:val="16"/>
              </w:rPr>
              <w:t>Year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Summary Compensation</w:t>
              <w:br/>
              <w:t>Table Total for</w:t>
              <w:br/>
              <w:t>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Compensation</w:t>
              <w:br/>
              <w:t>Actually Paid to</w:t>
              <w:br/>
              <w:t>PEO (1)(2)(3)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Average Summary</w:t>
              <w:br/>
              <w:t>Compensation</w:t>
              <w:br/>
              <w:t>Table Total for</w:t>
              <w:br/>
              <w:t>Non-PEO NEOs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Average</w:t>
              <w:br/>
              <w:t>Compensation</w:t>
              <w:br/>
              <w:t>Actually Paid to</w:t>
              <w:br/>
              <w:t>Non-PEO NEOs</w:t>
              <w:br/>
              <w:t>(2)(3)(4)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Year-end value</w:t>
              <w:br/>
              <w:t>of $100 invested</w:t>
              <w:br/>
              <w:t>in LONA on</w:t>
              <w:br/>
              <w:t>12/31/2023 (5):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6"/>
              </w:rPr>
            </w:pPr>
            <w:r>
              <w:rPr>
                <w:rFonts w:ascii="Segoe UI;sans-serif" w:hAnsi="Segoe UI;sans-serif"/>
                <w:b/>
                <w:color w:val="000000"/>
                <w:sz w:val="16"/>
              </w:rPr>
              <w:t>Net Income</w:t>
              <w:br/>
              <w:t>(Loss)</w:t>
              <w:br/>
              <w:t>(in millions) (6)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741" w:type="dxa"/>
            <w:tcBorders/>
            <w:shd w:fill="B3E1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color w:val="000000"/>
                <w:sz w:val="20"/>
              </w:rPr>
            </w:pPr>
            <w:r>
              <w:rPr>
                <w:rFonts w:ascii="Segoe UI;sans-serif" w:hAnsi="Segoe UI;sans-serif"/>
                <w:color w:val="000000"/>
                <w:sz w:val="20"/>
              </w:rPr>
              <w:t>2025</w:t>
            </w:r>
          </w:p>
        </w:tc>
        <w:tc>
          <w:tcPr>
            <w:tcW w:w="286" w:type="dxa"/>
            <w:tcBorders/>
            <w:shd w:fill="B3E1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52"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1,423,814</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1,954,031</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770,805</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49"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886,859</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1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564"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31</w:t>
            </w:r>
          </w:p>
        </w:tc>
        <w:tc>
          <w:tcPr>
            <w:tcW w:w="426" w:type="dxa"/>
            <w:tcBorders/>
            <w:shd w:fill="B3E1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B3E1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274" w:type="dxa"/>
            <w:tcBorders/>
            <w:shd w:fill="B3E1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657" w:type="dxa"/>
            <w:tcBorders/>
            <w:shd w:fill="B3E1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(106</w:t>
            </w:r>
          </w:p>
        </w:tc>
        <w:tc>
          <w:tcPr>
            <w:tcW w:w="366" w:type="dxa"/>
            <w:tcBorders/>
            <w:shd w:fill="B3E1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color w:val="000000"/>
                <w:sz w:val="20"/>
              </w:rPr>
            </w:pPr>
            <w:r>
              <w:rPr>
                <w:rFonts w:ascii="Segoe UI;sans-serif" w:hAnsi="Segoe UI;sans-serif"/>
                <w:color w:val="000000"/>
                <w:sz w:val="20"/>
              </w:rPr>
              <w:t>)</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color w:val="000000"/>
                <w:sz w:val="20"/>
              </w:rPr>
            </w:pPr>
            <w:r>
              <w:rPr>
                <w:rFonts w:ascii="Segoe UI;sans-serif" w:hAnsi="Segoe UI;sans-serif"/>
                <w:color w:val="000000"/>
                <w:sz w:val="20"/>
              </w:rPr>
              <w:t>2024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3,175,009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1,153,337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1,433,340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531,861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24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20"/>
              </w:rPr>
            </w:pPr>
            <w:r>
              <w:rPr>
                <w:rFonts w:ascii="Segoe UI;sans-serif" w:hAnsi="Segoe UI;sans-serif"/>
                <w:color w:val="000000"/>
                <w:sz w:val="20"/>
              </w:rPr>
              <w:t>(97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20"/>
              </w:rPr>
            </w:pPr>
            <w:r>
              <w:rPr>
                <w:rFonts w:ascii="Segoe UI;sans-serif" w:hAnsi="Segoe UI;sans-serif"/>
                <w:color w:val="000000"/>
                <w:sz w:val="20"/>
              </w:rPr>
              <w:t>)</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Mark Litton, our President &amp; CEO, was the PEO for 2024 and 2025.</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Deductions from, and additions to, total compensation in the Summary Compensation Table by year to calculate Compensation Actually Paid include: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226"/>
        <w:gridCol w:w="1096"/>
        <w:gridCol w:w="181"/>
        <w:gridCol w:w="146"/>
        <w:gridCol w:w="226"/>
        <w:gridCol w:w="961"/>
        <w:gridCol w:w="181"/>
        <w:gridCol w:w="146"/>
        <w:gridCol w:w="226"/>
        <w:gridCol w:w="1171"/>
        <w:gridCol w:w="181"/>
        <w:gridCol w:w="146"/>
        <w:gridCol w:w="226"/>
        <w:gridCol w:w="1096"/>
        <w:gridCol w:w="426"/>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Mark</w:t>
              <w:br/>
              <w:t>Litton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Average</w:t>
              <w:br/>
              <w:t>Non-PEO</w:t>
              <w:br/>
              <w:t>NEOs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Mark</w:t>
              <w:br/>
              <w:t>Litton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egoe UI;sans-serif" w:hAnsi="Segoe UI;sans-serif"/>
                <w:b/>
                <w:color w:val="000000"/>
                <w:sz w:val="18"/>
              </w:rPr>
            </w:pPr>
            <w:r>
              <w:rPr>
                <w:rFonts w:ascii="Segoe UI;sans-serif" w:hAnsi="Segoe UI;sans-serif"/>
                <w:b/>
                <w:color w:val="000000"/>
                <w:sz w:val="18"/>
              </w:rPr>
              <w:t>Average</w:t>
              <w:br/>
              <w:t>Non-PEO</w:t>
              <w:br/>
              <w:t>NEOs</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Total Compensation from Summary Compensation Table</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1,423,814</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770,805</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3,175,009</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1,433,340</w:t>
            </w:r>
          </w:p>
        </w:tc>
        <w:tc>
          <w:tcPr>
            <w:tcW w:w="42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Total Adjustments for Pension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9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Adjustments for Equity Awards</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397"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Adjustment for grant date values in the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(601,854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(186,096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(2,129,612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(702,663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Year-end fair value of unvested awards granted in the current year</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1,354,529</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399,819</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540,619</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91,567</w:t>
            </w:r>
          </w:p>
        </w:tc>
        <w:tc>
          <w:tcPr>
            <w:tcW w:w="426"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Year-over-year difference of year-end fair values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(31,750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(7,766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(567,052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(109,767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unvested awards granted in prior years</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397"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Fair values at vest date for awards granted and vested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19,286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5,699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298,686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99,407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Difference in fair values between prior year-end fair values and vest</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(209,994</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(95,602</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(164,313</w:t>
            </w:r>
          </w:p>
        </w:tc>
        <w:tc>
          <w:tcPr>
            <w:tcW w:w="181"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shd w:fill="B3E0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(37,934</w:t>
            </w:r>
          </w:p>
        </w:tc>
        <w:tc>
          <w:tcPr>
            <w:tcW w:w="426"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date fair values for awards granted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ind w:left="0" w:right="0" w:firstLine="200"/>
              <w:jc w:val="left"/>
              <w:rPr>
                <w:rFonts w:ascii="Segoe UI;sans-serif" w:hAnsi="Segoe UI;sans-serif"/>
                <w:color w:val="000000"/>
                <w:sz w:val="18"/>
              </w:rPr>
            </w:pPr>
            <w:r>
              <w:rPr>
                <w:rFonts w:ascii="Segoe UI;sans-serif" w:hAnsi="Segoe UI;sans-serif"/>
                <w:color w:val="000000"/>
                <w:sz w:val="18"/>
              </w:rPr>
              <w:t>Forfeitures during current year equal to prior year-end fair value</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96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17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c>
          <w:tcPr>
            <w:tcW w:w="109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color w:val="000000"/>
                <w:sz w:val="18"/>
              </w:rPr>
            </w:pPr>
            <w:r>
              <w:rPr>
                <w:rFonts w:ascii="Segoe UI;sans-serif" w:hAnsi="Segoe UI;sans-serif"/>
                <w:color w:val="000000"/>
                <w:sz w:val="18"/>
              </w:rPr>
              <w:t>(242,089</w:t>
            </w:r>
          </w:p>
        </w:tc>
        <w:tc>
          <w:tcPr>
            <w:tcW w:w="4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color w:val="000000"/>
                <w:sz w:val="18"/>
              </w:rPr>
            </w:pPr>
            <w:r>
              <w:rPr>
                <w:rFonts w:ascii="Segoe UI;sans-serif" w:hAnsi="Segoe UI;sans-serif"/>
                <w:color w:val="000000"/>
                <w:sz w:val="18"/>
              </w:rPr>
              <w:t>)</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Total Adjustments for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530,216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116,054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(2,021,673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(901,479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r>
      <w:tr>
        <w:trPr/>
        <w:tc>
          <w:tcPr>
            <w:tcW w:w="3424" w:type="dxa"/>
            <w:tcBorders/>
            <w:shd w:fill="B3E0FF"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18"/>
                <w:u w:val="single"/>
              </w:rPr>
            </w:pPr>
            <w:r>
              <w:rPr>
                <w:rFonts w:ascii="Segoe UI;sans-serif" w:hAnsi="Segoe UI;sans-serif"/>
                <w:b/>
                <w:color w:val="000000"/>
                <w:sz w:val="18"/>
                <w:u w:val="single"/>
              </w:rPr>
              <w:t>Compensation Actually Paid (as calculated)</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1,954,031</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96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886,859</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17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1,153,337</w:t>
            </w:r>
          </w:p>
        </w:tc>
        <w:tc>
          <w:tcPr>
            <w:tcW w:w="181"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3E0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rFonts w:ascii="Segoe UI;sans-serif" w:hAnsi="Segoe UI;sans-serif"/>
                <w:b/>
                <w:color w:val="000000"/>
                <w:sz w:val="18"/>
              </w:rPr>
            </w:pPr>
            <w:r>
              <w:rPr>
                <w:rFonts w:ascii="Segoe UI;sans-serif" w:hAnsi="Segoe UI;sans-serif"/>
                <w:b/>
                <w:color w:val="000000"/>
                <w:sz w:val="18"/>
              </w:rPr>
              <w:t>$</w:t>
            </w:r>
          </w:p>
        </w:tc>
        <w:tc>
          <w:tcPr>
            <w:tcW w:w="109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right"/>
              <w:rPr>
                <w:rFonts w:ascii="Segoe UI;sans-serif" w:hAnsi="Segoe UI;sans-serif"/>
                <w:b/>
                <w:color w:val="000000"/>
                <w:sz w:val="18"/>
              </w:rPr>
            </w:pPr>
            <w:r>
              <w:rPr>
                <w:rFonts w:ascii="Segoe UI;sans-serif" w:hAnsi="Segoe UI;sans-serif"/>
                <w:b/>
                <w:color w:val="000000"/>
                <w:sz w:val="18"/>
              </w:rPr>
              <w:t>531,861</w:t>
            </w:r>
          </w:p>
        </w:tc>
        <w:tc>
          <w:tcPr>
            <w:tcW w:w="426" w:type="dxa"/>
            <w:tcBorders>
              <w:bottom w:val="single" w:sz="4" w:space="0" w:color="000000"/>
            </w:tcBorders>
            <w:shd w:fill="B3E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The following summarizes the valuation assumptions used for stock option awards included as part of Compensation Actually Paid:</w:t>
      </w:r>
    </w:p>
    <w:p>
      <w:pPr>
        <w:pStyle w:val="TextBody"/>
        <w:bidi w:val="0"/>
        <w:jc w:val="left"/>
        <w:rPr>
          <w:rFonts w:ascii="Arial" w:hAnsi="Arial"/>
          <w:color w:val="000000"/>
          <w:sz w:val="18"/>
        </w:rPr>
      </w:pPr>
      <w:r>
        <w:rPr>
          <w:rFonts w:ascii="Arial" w:hAnsi="Arial"/>
          <w:color w:val="000000"/>
          <w:sz w:val="18"/>
        </w:rPr>
        <w:t>- Expected life of each stock option is based on the "simplified method" using an average of the remaining vest and remaining term, as of the vest/FYE date.</w:t>
      </w:r>
    </w:p>
    <w:p>
      <w:pPr>
        <w:pStyle w:val="TextBody"/>
        <w:bidi w:val="0"/>
        <w:jc w:val="left"/>
        <w:rPr>
          <w:rFonts w:ascii="Arial" w:hAnsi="Arial"/>
          <w:color w:val="000000"/>
          <w:sz w:val="18"/>
        </w:rPr>
      </w:pPr>
      <w:r>
        <w:rPr>
          <w:rFonts w:ascii="Arial" w:hAnsi="Arial"/>
          <w:color w:val="000000"/>
          <w:sz w:val="18"/>
        </w:rPr>
        <w:t>- Strike price is based on each grant date closing price and asset price is based on each vest/FYE closing price.</w:t>
      </w:r>
    </w:p>
    <w:p>
      <w:pPr>
        <w:pStyle w:val="TextBody"/>
        <w:bidi w:val="0"/>
        <w:jc w:val="left"/>
        <w:rPr>
          <w:rFonts w:ascii="Arial" w:hAnsi="Arial"/>
          <w:color w:val="000000"/>
          <w:sz w:val="18"/>
        </w:rPr>
      </w:pPr>
      <w:r>
        <w:rPr>
          <w:rFonts w:ascii="Arial" w:hAnsi="Arial"/>
          <w:color w:val="000000"/>
          <w:sz w:val="18"/>
        </w:rPr>
        <w:t>- Risk free rate is based on the Treasury Constant Maturity rate closest to the remaining expected life as of the vest/FYE date.</w:t>
      </w:r>
    </w:p>
    <w:p>
      <w:pPr>
        <w:pStyle w:val="TextBody"/>
        <w:bidi w:val="0"/>
        <w:jc w:val="left"/>
        <w:rPr>
          <w:rFonts w:ascii="Arial" w:hAnsi="Arial"/>
          <w:color w:val="000000"/>
          <w:sz w:val="18"/>
        </w:rPr>
      </w:pPr>
      <w:r>
        <w:rPr>
          <w:rFonts w:ascii="Arial" w:hAnsi="Arial"/>
          <w:color w:val="000000"/>
          <w:sz w:val="18"/>
        </w:rPr>
        <w:t>- Historical volatility is based on daily price history for each expected life (years) prior to each vest/FYE date. Closing prices provided by S&amp;P Capital IQ are adjusted for dividends and splits.</w:t>
      </w:r>
    </w:p>
    <w:p>
      <w:pPr>
        <w:pStyle w:val="TextBody"/>
        <w:bidi w:val="0"/>
        <w:jc w:val="left"/>
        <w:rPr>
          <w:rFonts w:ascii="Arial" w:hAnsi="Arial"/>
          <w:color w:val="000000"/>
          <w:sz w:val="18"/>
        </w:rPr>
      </w:pPr>
      <w:r>
        <w:rPr>
          <w:rFonts w:ascii="Arial" w:hAnsi="Arial"/>
          <w:color w:val="000000"/>
          <w:sz w:val="18"/>
        </w:rPr>
        <w:t>- Represents annual dividend yield on each vest/FYE date.</w:t>
      </w:r>
    </w:p>
    <w:p>
      <w:pPr>
        <w:pStyle w:val="TextBody"/>
        <w:bidi w:val="0"/>
        <w:spacing w:before="0" w:after="0"/>
        <w:jc w:val="left"/>
        <w:rPr/>
      </w:pPr>
      <w:r>
        <w:rPr/>
        <w:t> </w:t>
      </w:r>
    </w:p>
    <w:p>
      <w:pPr>
        <w:pStyle w:val="TextBody"/>
        <w:bidi w:val="0"/>
        <w:spacing w:before="180" w:after="283"/>
        <w:jc w:val="left"/>
        <w:rPr>
          <w:rFonts w:ascii="Arial" w:hAnsi="Arial"/>
          <w:color w:val="000000"/>
          <w:sz w:val="18"/>
        </w:rPr>
      </w:pPr>
      <w:r>
        <w:rPr>
          <w:rFonts w:ascii="Arial" w:hAnsi="Arial"/>
          <w:color w:val="000000"/>
          <w:sz w:val="18"/>
        </w:rPr>
        <w:t>(4)</w:t>
      </w:r>
    </w:p>
    <w:p>
      <w:pPr>
        <w:pStyle w:val="TextBody"/>
        <w:bidi w:val="0"/>
        <w:spacing w:before="180" w:after="283"/>
        <w:jc w:val="left"/>
        <w:rPr>
          <w:rFonts w:ascii="Arial" w:hAnsi="Arial"/>
          <w:color w:val="000000"/>
          <w:sz w:val="18"/>
        </w:rPr>
      </w:pPr>
      <w:r>
        <w:rPr>
          <w:rFonts w:ascii="Arial" w:hAnsi="Arial"/>
          <w:color w:val="000000"/>
          <w:sz w:val="18"/>
        </w:rPr>
        <w:t>Non-PEO NEOs reflect the average Summary Compensation Table total compensation and average Compensation Actually Paid for the following executives by year:</w:t>
      </w:r>
    </w:p>
    <w:p>
      <w:pPr>
        <w:pStyle w:val="TextBody"/>
        <w:bidi w:val="0"/>
        <w:jc w:val="left"/>
        <w:rPr>
          <w:rFonts w:ascii="Arial" w:hAnsi="Arial"/>
          <w:color w:val="000000"/>
          <w:sz w:val="18"/>
        </w:rPr>
      </w:pPr>
      <w:r>
        <w:rPr>
          <w:rFonts w:ascii="Arial" w:hAnsi="Arial"/>
          <w:color w:val="000000"/>
          <w:sz w:val="18"/>
        </w:rPr>
        <w:t>2025: Javier San Martin and Mark Worthington</w:t>
      </w:r>
    </w:p>
    <w:p>
      <w:pPr>
        <w:pStyle w:val="TextBody"/>
        <w:bidi w:val="0"/>
        <w:jc w:val="left"/>
        <w:rPr>
          <w:rFonts w:ascii="Arial" w:hAnsi="Arial"/>
          <w:color w:val="000000"/>
          <w:sz w:val="18"/>
        </w:rPr>
      </w:pPr>
      <w:r>
        <w:rPr>
          <w:rFonts w:ascii="Arial" w:hAnsi="Arial"/>
          <w:color w:val="000000"/>
          <w:sz w:val="18"/>
        </w:rPr>
        <w:t>2024: Kevin Church, Mark Worthington, Andrew Gengos and Rachel Lenington</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18"/>
        </w:rPr>
      </w:pPr>
      <w:r>
        <w:rPr>
          <w:rFonts w:ascii="Arial" w:hAnsi="Arial"/>
          <w:color w:val="000000"/>
          <w:sz w:val="18"/>
        </w:rPr>
        <w:t>(5)</w:t>
      </w:r>
    </w:p>
    <w:p>
      <w:pPr>
        <w:pStyle w:val="TextBody"/>
        <w:bidi w:val="0"/>
        <w:spacing w:before="180" w:after="283"/>
        <w:jc w:val="left"/>
        <w:rPr>
          <w:rFonts w:ascii="Arial" w:hAnsi="Arial"/>
          <w:color w:val="000000"/>
          <w:sz w:val="18"/>
        </w:rPr>
      </w:pPr>
      <w:r>
        <w:rPr>
          <w:rFonts w:ascii="Arial" w:hAnsi="Arial"/>
          <w:color w:val="000000"/>
          <w:sz w:val="18"/>
        </w:rPr>
        <w:t>Total shareholder return, or TSR, is determined based on the value of an initial fixed investment of $100 on December 31, 2023.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before="180" w:after="283"/>
        <w:jc w:val="left"/>
        <w:rPr>
          <w:rFonts w:ascii="Arial" w:hAnsi="Arial"/>
          <w:color w:val="000000"/>
          <w:sz w:val="18"/>
        </w:rPr>
      </w:pPr>
      <w:r>
        <w:rPr>
          <w:rFonts w:ascii="Arial" w:hAnsi="Arial"/>
          <w:color w:val="000000"/>
          <w:sz w:val="18"/>
        </w:rPr>
        <w:t>(6)</w:t>
      </w:r>
    </w:p>
    <w:p>
      <w:pPr>
        <w:pStyle w:val="TextBody"/>
        <w:bidi w:val="0"/>
        <w:spacing w:before="180" w:after="283"/>
        <w:jc w:val="left"/>
        <w:rPr>
          <w:rFonts w:ascii="Arial" w:hAnsi="Arial"/>
          <w:color w:val="000000"/>
          <w:sz w:val="18"/>
        </w:rPr>
      </w:pPr>
      <w:r>
        <w:rPr>
          <w:rFonts w:ascii="Arial" w:hAnsi="Arial"/>
          <w:color w:val="000000"/>
          <w:sz w:val="18"/>
        </w:rPr>
        <w:t>The dollar amounts reported represent the amount of net loss reflected in the Company’s audited financial statements for the applicable year.</w:t>
      </w:r>
    </w:p>
    <w:p>
      <w:pPr>
        <w:pStyle w:val="TextBody"/>
        <w:bidi w:val="0"/>
        <w:jc w:val="left"/>
        <w:rPr/>
      </w:pPr>
      <w:r>
        <w:rPr/>
        <w:t> </w:t>
      </w:r>
    </w:p>
    <w:p>
      <w:pPr>
        <w:pStyle w:val="TextBody"/>
        <w:bidi w:val="0"/>
        <w:jc w:val="left"/>
        <w:rPr>
          <w:rFonts w:ascii="Arial" w:hAnsi="Arial"/>
          <w:b/>
          <w:color w:val="000000"/>
          <w:sz w:val="18"/>
        </w:rPr>
      </w:pPr>
      <w:bookmarkStart w:id="89" w:name="required_disclosure_of_relationships"/>
      <w:bookmarkEnd w:id="89"/>
      <w:r>
        <w:rPr>
          <w:rFonts w:ascii="Arial" w:hAnsi="Arial"/>
          <w:b/>
          <w:color w:val="000000"/>
          <w:sz w:val="18"/>
        </w:rPr>
        <w:t>Required Disclosure of Relationships Between CAP and Financial Performance Measures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required by Item 402(v) of Regulation S-K, we are providing the descriptions below of the relationship between CAP (as calculated in accordance with the SEC rules and described above) and Cumulative TSR and Net Income (Loss). Calculations cover two-year period from 2024 through 2025, each as set forth in the table above.</w:t>
      </w:r>
    </w:p>
    <w:p>
      <w:pPr>
        <w:pStyle w:val="TextBody"/>
        <w:bidi w:val="0"/>
        <w:jc w:val="left"/>
        <w:rPr/>
      </w:pPr>
      <w:r>
        <w:rPr/>
        <w:t> </w:t>
      </w:r>
    </w:p>
    <w:p>
      <w:pPr>
        <w:pStyle w:val="TextBody"/>
        <w:bidi w:val="0"/>
        <w:jc w:val="center"/>
        <w:rPr/>
      </w:pPr>
      <w:r>
        <w:rPr/>
        <w:drawing>
          <wp:inline distT="0" distB="0" distL="0" distR="0">
            <wp:extent cx="6858000" cy="3848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48100"/>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382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2905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90" w:name="director_compensation"/>
      <w:bookmarkEnd w:id="90"/>
      <w:r>
        <w:rPr>
          <w:rFonts w:ascii="Arial" w:hAnsi="Arial"/>
          <w:b/>
          <w:color w:val="000000"/>
          <w:sz w:val="18"/>
        </w:rPr>
        <w:t>DIRECTOR COMPENSATION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table provides information regarding compensation of our non-employee directors for service as directors for the year ended December 31, 2025.</w:t>
      </w:r>
      <w:r>
        <w:rPr>
          <w:rFonts w:ascii="Times New Roman" w:hAnsi="Times New Roman"/>
          <w:color w:val="000000"/>
          <w:sz w:val="20"/>
        </w:rPr>
        <w:t xml:space="preserve"> </w:t>
      </w:r>
    </w:p>
    <w:p>
      <w:pPr>
        <w:pStyle w:val="TextBody"/>
        <w:bidi w:val="0"/>
        <w:jc w:val="left"/>
        <w:rPr/>
      </w:pPr>
      <w:r>
        <w:rPr/>
        <w:t> </w:t>
      </w:r>
    </w:p>
    <w:tbl>
      <w:tblPr>
        <w:tblW w:w="8194" w:type="dxa"/>
        <w:jc w:val="left"/>
        <w:tblInd w:w="0" w:type="dxa"/>
        <w:tblLayout w:type="fixed"/>
        <w:tblCellMar>
          <w:top w:w="28" w:type="dxa"/>
          <w:left w:w="28" w:type="dxa"/>
          <w:bottom w:w="28" w:type="dxa"/>
          <w:right w:w="28" w:type="dxa"/>
        </w:tblCellMar>
      </w:tblPr>
      <w:tblGrid>
        <w:gridCol w:w="2866"/>
        <w:gridCol w:w="2626"/>
        <w:gridCol w:w="1816"/>
        <w:gridCol w:w="886"/>
      </w:tblGrid>
      <w:tr>
        <w:trPr/>
        <w:tc>
          <w:tcPr>
            <w:tcW w:w="2866" w:type="dxa"/>
            <w:tcBorders/>
            <w:shd w:fill="FFFFFF" w:val="clear"/>
            <w:vAlign w:val="center"/>
          </w:tcPr>
          <w:p>
            <w:pPr>
              <w:pStyle w:val="TableContents"/>
              <w:bidi w:val="0"/>
              <w:spacing w:before="0" w:after="283"/>
              <w:jc w:val="left"/>
              <w:rPr>
                <w:sz w:val="4"/>
                <w:szCs w:val="4"/>
              </w:rPr>
            </w:pPr>
            <w:r>
              <w:rPr>
                <w:sz w:val="4"/>
                <w:szCs w:val="4"/>
              </w:rPr>
            </w:r>
          </w:p>
        </w:tc>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Arial" w:hAnsi="Arial"/>
                <w:b/>
                <w:color w:val="000000"/>
                <w:sz w:val="16"/>
              </w:rPr>
              <w:t>Fees Earned or Paid in Cash ($)</w:t>
            </w:r>
            <w:r>
              <w:rPr>
                <w:rFonts w:ascii="Times New Roman" w:hAnsi="Times New Roman"/>
                <w:color w:val="000000"/>
                <w:sz w:val="16"/>
              </w:rPr>
              <w:t xml:space="preserve"> </w:t>
            </w:r>
          </w:p>
        </w:tc>
        <w:tc>
          <w:tcPr>
            <w:tcW w:w="181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Option Awards ($) (1)</w:t>
            </w:r>
          </w:p>
        </w:tc>
        <w:tc>
          <w:tcPr>
            <w:tcW w:w="8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Total ($)</w:t>
            </w:r>
          </w:p>
        </w:tc>
      </w:tr>
      <w:tr>
        <w:trPr/>
        <w:tc>
          <w:tcPr>
            <w:tcW w:w="286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Kelly A. Romano (2)</w:t>
            </w:r>
          </w:p>
        </w:tc>
        <w:tc>
          <w:tcPr>
            <w:tcW w:w="262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85,500</w:t>
            </w:r>
          </w:p>
        </w:tc>
        <w:tc>
          <w:tcPr>
            <w:tcW w:w="181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90,657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Joseph Edelman (3)</w:t>
            </w:r>
          </w:p>
        </w:tc>
        <w:tc>
          <w:tcPr>
            <w:tcW w:w="26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44,000</w:t>
            </w:r>
          </w:p>
        </w:tc>
        <w:tc>
          <w:tcPr>
            <w:tcW w:w="181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49,157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John M. Fluke, Jr. (4)</w:t>
            </w:r>
          </w:p>
        </w:tc>
        <w:tc>
          <w:tcPr>
            <w:tcW w:w="262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47,500</w:t>
            </w:r>
          </w:p>
        </w:tc>
        <w:tc>
          <w:tcPr>
            <w:tcW w:w="181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52,657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James A. Johnson (5)</w:t>
            </w:r>
          </w:p>
        </w:tc>
        <w:tc>
          <w:tcPr>
            <w:tcW w:w="26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65,000</w:t>
            </w:r>
          </w:p>
        </w:tc>
        <w:tc>
          <w:tcPr>
            <w:tcW w:w="181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70,157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Barbara Kosacz (6)</w:t>
            </w:r>
          </w:p>
        </w:tc>
        <w:tc>
          <w:tcPr>
            <w:tcW w:w="262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54,000</w:t>
            </w:r>
          </w:p>
        </w:tc>
        <w:tc>
          <w:tcPr>
            <w:tcW w:w="181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59,157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Panzara, M.D., M.P.H. (7)</w:t>
            </w:r>
          </w:p>
        </w:tc>
        <w:tc>
          <w:tcPr>
            <w:tcW w:w="26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54,000</w:t>
            </w:r>
          </w:p>
        </w:tc>
        <w:tc>
          <w:tcPr>
            <w:tcW w:w="181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59,157</w:t>
            </w:r>
            <w:r>
              <w:rPr>
                <w:rFonts w:ascii="Times New Roman" w:hAnsi="Times New Roman"/>
                <w:color w:val="000000"/>
                <w:sz w:val="18"/>
              </w:rPr>
              <w:t xml:space="preserve"> </w:t>
            </w:r>
          </w:p>
          <w:p>
            <w:pPr>
              <w:pStyle w:val="TableContents"/>
              <w:bidi w:val="0"/>
              <w:spacing w:before="0" w:after="283"/>
              <w:jc w:val="right"/>
              <w:rPr/>
            </w:pPr>
            <w:r>
              <w:rPr/>
              <w:t> </w:t>
            </w:r>
          </w:p>
        </w:tc>
      </w:tr>
      <w:tr>
        <w:trPr/>
        <w:tc>
          <w:tcPr>
            <w:tcW w:w="2866"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 Pickering (8)</w:t>
            </w:r>
          </w:p>
        </w:tc>
        <w:tc>
          <w:tcPr>
            <w:tcW w:w="262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45,000</w:t>
            </w:r>
          </w:p>
        </w:tc>
        <w:tc>
          <w:tcPr>
            <w:tcW w:w="181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5,157</w:t>
            </w:r>
            <w:r>
              <w:rPr>
                <w:rFonts w:ascii="Times New Roman" w:hAnsi="Times New Roman"/>
                <w:color w:val="000000"/>
                <w:sz w:val="18"/>
              </w:rPr>
              <w:t xml:space="preserve"> </w:t>
            </w:r>
          </w:p>
          <w:p>
            <w:pPr>
              <w:pStyle w:val="TableContents"/>
              <w:bidi w:val="0"/>
              <w:spacing w:before="0" w:after="283"/>
              <w:jc w:val="right"/>
              <w:rPr/>
            </w:pPr>
            <w:r>
              <w:rPr/>
              <w:t> </w:t>
            </w:r>
          </w:p>
        </w:tc>
        <w:tc>
          <w:tcPr>
            <w:tcW w:w="886" w:type="dxa"/>
            <w:tcBorders/>
            <w:shd w:fill="CAEDFB" w:val="clear"/>
            <w:tcMar>
              <w:top w:w="0" w:type="dxa"/>
              <w:left w:w="0" w:type="dxa"/>
              <w:bottom w:w="0" w:type="dxa"/>
              <w:right w:w="0" w:type="dxa"/>
            </w:tcMar>
            <w:vAlign w:val="center"/>
          </w:tcPr>
          <w:p>
            <w:pPr>
              <w:pStyle w:val="TableContents"/>
              <w:bidi w:val="0"/>
              <w:jc w:val="right"/>
              <w:rPr/>
            </w:pPr>
            <w:r>
              <w:rPr>
                <w:color w:val="000000"/>
              </w:rPr>
              <w:t>  </w:t>
            </w:r>
            <w:r>
              <w:rPr>
                <w:rFonts w:ascii="Arial" w:hAnsi="Arial"/>
                <w:color w:val="000000"/>
                <w:sz w:val="18"/>
              </w:rPr>
              <w:t>50,157</w:t>
            </w:r>
            <w:r>
              <w:rPr>
                <w:rFonts w:ascii="Times New Roman" w:hAnsi="Times New Roman"/>
                <w:color w:val="000000"/>
                <w:sz w:val="18"/>
              </w:rPr>
              <w:t xml:space="preserve"> </w:t>
            </w:r>
          </w:p>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spacing w:before="0" w:after="0"/>
        <w:jc w:val="left"/>
        <w:rPr>
          <w:rFonts w:ascii="Arial" w:hAnsi="Arial"/>
          <w:color w:val="000000"/>
          <w:sz w:val="18"/>
        </w:rPr>
      </w:pPr>
      <w:r>
        <w:rPr>
          <w:rFonts w:ascii="Arial" w:hAnsi="Arial"/>
          <w:color w:val="000000"/>
          <w:sz w:val="18"/>
        </w:rPr>
        <w:t xml:space="preserve">In accordance with Securities and Exchange Commission rules, the amount in this column reflects the aggregate grant date fair value of stock options granted during 2025 computed in accordance with Accounting Standards Codification (ASC) Topic 718, rather than the amount paid or realized by the director. For a discussion of valuation assumptions, see Note 9 to our financial statements included in our Annual Report on Form 10-K for the year ended December 31, 2024.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 xml:space="preserve">As of December 31, 2025, Ms. Romano held stock options to purchase 10,431 shares of our common stock.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 xml:space="preserve">As of December 31, 2025, Mr. Edelman held stock options to purchase 11,818 shares of our common stock.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 xml:space="preserve">As of December 31, 2025, Mr. Fluke held stock options to purchase 11,818 shares of our common stock. </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spacing w:before="0" w:after="0"/>
        <w:jc w:val="left"/>
        <w:rPr>
          <w:rFonts w:ascii="Arial" w:hAnsi="Arial"/>
          <w:color w:val="000000"/>
          <w:sz w:val="18"/>
        </w:rPr>
      </w:pPr>
      <w:r>
        <w:rPr>
          <w:rFonts w:ascii="Arial" w:hAnsi="Arial"/>
          <w:color w:val="000000"/>
          <w:sz w:val="18"/>
        </w:rPr>
        <w:t>As of December 31, 2025, Mr. Johnson held stock options to purchase 11,818 shares of our common stock.</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spacing w:before="0" w:after="0"/>
        <w:jc w:val="left"/>
        <w:rPr>
          <w:rFonts w:ascii="Arial" w:hAnsi="Arial"/>
          <w:color w:val="000000"/>
          <w:sz w:val="18"/>
        </w:rPr>
      </w:pPr>
      <w:r>
        <w:rPr>
          <w:rFonts w:ascii="Arial" w:hAnsi="Arial"/>
          <w:color w:val="000000"/>
          <w:sz w:val="18"/>
        </w:rPr>
        <w:t xml:space="preserve">As of December 31, 2025, Ms. Kosacz held stock options to purchase 10,431 shares of our common stock. </w:t>
      </w:r>
    </w:p>
    <w:p>
      <w:pPr>
        <w:pStyle w:val="TextBody"/>
        <w:bidi w:val="0"/>
        <w:spacing w:before="0" w:after="0"/>
        <w:jc w:val="left"/>
        <w:rPr>
          <w:rFonts w:ascii="Arial" w:hAnsi="Arial"/>
          <w:color w:val="000000"/>
          <w:sz w:val="18"/>
        </w:rPr>
      </w:pPr>
      <w:r>
        <w:rPr>
          <w:rFonts w:ascii="Arial" w:hAnsi="Arial"/>
          <w:color w:val="000000"/>
          <w:sz w:val="18"/>
        </w:rPr>
        <w:t>(7)</w:t>
      </w:r>
    </w:p>
    <w:p>
      <w:pPr>
        <w:pStyle w:val="TextBody"/>
        <w:bidi w:val="0"/>
        <w:spacing w:before="0" w:after="0"/>
        <w:jc w:val="left"/>
        <w:rPr>
          <w:rFonts w:ascii="Arial" w:hAnsi="Arial"/>
          <w:color w:val="000000"/>
          <w:sz w:val="18"/>
        </w:rPr>
      </w:pPr>
      <w:r>
        <w:rPr>
          <w:rFonts w:ascii="Arial" w:hAnsi="Arial"/>
          <w:color w:val="000000"/>
          <w:sz w:val="18"/>
        </w:rPr>
        <w:t xml:space="preserve">As of December 31, 2025, Dr. Panzara held stock options to purchase 9,275 shares of our common stock. </w:t>
      </w:r>
    </w:p>
    <w:p>
      <w:pPr>
        <w:pStyle w:val="TextBody"/>
        <w:bidi w:val="0"/>
        <w:spacing w:before="0" w:after="0"/>
        <w:jc w:val="left"/>
        <w:rPr>
          <w:rFonts w:ascii="Arial" w:hAnsi="Arial"/>
          <w:color w:val="000000"/>
          <w:sz w:val="18"/>
        </w:rPr>
      </w:pPr>
      <w:r>
        <w:rPr>
          <w:rFonts w:ascii="Arial" w:hAnsi="Arial"/>
          <w:color w:val="000000"/>
          <w:sz w:val="18"/>
        </w:rPr>
        <w:t>(8)</w:t>
      </w:r>
    </w:p>
    <w:p>
      <w:pPr>
        <w:pStyle w:val="TextBody"/>
        <w:bidi w:val="0"/>
        <w:jc w:val="left"/>
        <w:rPr>
          <w:rFonts w:ascii="Arial" w:hAnsi="Arial"/>
          <w:color w:val="000000"/>
          <w:sz w:val="18"/>
        </w:rPr>
      </w:pPr>
      <w:r>
        <w:rPr>
          <w:rFonts w:ascii="Arial" w:hAnsi="Arial"/>
          <w:color w:val="000000"/>
          <w:sz w:val="18"/>
        </w:rPr>
        <w:t>As of December 31, 2025, Mr. Pickering held stock options to purchase 9,390 shares of our 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September 2020, based on discussions with and assistance from AON Radford,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September 2024, and September 2025 in consultation with Pearl Meyer &amp; Partners, LLC, a third-party compensation consultant retained by our compensation committee beginning in October 2021 to provide our board of directors and our compensation committee with an analysis of publicly available market data and assistance in determining any proposed changes in non-employee director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91" w:name="cash_compensation"/>
      <w:bookmarkEnd w:id="91"/>
      <w:r>
        <w:rPr>
          <w:rFonts w:ascii="Arial" w:hAnsi="Arial"/>
          <w:b/>
          <w:color w:val="000000"/>
          <w:sz w:val="18"/>
        </w:rPr>
        <w:t>Cash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amended and restated outside director compensation policy provides for the following cash compensation program for our non-employee directors: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$40,000 per year for service as a non-employee director;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$30,000 per year for service as chairperson of our board of directors;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$15,000 per year for service as chairperson of our audit committee;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$7,500 per year for service as a member of our audit committee;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$10,000 per year for service as chairperson of our compensation committee;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$5,000 per year for service as a member of our compensation committee;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$8,000 per year for service as chairperson of our nominating and corporate governance committee;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 xml:space="preserve">$4,000 per year for service as a member of our nominating and corporate governance committee;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$10,000 per year for service as chairperson of our compliance committee; and</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$5,000 per year for service as a member of our compliance committee.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Strategic Transactions Committee was formed in September 2024 and met 50 times through the entry into the Sermonix License and completion of the PIPE Financing. In recognition of their efforts and time, in January 2026, the Board approved payments to each of Kelly Romano, James Johnson, Barbara Kosacz and Michael Panzara of $1,000 per meeting attended by each committee member.</w:t>
      </w:r>
    </w:p>
    <w:p>
      <w:pPr>
        <w:pStyle w:val="TextBody"/>
        <w:bidi w:val="0"/>
        <w:jc w:val="left"/>
        <w:rPr/>
      </w:pPr>
      <w:r>
        <w:rPr/>
        <w:t> </w:t>
      </w:r>
    </w:p>
    <w:p>
      <w:pPr>
        <w:pStyle w:val="TextBody"/>
        <w:bidi w:val="0"/>
        <w:jc w:val="left"/>
        <w:rPr>
          <w:rFonts w:ascii="Times New Roman" w:hAnsi="Times New Roman"/>
          <w:sz w:val="20"/>
        </w:rPr>
      </w:pPr>
      <w:bookmarkStart w:id="92" w:name="equity_compensation"/>
      <w:bookmarkEnd w:id="92"/>
      <w:r>
        <w:rPr>
          <w:rFonts w:ascii="Arial" w:hAnsi="Arial"/>
          <w:b/>
          <w:color w:val="000000"/>
          <w:sz w:val="18"/>
        </w:rPr>
        <w:t>Equity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Initial Award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Pursuant to our amended and restated outside director compensation policy, each person who becomes a non-employee director will receive, on the first trading day on or after the date that the person first becomes a non-employee director, an initial award, or the Initial Award, of stock options to purchase 4,180 shares of our common stock. The Initial Award vests in equal installments as to 1/36</w:t>
      </w:r>
      <w:r>
        <w:rPr>
          <w:rFonts w:ascii="Arial" w:hAnsi="Arial"/>
          <w:color w:val="000000"/>
          <w:sz w:val="12"/>
        </w:rPr>
        <w:t>th</w:t>
      </w:r>
      <w:r>
        <w:rPr>
          <w:rFonts w:ascii="Times New Roman" w:hAnsi="Times New Roman"/>
          <w:color w:val="000000"/>
          <w:sz w:val="20"/>
        </w:rPr>
        <w:t xml:space="preserve"> </w:t>
      </w:r>
      <w:r>
        <w:rPr>
          <w:rFonts w:ascii="Arial" w:hAnsi="Arial"/>
          <w:color w:val="000000"/>
          <w:sz w:val="18"/>
        </w:rPr>
        <w:t>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Annual Award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Pursuant to our amended and restated outside director compensation policy, each non-employee director automatically receives, on the first trading day immediately after the date of each annual meeting of our stockholders, an annual award, or the Annual Award of stock options to purchase 2,090 shares of our common stock. If, as of the date of the applicable annual meeting, such director has not been in continuous service as a non-employee director since the date of the most recently preceding annual meeting, their first annual award will be prorated and equal to the product of 2,090 multiplied by the quotient of (1) the number of whole months of continuous service as a non-employee director completed as of the date of such annual meeting divided by (2) 12, rounded down to the nearest whole share (up to a maximum of 2,090 shares).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Change in Control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the event of a “Change in Control” (as defined in our 2020 Equity Incentive Plan), each non-employee director’s then outstanding equity awards covering shares of our common stock will accelerate vesting in full, provided that he or she remains a non-employee director through the date of the Change in Control.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Other Award Terms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Each Initial Award and Annual Award will be granted under our 2020 Equity Incentive Plan (or its 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Director Compensation Limits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Our amended and restated outside director compensation policy provides that in any fiscal year, 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93" w:name="security_ownership_of_certain_beneficial"/>
      <w:bookmarkEnd w:id="93"/>
      <w:r>
        <w:rPr>
          <w:rFonts w:ascii="Arial" w:hAnsi="Arial"/>
          <w:b/>
          <w:color w:val="000000"/>
          <w:sz w:val="18"/>
        </w:rPr>
        <w:t>SECURITY OWNERSHIP OF CERTAIN BENEFICIAL OWNERS AND MANAGEMENT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table sets forth the beneficial ownership of our common stock as of the record date by:</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each person, or group of affiliated persons, who is known by us to beneficially own more than 5% of our common stock;</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each of our named executive officers;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each of our directors;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all of our executive officers and directors as a group.</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xml:space="preserve">The percentage of beneficial ownership shown in the table is based upon 9,335,913 shares of common stock outstanding as of the record date.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Information with respect to beneficial ownership has been furnished by each director, officer or beneficial owner of more than 5% of our common stock. We have determined beneficial ownership in accordance with the rules of the Securities and Exchange Commission.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hAnsi="Arial"/>
          <w:color w:val="000000"/>
          <w:sz w:val="12"/>
        </w:rPr>
        <w:t>th</w:t>
      </w:r>
      <w:r>
        <w:rPr>
          <w:rFonts w:ascii="Times New Roman" w:hAnsi="Times New Roman"/>
          <w:color w:val="000000"/>
          <w:sz w:val="20"/>
        </w:rPr>
        <w:t xml:space="preserve"> </w:t>
      </w:r>
      <w:r>
        <w:rPr>
          <w:rFonts w:ascii="Arial" w:hAnsi="Arial"/>
          <w:color w:val="000000"/>
          <w:sz w:val="18"/>
        </w:rPr>
        <w:t>day after the record date.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Except as otherwise noted below, the address for each person or entity listed in the table is c/o LeonaBio, Inc., 18706 North Creek Parkway, Suite 104, Bothell, Washington 98011.</w:t>
      </w:r>
    </w:p>
    <w:tbl>
      <w:tblPr>
        <w:tblW w:w="9018" w:type="dxa"/>
        <w:jc w:val="left"/>
        <w:tblInd w:w="0" w:type="dxa"/>
        <w:tblLayout w:type="fixed"/>
        <w:tblCellMar>
          <w:top w:w="28" w:type="dxa"/>
          <w:left w:w="28" w:type="dxa"/>
          <w:bottom w:w="28" w:type="dxa"/>
          <w:right w:w="28" w:type="dxa"/>
        </w:tblCellMar>
      </w:tblPr>
      <w:tblGrid>
        <w:gridCol w:w="5881"/>
        <w:gridCol w:w="1786"/>
        <w:gridCol w:w="1351"/>
      </w:tblGrid>
      <w:tr>
        <w:trPr/>
        <w:tc>
          <w:tcPr>
            <w:tcW w:w="5881"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7" w:type="dxa"/>
            <w:gridSpan w:val="2"/>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Shares Beneficially Owned</w:t>
            </w:r>
          </w:p>
        </w:tc>
      </w:tr>
      <w:tr>
        <w:trPr/>
        <w:tc>
          <w:tcPr>
            <w:tcW w:w="5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Number of Shares (#)</w:t>
            </w:r>
          </w:p>
        </w:tc>
        <w:tc>
          <w:tcPr>
            <w:tcW w:w="135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Arial" w:hAnsi="Arial"/>
                <w:b/>
                <w:color w:val="000000"/>
                <w:sz w:val="16"/>
              </w:rPr>
            </w:pPr>
            <w:r>
              <w:rPr>
                <w:rFonts w:ascii="Arial" w:hAnsi="Arial"/>
                <w:b/>
                <w:color w:val="000000"/>
                <w:sz w:val="16"/>
              </w:rPr>
              <w:t>Percentage (%)</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5% and greater stockholders: </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Anders Hove (1)</w:t>
            </w:r>
          </w:p>
        </w:tc>
        <w:tc>
          <w:tcPr>
            <w:tcW w:w="17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596,068</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6.38</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Perceptive Entities (2)</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1,867,979 </w:t>
            </w:r>
          </w:p>
        </w:tc>
        <w:tc>
          <w:tcPr>
            <w:tcW w:w="1351"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r>
      <w:tr>
        <w:trPr/>
        <w:tc>
          <w:tcPr>
            <w:tcW w:w="58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Named executive officers and directors: </w:t>
            </w:r>
          </w:p>
        </w:tc>
        <w:tc>
          <w:tcPr>
            <w:tcW w:w="17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Mark Litton (3)</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245,502</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2.57</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Mark Worthington (4)</w:t>
            </w:r>
          </w:p>
        </w:tc>
        <w:tc>
          <w:tcPr>
            <w:tcW w:w="17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89,312</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Javier San Martin (5)</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53,566</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Joseph Edelman (6)</w:t>
            </w:r>
          </w:p>
        </w:tc>
        <w:tc>
          <w:tcPr>
            <w:tcW w:w="1786" w:type="dxa"/>
            <w:tcBorders/>
            <w:tcMar>
              <w:top w:w="0" w:type="dxa"/>
              <w:left w:w="0" w:type="dxa"/>
              <w:bottom w:w="0" w:type="dxa"/>
              <w:right w:w="0" w:type="dxa"/>
            </w:tcMar>
            <w:vAlign w:val="center"/>
          </w:tcPr>
          <w:p>
            <w:pPr>
              <w:pStyle w:val="TableContents"/>
              <w:bidi w:val="0"/>
              <w:jc w:val="right"/>
              <w:rPr>
                <w:rFonts w:ascii="Arial" w:hAnsi="Arial"/>
                <w:color w:val="000000"/>
                <w:sz w:val="18"/>
              </w:rPr>
            </w:pPr>
            <w:r>
              <w:rPr>
                <w:rFonts w:ascii="Arial" w:hAnsi="Arial"/>
                <w:color w:val="000000"/>
                <w:sz w:val="18"/>
              </w:rPr>
              <w:t xml:space="preserve">1,867,979 </w:t>
            </w:r>
          </w:p>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19.99</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John M. Fluke, Jr. (7)</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24,589</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James A. Johnson (8)</w:t>
            </w:r>
          </w:p>
        </w:tc>
        <w:tc>
          <w:tcPr>
            <w:tcW w:w="17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10,228</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Barbara Kosacz (9)</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8,341</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Kelly A. Romano (10)</w:t>
            </w:r>
          </w:p>
        </w:tc>
        <w:tc>
          <w:tcPr>
            <w:tcW w:w="17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16,412</w:t>
            </w:r>
          </w:p>
        </w:tc>
        <w:tc>
          <w:tcPr>
            <w:tcW w:w="135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Grant Pickering (11)</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9,878</w:t>
            </w:r>
          </w:p>
        </w:tc>
        <w:tc>
          <w:tcPr>
            <w:tcW w:w="1351" w:type="dxa"/>
            <w:tcBorders/>
            <w:shd w:fill="CAEDFB" w:val="clear"/>
            <w:tcMar>
              <w:top w:w="0" w:type="dxa"/>
              <w:left w:w="0" w:type="dxa"/>
              <w:bottom w:w="0" w:type="dxa"/>
              <w:right w:w="0" w:type="dxa"/>
            </w:tcMar>
            <w:vAlign w:val="center"/>
          </w:tcPr>
          <w:p>
            <w:pPr>
              <w:pStyle w:val="TableContents"/>
              <w:bidi w:val="0"/>
              <w:spacing w:before="0" w:after="283"/>
              <w:ind w:left="0" w:right="0" w:firstLine="720"/>
              <w:jc w:val="right"/>
              <w:rPr>
                <w:rFonts w:ascii="Arial" w:hAnsi="Arial"/>
                <w:color w:val="000000"/>
                <w:sz w:val="18"/>
              </w:rPr>
            </w:pPr>
            <w:r>
              <w:rPr>
                <w:rFonts w:ascii="Arial" w:hAnsi="Arial"/>
                <w:color w:val="000000"/>
                <w:sz w:val="18"/>
              </w:rPr>
              <w:t>*</w:t>
            </w:r>
          </w:p>
        </w:tc>
      </w:tr>
      <w:tr>
        <w:trPr/>
        <w:tc>
          <w:tcPr>
            <w:tcW w:w="58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18"/>
              </w:rPr>
            </w:pPr>
            <w:r>
              <w:rPr>
                <w:rFonts w:ascii="Arial" w:hAnsi="Arial"/>
                <w:color w:val="000000"/>
                <w:sz w:val="18"/>
              </w:rPr>
              <w:t>Michael Panzara (12)</w:t>
            </w:r>
          </w:p>
        </w:tc>
        <w:tc>
          <w:tcPr>
            <w:tcW w:w="17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7,185</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current directors and executive officers as a group (12 persons) (13)</w:t>
            </w:r>
          </w:p>
        </w:tc>
        <w:tc>
          <w:tcPr>
            <w:tcW w:w="178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2,459,835</w:t>
            </w:r>
          </w:p>
        </w:tc>
        <w:tc>
          <w:tcPr>
            <w:tcW w:w="1351"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25.07</w:t>
            </w:r>
          </w:p>
        </w:tc>
      </w:tr>
    </w:tbl>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196"/>
        <w:gridCol w:w="6946"/>
      </w:tblGrid>
      <w:tr>
        <w:trPr/>
        <w:tc>
          <w:tcPr>
            <w:tcW w:w="19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Represents beneficial ownership of less than 1% of our outstanding common stock.</w:t>
            </w:r>
            <w:r>
              <w:rPr>
                <w:rFonts w:ascii="Times New Roman" w:hAnsi="Times New Roman"/>
                <w:color w:val="000000"/>
                <w:sz w:val="18"/>
              </w:rPr>
              <w:t xml:space="preserve">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 xml:space="preserve">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business address of Acorn Bioventures, L.P. and Acorn Bioventures 2, L.P. is 420 Lexington Avenue, Suite 2626, New York, New York 10170.</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Based on the Schedule 13D/A filed with the Securities and Exchange Commission on January 16, 2026. Consists of (i) 1,529,566 shares of common stock and 7,120 shares of common stock issuable upon the partial exercise of a pre-funded warrant that is exercisable within 60 days of the record date held directly by Perceptive Life Sciences Master Fund, Ltd. (“Master Fund”), and (ii) 329,756 shares of common stock and 1,536 shares of common stock issuable upon the partial exercise of a pre-funded warrant that is exercisable within 60 days of the record date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spacing w:before="0" w:after="0"/>
        <w:jc w:val="left"/>
        <w:rPr>
          <w:rFonts w:ascii="Arial" w:hAnsi="Arial"/>
          <w:color w:val="000000"/>
          <w:sz w:val="18"/>
        </w:rPr>
      </w:pPr>
      <w:r>
        <w:rPr>
          <w:rFonts w:ascii="Arial" w:hAnsi="Arial"/>
          <w:color w:val="000000"/>
          <w:sz w:val="18"/>
        </w:rPr>
        <w:t>Consists of 40,828 shares held of record by Dr. Litton, 656 shares held by Irrevocable Trust of OSL, 656 shares held by Irrevocable Trust of SWL, and 656 shares held by Irrevocable Trust of WGL, each irrevocable trust is for the benefit of Dr. Litton’s children, and options to purchase 202,706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spacing w:before="0" w:after="0"/>
        <w:jc w:val="left"/>
        <w:rPr>
          <w:rFonts w:ascii="Arial" w:hAnsi="Arial"/>
          <w:color w:val="000000"/>
          <w:sz w:val="18"/>
        </w:rPr>
      </w:pPr>
      <w:r>
        <w:rPr>
          <w:rFonts w:ascii="Arial" w:hAnsi="Arial"/>
          <w:color w:val="000000"/>
          <w:sz w:val="18"/>
        </w:rPr>
        <w:t>Consists of 13,978 shares held by Mr. Worthington and options to purchase 75,334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spacing w:before="0" w:after="0"/>
        <w:jc w:val="left"/>
        <w:rPr>
          <w:rFonts w:ascii="Arial" w:hAnsi="Arial"/>
          <w:color w:val="000000"/>
          <w:sz w:val="18"/>
        </w:rPr>
      </w:pPr>
      <w:r>
        <w:rPr>
          <w:rFonts w:ascii="Arial" w:hAnsi="Arial"/>
          <w:color w:val="000000"/>
          <w:sz w:val="18"/>
        </w:rPr>
        <w:t>Consists of 10,189 shares held by Dr. San Martin and options to purchase 43,377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(6)</w:t>
      </w:r>
    </w:p>
    <w:p>
      <w:pPr>
        <w:pStyle w:val="TextBody"/>
        <w:bidi w:val="0"/>
        <w:spacing w:before="0" w:after="0"/>
        <w:jc w:val="left"/>
        <w:rPr>
          <w:rFonts w:ascii="Arial" w:hAnsi="Arial"/>
          <w:color w:val="000000"/>
          <w:sz w:val="18"/>
        </w:rPr>
      </w:pPr>
      <w:r>
        <w:rPr>
          <w:rFonts w:ascii="Arial" w:hAnsi="Arial"/>
          <w:color w:val="000000"/>
          <w:sz w:val="18"/>
        </w:rPr>
        <w:t>Consists of the shares referenced in footnote (2) above and excludes 9,728 shares issuable upon the exercise of options held by Mr. Edelman, which are not exercisable within 60 days of the record date.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pStyle w:val="TextBody"/>
        <w:bidi w:val="0"/>
        <w:spacing w:before="0" w:after="0"/>
        <w:jc w:val="left"/>
        <w:rPr>
          <w:rFonts w:ascii="Arial" w:hAnsi="Arial"/>
          <w:color w:val="000000"/>
          <w:sz w:val="18"/>
        </w:rPr>
      </w:pPr>
      <w:r>
        <w:rPr>
          <w:rFonts w:ascii="Arial" w:hAnsi="Arial"/>
          <w:color w:val="000000"/>
          <w:sz w:val="18"/>
        </w:rPr>
        <w:t>(7)</w:t>
      </w:r>
    </w:p>
    <w:p>
      <w:pPr>
        <w:pStyle w:val="TextBody"/>
        <w:bidi w:val="0"/>
        <w:spacing w:before="0" w:after="0"/>
        <w:jc w:val="left"/>
        <w:rPr>
          <w:rFonts w:ascii="Arial" w:hAnsi="Arial"/>
          <w:color w:val="000000"/>
          <w:sz w:val="18"/>
        </w:rPr>
      </w:pPr>
      <w:r>
        <w:rPr>
          <w:rFonts w:ascii="Arial" w:hAnsi="Arial"/>
          <w:color w:val="000000"/>
          <w:sz w:val="18"/>
        </w:rPr>
        <w:t>Consists of 373 shares held of record by Fluke Capital Management, L.P., 14,448 shares held by Mr. Fluke, and options to purchase 9,728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(8)</w:t>
      </w:r>
    </w:p>
    <w:p>
      <w:pPr>
        <w:pStyle w:val="TextBody"/>
        <w:bidi w:val="0"/>
        <w:spacing w:before="0" w:after="0"/>
        <w:jc w:val="left"/>
        <w:rPr>
          <w:rFonts w:ascii="Arial" w:hAnsi="Arial"/>
          <w:color w:val="000000"/>
          <w:sz w:val="18"/>
        </w:rPr>
      </w:pPr>
      <w:r>
        <w:rPr>
          <w:rFonts w:ascii="Arial" w:hAnsi="Arial"/>
          <w:color w:val="000000"/>
          <w:sz w:val="18"/>
        </w:rPr>
        <w:t>Consists of 500 shares held by Mr. Johnson and options to purchase 9,728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(9)</w:t>
      </w:r>
    </w:p>
    <w:p>
      <w:pPr>
        <w:pStyle w:val="TextBody"/>
        <w:bidi w:val="0"/>
        <w:spacing w:before="0" w:after="0"/>
        <w:jc w:val="left"/>
        <w:rPr>
          <w:rFonts w:ascii="Arial" w:hAnsi="Arial"/>
          <w:color w:val="000000"/>
          <w:sz w:val="18"/>
        </w:rPr>
      </w:pPr>
      <w:r>
        <w:rPr>
          <w:rFonts w:ascii="Arial" w:hAnsi="Arial"/>
          <w:color w:val="000000"/>
          <w:sz w:val="18"/>
        </w:rPr>
        <w:t>Consists of options held by Ms. Kosacz to purchase 8,341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(10)</w:t>
      </w:r>
    </w:p>
    <w:p>
      <w:pPr>
        <w:pStyle w:val="TextBody"/>
        <w:bidi w:val="0"/>
        <w:spacing w:before="0" w:after="0"/>
        <w:jc w:val="left"/>
        <w:rPr>
          <w:rFonts w:ascii="Arial" w:hAnsi="Arial"/>
          <w:color w:val="000000"/>
          <w:sz w:val="18"/>
        </w:rPr>
      </w:pPr>
      <w:r>
        <w:rPr>
          <w:rFonts w:ascii="Arial" w:hAnsi="Arial"/>
          <w:color w:val="000000"/>
          <w:sz w:val="18"/>
        </w:rPr>
        <w:t>Consists of 8,071 shares held by Ms. Romano and options to purchase 8,341 shares that are exercisable within 60 days of record date.</w:t>
      </w:r>
    </w:p>
    <w:p>
      <w:pPr>
        <w:pStyle w:val="TextBody"/>
        <w:bidi w:val="0"/>
        <w:spacing w:before="0" w:after="0"/>
        <w:jc w:val="left"/>
        <w:rPr>
          <w:rFonts w:ascii="Arial" w:hAnsi="Arial"/>
          <w:color w:val="000000"/>
          <w:sz w:val="18"/>
        </w:rPr>
      </w:pPr>
      <w:r>
        <w:rPr>
          <w:rFonts w:ascii="Arial" w:hAnsi="Arial"/>
          <w:color w:val="000000"/>
          <w:sz w:val="18"/>
        </w:rPr>
        <w:t>(11)</w:t>
      </w:r>
    </w:p>
    <w:p>
      <w:pPr>
        <w:pStyle w:val="TextBody"/>
        <w:bidi w:val="0"/>
        <w:spacing w:before="0" w:after="0"/>
        <w:jc w:val="left"/>
        <w:rPr>
          <w:rFonts w:ascii="Arial" w:hAnsi="Arial"/>
          <w:color w:val="000000"/>
          <w:sz w:val="18"/>
        </w:rPr>
      </w:pPr>
      <w:r>
        <w:rPr>
          <w:rFonts w:ascii="Arial" w:hAnsi="Arial"/>
          <w:color w:val="000000"/>
          <w:sz w:val="18"/>
        </w:rPr>
        <w:t>Consists of 2,578 shares held by Mr. Pickering and options to purchase 7,300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(12)</w:t>
      </w:r>
    </w:p>
    <w:p>
      <w:pPr>
        <w:pStyle w:val="TextBody"/>
        <w:bidi w:val="0"/>
        <w:spacing w:before="0" w:after="0"/>
        <w:jc w:val="left"/>
        <w:rPr>
          <w:rFonts w:ascii="Arial" w:hAnsi="Arial"/>
          <w:color w:val="000000"/>
          <w:sz w:val="18"/>
        </w:rPr>
      </w:pPr>
      <w:r>
        <w:rPr>
          <w:rFonts w:ascii="Arial" w:hAnsi="Arial"/>
          <w:color w:val="000000"/>
          <w:sz w:val="18"/>
        </w:rPr>
        <w:t>Consists of options held by Dr. Panzara to purchase 7,185 shares that are exercisable within 60 days of the record date.</w:t>
      </w:r>
    </w:p>
    <w:p>
      <w:pPr>
        <w:pStyle w:val="TextBody"/>
        <w:bidi w:val="0"/>
        <w:spacing w:before="0" w:after="0"/>
        <w:jc w:val="left"/>
        <w:rPr>
          <w:rFonts w:ascii="Arial" w:hAnsi="Arial"/>
          <w:color w:val="000000"/>
          <w:sz w:val="18"/>
        </w:rPr>
      </w:pPr>
      <w:r>
        <w:rPr>
          <w:rFonts w:ascii="Arial" w:hAnsi="Arial"/>
          <w:color w:val="000000"/>
          <w:sz w:val="18"/>
        </w:rPr>
        <w:t>(13)</w:t>
      </w:r>
    </w:p>
    <w:p>
      <w:pPr>
        <w:pStyle w:val="TextBody"/>
        <w:bidi w:val="0"/>
        <w:jc w:val="left"/>
        <w:rPr>
          <w:rFonts w:ascii="Arial" w:hAnsi="Arial"/>
          <w:color w:val="000000"/>
          <w:sz w:val="18"/>
        </w:rPr>
      </w:pPr>
      <w:r>
        <w:rPr>
          <w:rFonts w:ascii="Arial" w:hAnsi="Arial"/>
          <w:color w:val="000000"/>
          <w:sz w:val="18"/>
        </w:rPr>
        <w:t>Consists of 1,985,833 shares held by our current directors and executive officers as a group, pre-funded warrants to purchase 8,657 shares that are exercisable within 60 days of the record date, and options to purchase 465,345 shares that are exercisable within 60 days of the record date.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4" w:name="securities_authorized_for_issuance_under"/>
      <w:bookmarkEnd w:id="94"/>
      <w:r>
        <w:rPr>
          <w:rFonts w:ascii="Arial" w:hAnsi="Arial"/>
          <w:b/>
          <w:color w:val="000000"/>
          <w:sz w:val="18"/>
        </w:rPr>
        <w:t>Securities Authorized for Issuance Under Equity Compensation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table summarizes information about our equity compensation plans as of December 31, 2025. All outstanding awards relate to our common stock.</w:t>
      </w:r>
      <w:r>
        <w:rPr>
          <w:rFonts w:ascii="Times New Roman" w:hAnsi="Times New Roman"/>
          <w:color w:val="000000"/>
          <w:sz w:val="20"/>
        </w:rPr>
        <w:t xml:space="preserve"> </w:t>
      </w:r>
    </w:p>
    <w:p>
      <w:pPr>
        <w:pStyle w:val="TextBody"/>
        <w:bidi w:val="0"/>
        <w:jc w:val="left"/>
        <w:rPr/>
      </w:pPr>
      <w:r>
        <w:rPr/>
        <w:t> </w:t>
      </w:r>
    </w:p>
    <w:tbl>
      <w:tblPr>
        <w:tblW w:w="9524" w:type="dxa"/>
        <w:jc w:val="left"/>
        <w:tblInd w:w="0" w:type="dxa"/>
        <w:tblLayout w:type="fixed"/>
        <w:tblCellMar>
          <w:top w:w="28" w:type="dxa"/>
          <w:left w:w="28" w:type="dxa"/>
          <w:bottom w:w="28" w:type="dxa"/>
          <w:right w:w="28" w:type="dxa"/>
        </w:tblCellMar>
      </w:tblPr>
      <w:tblGrid>
        <w:gridCol w:w="377"/>
        <w:gridCol w:w="3502"/>
        <w:gridCol w:w="146"/>
        <w:gridCol w:w="146"/>
        <w:gridCol w:w="1651"/>
        <w:gridCol w:w="146"/>
        <w:gridCol w:w="146"/>
        <w:gridCol w:w="1291"/>
        <w:gridCol w:w="146"/>
        <w:gridCol w:w="146"/>
        <w:gridCol w:w="1636"/>
        <w:gridCol w:w="191"/>
      </w:tblGrid>
      <w:tr>
        <w:trPr/>
        <w:tc>
          <w:tcPr>
            <w:tcW w:w="377"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c>
          <w:tcPr>
            <w:tcW w:w="3502" w:type="dxa"/>
            <w:tcBorders>
              <w:bottom w:val="single" w:sz="4" w:space="0" w:color="000000"/>
            </w:tcBorders>
            <w:tcMar>
              <w:top w:w="0" w:type="dxa"/>
              <w:left w:w="0" w:type="dxa"/>
              <w:bottom w:w="5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Plan Category</w:t>
            </w:r>
            <w:r>
              <w:rPr>
                <w:rFonts w:ascii="Times New Roman" w:hAnsi="Times New Roman"/>
                <w:color w:val="000000"/>
                <w:sz w:val="18"/>
              </w:rPr>
              <w:t xml:space="preserve">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tcMar>
              <w:top w:w="0" w:type="dxa"/>
              <w:left w:w="0" w:type="dxa"/>
              <w:bottom w:w="5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(a) Number of</w:t>
            </w:r>
          </w:p>
          <w:p>
            <w:pPr>
              <w:pStyle w:val="TableContents"/>
              <w:bidi w:val="0"/>
              <w:jc w:val="right"/>
              <w:rPr>
                <w:rFonts w:ascii="Arial" w:hAnsi="Arial"/>
                <w:b/>
                <w:color w:val="000000"/>
                <w:sz w:val="18"/>
              </w:rPr>
            </w:pPr>
            <w:r>
              <w:rPr>
                <w:rFonts w:ascii="Arial" w:hAnsi="Arial"/>
                <w:b/>
                <w:color w:val="000000"/>
                <w:sz w:val="18"/>
              </w:rPr>
              <w:t>Securities to be</w:t>
            </w:r>
          </w:p>
          <w:p>
            <w:pPr>
              <w:pStyle w:val="TableContents"/>
              <w:bidi w:val="0"/>
              <w:jc w:val="right"/>
              <w:rPr>
                <w:rFonts w:ascii="Arial" w:hAnsi="Arial"/>
                <w:b/>
                <w:color w:val="000000"/>
                <w:sz w:val="18"/>
              </w:rPr>
            </w:pPr>
            <w:r>
              <w:rPr>
                <w:rFonts w:ascii="Arial" w:hAnsi="Arial"/>
                <w:b/>
                <w:color w:val="000000"/>
                <w:sz w:val="18"/>
              </w:rPr>
              <w:t>Issued Upon</w:t>
            </w:r>
          </w:p>
          <w:p>
            <w:pPr>
              <w:pStyle w:val="TableContents"/>
              <w:bidi w:val="0"/>
              <w:jc w:val="right"/>
              <w:rPr>
                <w:rFonts w:ascii="Arial" w:hAnsi="Arial"/>
                <w:b/>
                <w:color w:val="000000"/>
                <w:sz w:val="18"/>
              </w:rPr>
            </w:pPr>
            <w:r>
              <w:rPr>
                <w:rFonts w:ascii="Arial" w:hAnsi="Arial"/>
                <w:b/>
                <w:color w:val="000000"/>
                <w:sz w:val="18"/>
              </w:rPr>
              <w:t>Exercise of</w:t>
            </w:r>
          </w:p>
          <w:p>
            <w:pPr>
              <w:pStyle w:val="TableContents"/>
              <w:bidi w:val="0"/>
              <w:jc w:val="right"/>
              <w:rPr>
                <w:rFonts w:ascii="Arial" w:hAnsi="Arial"/>
                <w:b/>
                <w:color w:val="000000"/>
                <w:sz w:val="18"/>
              </w:rPr>
            </w:pPr>
            <w:r>
              <w:rPr>
                <w:rFonts w:ascii="Arial" w:hAnsi="Arial"/>
                <w:b/>
                <w:color w:val="000000"/>
                <w:sz w:val="18"/>
              </w:rPr>
              <w:t>Outstanding</w:t>
            </w:r>
          </w:p>
          <w:p>
            <w:pPr>
              <w:pStyle w:val="TableContents"/>
              <w:bidi w:val="0"/>
              <w:jc w:val="right"/>
              <w:rPr>
                <w:rFonts w:ascii="Arial" w:hAnsi="Arial"/>
                <w:b/>
                <w:color w:val="000000"/>
                <w:sz w:val="18"/>
              </w:rPr>
            </w:pPr>
            <w:r>
              <w:rPr>
                <w:rFonts w:ascii="Arial" w:hAnsi="Arial"/>
                <w:b/>
                <w:color w:val="000000"/>
                <w:sz w:val="18"/>
              </w:rPr>
              <w:t>Options, Warrants</w:t>
            </w:r>
          </w:p>
          <w:p>
            <w:pPr>
              <w:pStyle w:val="TableContents"/>
              <w:bidi w:val="0"/>
              <w:spacing w:before="0" w:after="283"/>
              <w:jc w:val="right"/>
              <w:rPr>
                <w:rFonts w:ascii="Arial" w:hAnsi="Arial"/>
                <w:b/>
                <w:color w:val="000000"/>
                <w:sz w:val="18"/>
              </w:rPr>
            </w:pPr>
            <w:r>
              <w:rPr>
                <w:rFonts w:ascii="Arial" w:hAnsi="Arial"/>
                <w:b/>
                <w:color w:val="000000"/>
                <w:sz w:val="18"/>
              </w:rPr>
              <w:t>and Rights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bottom w:w="5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(b) Weighted</w:t>
            </w:r>
          </w:p>
          <w:p>
            <w:pPr>
              <w:pStyle w:val="TableContents"/>
              <w:bidi w:val="0"/>
              <w:jc w:val="right"/>
              <w:rPr>
                <w:rFonts w:ascii="Arial" w:hAnsi="Arial"/>
                <w:b/>
                <w:color w:val="000000"/>
                <w:sz w:val="18"/>
              </w:rPr>
            </w:pPr>
            <w:r>
              <w:rPr>
                <w:rFonts w:ascii="Arial" w:hAnsi="Arial"/>
                <w:b/>
                <w:color w:val="000000"/>
                <w:sz w:val="18"/>
              </w:rPr>
              <w:t>Average</w:t>
            </w:r>
          </w:p>
          <w:p>
            <w:pPr>
              <w:pStyle w:val="TableContents"/>
              <w:bidi w:val="0"/>
              <w:jc w:val="right"/>
              <w:rPr>
                <w:rFonts w:ascii="Arial" w:hAnsi="Arial"/>
                <w:b/>
                <w:color w:val="000000"/>
                <w:sz w:val="18"/>
              </w:rPr>
            </w:pPr>
            <w:r>
              <w:rPr>
                <w:rFonts w:ascii="Arial" w:hAnsi="Arial"/>
                <w:b/>
                <w:color w:val="000000"/>
                <w:sz w:val="18"/>
              </w:rPr>
              <w:t>Exercise</w:t>
            </w:r>
          </w:p>
          <w:p>
            <w:pPr>
              <w:pStyle w:val="TableContents"/>
              <w:bidi w:val="0"/>
              <w:jc w:val="right"/>
              <w:rPr>
                <w:rFonts w:ascii="Arial" w:hAnsi="Arial"/>
                <w:b/>
                <w:color w:val="000000"/>
                <w:sz w:val="18"/>
              </w:rPr>
            </w:pPr>
            <w:r>
              <w:rPr>
                <w:rFonts w:ascii="Arial" w:hAnsi="Arial"/>
                <w:b/>
                <w:color w:val="000000"/>
                <w:sz w:val="18"/>
              </w:rPr>
              <w:t>Price of</w:t>
            </w:r>
          </w:p>
          <w:p>
            <w:pPr>
              <w:pStyle w:val="TableContents"/>
              <w:bidi w:val="0"/>
              <w:jc w:val="right"/>
              <w:rPr>
                <w:rFonts w:ascii="Arial" w:hAnsi="Arial"/>
                <w:b/>
                <w:color w:val="000000"/>
                <w:sz w:val="18"/>
              </w:rPr>
            </w:pPr>
            <w:r>
              <w:rPr>
                <w:rFonts w:ascii="Arial" w:hAnsi="Arial"/>
                <w:b/>
                <w:color w:val="000000"/>
                <w:sz w:val="18"/>
              </w:rPr>
              <w:t>Outstanding</w:t>
            </w:r>
          </w:p>
          <w:p>
            <w:pPr>
              <w:pStyle w:val="TableContents"/>
              <w:bidi w:val="0"/>
              <w:jc w:val="right"/>
              <w:rPr>
                <w:rFonts w:ascii="Arial" w:hAnsi="Arial"/>
                <w:b/>
                <w:color w:val="000000"/>
                <w:sz w:val="18"/>
              </w:rPr>
            </w:pPr>
            <w:r>
              <w:rPr>
                <w:rFonts w:ascii="Arial" w:hAnsi="Arial"/>
                <w:b/>
                <w:color w:val="000000"/>
                <w:sz w:val="18"/>
              </w:rPr>
              <w:t>Options,</w:t>
            </w:r>
          </w:p>
          <w:p>
            <w:pPr>
              <w:pStyle w:val="TableContents"/>
              <w:bidi w:val="0"/>
              <w:jc w:val="right"/>
              <w:rPr>
                <w:rFonts w:ascii="Arial" w:hAnsi="Arial"/>
                <w:b/>
                <w:color w:val="000000"/>
                <w:sz w:val="18"/>
              </w:rPr>
            </w:pPr>
            <w:r>
              <w:rPr>
                <w:rFonts w:ascii="Arial" w:hAnsi="Arial"/>
                <w:b/>
                <w:color w:val="000000"/>
                <w:sz w:val="18"/>
              </w:rPr>
              <w:t>Warrants</w:t>
            </w:r>
          </w:p>
          <w:p>
            <w:pPr>
              <w:pStyle w:val="TableContents"/>
              <w:bidi w:val="0"/>
              <w:spacing w:before="0" w:after="283"/>
              <w:jc w:val="right"/>
              <w:rPr>
                <w:rFonts w:ascii="Arial" w:hAnsi="Arial"/>
                <w:b/>
                <w:color w:val="000000"/>
                <w:sz w:val="18"/>
              </w:rPr>
            </w:pPr>
            <w:r>
              <w:rPr>
                <w:rFonts w:ascii="Arial" w:hAnsi="Arial"/>
                <w:b/>
                <w:color w:val="000000"/>
                <w:sz w:val="18"/>
              </w:rPr>
              <w:t>and Rights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tcMar>
              <w:top w:w="0" w:type="dxa"/>
              <w:left w:w="0" w:type="dxa"/>
              <w:bottom w:w="5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(c) Number of</w:t>
            </w:r>
          </w:p>
          <w:p>
            <w:pPr>
              <w:pStyle w:val="TableContents"/>
              <w:bidi w:val="0"/>
              <w:jc w:val="right"/>
              <w:rPr>
                <w:rFonts w:ascii="Arial" w:hAnsi="Arial"/>
                <w:b/>
                <w:color w:val="000000"/>
                <w:sz w:val="18"/>
              </w:rPr>
            </w:pPr>
            <w:r>
              <w:rPr>
                <w:rFonts w:ascii="Arial" w:hAnsi="Arial"/>
                <w:b/>
                <w:color w:val="000000"/>
                <w:sz w:val="18"/>
              </w:rPr>
              <w:t>Securities</w:t>
            </w:r>
          </w:p>
          <w:p>
            <w:pPr>
              <w:pStyle w:val="TableContents"/>
              <w:bidi w:val="0"/>
              <w:jc w:val="right"/>
              <w:rPr>
                <w:rFonts w:ascii="Times New Roman" w:hAnsi="Times New Roman"/>
                <w:sz w:val="18"/>
              </w:rPr>
            </w:pPr>
            <w:r>
              <w:rPr>
                <w:rFonts w:ascii="Arial" w:hAnsi="Arial"/>
                <w:b/>
                <w:color w:val="000000"/>
                <w:sz w:val="18"/>
              </w:rPr>
              <w:t>Remaining</w:t>
            </w:r>
            <w:r>
              <w:rPr>
                <w:rFonts w:ascii="Times New Roman" w:hAnsi="Times New Roman"/>
                <w:color w:val="000000"/>
                <w:sz w:val="18"/>
              </w:rPr>
              <w:t xml:space="preserve"> </w:t>
            </w:r>
          </w:p>
          <w:p>
            <w:pPr>
              <w:pStyle w:val="TableContents"/>
              <w:bidi w:val="0"/>
              <w:jc w:val="right"/>
              <w:rPr>
                <w:rFonts w:ascii="Arial" w:hAnsi="Arial"/>
                <w:b/>
                <w:color w:val="000000"/>
                <w:sz w:val="18"/>
              </w:rPr>
            </w:pPr>
            <w:r>
              <w:rPr>
                <w:rFonts w:ascii="Arial" w:hAnsi="Arial"/>
                <w:b/>
                <w:color w:val="000000"/>
                <w:sz w:val="18"/>
              </w:rPr>
              <w:t>Available for</w:t>
            </w:r>
          </w:p>
          <w:p>
            <w:pPr>
              <w:pStyle w:val="TableContents"/>
              <w:bidi w:val="0"/>
              <w:jc w:val="right"/>
              <w:rPr>
                <w:rFonts w:ascii="Times New Roman" w:hAnsi="Times New Roman"/>
                <w:sz w:val="18"/>
              </w:rPr>
            </w:pPr>
            <w:r>
              <w:rPr>
                <w:rFonts w:ascii="Arial" w:hAnsi="Arial"/>
                <w:b/>
                <w:color w:val="000000"/>
                <w:sz w:val="18"/>
              </w:rPr>
              <w:t>Future</w:t>
            </w:r>
            <w:r>
              <w:rPr>
                <w:rFonts w:ascii="Times New Roman" w:hAnsi="Times New Roman"/>
                <w:color w:val="000000"/>
                <w:sz w:val="18"/>
              </w:rPr>
              <w:t xml:space="preserve"> </w:t>
            </w:r>
          </w:p>
          <w:p>
            <w:pPr>
              <w:pStyle w:val="TableContents"/>
              <w:bidi w:val="0"/>
              <w:jc w:val="right"/>
              <w:rPr>
                <w:rFonts w:ascii="Arial" w:hAnsi="Arial"/>
                <w:b/>
                <w:color w:val="000000"/>
                <w:sz w:val="18"/>
              </w:rPr>
            </w:pPr>
            <w:r>
              <w:rPr>
                <w:rFonts w:ascii="Arial" w:hAnsi="Arial"/>
                <w:b/>
                <w:color w:val="000000"/>
                <w:sz w:val="18"/>
              </w:rPr>
              <w:t>Issuance</w:t>
            </w:r>
          </w:p>
          <w:p>
            <w:pPr>
              <w:pStyle w:val="TableContents"/>
              <w:bidi w:val="0"/>
              <w:jc w:val="right"/>
              <w:rPr>
                <w:rFonts w:ascii="Arial" w:hAnsi="Arial"/>
                <w:b/>
                <w:color w:val="000000"/>
                <w:sz w:val="18"/>
              </w:rPr>
            </w:pPr>
            <w:r>
              <w:rPr>
                <w:rFonts w:ascii="Arial" w:hAnsi="Arial"/>
                <w:b/>
                <w:color w:val="000000"/>
                <w:sz w:val="18"/>
              </w:rPr>
              <w:t>Under Equity</w:t>
            </w:r>
          </w:p>
          <w:p>
            <w:pPr>
              <w:pStyle w:val="TableContents"/>
              <w:bidi w:val="0"/>
              <w:jc w:val="right"/>
              <w:rPr>
                <w:rFonts w:ascii="Arial" w:hAnsi="Arial"/>
                <w:b/>
                <w:color w:val="000000"/>
                <w:sz w:val="18"/>
              </w:rPr>
            </w:pPr>
            <w:r>
              <w:rPr>
                <w:rFonts w:ascii="Arial" w:hAnsi="Arial"/>
                <w:b/>
                <w:color w:val="000000"/>
                <w:sz w:val="18"/>
              </w:rPr>
              <w:t>Compensation</w:t>
            </w:r>
          </w:p>
          <w:p>
            <w:pPr>
              <w:pStyle w:val="TableContents"/>
              <w:bidi w:val="0"/>
              <w:jc w:val="right"/>
              <w:rPr>
                <w:rFonts w:ascii="Arial" w:hAnsi="Arial"/>
                <w:b/>
                <w:color w:val="000000"/>
                <w:sz w:val="18"/>
              </w:rPr>
            </w:pPr>
            <w:r>
              <w:rPr>
                <w:rFonts w:ascii="Arial" w:hAnsi="Arial"/>
                <w:b/>
                <w:color w:val="000000"/>
                <w:sz w:val="18"/>
              </w:rPr>
              <w:t>Plans</w:t>
            </w:r>
          </w:p>
          <w:p>
            <w:pPr>
              <w:pStyle w:val="TableContents"/>
              <w:bidi w:val="0"/>
              <w:jc w:val="right"/>
              <w:rPr>
                <w:rFonts w:ascii="Arial" w:hAnsi="Arial"/>
                <w:b/>
                <w:color w:val="000000"/>
                <w:sz w:val="18"/>
              </w:rPr>
            </w:pPr>
            <w:r>
              <w:rPr>
                <w:rFonts w:ascii="Arial" w:hAnsi="Arial"/>
                <w:b/>
                <w:color w:val="000000"/>
                <w:sz w:val="18"/>
              </w:rPr>
              <w:t>(Excluding</w:t>
            </w:r>
          </w:p>
          <w:p>
            <w:pPr>
              <w:pStyle w:val="TableContents"/>
              <w:bidi w:val="0"/>
              <w:jc w:val="right"/>
              <w:rPr>
                <w:rFonts w:ascii="Arial" w:hAnsi="Arial"/>
                <w:b/>
                <w:color w:val="000000"/>
                <w:sz w:val="18"/>
              </w:rPr>
            </w:pPr>
            <w:r>
              <w:rPr>
                <w:rFonts w:ascii="Arial" w:hAnsi="Arial"/>
                <w:b/>
                <w:color w:val="000000"/>
                <w:sz w:val="18"/>
              </w:rPr>
              <w:t>Securities</w:t>
            </w:r>
          </w:p>
          <w:p>
            <w:pPr>
              <w:pStyle w:val="TableContents"/>
              <w:bidi w:val="0"/>
              <w:jc w:val="right"/>
              <w:rPr>
                <w:rFonts w:ascii="Arial" w:hAnsi="Arial"/>
                <w:b/>
                <w:color w:val="000000"/>
                <w:sz w:val="18"/>
              </w:rPr>
            </w:pPr>
            <w:r>
              <w:rPr>
                <w:rFonts w:ascii="Arial" w:hAnsi="Arial"/>
                <w:b/>
                <w:color w:val="000000"/>
                <w:sz w:val="18"/>
              </w:rPr>
              <w:t>Reflected in</w:t>
            </w:r>
          </w:p>
          <w:p>
            <w:pPr>
              <w:pStyle w:val="TableContents"/>
              <w:bidi w:val="0"/>
              <w:spacing w:before="0" w:after="283"/>
              <w:jc w:val="right"/>
              <w:rPr>
                <w:rFonts w:ascii="Arial" w:hAnsi="Arial"/>
                <w:b/>
                <w:color w:val="000000"/>
                <w:sz w:val="18"/>
              </w:rPr>
            </w:pPr>
            <w:r>
              <w:rPr>
                <w:rFonts w:ascii="Arial" w:hAnsi="Arial"/>
                <w:b/>
                <w:color w:val="000000"/>
                <w:sz w:val="18"/>
              </w:rPr>
              <w:t>Column (a)) (#) (3)</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c>
          <w:tcPr>
            <w:tcW w:w="8956" w:type="dxa"/>
            <w:gridSpan w:val="10"/>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Equity compensation plans approved by security holders:</w:t>
            </w:r>
            <w:r>
              <w:rPr>
                <w:rFonts w:ascii="Times New Roman" w:hAnsi="Times New Roman"/>
                <w:color w:val="000000"/>
                <w:sz w:val="18"/>
              </w:rPr>
              <w:t xml:space="preserve"> </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ind w:left="0" w:right="0" w:firstLine="216"/>
              <w:jc w:val="left"/>
              <w:rPr/>
            </w:pPr>
            <w:r>
              <w:rPr/>
              <w:t> </w:t>
            </w:r>
          </w:p>
        </w:tc>
        <w:tc>
          <w:tcPr>
            <w:tcW w:w="3502" w:type="dxa"/>
            <w:tcBorders>
              <w:bottom w:val="single" w:sz="8" w:space="0" w:color="FFFFFF"/>
            </w:tcBorders>
            <w:tcMar>
              <w:top w:w="0" w:type="dxa"/>
              <w:left w:w="0" w:type="dxa"/>
              <w:bottom w:w="53" w:type="dxa"/>
              <w:right w:w="0" w:type="dxa"/>
            </w:tcMar>
            <w:vAlign w:val="center"/>
          </w:tcPr>
          <w:p>
            <w:pPr>
              <w:pStyle w:val="TableContents"/>
              <w:bidi w:val="0"/>
              <w:spacing w:before="0" w:after="283"/>
              <w:ind w:left="0" w:right="0" w:firstLine="216"/>
              <w:jc w:val="left"/>
              <w:rPr>
                <w:rFonts w:ascii="Arial" w:hAnsi="Arial"/>
                <w:color w:val="000000"/>
                <w:sz w:val="18"/>
              </w:rPr>
            </w:pPr>
            <w:r>
              <w:rPr>
                <w:rFonts w:ascii="Arial" w:hAnsi="Arial"/>
                <w:color w:val="000000"/>
                <w:sz w:val="18"/>
              </w:rPr>
              <w:t>2014 Equity Incentive Plan</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13,240</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13.06</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color w:val="000000"/>
              </w:rPr>
            </w:pPr>
            <w:r>
              <w:rPr>
                <w:color w:val="000000"/>
              </w:rPr>
              <w:t xml:space="preserve">— </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ind w:left="0" w:right="0" w:firstLine="216"/>
              <w:jc w:val="left"/>
              <w:rPr/>
            </w:pPr>
            <w:r>
              <w:rPr/>
              <w:t> </w:t>
            </w:r>
          </w:p>
        </w:tc>
        <w:tc>
          <w:tcPr>
            <w:tcW w:w="3502" w:type="dxa"/>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ind w:left="0" w:right="0" w:firstLine="216"/>
              <w:jc w:val="left"/>
              <w:rPr>
                <w:rFonts w:ascii="Arial" w:hAnsi="Arial"/>
                <w:color w:val="000000"/>
                <w:sz w:val="18"/>
              </w:rPr>
            </w:pPr>
            <w:r>
              <w:rPr>
                <w:rFonts w:ascii="Arial" w:hAnsi="Arial"/>
                <w:color w:val="000000"/>
                <w:sz w:val="18"/>
              </w:rPr>
              <w:t>2020 Equity Incentive Plan</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1,209,190 (1)</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38.31 (2)</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shd w:fill="CAEDFB"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63,723</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ind w:left="0" w:right="0" w:firstLine="216"/>
              <w:jc w:val="left"/>
              <w:rPr/>
            </w:pPr>
            <w:r>
              <w:rPr/>
              <w:t> </w:t>
            </w:r>
          </w:p>
        </w:tc>
        <w:tc>
          <w:tcPr>
            <w:tcW w:w="3502" w:type="dxa"/>
            <w:tcBorders>
              <w:bottom w:val="single" w:sz="8" w:space="0" w:color="FFFFFF"/>
            </w:tcBorders>
            <w:tcMar>
              <w:top w:w="0" w:type="dxa"/>
              <w:left w:w="0" w:type="dxa"/>
              <w:bottom w:w="53" w:type="dxa"/>
              <w:right w:w="0" w:type="dxa"/>
            </w:tcMar>
            <w:vAlign w:val="center"/>
          </w:tcPr>
          <w:p>
            <w:pPr>
              <w:pStyle w:val="TableContents"/>
              <w:bidi w:val="0"/>
              <w:spacing w:before="0" w:after="283"/>
              <w:ind w:left="0" w:right="0" w:firstLine="216"/>
              <w:jc w:val="left"/>
              <w:rPr>
                <w:rFonts w:ascii="Arial" w:hAnsi="Arial"/>
                <w:color w:val="000000"/>
                <w:sz w:val="18"/>
              </w:rPr>
            </w:pPr>
            <w:r>
              <w:rPr>
                <w:rFonts w:ascii="Arial" w:hAnsi="Arial"/>
                <w:color w:val="000000"/>
                <w:sz w:val="18"/>
              </w:rPr>
              <w:t>2020 Employee Stock Purchase Plan</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156,754</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c>
          <w:tcPr>
            <w:tcW w:w="8956" w:type="dxa"/>
            <w:gridSpan w:val="10"/>
            <w:tcBorders>
              <w:bottom w:val="single" w:sz="8" w:space="0" w:color="FFFFFF"/>
            </w:tcBorders>
            <w:shd w:fill="CAEDFB" w:val="clear"/>
            <w:tcMar>
              <w:top w:w="0" w:type="dxa"/>
              <w:left w:w="0" w:type="dxa"/>
              <w:bottom w:w="53"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Equity compensation plans not approved by security holders:</w:t>
            </w:r>
            <w:r>
              <w:rPr>
                <w:rFonts w:ascii="Times New Roman" w:hAnsi="Times New Roman"/>
                <w:color w:val="000000"/>
                <w:sz w:val="18"/>
              </w:rPr>
              <w:t xml:space="preserve"> </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bottom w:val="single" w:sz="8" w:space="0" w:color="FFFFFF"/>
            </w:tcBorders>
            <w:tcMar>
              <w:top w:w="0" w:type="dxa"/>
              <w:left w:w="0" w:type="dxa"/>
              <w:right w:w="0" w:type="dxa"/>
            </w:tcMar>
            <w:vAlign w:val="center"/>
          </w:tcPr>
          <w:p>
            <w:pPr>
              <w:pStyle w:val="TableContents"/>
              <w:bidi w:val="0"/>
              <w:spacing w:before="240" w:after="283"/>
              <w:ind w:left="0" w:right="0" w:firstLine="216"/>
              <w:jc w:val="left"/>
              <w:rPr/>
            </w:pPr>
            <w:r>
              <w:rPr/>
              <w:t> </w:t>
            </w:r>
          </w:p>
        </w:tc>
        <w:tc>
          <w:tcPr>
            <w:tcW w:w="3502" w:type="dxa"/>
            <w:tcBorders>
              <w:bottom w:val="single" w:sz="8" w:space="0" w:color="FFFFFF"/>
            </w:tcBorders>
            <w:tcMar>
              <w:top w:w="0" w:type="dxa"/>
              <w:left w:w="0" w:type="dxa"/>
              <w:bottom w:w="53" w:type="dxa"/>
              <w:right w:w="0" w:type="dxa"/>
            </w:tcMar>
            <w:vAlign w:val="center"/>
          </w:tcPr>
          <w:p>
            <w:pPr>
              <w:pStyle w:val="TableContents"/>
              <w:bidi w:val="0"/>
              <w:spacing w:before="0" w:after="283"/>
              <w:ind w:left="0" w:right="0" w:firstLine="216"/>
              <w:jc w:val="left"/>
              <w:rPr>
                <w:rFonts w:ascii="Arial" w:hAnsi="Arial"/>
                <w:color w:val="000000"/>
                <w:sz w:val="18"/>
              </w:rPr>
            </w:pPr>
            <w:r>
              <w:rPr>
                <w:rFonts w:ascii="Arial" w:hAnsi="Arial"/>
                <w:color w:val="000000"/>
                <w:sz w:val="18"/>
              </w:rPr>
              <w:t>2024 Inducement Equity Incentive Plan</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40,000</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20.60</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FFFFFF"/>
            </w:tcBorders>
            <w:tcMar>
              <w:top w:w="0" w:type="dxa"/>
              <w:left w:w="0" w:type="dxa"/>
              <w:bottom w:w="53"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35,000</w:t>
            </w:r>
          </w:p>
        </w:tc>
        <w:tc>
          <w:tcPr>
            <w:tcW w:w="191" w:type="dxa"/>
            <w:tcBorders>
              <w:bottom w:val="single" w:sz="8" w:space="0" w:color="FFFFFF"/>
            </w:tcBorders>
            <w:tcMar>
              <w:top w:w="0" w:type="dxa"/>
              <w:left w:w="0" w:type="dxa"/>
              <w:right w:w="0" w:type="dxa"/>
            </w:tcMar>
            <w:vAlign w:val="center"/>
          </w:tcPr>
          <w:p>
            <w:pPr>
              <w:pStyle w:val="TableContents"/>
              <w:bidi w:val="0"/>
              <w:spacing w:before="240" w:after="283"/>
              <w:jc w:val="left"/>
              <w:rPr/>
            </w:pPr>
            <w:r>
              <w:rPr/>
              <w:t> </w:t>
            </w:r>
          </w:p>
        </w:tc>
      </w:tr>
      <w:tr>
        <w:trPr/>
        <w:tc>
          <w:tcPr>
            <w:tcW w:w="377" w:type="dxa"/>
            <w:tcBorders/>
            <w:tcMar>
              <w:top w:w="0" w:type="dxa"/>
              <w:left w:w="0" w:type="dxa"/>
              <w:bottom w:w="0" w:type="dxa"/>
              <w:right w:w="0" w:type="dxa"/>
            </w:tcMar>
            <w:vAlign w:val="center"/>
          </w:tcPr>
          <w:p>
            <w:pPr>
              <w:pStyle w:val="TableContents"/>
              <w:bidi w:val="0"/>
              <w:spacing w:before="240" w:after="283"/>
              <w:jc w:val="left"/>
              <w:rPr/>
            </w:pPr>
            <w:r>
              <w:rPr/>
              <w:t> </w:t>
            </w:r>
          </w:p>
        </w:tc>
        <w:tc>
          <w:tcPr>
            <w:tcW w:w="3502"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AEDFB"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Arial" w:hAnsi="Arial"/>
                <w:color w:val="000000"/>
                <w:sz w:val="18"/>
              </w:rPr>
              <w:t>1,262,430</w:t>
            </w:r>
            <w:r>
              <w:rPr>
                <w:rFonts w:ascii="Times New Roman" w:hAnsi="Times New Roman"/>
                <w:color w:val="000000"/>
                <w:sz w:val="18"/>
              </w:rPr>
              <w:t xml:space="preserve">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AEDFB"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255,477</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Includes both 1,151,589 outstanding options and 57,601 outstanding, unvested time-based and performance restricted stock units.</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Represents the outstanding options’ weighted-average exercise price and does not take into account the shares issuable upon vesting of outstanding time-based and performance restricted stock units, which do not have an exercise price.</w:t>
      </w:r>
    </w:p>
    <w:p>
      <w:pPr>
        <w:pStyle w:val="TextBody"/>
        <w:bidi w:val="0"/>
        <w:spacing w:before="120" w:after="283"/>
        <w:jc w:val="left"/>
        <w:rPr>
          <w:rFonts w:ascii="Arial" w:hAnsi="Arial"/>
          <w:color w:val="000000"/>
          <w:sz w:val="18"/>
        </w:rPr>
      </w:pPr>
      <w:r>
        <w:rPr>
          <w:rFonts w:ascii="Arial" w:hAnsi="Arial"/>
          <w:color w:val="000000"/>
          <w:sz w:val="18"/>
        </w:rPr>
        <w:t>(3)</w:t>
      </w:r>
    </w:p>
    <w:p>
      <w:pPr>
        <w:pStyle w:val="TextBody"/>
        <w:bidi w:val="0"/>
        <w:spacing w:before="120" w:after="283"/>
        <w:jc w:val="left"/>
        <w:rPr>
          <w:rFonts w:ascii="Arial" w:hAnsi="Arial"/>
          <w:color w:val="000000"/>
          <w:sz w:val="18"/>
        </w:rPr>
      </w:pPr>
      <w:r>
        <w:rPr>
          <w:rFonts w:ascii="Arial" w:hAnsi="Arial"/>
          <w:color w:val="000000"/>
          <w:sz w:val="18"/>
        </w:rPr>
        <w:t>Our 2020 Equity Incentive Plan includes provisions providing for an annual increase in the number of securities available for future issuance on the first day of each fiscal year, equal to the least of: (1) 323,000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 shares; and (3) such lesser number of shares determined by the board of directors.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 February 2024, our board of directors adopted the Inducement Plan, and, subject to the adjustment provisions of the Inducement Plan, reserved 75,000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bookmarkStart w:id="95" w:name="other_matters"/>
      <w:bookmarkEnd w:id="95"/>
      <w:r>
        <w:rPr>
          <w:rFonts w:ascii="Arial" w:hAnsi="Arial"/>
          <w:b/>
          <w:color w:val="000000"/>
          <w:sz w:val="18"/>
        </w:rPr>
        <w:t>OTHER MATTERS</w:t>
      </w:r>
    </w:p>
    <w:p>
      <w:pPr>
        <w:pStyle w:val="TextBody"/>
        <w:bidi w:val="0"/>
        <w:jc w:val="left"/>
        <w:rPr/>
      </w:pPr>
      <w:r>
        <w:rPr/>
        <w:t> </w:t>
      </w:r>
    </w:p>
    <w:p>
      <w:pPr>
        <w:pStyle w:val="TextBody"/>
        <w:bidi w:val="0"/>
        <w:jc w:val="left"/>
        <w:rPr>
          <w:rFonts w:ascii="Times New Roman" w:hAnsi="Times New Roman"/>
          <w:sz w:val="20"/>
        </w:rPr>
      </w:pPr>
      <w:bookmarkStart w:id="96" w:name="availability_of_bylaws"/>
      <w:bookmarkEnd w:id="96"/>
      <w:r>
        <w:rPr>
          <w:rFonts w:ascii="Arial" w:hAnsi="Arial"/>
          <w:b/>
          <w:color w:val="000000"/>
          <w:sz w:val="18"/>
        </w:rPr>
        <w:t>Availability</w:t>
      </w:r>
      <w:r>
        <w:rPr>
          <w:rFonts w:ascii="Times New Roman" w:hAnsi="Times New Roman"/>
          <w:color w:val="000000"/>
          <w:sz w:val="20"/>
        </w:rPr>
        <w:t xml:space="preserve"> </w:t>
      </w:r>
      <w:r>
        <w:rPr>
          <w:rFonts w:ascii="Arial" w:hAnsi="Arial"/>
          <w:b/>
          <w:color w:val="000000"/>
          <w:sz w:val="18"/>
        </w:rPr>
        <w:t>of Bylaws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A copy of the Bylaws may be obtained by accessing our filings on the Securities and Exchange Commission’s website at </w:t>
      </w:r>
      <w:r>
        <w:rPr>
          <w:rFonts w:ascii="Arial" w:hAnsi="Arial"/>
          <w:i/>
          <w:color w:val="000000"/>
          <w:sz w:val="18"/>
        </w:rPr>
        <w:t>www.sec.gov</w:t>
      </w:r>
      <w:r>
        <w:rPr>
          <w:rFonts w:ascii="Arial" w:hAnsi="Arial"/>
          <w:color w:val="000000"/>
          <w:sz w:val="18"/>
        </w:rPr>
        <w:t>. You may also contact our corporate secretary at our principal executive offices for a copy of the relevant Bylaw provisions regarding the requirements for making stockholder proposals and nominating director candidates.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8"/>
        </w:rPr>
        <w:t>* *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board of directors does not know of any other matters to be presented at the Special Meeting. If any additional matters are properly presented at the Special Meeting, the persons named in the proxy will have discretion to vote the shares of our common stock they represent in accordance with their own judgment on such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It is important that your shares be represented at the Special Meeting, regardless of the number of shares that you hold. You are, therefore, urged to vote as promptly as possible to ensure your vote is recorded.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Bothell, Washington</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 xml:space="preserve">February 23, 2026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18"/>
        </w:rPr>
      </w:pPr>
      <w:bookmarkStart w:id="97" w:name="annex_a"/>
      <w:bookmarkEnd w:id="97"/>
      <w:r>
        <w:rPr>
          <w:rFonts w:ascii="Arial" w:hAnsi="Arial"/>
          <w:b/>
          <w:color w:val="000000"/>
          <w:sz w:val="18"/>
        </w:rPr>
        <w:t>Annex A</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2026 EQUITY INCENTIVE PLAN</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 xml:space="preserve">1. </w:t>
      </w:r>
      <w:r>
        <w:rPr>
          <w:rFonts w:ascii="Times New Roman" w:hAnsi="Times New Roman"/>
          <w:smallCaps/>
          <w:color w:val="000000"/>
          <w:sz w:val="24"/>
        </w:rPr>
        <w:t>Purposes of the Plan</w:t>
      </w:r>
      <w:r>
        <w:rPr>
          <w:rFonts w:ascii="Times New Roman" w:hAnsi="Times New Roman"/>
          <w:b w:val="false"/>
          <w:color w:val="000000"/>
          <w:sz w:val="24"/>
        </w:rPr>
        <w:t>. The purposes of the Plan are:</w:t>
      </w:r>
    </w:p>
    <w:p>
      <w:pPr>
        <w:pStyle w:val="TextBody"/>
        <w:bidi w:val="0"/>
        <w:spacing w:before="240" w:after="283"/>
        <w:jc w:val="both"/>
        <w:rPr/>
      </w:pPr>
      <w:r>
        <w:rPr>
          <w:color w:val="000000"/>
        </w:rPr>
        <w:t xml:space="preserve"> </w:t>
      </w: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pPr>
      <w:r>
        <w:rPr>
          <w:color w:val="000000"/>
        </w:rPr>
        <w:t xml:space="preserve"> </w:t>
      </w:r>
      <w:r>
        <w:rPr>
          <w:rFonts w:ascii="Times New Roman" w:hAnsi="Times New Roman"/>
          <w:color w:val="000000"/>
          <w:sz w:val="24"/>
        </w:rPr>
        <w:t>to provide additional incentive to Employees, Directors and Consultants, and</w:t>
      </w:r>
      <w:r>
        <w:rPr>
          <w:rFonts w:ascii="Times New Roman" w:hAnsi="Times New Roman"/>
          <w:color w:val="000000"/>
          <w:sz w:val="20"/>
        </w:rPr>
        <w:t xml:space="preserve"> </w:t>
      </w:r>
    </w:p>
    <w:p>
      <w:pPr>
        <w:pStyle w:val="TextBody"/>
        <w:bidi w:val="0"/>
        <w:spacing w:before="240" w:after="283"/>
        <w:jc w:val="both"/>
        <w:rPr/>
      </w:pPr>
      <w:r>
        <w:rPr>
          <w:color w:val="000000"/>
        </w:rPr>
        <w:t xml:space="preserve"> </w:t>
      </w: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 </w:t>
      </w:r>
      <w:r>
        <w:rPr>
          <w:rFonts w:ascii="Times New Roman" w:hAnsi="Times New Roman"/>
          <w:smallCaps/>
          <w:color w:val="000000"/>
          <w:sz w:val="24"/>
        </w:rPr>
        <w:t>Definitions</w:t>
      </w:r>
      <w:r>
        <w:rPr>
          <w:rFonts w:ascii="Times New Roman" w:hAnsi="Times New Roman"/>
          <w:b w:val="false"/>
          <w:color w:val="000000"/>
          <w:sz w:val="24"/>
        </w:rPr>
        <w:t>. As used herein, the following definitions will apply:</w:t>
      </w:r>
    </w:p>
    <w:p>
      <w:pPr>
        <w:pStyle w:val="TextBody"/>
        <w:bidi w:val="0"/>
        <w:spacing w:before="240" w:after="283"/>
        <w:jc w:val="both"/>
        <w:rPr>
          <w:rFonts w:ascii="Times New Roman" w:hAnsi="Times New Roman"/>
          <w:sz w:val="20"/>
        </w:rPr>
      </w:pPr>
      <w:r>
        <w:rPr>
          <w:rFonts w:ascii="Times New Roman" w:hAnsi="Times New Roman"/>
          <w:color w:val="000000"/>
          <w:sz w:val="24"/>
        </w:rPr>
        <w:t>2.1 “</w:t>
      </w:r>
      <w:r>
        <w:rPr>
          <w:rFonts w:ascii="Times New Roman" w:hAnsi="Times New Roman"/>
          <w:b/>
          <w:color w:val="000000"/>
          <w:sz w:val="24"/>
        </w:rPr>
        <w:t>Administrator</w:t>
      </w:r>
      <w:r>
        <w:rPr>
          <w:rFonts w:ascii="Times New Roman" w:hAnsi="Times New Roman"/>
          <w:color w:val="000000"/>
          <w:sz w:val="20"/>
        </w:rPr>
        <w:t xml:space="preserve">” </w:t>
      </w:r>
      <w:r>
        <w:rPr>
          <w:rFonts w:ascii="Times New Roman" w:hAnsi="Times New Roman"/>
          <w:color w:val="000000"/>
          <w:sz w:val="24"/>
        </w:rPr>
        <w:t>means the Board or any of its Committees as will be administering the Plan, in accordance with Section 4.</w:t>
      </w:r>
    </w:p>
    <w:p>
      <w:pPr>
        <w:pStyle w:val="TextBody"/>
        <w:bidi w:val="0"/>
        <w:spacing w:before="240" w:after="283"/>
        <w:jc w:val="both"/>
        <w:rPr>
          <w:rFonts w:ascii="Times New Roman" w:hAnsi="Times New Roman"/>
          <w:sz w:val="20"/>
        </w:rPr>
      </w:pPr>
      <w:r>
        <w:rPr>
          <w:rFonts w:ascii="Times New Roman" w:hAnsi="Times New Roman"/>
          <w:color w:val="000000"/>
          <w:sz w:val="24"/>
        </w:rPr>
        <w:t>2.2 “</w:t>
      </w:r>
      <w:r>
        <w:rPr>
          <w:rFonts w:ascii="Times New Roman" w:hAnsi="Times New Roman"/>
          <w:b/>
          <w:color w:val="000000"/>
          <w:sz w:val="24"/>
        </w:rPr>
        <w:t>Applicable Laws</w:t>
      </w:r>
      <w:r>
        <w:rPr>
          <w:rFonts w:ascii="Times New Roman" w:hAnsi="Times New Roman"/>
          <w:color w:val="000000"/>
          <w:sz w:val="2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2.3 “</w:t>
      </w:r>
      <w:r>
        <w:rPr>
          <w:rFonts w:ascii="Times New Roman" w:hAnsi="Times New Roman"/>
          <w:b/>
          <w:color w:val="000000"/>
          <w:sz w:val="24"/>
        </w:rPr>
        <w:t>Award</w:t>
      </w:r>
      <w:r>
        <w:rPr>
          <w:rFonts w:ascii="Times New Roman" w:hAnsi="Times New Roman"/>
          <w:color w:val="000000"/>
          <w:sz w:val="2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2.4 “</w:t>
      </w:r>
      <w:r>
        <w:rPr>
          <w:rFonts w:ascii="Times New Roman" w:hAnsi="Times New Roman"/>
          <w:b/>
          <w:color w:val="000000"/>
          <w:sz w:val="24"/>
        </w:rPr>
        <w:t>Award Agreement</w:t>
      </w:r>
      <w:r>
        <w:rPr>
          <w:rFonts w:ascii="Times New Roman" w:hAnsi="Times New Roman"/>
          <w:color w:val="000000"/>
          <w:sz w:val="20"/>
        </w:rPr>
        <w:t xml:space="preserve">” </w:t>
      </w:r>
      <w:r>
        <w:rPr>
          <w:rFonts w:ascii="Times New Roman" w:hAnsi="Times New Roman"/>
          <w:color w:val="000000"/>
          <w:sz w:val="24"/>
        </w:rPr>
        <w:t>means the written or electronic agreement setting forth the terms and conditions applicable to each Award granted under the Plan. The Award Agreement is subject to the terms and conditions of the Plan.</w:t>
      </w:r>
    </w:p>
    <w:p>
      <w:pPr>
        <w:pStyle w:val="TextBody"/>
        <w:bidi w:val="0"/>
        <w:spacing w:before="240" w:after="283"/>
        <w:jc w:val="both"/>
        <w:rPr>
          <w:rFonts w:ascii="Times New Roman" w:hAnsi="Times New Roman"/>
          <w:sz w:val="20"/>
        </w:rPr>
      </w:pPr>
      <w:r>
        <w:rPr>
          <w:rFonts w:ascii="Times New Roman" w:hAnsi="Times New Roman"/>
          <w:color w:val="000000"/>
          <w:sz w:val="24"/>
        </w:rPr>
        <w:t>2.5 “</w:t>
      </w:r>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2.6 “</w:t>
      </w:r>
      <w:r>
        <w:rPr>
          <w:rFonts w:ascii="Times New Roman" w:hAnsi="Times New Roman"/>
          <w:b/>
          <w:color w:val="000000"/>
          <w:sz w:val="24"/>
        </w:rPr>
        <w:t>Change in Control</w:t>
      </w:r>
      <w:r>
        <w:rPr>
          <w:rFonts w:ascii="Times New Roman" w:hAnsi="Times New Roman"/>
          <w:color w:val="000000"/>
          <w:sz w:val="2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Change in Ownership of the Company</w:t>
      </w:r>
      <w:r>
        <w:rPr>
          <w:rFonts w:ascii="Times New Roman" w:hAnsi="Times New Roman"/>
          <w:color w:val="000000"/>
          <w:sz w:val="24"/>
        </w:rPr>
        <w:t>. A change in the ownership of the Company</w:t>
      </w:r>
      <w:r>
        <w:rPr>
          <w:rFonts w:ascii="Times New Roman" w:hAnsi="Times New Roman"/>
          <w:color w:val="000000"/>
          <w:sz w:val="2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b/>
          <w:color w:val="000000"/>
          <w:sz w:val="24"/>
        </w:rPr>
        <w:t>Person</w:t>
      </w:r>
      <w:r>
        <w:rPr>
          <w:rFonts w:ascii="Times New Roman" w:hAnsi="Times New Roman"/>
          <w:color w:val="000000"/>
          <w:sz w:val="20"/>
        </w:rPr>
        <w:t>”</w:t>
      </w:r>
      <w:r>
        <w:rPr>
          <w:rFonts w:ascii="Times New Roman" w:hAnsi="Times New Roman"/>
          <w:color w:val="000000"/>
          <w:sz w:val="24"/>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sz w:val="20"/>
        </w:rPr>
      </w:pPr>
      <w:r>
        <w:rPr>
          <w:rFonts w:ascii="Times New Roman" w:hAnsi="Times New Roman"/>
          <w:color w:val="000000"/>
          <w:sz w:val="24"/>
        </w:rPr>
        <w:t>2.7 “</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2.8 “</w:t>
      </w:r>
      <w:r>
        <w:rPr>
          <w:rFonts w:ascii="Times New Roman" w:hAnsi="Times New Roman"/>
          <w:b/>
          <w:color w:val="000000"/>
          <w:sz w:val="24"/>
        </w:rPr>
        <w:t>Committee</w:t>
      </w:r>
      <w:r>
        <w:rPr>
          <w:rFonts w:ascii="Times New Roman" w:hAnsi="Times New Roman"/>
          <w:color w:val="000000"/>
          <w:sz w:val="2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w:t>
      </w:r>
    </w:p>
    <w:p>
      <w:pPr>
        <w:pStyle w:val="TextBody"/>
        <w:bidi w:val="0"/>
        <w:spacing w:before="240" w:after="283"/>
        <w:jc w:val="both"/>
        <w:rPr>
          <w:rFonts w:ascii="Times New Roman" w:hAnsi="Times New Roman"/>
          <w:sz w:val="20"/>
        </w:rPr>
      </w:pPr>
      <w:r>
        <w:rPr>
          <w:rFonts w:ascii="Times New Roman" w:hAnsi="Times New Roman"/>
          <w:color w:val="000000"/>
          <w:sz w:val="24"/>
        </w:rPr>
        <w:t>2.9 “</w:t>
      </w:r>
      <w:r>
        <w:rPr>
          <w:rFonts w:ascii="Times New Roman" w:hAnsi="Times New Roman"/>
          <w:b/>
          <w:color w:val="000000"/>
          <w:sz w:val="24"/>
        </w:rPr>
        <w:t>Common Stock</w:t>
      </w:r>
      <w:r>
        <w:rPr>
          <w:rFonts w:ascii="Times New Roman" w:hAnsi="Times New Roman"/>
          <w:color w:val="000000"/>
          <w:sz w:val="2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2.10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means LeonaBio, Inc., a Delaware corporation, or any successor thereto.</w:t>
      </w:r>
    </w:p>
    <w:p>
      <w:pPr>
        <w:pStyle w:val="TextBody"/>
        <w:bidi w:val="0"/>
        <w:spacing w:before="240" w:after="283"/>
        <w:jc w:val="both"/>
        <w:rPr>
          <w:rFonts w:ascii="Times New Roman" w:hAnsi="Times New Roman"/>
          <w:sz w:val="20"/>
        </w:rPr>
      </w:pPr>
      <w:r>
        <w:rPr>
          <w:rFonts w:ascii="Times New Roman" w:hAnsi="Times New Roman"/>
          <w:color w:val="000000"/>
          <w:sz w:val="24"/>
        </w:rPr>
        <w:t>2.11 “</w:t>
      </w:r>
      <w:r>
        <w:rPr>
          <w:rFonts w:ascii="Times New Roman" w:hAnsi="Times New Roman"/>
          <w:b/>
          <w:color w:val="000000"/>
          <w:sz w:val="24"/>
        </w:rPr>
        <w:t>Consultant</w:t>
      </w:r>
      <w:r>
        <w:rPr>
          <w:rFonts w:ascii="Times New Roman" w:hAnsi="Times New Roman"/>
          <w:color w:val="000000"/>
          <w:sz w:val="20"/>
        </w:rPr>
        <w:t xml:space="preserve">” </w:t>
      </w:r>
      <w:r>
        <w:rPr>
          <w:rFonts w:ascii="Times New Roman" w:hAnsi="Times New Roman"/>
          <w:color w:val="000000"/>
          <w:sz w:val="24"/>
        </w:rPr>
        <w:t>means any natural person, including an advisor, engaged by the Company or any of its Parents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2.12 “</w:t>
      </w:r>
      <w:r>
        <w:rPr>
          <w:rFonts w:ascii="Times New Roman" w:hAnsi="Times New Roman"/>
          <w:b/>
          <w:color w:val="000000"/>
          <w:sz w:val="24"/>
        </w:rPr>
        <w:t>Director</w:t>
      </w:r>
      <w:r>
        <w:rPr>
          <w:rFonts w:ascii="Times New Roman" w:hAnsi="Times New Roman"/>
          <w:color w:val="000000"/>
          <w:sz w:val="2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sz w:val="20"/>
        </w:rPr>
      </w:pPr>
      <w:r>
        <w:rPr>
          <w:rFonts w:ascii="Times New Roman" w:hAnsi="Times New Roman"/>
          <w:color w:val="000000"/>
          <w:sz w:val="24"/>
        </w:rPr>
        <w:t>2.13 “</w:t>
      </w:r>
      <w:r>
        <w:rPr>
          <w:rFonts w:ascii="Times New Roman" w:hAnsi="Times New Roman"/>
          <w:b/>
          <w:color w:val="000000"/>
          <w:sz w:val="24"/>
        </w:rPr>
        <w:t>Disability</w:t>
      </w:r>
      <w:r>
        <w:rPr>
          <w:rFonts w:ascii="Times New Roman" w:hAnsi="Times New Roman"/>
          <w:color w:val="000000"/>
          <w:sz w:val="20"/>
        </w:rPr>
        <w:t xml:space="preserve">” </w:t>
      </w:r>
      <w:r>
        <w:rPr>
          <w:rFonts w:ascii="Times New Roman" w:hAnsi="Times New Roman"/>
          <w:color w:val="000000"/>
          <w:sz w:val="24"/>
        </w:rPr>
        <w:t>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2.14 “</w:t>
      </w:r>
      <w:r>
        <w:rPr>
          <w:rFonts w:ascii="Times New Roman" w:hAnsi="Times New Roman"/>
          <w:b/>
          <w:color w:val="000000"/>
          <w:sz w:val="24"/>
        </w:rPr>
        <w:t>Employee</w:t>
      </w:r>
      <w:r>
        <w:rPr>
          <w:rFonts w:ascii="Times New Roman" w:hAnsi="Times New Roman"/>
          <w:color w:val="000000"/>
          <w:sz w:val="2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2.15 “</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2.16 “</w:t>
      </w:r>
      <w:r>
        <w:rPr>
          <w:rFonts w:ascii="Times New Roman" w:hAnsi="Times New Roman"/>
          <w:b/>
          <w:color w:val="000000"/>
          <w:sz w:val="24"/>
        </w:rPr>
        <w:t>Exchange Program</w:t>
      </w:r>
      <w:r>
        <w:rPr>
          <w:rFonts w:ascii="Times New Roman" w:hAnsi="Times New Roman"/>
          <w:color w:val="000000"/>
          <w:sz w:val="2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both"/>
        <w:rPr>
          <w:rFonts w:ascii="Times New Roman" w:hAnsi="Times New Roman"/>
          <w:sz w:val="20"/>
        </w:rPr>
      </w:pPr>
      <w:r>
        <w:rPr>
          <w:rFonts w:ascii="Times New Roman" w:hAnsi="Times New Roman"/>
          <w:color w:val="000000"/>
          <w:sz w:val="24"/>
        </w:rPr>
        <w:t>2.17 “</w:t>
      </w:r>
      <w:r>
        <w:rPr>
          <w:rFonts w:ascii="Times New Roman" w:hAnsi="Times New Roman"/>
          <w:b/>
          <w:color w:val="000000"/>
          <w:sz w:val="24"/>
        </w:rPr>
        <w:t>Fair Market Value</w:t>
      </w:r>
      <w:r>
        <w:rPr>
          <w:rFonts w:ascii="Times New Roman" w:hAnsi="Times New Roman"/>
          <w:color w:val="000000"/>
          <w:sz w:val="20"/>
        </w:rPr>
        <w:t xml:space="preserve">” </w:t>
      </w:r>
      <w:r>
        <w:rPr>
          <w:rFonts w:ascii="Times New Roman" w:hAnsi="Times New Roman"/>
          <w:color w:val="000000"/>
          <w:sz w:val="24"/>
        </w:rPr>
        <w:t>means, as of any date and unless the Administrator determines otherwise, the value of a Share determined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rFonts w:ascii="Times New Roman" w:hAnsi="Times New Roman"/>
          <w:color w:val="000000"/>
          <w:sz w:val="2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sz w:val="20"/>
        </w:rPr>
      </w:pPr>
      <w:r>
        <w:rPr>
          <w:rFonts w:ascii="Times New Roman" w:hAnsi="Times New Roman"/>
          <w:color w:val="000000"/>
          <w:sz w:val="24"/>
        </w:rPr>
        <w:t>(b) 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applicable, on the last Trading Day such bids and asks were reported), as reported in </w:t>
      </w:r>
      <w:r>
        <w:rPr>
          <w:rFonts w:ascii="Times New Roman" w:hAnsi="Times New Roman"/>
          <w:i/>
          <w:color w:val="000000"/>
          <w:sz w:val="24"/>
        </w:rPr>
        <w:t>The Wall Street Journal</w:t>
      </w:r>
      <w:r>
        <w:rPr>
          <w:rFonts w:ascii="Times New Roman" w:hAnsi="Times New Roman"/>
          <w:color w:val="000000"/>
          <w:sz w:val="2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spacing w:before="240" w:after="283"/>
        <w:jc w:val="both"/>
        <w:rPr>
          <w:rFonts w:ascii="Times New Roman" w:hAnsi="Times New Roman"/>
          <w:sz w:val="20"/>
        </w:rPr>
      </w:pPr>
      <w:r>
        <w:rPr>
          <w:rFonts w:ascii="Times New Roman" w:hAnsi="Times New Roman"/>
          <w:color w:val="000000"/>
          <w:sz w:val="24"/>
        </w:rPr>
        <w:t>2.18 “</w:t>
      </w:r>
      <w:r>
        <w:rPr>
          <w:rFonts w:ascii="Times New Roman" w:hAnsi="Times New Roman"/>
          <w:b/>
          <w:color w:val="000000"/>
          <w:sz w:val="24"/>
        </w:rPr>
        <w:t>Fiscal Year</w:t>
      </w:r>
      <w:r>
        <w:rPr>
          <w:rFonts w:ascii="Times New Roman" w:hAnsi="Times New Roman"/>
          <w:color w:val="000000"/>
          <w:sz w:val="2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2.19 “</w:t>
      </w:r>
      <w:r>
        <w:rPr>
          <w:rFonts w:ascii="Times New Roman" w:hAnsi="Times New Roman"/>
          <w:b/>
          <w:color w:val="000000"/>
          <w:sz w:val="24"/>
        </w:rPr>
        <w:t>Incentive Stock Option</w:t>
      </w:r>
      <w:r>
        <w:rPr>
          <w:rFonts w:ascii="Times New Roman" w:hAnsi="Times New Roman"/>
          <w:color w:val="000000"/>
          <w:sz w:val="2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2.20 “</w:t>
      </w:r>
      <w:r>
        <w:rPr>
          <w:rFonts w:ascii="Times New Roman" w:hAnsi="Times New Roman"/>
          <w:b/>
          <w:color w:val="000000"/>
          <w:sz w:val="24"/>
        </w:rPr>
        <w:t>Inside Director</w:t>
      </w:r>
      <w:r>
        <w:rPr>
          <w:rFonts w:ascii="Times New Roman" w:hAnsi="Times New Roman"/>
          <w:color w:val="000000"/>
          <w:sz w:val="20"/>
        </w:rPr>
        <w:t xml:space="preserve">” </w:t>
      </w:r>
      <w:r>
        <w:rPr>
          <w:rFonts w:ascii="Times New Roman" w:hAnsi="Times New Roman"/>
          <w:color w:val="000000"/>
          <w:sz w:val="24"/>
        </w:rPr>
        <w:t>means a Director who is an Employee.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2.21 “</w:t>
      </w:r>
      <w:r>
        <w:rPr>
          <w:rFonts w:ascii="Times New Roman" w:hAnsi="Times New Roman"/>
          <w:b/>
          <w:color w:val="000000"/>
          <w:sz w:val="24"/>
        </w:rPr>
        <w:t>Nonstatutory Stock Option</w:t>
      </w:r>
      <w:r>
        <w:rPr>
          <w:rFonts w:ascii="Times New Roman" w:hAnsi="Times New Roman"/>
          <w:color w:val="000000"/>
          <w:sz w:val="2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sz w:val="20"/>
        </w:rPr>
      </w:pPr>
      <w:r>
        <w:rPr>
          <w:rFonts w:ascii="Times New Roman" w:hAnsi="Times New Roman"/>
          <w:color w:val="000000"/>
          <w:sz w:val="24"/>
        </w:rPr>
        <w:t>2.22 “</w:t>
      </w:r>
      <w:r>
        <w:rPr>
          <w:rFonts w:ascii="Times New Roman" w:hAnsi="Times New Roman"/>
          <w:b/>
          <w:color w:val="000000"/>
          <w:sz w:val="24"/>
        </w:rPr>
        <w:t>Officer</w:t>
      </w:r>
      <w:r>
        <w:rPr>
          <w:rFonts w:ascii="Times New Roman" w:hAnsi="Times New Roman"/>
          <w:color w:val="000000"/>
          <w:sz w:val="20"/>
        </w:rPr>
        <w:t xml:space="preserve">” </w:t>
      </w:r>
      <w:r>
        <w:rPr>
          <w:rFonts w:ascii="Times New Roman" w:hAnsi="Times New Roman"/>
          <w:color w:val="000000"/>
          <w:sz w:val="24"/>
        </w:rPr>
        <w:t>means a person who is an officer of the Company within the meaning of Section 16 of the Exchange Act and the rules and regulations promulgated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2.23 “</w:t>
      </w:r>
      <w:r>
        <w:rPr>
          <w:rFonts w:ascii="Times New Roman" w:hAnsi="Times New Roman"/>
          <w:b/>
          <w:color w:val="000000"/>
          <w:sz w:val="24"/>
        </w:rPr>
        <w:t>Option</w:t>
      </w:r>
      <w:r>
        <w:rPr>
          <w:rFonts w:ascii="Times New Roman" w:hAnsi="Times New Roman"/>
          <w:color w:val="000000"/>
          <w:sz w:val="2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2.24 “</w:t>
      </w:r>
      <w:r>
        <w:rPr>
          <w:rFonts w:ascii="Times New Roman" w:hAnsi="Times New Roman"/>
          <w:b/>
          <w:color w:val="000000"/>
          <w:sz w:val="24"/>
        </w:rPr>
        <w:t>Outside Director</w:t>
      </w:r>
      <w:r>
        <w:rPr>
          <w:rFonts w:ascii="Times New Roman" w:hAnsi="Times New Roman"/>
          <w:color w:val="000000"/>
          <w:sz w:val="20"/>
        </w:rPr>
        <w:t xml:space="preserve">” </w:t>
      </w:r>
      <w:r>
        <w:rPr>
          <w:rFonts w:ascii="Times New Roman" w:hAnsi="Times New Roman"/>
          <w:color w:val="000000"/>
          <w:sz w:val="24"/>
        </w:rPr>
        <w:t>means a Director who is not an Employee.</w:t>
      </w:r>
    </w:p>
    <w:p>
      <w:pPr>
        <w:pStyle w:val="TextBody"/>
        <w:bidi w:val="0"/>
        <w:spacing w:before="240" w:after="283"/>
        <w:jc w:val="both"/>
        <w:rPr>
          <w:rFonts w:ascii="Times New Roman" w:hAnsi="Times New Roman"/>
          <w:sz w:val="20"/>
        </w:rPr>
      </w:pPr>
      <w:r>
        <w:rPr>
          <w:rFonts w:ascii="Times New Roman" w:hAnsi="Times New Roman"/>
          <w:color w:val="000000"/>
          <w:sz w:val="24"/>
        </w:rPr>
        <w:t>2.25 “</w:t>
      </w:r>
      <w:r>
        <w:rPr>
          <w:rFonts w:ascii="Times New Roman" w:hAnsi="Times New Roman"/>
          <w:b/>
          <w:color w:val="000000"/>
          <w:sz w:val="24"/>
        </w:rPr>
        <w:t>Parent</w:t>
      </w:r>
      <w:r>
        <w:rPr>
          <w:rFonts w:ascii="Times New Roman" w:hAnsi="Times New Roman"/>
          <w:color w:val="000000"/>
          <w:sz w:val="2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rFonts w:ascii="Times New Roman" w:hAnsi="Times New Roman"/>
          <w:sz w:val="20"/>
        </w:rPr>
      </w:pPr>
      <w:r>
        <w:rPr>
          <w:rFonts w:ascii="Times New Roman" w:hAnsi="Times New Roman"/>
          <w:color w:val="000000"/>
          <w:sz w:val="24"/>
        </w:rPr>
        <w:t>2.26 “</w:t>
      </w:r>
      <w:r>
        <w:rPr>
          <w:rFonts w:ascii="Times New Roman" w:hAnsi="Times New Roman"/>
          <w:b/>
          <w:color w:val="000000"/>
          <w:sz w:val="24"/>
        </w:rPr>
        <w:t>Participant</w:t>
      </w:r>
      <w:r>
        <w:rPr>
          <w:rFonts w:ascii="Times New Roman" w:hAnsi="Times New Roman"/>
          <w:color w:val="000000"/>
          <w:sz w:val="2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sz w:val="20"/>
        </w:rPr>
      </w:pPr>
      <w:r>
        <w:rPr>
          <w:rFonts w:ascii="Times New Roman" w:hAnsi="Times New Roman"/>
          <w:color w:val="000000"/>
          <w:sz w:val="24"/>
        </w:rPr>
        <w:t>2.27 “</w:t>
      </w:r>
      <w:r>
        <w:rPr>
          <w:rFonts w:ascii="Times New Roman" w:hAnsi="Times New Roman"/>
          <w:b/>
          <w:color w:val="000000"/>
          <w:sz w:val="24"/>
        </w:rPr>
        <w:t>Performance Awards</w:t>
      </w:r>
      <w:r>
        <w:rPr>
          <w:rFonts w:ascii="Times New Roman" w:hAnsi="Times New Roman"/>
          <w:color w:val="000000"/>
          <w:sz w:val="20"/>
        </w:rPr>
        <w:t xml:space="preserve">” </w:t>
      </w:r>
      <w:r>
        <w:rPr>
          <w:rFonts w:ascii="Times New Roman" w:hAnsi="Times New Roman"/>
          <w:color w:val="000000"/>
          <w:sz w:val="24"/>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240" w:after="283"/>
        <w:jc w:val="both"/>
        <w:rPr>
          <w:rFonts w:ascii="Times New Roman" w:hAnsi="Times New Roman"/>
          <w:sz w:val="20"/>
        </w:rPr>
      </w:pPr>
      <w:r>
        <w:rPr>
          <w:rFonts w:ascii="Times New Roman" w:hAnsi="Times New Roman"/>
          <w:color w:val="000000"/>
          <w:sz w:val="24"/>
        </w:rPr>
        <w:t>2.28 “</w:t>
      </w:r>
      <w:r>
        <w:rPr>
          <w:rFonts w:ascii="Times New Roman" w:hAnsi="Times New Roman"/>
          <w:b/>
          <w:color w:val="000000"/>
          <w:sz w:val="24"/>
        </w:rPr>
        <w:t>Performance Period</w:t>
      </w:r>
      <w:r>
        <w:rPr>
          <w:rFonts w:ascii="Times New Roman" w:hAnsi="Times New Roman"/>
          <w:color w:val="000000"/>
          <w:sz w:val="2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sz w:val="20"/>
        </w:rPr>
      </w:pPr>
      <w:r>
        <w:rPr>
          <w:rFonts w:ascii="Times New Roman" w:hAnsi="Times New Roman"/>
          <w:color w:val="000000"/>
          <w:sz w:val="24"/>
        </w:rPr>
        <w:t>2.29 “</w:t>
      </w:r>
      <w:r>
        <w:rPr>
          <w:rFonts w:ascii="Times New Roman" w:hAnsi="Times New Roman"/>
          <w:b/>
          <w:color w:val="000000"/>
          <w:sz w:val="24"/>
        </w:rPr>
        <w:t>Period of Restriction</w:t>
      </w:r>
      <w:r>
        <w:rPr>
          <w:rFonts w:ascii="Times New Roman" w:hAnsi="Times New Roman"/>
          <w:color w:val="000000"/>
          <w:sz w:val="20"/>
        </w:rPr>
        <w:t xml:space="preserve">” </w:t>
      </w:r>
      <w:r>
        <w:rPr>
          <w:rFonts w:ascii="Times New Roman" w:hAnsi="Times New Roman"/>
          <w:color w:val="000000"/>
          <w:sz w:val="24"/>
        </w:rPr>
        <w:t>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sz w:val="20"/>
        </w:rPr>
      </w:pPr>
      <w:r>
        <w:rPr>
          <w:rFonts w:ascii="Times New Roman" w:hAnsi="Times New Roman"/>
          <w:color w:val="000000"/>
          <w:sz w:val="24"/>
        </w:rPr>
        <w:t>2.30 “</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means this LeonaBio, Inc. 2026 Equity Incentive Plan, as may be amended from time to time.</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2.31 “</w:t>
      </w:r>
      <w:r>
        <w:rPr>
          <w:rFonts w:ascii="Times New Roman" w:hAnsi="Times New Roman"/>
          <w:b/>
          <w:color w:val="000000"/>
          <w:sz w:val="24"/>
        </w:rPr>
        <w:t>Restricted Stock</w:t>
      </w:r>
      <w:r>
        <w:rPr>
          <w:rFonts w:ascii="Times New Roman" w:hAnsi="Times New Roman"/>
          <w:color w:val="000000"/>
          <w:sz w:val="20"/>
        </w:rPr>
        <w:t xml:space="preserve">” </w:t>
      </w:r>
      <w:r>
        <w:rPr>
          <w:rFonts w:ascii="Times New Roman" w:hAnsi="Times New Roman"/>
          <w:color w:val="000000"/>
          <w:sz w:val="24"/>
        </w:rPr>
        <w:t>means Shares issued pursuant to an Award of Restricted Stock under Section 8 or issued pursuant to the early exercise of an Option.</w:t>
      </w:r>
    </w:p>
    <w:p>
      <w:pPr>
        <w:pStyle w:val="TextBody"/>
        <w:bidi w:val="0"/>
        <w:spacing w:before="240" w:after="283"/>
        <w:jc w:val="both"/>
        <w:rPr>
          <w:rFonts w:ascii="Times New Roman" w:hAnsi="Times New Roman"/>
          <w:sz w:val="20"/>
        </w:rPr>
      </w:pPr>
      <w:r>
        <w:rPr>
          <w:rFonts w:ascii="Times New Roman" w:hAnsi="Times New Roman"/>
          <w:color w:val="000000"/>
          <w:sz w:val="24"/>
        </w:rPr>
        <w:t>2.32 “</w:t>
      </w:r>
      <w:r>
        <w:rPr>
          <w:rFonts w:ascii="Times New Roman" w:hAnsi="Times New Roman"/>
          <w:b/>
          <w:color w:val="000000"/>
          <w:sz w:val="24"/>
        </w:rPr>
        <w:t>Restricted Stock Unit</w:t>
      </w:r>
      <w:r>
        <w:rPr>
          <w:rFonts w:ascii="Times New Roman" w:hAnsi="Times New Roman"/>
          <w:color w:val="000000"/>
          <w:sz w:val="2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2.33 “</w:t>
      </w:r>
      <w:r>
        <w:rPr>
          <w:rFonts w:ascii="Times New Roman" w:hAnsi="Times New Roman"/>
          <w:b/>
          <w:color w:val="000000"/>
          <w:sz w:val="24"/>
        </w:rPr>
        <w:t>Rule 16b</w:t>
        <w:noBreakHyphen/>
        <w:t>3</w:t>
      </w:r>
      <w:r>
        <w:rPr>
          <w:rFonts w:ascii="Times New Roman" w:hAnsi="Times New Roman"/>
          <w:color w:val="000000"/>
          <w:sz w:val="2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2.34 “</w:t>
      </w:r>
      <w:r>
        <w:rPr>
          <w:rFonts w:ascii="Times New Roman" w:hAnsi="Times New Roman"/>
          <w:b/>
          <w:color w:val="000000"/>
          <w:sz w:val="24"/>
        </w:rPr>
        <w:t>Section 16b</w:t>
      </w:r>
      <w:r>
        <w:rPr>
          <w:rFonts w:ascii="Times New Roman" w:hAnsi="Times New Roman"/>
          <w:color w:val="000000"/>
          <w:sz w:val="2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sz w:val="20"/>
        </w:rPr>
      </w:pPr>
      <w:r>
        <w:rPr>
          <w:rFonts w:ascii="Times New Roman" w:hAnsi="Times New Roman"/>
          <w:color w:val="000000"/>
          <w:sz w:val="24"/>
        </w:rPr>
        <w:t>2.35 “</w:t>
      </w:r>
      <w:r>
        <w:rPr>
          <w:rFonts w:ascii="Times New Roman" w:hAnsi="Times New Roman"/>
          <w:b/>
          <w:color w:val="000000"/>
          <w:sz w:val="24"/>
        </w:rPr>
        <w:t>Section 409A</w:t>
      </w:r>
      <w:r>
        <w:rPr>
          <w:rFonts w:ascii="Times New Roman" w:hAnsi="Times New Roman"/>
          <w:color w:val="000000"/>
          <w:sz w:val="2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sz w:val="20"/>
        </w:rPr>
      </w:pPr>
      <w:r>
        <w:rPr>
          <w:rFonts w:ascii="Times New Roman" w:hAnsi="Times New Roman"/>
          <w:color w:val="000000"/>
          <w:sz w:val="24"/>
        </w:rPr>
        <w:t>2.36 “</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U.S. Securities Act of 1933, as amended, including the rules and regulations promulgated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2.37 “</w:t>
      </w:r>
      <w:r>
        <w:rPr>
          <w:rFonts w:ascii="Times New Roman" w:hAnsi="Times New Roman"/>
          <w:b/>
          <w:color w:val="000000"/>
          <w:sz w:val="24"/>
        </w:rPr>
        <w:t>Service Provider</w:t>
      </w:r>
      <w:r>
        <w:rPr>
          <w:rFonts w:ascii="Times New Roman" w:hAnsi="Times New Roman"/>
          <w:color w:val="000000"/>
          <w:sz w:val="2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sz w:val="20"/>
        </w:rPr>
      </w:pPr>
      <w:r>
        <w:rPr>
          <w:rFonts w:ascii="Times New Roman" w:hAnsi="Times New Roman"/>
          <w:color w:val="000000"/>
          <w:sz w:val="24"/>
        </w:rPr>
        <w:t>2.38 “</w:t>
      </w:r>
      <w:r>
        <w:rPr>
          <w:rFonts w:ascii="Times New Roman" w:hAnsi="Times New Roman"/>
          <w:b/>
          <w:color w:val="000000"/>
          <w:sz w:val="24"/>
        </w:rPr>
        <w:t>Share</w:t>
      </w:r>
      <w:r>
        <w:rPr>
          <w:rFonts w:ascii="Times New Roman" w:hAnsi="Times New Roman"/>
          <w:color w:val="000000"/>
          <w:sz w:val="20"/>
        </w:rPr>
        <w:t xml:space="preserve">” </w:t>
      </w:r>
      <w:r>
        <w:rPr>
          <w:rFonts w:ascii="Times New Roman" w:hAnsi="Times New Roman"/>
          <w:color w:val="000000"/>
          <w:sz w:val="24"/>
        </w:rPr>
        <w:t>means a share of the Common Stock, as adjusted in accordance with Section 15.</w:t>
      </w:r>
    </w:p>
    <w:p>
      <w:pPr>
        <w:pStyle w:val="TextBody"/>
        <w:bidi w:val="0"/>
        <w:spacing w:before="240" w:after="283"/>
        <w:jc w:val="both"/>
        <w:rPr>
          <w:rFonts w:ascii="Times New Roman" w:hAnsi="Times New Roman"/>
          <w:sz w:val="20"/>
        </w:rPr>
      </w:pPr>
      <w:r>
        <w:rPr>
          <w:rFonts w:ascii="Times New Roman" w:hAnsi="Times New Roman"/>
          <w:color w:val="000000"/>
          <w:sz w:val="24"/>
        </w:rPr>
        <w:t>2.39 “</w:t>
      </w:r>
      <w:r>
        <w:rPr>
          <w:rFonts w:ascii="Times New Roman" w:hAnsi="Times New Roman"/>
          <w:b/>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sz w:val="20"/>
        </w:rPr>
      </w:pPr>
      <w:r>
        <w:rPr>
          <w:rFonts w:ascii="Times New Roman" w:hAnsi="Times New Roman"/>
          <w:color w:val="000000"/>
          <w:sz w:val="24"/>
        </w:rPr>
        <w:t>2.40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“subsidiary corporation whether now or hereafter existing, as defined in Code Section 424(f).</w:t>
      </w:r>
    </w:p>
    <w:p>
      <w:pPr>
        <w:pStyle w:val="TextBody"/>
        <w:bidi w:val="0"/>
        <w:spacing w:before="240" w:after="283"/>
        <w:jc w:val="both"/>
        <w:rPr>
          <w:rFonts w:ascii="Times New Roman" w:hAnsi="Times New Roman"/>
          <w:sz w:val="20"/>
        </w:rPr>
      </w:pPr>
      <w:r>
        <w:rPr>
          <w:rFonts w:ascii="Times New Roman" w:hAnsi="Times New Roman"/>
          <w:color w:val="000000"/>
          <w:sz w:val="24"/>
        </w:rPr>
        <w:t>2.41 “</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sz w:val="20"/>
        </w:rPr>
      </w:pPr>
      <w:r>
        <w:rPr>
          <w:rFonts w:ascii="Times New Roman" w:hAnsi="Times New Roman"/>
          <w:color w:val="000000"/>
          <w:sz w:val="24"/>
        </w:rPr>
        <w:t>2.42 “</w:t>
      </w:r>
      <w:r>
        <w:rPr>
          <w:rFonts w:ascii="Times New Roman" w:hAnsi="Times New Roman"/>
          <w:b/>
          <w:color w:val="000000"/>
          <w:sz w:val="24"/>
        </w:rPr>
        <w:t>U.S. Treasury Regulations</w:t>
      </w:r>
      <w:r>
        <w:rPr>
          <w:rFonts w:ascii="Times New Roman" w:hAnsi="Times New Roman"/>
          <w:color w:val="000000"/>
          <w:sz w:val="2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r>
        <w:rPr>
          <w:rFonts w:ascii="Times New Roman" w:hAnsi="Times New Roman"/>
          <w:color w:val="000000"/>
          <w:sz w:val="20"/>
        </w:rPr>
        <w:t xml:space="preserve"> </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 xml:space="preserve">3. </w:t>
      </w:r>
      <w:r>
        <w:rPr>
          <w:rFonts w:ascii="Times New Roman" w:hAnsi="Times New Roman"/>
          <w:smallCaps/>
          <w:color w:val="000000"/>
          <w:sz w:val="24"/>
        </w:rPr>
        <w:t>Stock Subject to the Plan</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Stock Subject to the Plan</w:t>
      </w:r>
      <w:r>
        <w:rPr>
          <w:rFonts w:ascii="Times New Roman" w:hAnsi="Times New Roman"/>
          <w:color w:val="000000"/>
          <w:sz w:val="24"/>
        </w:rPr>
        <w:t>. Subject to adjustment upon changes in capitalization of the Company as provided in Section 15, the maximum aggregate number of Shares that may be subject to Awards and sold under the Plan will be equal to (a) 5,700,000 Shares, plus (b) any Shares subject to awards granted under the Company’s 2020 Equity Incentive Plan (the “</w:t>
      </w:r>
      <w:r>
        <w:rPr>
          <w:rFonts w:ascii="Times New Roman" w:hAnsi="Times New Roman"/>
          <w:color w:val="000000"/>
          <w:sz w:val="24"/>
          <w:u w:val="single"/>
        </w:rPr>
        <w:t>2020 Plan</w:t>
      </w:r>
      <w:r>
        <w:rPr>
          <w:rFonts w:ascii="Times New Roman" w:hAnsi="Times New Roman"/>
          <w:color w:val="000000"/>
          <w:sz w:val="20"/>
        </w:rPr>
        <w:t>”</w:t>
      </w:r>
      <w:r>
        <w:rPr>
          <w:rFonts w:ascii="Times New Roman" w:hAnsi="Times New Roman"/>
          <w:color w:val="000000"/>
          <w:sz w:val="24"/>
        </w:rPr>
        <w:t>) that, on or after the Effective Date,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with the maximum number of Shares to be added to the Plan pursuant to clause (b) equal to 1,300,000 Shares. In addition, Shares may become available for issuance under Sections 3.2 and 3.3. The Shares may be authorized but unissued, or reacquired Common Stock.</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3.2 </w:t>
      </w:r>
      <w:r>
        <w:rPr>
          <w:rFonts w:ascii="Times New Roman" w:hAnsi="Times New Roman"/>
          <w:color w:val="000000"/>
          <w:sz w:val="24"/>
        </w:rPr>
        <w:t>Automatic Share Reserve Increase</w:t>
      </w:r>
      <w:r>
        <w:rPr>
          <w:rFonts w:ascii="Times New Roman" w:hAnsi="Times New Roman"/>
          <w:b w:val="false"/>
          <w:color w:val="000000"/>
          <w:sz w:val="24"/>
        </w:rPr>
        <w:t>. Subject to adjustment upon changes in capitalization of the Company as provided in Section 15, the number of Shares available for issuance under the Plan will be increased on the first day of each Fiscal Year beginning with the 2027 Fiscal Year, in an amount equal to the least of (a) five percent (5%) of the aggregate of the outstanding Shares and outstanding pre-funded warrants to purchase Shares on the last day of the immediately preceding Fiscal Year, or (b) such number of Shares determined by the Board no later than the last day of the immediately preceding Fiscal Year.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3.3 </w:t>
      </w:r>
      <w:r>
        <w:rPr>
          <w:rFonts w:ascii="Times New Roman" w:hAnsi="Times New Roman"/>
          <w:b/>
          <w:color w:val="000000"/>
          <w:sz w:val="24"/>
        </w:rPr>
        <w:t>Lapsed Awards</w:t>
      </w:r>
      <w:r>
        <w:rPr>
          <w:rFonts w:ascii="Times New Roman" w:hAnsi="Times New Roman"/>
          <w:color w:val="000000"/>
          <w:sz w:val="24"/>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exercised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3.4 </w:t>
      </w:r>
      <w:r>
        <w:rPr>
          <w:rFonts w:ascii="Times New Roman" w:hAnsi="Times New Roman"/>
          <w:b/>
          <w:color w:val="000000"/>
          <w:sz w:val="24"/>
        </w:rPr>
        <w:t>Incentive Stock Options</w:t>
      </w:r>
      <w:r>
        <w:rPr>
          <w:rFonts w:ascii="Times New Roman" w:hAnsi="Times New Roman"/>
          <w:color w:val="000000"/>
          <w:sz w:val="24"/>
        </w:rPr>
        <w:t>. Notwithstanding the foregoing and, subject to the maximum aggregate number of Shares that may be subject to Awards and sold under the Plan pursuant to Section 3.1, adjustment as provided in Section 15, the maximum number of Shares that may be issued upon the exercise of Incentive Stock Options will equal 57,000,000.</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3.5 </w:t>
      </w:r>
      <w:r>
        <w:rPr>
          <w:rFonts w:ascii="Times New Roman" w:hAnsi="Times New Roman"/>
          <w:b/>
          <w:color w:val="000000"/>
          <w:sz w:val="24"/>
        </w:rPr>
        <w:t>Share Reserve</w:t>
      </w:r>
      <w:r>
        <w:rPr>
          <w:rFonts w:ascii="Times New Roman" w:hAnsi="Times New Roman"/>
          <w:color w:val="000000"/>
          <w:sz w:val="24"/>
        </w:rPr>
        <w:t>. The Company, during the term of the Plan, will at all times reserve and keep available such number of Shares as will be sufficient to satisfy the requirements of the Plan.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4. </w:t>
      </w:r>
      <w:r>
        <w:rPr>
          <w:rFonts w:ascii="Times New Roman" w:hAnsi="Times New Roman"/>
          <w:smallCaps/>
          <w:color w:val="000000"/>
          <w:sz w:val="24"/>
        </w:rPr>
        <w:t>Administration of the Plan</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Procedure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4.1.1 </w:t>
      </w:r>
      <w:r>
        <w:rPr>
          <w:rFonts w:ascii="Times New Roman" w:hAnsi="Times New Roman"/>
          <w:b/>
          <w:color w:val="000000"/>
          <w:sz w:val="24"/>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4.1.2 </w:t>
      </w:r>
      <w:r>
        <w:rPr>
          <w:rFonts w:ascii="Times New Roman" w:hAnsi="Times New Roman"/>
          <w:b/>
          <w:color w:val="000000"/>
          <w:sz w:val="24"/>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4.1.3 </w:t>
      </w:r>
      <w:r>
        <w:rPr>
          <w:rFonts w:ascii="Times New Roman" w:hAnsi="Times New Roman"/>
          <w:b/>
          <w:color w:val="000000"/>
          <w:sz w:val="24"/>
        </w:rPr>
        <w:t>Other Administration</w:t>
      </w:r>
      <w:r>
        <w:rPr>
          <w:rFonts w:ascii="Times New Roman" w:hAnsi="Times New Roman"/>
          <w:color w:val="000000"/>
          <w:sz w:val="24"/>
        </w:rPr>
        <w:t>. Other than as provided above, the Plan will be administered by (a) the Board or (b) a Committee, which Committee will be constituted to comply with Applicable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4.1.4 </w:t>
      </w:r>
      <w:r>
        <w:rPr>
          <w:rFonts w:ascii="Times New Roman" w:hAnsi="Times New Roman"/>
          <w:b/>
          <w:color w:val="000000"/>
          <w:sz w:val="24"/>
        </w:rPr>
        <w:t>Delegation of Authority for Day-to-Day Administration</w:t>
      </w:r>
      <w:r>
        <w:rPr>
          <w:rFonts w:ascii="Times New Roman" w:hAnsi="Times New Roman"/>
          <w:color w:val="000000"/>
          <w:sz w:val="24"/>
        </w:rPr>
        <w:t>. Except to the extent prohibited by Applicable Laws, the Administrator may delegate to one or more individuals the day-to-day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administration of the Plan and any of the functions assigned to it in the Plan. Such delegation may be revoked at any time.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to determine the Awards to be granted and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to determine the number of Shares or dollar amounts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to approve forms of Award Agreements for use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(e)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to institute and determine the terms and conditions of an Exchange Program, including, subject to Section 20.3, to unilaterally implement an Exchange Program without the consent of the applicable Award holder;</w:t>
      </w:r>
    </w:p>
    <w:p>
      <w:pPr>
        <w:pStyle w:val="TextBody"/>
        <w:bidi w:val="0"/>
        <w:spacing w:before="240" w:after="283"/>
        <w:jc w:val="both"/>
        <w:rPr>
          <w:rFonts w:ascii="Times New Roman" w:hAnsi="Times New Roman"/>
          <w:sz w:val="20"/>
        </w:rPr>
      </w:pPr>
      <w:r>
        <w:rPr>
          <w:rFonts w:ascii="Times New Roman" w:hAnsi="Times New Roman"/>
          <w:color w:val="000000"/>
          <w:sz w:val="24"/>
        </w:rPr>
        <w:t>(g) to construe and interpret the terms of the Plan and Awards granted pursuant to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to prescribe, amend and rescind rules and regulations relating to the Plan, including rules and regulations relating to sub-plans established for the purpose of facilitating compliance with applicable non</w:t>
        <w:noBreakHyphen/>
        <w:t>U.S. laws, easing the administration of the Plan and/or for qualifying for favorable tax treatment under applicable non</w:t>
        <w:noBreakHyphen/>
        <w:t>U.S. laws, in each case as the Administrator may deem necessary or advisable;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to allow Participants to satisfy withholding tax obligations in a manner prescribed in Section 16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to authorize any person to execute on behalf of the Company any instrument required to effect the grant of an Award previously granted by the Administrator;</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(l) to allow a Participant to defer the receipt of the payment of cash or the delivery of Shares that otherwise would be due to such Participant under an Award;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 to determine whether Awards will be settled in Shares, cash or in any combination thereof;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Dividends</w:t>
      </w:r>
      <w:r>
        <w:rPr>
          <w:rFonts w:ascii="Times New Roman" w:hAnsi="Times New Roman"/>
          <w:color w:val="000000"/>
          <w:sz w:val="24"/>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vesting criteria and forfeitability provisions as the Shares of Restricted Stock with respect to which they were paid. With respect to Awards of Restricted Stock Units and Performance Awards,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4.4 </w:t>
      </w:r>
      <w:r>
        <w:rPr>
          <w:rFonts w:ascii="Times New Roman" w:hAnsi="Times New Roman"/>
          <w:b/>
          <w:color w:val="000000"/>
          <w:sz w:val="24"/>
        </w:rPr>
        <w:t>Effect of Administrator’s Decisions</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5. </w:t>
      </w:r>
      <w:r>
        <w:rPr>
          <w:rFonts w:ascii="Times New Roman" w:hAnsi="Times New Roman"/>
          <w:smallCaps/>
          <w:color w:val="000000"/>
          <w:sz w:val="24"/>
        </w:rPr>
        <w:t>Eligibility</w:t>
      </w:r>
      <w:r>
        <w:rPr>
          <w:rFonts w:ascii="Times New Roman" w:hAnsi="Times New Roman"/>
          <w:b w:val="false"/>
          <w:color w:val="000000"/>
          <w:sz w:val="24"/>
        </w:rPr>
        <w:t>. Nonstatutory Stock Options, Stock Appreciation Rights, Restricted Stock, Restricted Stock Units or Performance Awards may be granted to Service Providers. Incentive Stock Options may be granted only to Employees.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6. </w:t>
      </w:r>
      <w:r>
        <w:rPr>
          <w:rFonts w:ascii="Times New Roman" w:hAnsi="Times New Roman"/>
          <w:smallCaps/>
          <w:color w:val="000000"/>
          <w:sz w:val="24"/>
        </w:rPr>
        <w:t>Stock Options</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6.1 </w:t>
      </w:r>
      <w:r>
        <w:rPr>
          <w:rFonts w:ascii="Times New Roman" w:hAnsi="Times New Roman"/>
          <w:b/>
          <w:color w:val="000000"/>
          <w:sz w:val="24"/>
        </w:rPr>
        <w:t>Grant of Options</w:t>
      </w:r>
      <w:r>
        <w:rPr>
          <w:rFonts w:ascii="Times New Roman" w:hAnsi="Times New Roman"/>
          <w:color w:val="000000"/>
          <w:sz w:val="24"/>
        </w:rPr>
        <w:t>. Subject to the terms and conditions of the Plan, the Administrator, at any time and from time to time, may grant Options to Service Providers in such amounts as the Administrator, in its sole discretion, will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6.3 </w:t>
      </w:r>
      <w:r>
        <w:rPr>
          <w:rFonts w:ascii="Times New Roman" w:hAnsi="Times New Roman"/>
          <w:b/>
          <w:color w:val="000000"/>
          <w:sz w:val="24"/>
        </w:rPr>
        <w:t>Limitations</w:t>
      </w:r>
      <w:r>
        <w:rPr>
          <w:rFonts w:ascii="Times New Roman" w:hAnsi="Times New Roman"/>
          <w:color w:val="000000"/>
          <w:sz w:val="24"/>
        </w:rPr>
        <w:t>. Each Option will be designated in the Award Agreement as either an Incentive Stock Option or a Nonstatutory Stock Option.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of the Company)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6.4 </w:t>
      </w:r>
      <w:r>
        <w:rPr>
          <w:rFonts w:ascii="Times New Roman" w:hAnsi="Times New Roman"/>
          <w:b/>
          <w:color w:val="000000"/>
          <w:sz w:val="24"/>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maximum term of the Incentive Stock Option will be five (5) years from the date of grant.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 </w:t>
      </w:r>
      <w:r>
        <w:rPr>
          <w:rFonts w:ascii="Times New Roman" w:hAnsi="Times New Roman"/>
          <w:b/>
          <w:color w:val="000000"/>
          <w:sz w:val="24"/>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6.5.1 </w:t>
      </w:r>
      <w:r>
        <w:rPr>
          <w:rFonts w:ascii="Times New Roman" w:hAnsi="Times New Roman"/>
          <w:b/>
          <w:color w:val="000000"/>
          <w:sz w:val="24"/>
        </w:rPr>
        <w:t>Exercise Price</w:t>
      </w:r>
      <w:r>
        <w:rPr>
          <w:rFonts w:ascii="Times New Roman" w:hAnsi="Times New Roman"/>
          <w:color w:val="000000"/>
          <w:sz w:val="24"/>
        </w:rPr>
        <w:t>. The per-Share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6.5.2 </w:t>
      </w:r>
      <w:r>
        <w:rPr>
          <w:rFonts w:ascii="Times New Roman" w:hAnsi="Times New Roman"/>
          <w:b/>
          <w:color w:val="000000"/>
          <w:sz w:val="24"/>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6.5.3 </w:t>
      </w:r>
      <w:r>
        <w:rPr>
          <w:rFonts w:ascii="Times New Roman" w:hAnsi="Times New Roman"/>
          <w:b/>
          <w:color w:val="000000"/>
          <w:sz w:val="24"/>
        </w:rPr>
        <w:t>Form of Consideration</w:t>
      </w:r>
      <w:r>
        <w:rPr>
          <w:rFonts w:ascii="Times New Roman" w:hAnsi="Times New Roman"/>
          <w:color w:val="000000"/>
          <w:sz w:val="24"/>
        </w:rPr>
        <w:t>. The Administrator will determine the acceptable form of consideration for exercising an Option, including the method of payment. Such consideration may consist of any one of or a combination of the following: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 </w:t>
      </w:r>
      <w:r>
        <w:rPr>
          <w:rFonts w:ascii="Times New Roman" w:hAnsi="Times New Roman"/>
          <w:b/>
          <w:color w:val="000000"/>
          <w:sz w:val="24"/>
        </w:rPr>
        <w:t>Exercise of Option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6.6.1 </w:t>
      </w:r>
      <w:r>
        <w:rPr>
          <w:rFonts w:ascii="Times New Roman" w:hAnsi="Times New Roman"/>
          <w:b/>
          <w:color w:val="000000"/>
          <w:sz w:val="24"/>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(except as provided otherwise under Section 3) and for sale under the Option, by the number of Shares as to which the Option is exercised.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6.6.2 </w:t>
      </w:r>
      <w:r>
        <w:rPr>
          <w:rFonts w:ascii="Times New Roman" w:hAnsi="Times New Roman"/>
          <w:b/>
          <w:color w:val="000000"/>
          <w:sz w:val="24"/>
        </w:rPr>
        <w:t>Termination of Relationship as a Service Provider</w:t>
      </w:r>
      <w:r>
        <w:rPr>
          <w:rFonts w:ascii="Times New Roman" w:hAnsi="Times New Roman"/>
          <w:color w:val="000000"/>
          <w:sz w:val="24"/>
        </w:rPr>
        <w:t>. If a Participant ceases to be a Service Provider, other than upon such cessation as the result of the Participant’s death or Disability, the Participant may exercise his or her Option within ninety (90) days of such cessation, or such shorter or longer period of time as may be specified in the Award Agreement or in writing by the Administrator, but in no event later than the expiration of the term of such Option as set forth in the Award Agreement or Section 6.4. However,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6.6.3 </w:t>
      </w:r>
      <w:r>
        <w:rPr>
          <w:rFonts w:ascii="Times New Roman" w:hAnsi="Times New Roman"/>
          <w:b/>
          <w:color w:val="000000"/>
          <w:sz w:val="24"/>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cessation, or such longer or shorter period of time as may be specified in the Award Agreement or in writing by the Administrator (but in no event later than the expiration of the term of such Option as set forth in the Award Agreement or Section 6.4, as applicable). However,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herein, such Options will terminate, and the Shares covered by such Award will revert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6.6.4 </w:t>
      </w:r>
      <w:r>
        <w:rPr>
          <w:rFonts w:ascii="Times New Roman" w:hAnsi="Times New Roman"/>
          <w:b/>
          <w:color w:val="000000"/>
          <w:sz w:val="24"/>
        </w:rPr>
        <w:t>Death of Participant</w:t>
      </w:r>
      <w:r>
        <w:rPr>
          <w:rFonts w:ascii="Times New Roman" w:hAnsi="Times New Roman"/>
          <w:color w:val="000000"/>
          <w:sz w:val="24"/>
        </w:rPr>
        <w:t>. If a Participant dies while a Service Provider, his or her Option may be exercised within six (6) months following the Participant’s death, or within such longer or shorter period of time as may be specified in the Award Agreement or in writing by the Administrator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hAnsi="Times New Roman"/>
          <w:b/>
          <w:color w:val="000000"/>
          <w:sz w:val="24"/>
        </w:rPr>
        <w:t>Legal Representative</w:t>
      </w:r>
      <w:r>
        <w:rPr>
          <w:rFonts w:ascii="Times New Roman" w:hAnsi="Times New Roman"/>
          <w:color w:val="000000"/>
          <w:sz w:val="20"/>
        </w:rPr>
        <w:t>”</w:t>
      </w:r>
      <w:r>
        <w:rPr>
          <w:rFonts w:ascii="Times New Roman" w:hAnsi="Times New Roman"/>
          <w:color w:val="000000"/>
          <w:sz w:val="24"/>
        </w:rPr>
        <w:t>). If the Option is exercised pursuant to this Section 6.6.4, Participant’s designated beneficiary or Legal Representative shall be subject to the terms of the Plan and the Award Agreement, including but not limited to the restrictions on transferability and forfeitability applicable to the Service Provider. However,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within the time specified herein, such Options will terminate, and the Shares covered by such Award will revert to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6.6.5 </w:t>
      </w:r>
      <w:r>
        <w:rPr>
          <w:rFonts w:ascii="Times New Roman" w:hAnsi="Times New Roman"/>
          <w:b/>
          <w:color w:val="000000"/>
          <w:sz w:val="24"/>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sz w:val="20"/>
        </w:rPr>
      </w:pPr>
      <w:r>
        <w:rPr>
          <w:rFonts w:ascii="Times New Roman" w:hAnsi="Times New Roman"/>
          <w:color w:val="000000"/>
          <w:sz w:val="24"/>
        </w:rPr>
        <w:t>(a) 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7. </w:t>
      </w:r>
      <w:r>
        <w:rPr>
          <w:rFonts w:ascii="Times New Roman" w:hAnsi="Times New Roman"/>
          <w:smallCaps/>
          <w:color w:val="000000"/>
          <w:sz w:val="24"/>
        </w:rPr>
        <w:t>Stock Appreciation Rights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Grant of Stock Appreciation Rights</w:t>
      </w:r>
      <w:r>
        <w:rPr>
          <w:rFonts w:ascii="Times New Roman" w:hAnsi="Times New Roman"/>
          <w:color w:val="000000"/>
          <w:sz w:val="24"/>
        </w:rPr>
        <w:t>. Subject to the terms and conditions of the Plan, a Stock Appreciation Right may be granted to Service Providers at any time and from time to time as may be determined by the Administrator, in its sole discretion.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7.2 </w:t>
      </w:r>
      <w:r>
        <w:rPr>
          <w:rFonts w:ascii="Times New Roman" w:hAnsi="Times New Roman"/>
          <w:b/>
          <w:color w:val="000000"/>
          <w:sz w:val="24"/>
        </w:rPr>
        <w:t>Number of Shares</w:t>
      </w:r>
      <w:r>
        <w:rPr>
          <w:rFonts w:ascii="Times New Roman" w:hAnsi="Times New Roman"/>
          <w:color w:val="000000"/>
          <w:sz w:val="24"/>
        </w:rPr>
        <w:t>. Subject to the terms and conditions of the Plan,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7.3 </w:t>
      </w:r>
      <w:r>
        <w:rPr>
          <w:rFonts w:ascii="Times New Roman" w:hAnsi="Times New Roman"/>
          <w:b/>
          <w:color w:val="000000"/>
          <w:sz w:val="24"/>
        </w:rPr>
        <w:t>Exercise Price and Other Terms</w:t>
      </w:r>
      <w:r>
        <w:rPr>
          <w:rFonts w:ascii="Times New Roman" w:hAnsi="Times New Roman"/>
          <w:color w:val="000000"/>
          <w:sz w:val="24"/>
        </w:rPr>
        <w:t>. The per-Share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Notwithstanding the foregoing, Stock Appreciation Rights may be granted with a per-Share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7.5 </w:t>
      </w:r>
      <w:r>
        <w:rPr>
          <w:rFonts w:ascii="Times New Roman" w:hAnsi="Times New Roman"/>
          <w:b/>
          <w:color w:val="000000"/>
          <w:sz w:val="24"/>
        </w:rPr>
        <w:t>Term and 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7.6 </w:t>
      </w:r>
      <w:r>
        <w:rPr>
          <w:rFonts w:ascii="Times New Roman" w:hAnsi="Times New Roman"/>
          <w:b/>
          <w:color w:val="000000"/>
          <w:sz w:val="24"/>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such payment may be in cash, in Shares of equivalent value or in some combination thereof.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smallCaps/>
          <w:color w:val="000000"/>
          <w:sz w:val="24"/>
        </w:rPr>
        <w:t>Restricted Stock</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8.1 </w:t>
      </w:r>
      <w:r>
        <w:rPr>
          <w:rFonts w:ascii="Times New Roman" w:hAnsi="Times New Roman"/>
          <w:b/>
          <w:color w:val="000000"/>
          <w:sz w:val="24"/>
        </w:rPr>
        <w:t>Grant of Restricted Stock</w:t>
      </w:r>
      <w:r>
        <w:rPr>
          <w:rFonts w:ascii="Times New Roman" w:hAnsi="Times New Roman"/>
          <w:color w:val="000000"/>
          <w:sz w:val="24"/>
        </w:rPr>
        <w:t>. Subject to the terms and conditions of the Plan, the Administrator, at any time and from time to time, may grant Shares of Restricted Stock to Service Providers in such amounts as the Administrator, in its sole discretion, may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8.2 </w:t>
      </w:r>
      <w:r>
        <w:rPr>
          <w:rFonts w:ascii="Times New Roman" w:hAnsi="Times New Roman"/>
          <w:b/>
          <w:color w:val="000000"/>
          <w:sz w:val="24"/>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For purposes of clarity, the Administrator, in its sole discretion, may determine that an Award of Restricted Stock will not be subject to any Period of Restriction and consideration for such Award is paid for by past services rendered as a Service Provider.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8.3 </w:t>
      </w:r>
      <w:r>
        <w:rPr>
          <w:rFonts w:ascii="Times New Roman" w:hAnsi="Times New Roman"/>
          <w:b/>
          <w:color w:val="000000"/>
          <w:sz w:val="24"/>
        </w:rPr>
        <w:t>Transferability</w:t>
      </w:r>
      <w:r>
        <w:rPr>
          <w:rFonts w:ascii="Times New Roman" w:hAnsi="Times New Roman"/>
          <w:color w:val="000000"/>
          <w:sz w:val="24"/>
        </w:rPr>
        <w:t>. Except as provided in this Section 8 or as the Administrator may determine, Shares of Restricted Stock may not be sold, transferred, pledged, assigned or otherwise alienated or hypothecated until the end of the applicable Period of Restriction, subject to the terms of Section 15.</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8.4 </w:t>
      </w:r>
      <w:r>
        <w:rPr>
          <w:rFonts w:ascii="Times New Roman" w:hAnsi="Times New Roman"/>
          <w:b/>
          <w:color w:val="000000"/>
          <w:sz w:val="24"/>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8.5 </w:t>
      </w:r>
      <w:r>
        <w:rPr>
          <w:rFonts w:ascii="Times New Roman" w:hAnsi="Times New Roman"/>
          <w:b/>
          <w:color w:val="000000"/>
          <w:sz w:val="24"/>
        </w:rPr>
        <w:t>Removal of Restrictions</w:t>
      </w:r>
      <w:r>
        <w:rPr>
          <w:rFonts w:ascii="Times New Roman" w:hAnsi="Times New Roman"/>
          <w:color w:val="000000"/>
          <w:sz w:val="24"/>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8.6 </w:t>
      </w:r>
      <w:r>
        <w:rPr>
          <w:rFonts w:ascii="Times New Roman" w:hAnsi="Times New Roman"/>
          <w:b/>
          <w:color w:val="000000"/>
          <w:sz w:val="24"/>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8.7 </w:t>
      </w:r>
      <w:r>
        <w:rPr>
          <w:rFonts w:ascii="Times New Roman" w:hAnsi="Times New Roman"/>
          <w:b/>
          <w:color w:val="000000"/>
          <w:sz w:val="24"/>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9. </w:t>
      </w:r>
      <w:r>
        <w:rPr>
          <w:rFonts w:ascii="Times New Roman" w:hAnsi="Times New Roman"/>
          <w:smallCaps/>
          <w:color w:val="000000"/>
          <w:sz w:val="24"/>
        </w:rPr>
        <w:t>Restricted Stock Units</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9.1 </w:t>
      </w:r>
      <w:r>
        <w:rPr>
          <w:rFonts w:ascii="Times New Roman" w:hAnsi="Times New Roman"/>
          <w:b/>
          <w:color w:val="000000"/>
          <w:sz w:val="24"/>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9.2 </w:t>
      </w:r>
      <w:r>
        <w:rPr>
          <w:rFonts w:ascii="Times New Roman" w:hAnsi="Times New Roman"/>
          <w:b/>
          <w:color w:val="000000"/>
          <w:sz w:val="24"/>
        </w:rPr>
        <w:t>Vesting Criteria and Other Terms</w:t>
      </w:r>
      <w:r>
        <w:rPr>
          <w:rFonts w:ascii="Times New Roman" w:hAnsi="Times New Roman"/>
          <w:color w:val="000000"/>
          <w:sz w:val="24"/>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For purposes of clarity, the Administrator, in its sole discretion, may determine that an Award of Restricted Stock Units will not be subject to any vesting criteria and consideration for such Award is paid for by past services rendered as a Service Provider.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9.3 </w:t>
      </w:r>
      <w:r>
        <w:rPr>
          <w:rFonts w:ascii="Times New Roman" w:hAnsi="Times New Roman"/>
          <w:b/>
          <w:color w:val="000000"/>
          <w:sz w:val="24"/>
        </w:rPr>
        <w:t>Earning Restricted Stock Units</w:t>
      </w:r>
      <w:r>
        <w:rPr>
          <w:rFonts w:ascii="Times New Roman" w:hAnsi="Times New Roman"/>
          <w:color w:val="000000"/>
          <w:sz w:val="24"/>
        </w:rPr>
        <w:t>. Upon meeting the applicable vesting criteria, the Participant will be entitled to receive a payout as set forth in the Award Agreement.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9.4 </w:t>
      </w:r>
      <w:r>
        <w:rPr>
          <w:rFonts w:ascii="Times New Roman" w:hAnsi="Times New Roman"/>
          <w:b/>
          <w:color w:val="000000"/>
          <w:sz w:val="24"/>
        </w:rPr>
        <w:t>Form and Timing of Payment</w:t>
      </w:r>
      <w:r>
        <w:rPr>
          <w:rFonts w:ascii="Times New Roman" w:hAnsi="Times New Roman"/>
          <w:color w:val="000000"/>
          <w:sz w:val="24"/>
        </w:rPr>
        <w:t>. Payment of earned Restricted Stock Units will be made at the time(s)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9.5 </w:t>
      </w:r>
      <w:r>
        <w:rPr>
          <w:rFonts w:ascii="Times New Roman" w:hAnsi="Times New Roman"/>
          <w:b/>
          <w:color w:val="000000"/>
          <w:sz w:val="24"/>
        </w:rPr>
        <w:t>Cancellation</w:t>
      </w:r>
      <w:r>
        <w:rPr>
          <w:rFonts w:ascii="Times New Roman" w:hAnsi="Times New Roman"/>
          <w:color w:val="000000"/>
          <w:sz w:val="24"/>
        </w:rPr>
        <w:t>. On the date set forth in the Award Agreement, all unearned or unvested Restricted Stock Units will be forfeited to the Company.</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 xml:space="preserve">10. </w:t>
      </w:r>
      <w:r>
        <w:rPr>
          <w:rFonts w:ascii="Times New Roman" w:hAnsi="Times New Roman"/>
          <w:smallCaps/>
          <w:color w:val="000000"/>
          <w:sz w:val="24"/>
        </w:rPr>
        <w:t>Performance Awards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10.1 </w:t>
      </w:r>
      <w:r>
        <w:rPr>
          <w:rFonts w:ascii="Times New Roman" w:hAnsi="Times New Roman"/>
          <w:b/>
          <w:color w:val="000000"/>
          <w:sz w:val="24"/>
        </w:rPr>
        <w:t>Award Agreement</w:t>
      </w:r>
      <w:r>
        <w:rPr>
          <w:rFonts w:ascii="Times New Roman" w:hAnsi="Times New Roman"/>
          <w:color w:val="000000"/>
          <w:sz w:val="24"/>
        </w:rPr>
        <w:t>. Each Performance Award will be evidenced by an Award Agreement that will specify any time period during which any performance objectives or other vesting provisions will be measured (“</w:t>
      </w:r>
      <w:r>
        <w:rPr>
          <w:rFonts w:ascii="Times New Roman" w:hAnsi="Times New Roman"/>
          <w:b/>
          <w:color w:val="000000"/>
          <w:sz w:val="24"/>
        </w:rPr>
        <w:t>Performance Period</w:t>
      </w:r>
      <w:r>
        <w:rPr>
          <w:rFonts w:ascii="Times New Roman" w:hAnsi="Times New Roman"/>
          <w:color w:val="000000"/>
          <w:sz w:val="20"/>
        </w:rPr>
        <w:t>”</w:t>
      </w:r>
      <w:r>
        <w:rPr>
          <w:rFonts w:ascii="Times New Roman" w:hAnsi="Times New Roman"/>
          <w:color w:val="000000"/>
          <w:sz w:val="24"/>
        </w:rPr>
        <w:t>), and such other terms and conditions as the Administrator may determine. Each Performance Award will have an initial value that is determined by the Administrator on or before its date of grant.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10.2 </w:t>
      </w:r>
      <w:r>
        <w:rPr>
          <w:rFonts w:ascii="Times New Roman" w:hAnsi="Times New Roman"/>
          <w:b/>
          <w:color w:val="000000"/>
          <w:sz w:val="24"/>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10.3 </w:t>
      </w:r>
      <w:r>
        <w:rPr>
          <w:rFonts w:ascii="Times New Roman" w:hAnsi="Times New Roman"/>
          <w:b/>
          <w:color w:val="000000"/>
          <w:sz w:val="24"/>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10.4 </w:t>
      </w:r>
      <w:r>
        <w:rPr>
          <w:rFonts w:ascii="Times New Roman" w:hAnsi="Times New Roman"/>
          <w:b/>
          <w:color w:val="000000"/>
          <w:sz w:val="24"/>
        </w:rPr>
        <w:t>Form and Timing of Payment</w:t>
      </w:r>
      <w:r>
        <w:rPr>
          <w:rFonts w:ascii="Times New Roman" w:hAnsi="Times New Roman"/>
          <w:color w:val="000000"/>
          <w:sz w:val="24"/>
        </w:rPr>
        <w:t>. Payment of earned Performance Awards will be made at the time(s) set forth in the Award Agreement. The Administrator, in its sole discretion, may settle earned Performance Awards in cash, Shares or a combination of both.</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10.5 </w:t>
      </w:r>
      <w:r>
        <w:rPr>
          <w:rFonts w:ascii="Times New Roman" w:hAnsi="Times New Roman"/>
          <w:b/>
          <w:color w:val="000000"/>
          <w:sz w:val="24"/>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11. </w:t>
      </w:r>
      <w:r>
        <w:rPr>
          <w:rFonts w:ascii="Times New Roman" w:hAnsi="Times New Roman"/>
          <w:smallCaps/>
          <w:color w:val="000000"/>
          <w:sz w:val="24"/>
        </w:rPr>
        <w:t>Outside Director Award Limitations</w:t>
      </w:r>
      <w:r>
        <w:rPr>
          <w:rFonts w:ascii="Times New Roman" w:hAnsi="Times New Roman"/>
          <w:b w:val="false"/>
          <w:color w:val="000000"/>
          <w:sz w:val="24"/>
        </w:rPr>
        <w:t>. No Outside Director may be granted, in any Fiscal Year, Awards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12. </w:t>
      </w:r>
      <w:r>
        <w:rPr>
          <w:rFonts w:ascii="Times New Roman" w:hAnsi="Times New Roman"/>
          <w:smallCaps/>
          <w:color w:val="000000"/>
          <w:sz w:val="24"/>
        </w:rPr>
        <w:t>Compliance With Section 409A</w:t>
      </w:r>
      <w:r>
        <w:rPr>
          <w:rFonts w:ascii="Times New Roman" w:hAnsi="Times New Roman"/>
          <w:b w:val="false"/>
          <w:color w:val="000000"/>
          <w:sz w:val="24"/>
        </w:rPr>
        <w:t>. The Plan and Awards issued hereunder are intended to be designed and operated in such a manner 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 the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foregoing,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13. </w:t>
      </w:r>
      <w:r>
        <w:rPr>
          <w:rFonts w:ascii="Times New Roman" w:hAnsi="Times New Roman"/>
          <w:smallCaps/>
          <w:color w:val="000000"/>
          <w:sz w:val="24"/>
        </w:rPr>
        <w:t>Leaves of Absence/Transfer Between Locations</w:t>
      </w:r>
      <w:r>
        <w:rPr>
          <w:rFonts w:ascii="Times New Roman" w:hAnsi="Times New Roman"/>
          <w:b w:val="false"/>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from the Company or any Parent or Subsidiary of the Company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b w:val="false"/>
          <w:color w:val="000000"/>
          <w:sz w:val="16"/>
        </w:rPr>
        <w:t>st</w:t>
      </w:r>
      <w:r>
        <w:rPr>
          <w:rFonts w:ascii="Times New Roman" w:hAnsi="Times New Roman"/>
          <w:b w:val="false"/>
          <w:color w:val="000000"/>
          <w:sz w:val="24"/>
        </w:rPr>
        <w:t>) day of such leave, any Incentive Stock Option held by the Participant will cease to be treated as an Incentive Stock Option and will be treated for tax purposes as a Nonstatutory Stock Option.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14. </w:t>
      </w:r>
      <w:r>
        <w:rPr>
          <w:rFonts w:ascii="Times New Roman" w:hAnsi="Times New Roman"/>
          <w:smallCaps/>
          <w:color w:val="000000"/>
          <w:sz w:val="24"/>
        </w:rPr>
        <w:t>Limited Transferability of Awards</w:t>
      </w:r>
      <w:r>
        <w:rPr>
          <w:rFonts w:ascii="Times New Roman" w:hAnsi="Times New Roman"/>
          <w:b w:val="false"/>
          <w:color w:val="000000"/>
          <w:sz w:val="24"/>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15. </w:t>
      </w:r>
      <w:r>
        <w:rPr>
          <w:rFonts w:ascii="Times New Roman" w:hAnsi="Times New Roman"/>
          <w:smallCaps/>
          <w:color w:val="000000"/>
          <w:sz w:val="24"/>
        </w:rPr>
        <w:t>Adjustments; Dissolution or Liquidation; Merger or Change in Control</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15.1 </w:t>
      </w: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15.2 </w:t>
      </w: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15.3 </w:t>
      </w:r>
      <w:r>
        <w:rPr>
          <w:rFonts w:ascii="Times New Roman" w:hAnsi="Times New Roman"/>
          <w:b/>
          <w:color w:val="000000"/>
          <w:sz w:val="24"/>
        </w:rPr>
        <w:t>Merger or Change in Control</w:t>
      </w:r>
      <w:r>
        <w:rPr>
          <w:rFonts w:ascii="Times New Roman" w:hAnsi="Times New Roman"/>
          <w:color w:val="000000"/>
          <w:sz w:val="24"/>
        </w:rPr>
        <w:t>.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 (b) continued by the Company, subject to any adjustment pursuant to Section 15.1;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15.3, the Administrator will not be obligated to treat all Awards, all Awards held by a Participant, all Awards of the same type, or all portions of Awards, similarly.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 Awards (or portions thereof) not so assumed, substituted for or continued will lapse, and, with respect to Awards with performance-based vesting (or portions thereof) not assumed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15.4 </w:t>
      </w:r>
      <w:r>
        <w:rPr>
          <w:rFonts w:ascii="Times New Roman" w:hAnsi="Times New Roman"/>
          <w:b/>
          <w:color w:val="000000"/>
          <w:sz w:val="24"/>
        </w:rPr>
        <w:t>Outside Director Awards</w:t>
      </w:r>
      <w:r>
        <w:rPr>
          <w:rFonts w:ascii="Times New Roman" w:hAnsi="Times New Roman"/>
          <w:color w:val="000000"/>
          <w:sz w:val="24"/>
        </w:rPr>
        <w:t>. Any Award granted to an Outside Director, regardless of whether such Award is assumed or substituted for, will fully vest immediately prior to a Change in Control, provided that the Participant remains an Outside Director through the date of such Change in Control, and the Participant will have the right to exercise Options and/or Stock Appreciation Rights as to all of the Shares underlying such Award, including those Shares which otherwise would not be vested or exercisable prior to such Change in Control,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otherwise under the applicable Award Agreement or other written agreement authorized by the Administrator between the Participant and the Company or any of its Parent or Subsidiaries, as applicable.</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 xml:space="preserve">16. </w:t>
      </w:r>
      <w:r>
        <w:rPr>
          <w:rFonts w:ascii="Times New Roman" w:hAnsi="Times New Roman"/>
          <w:smallCaps/>
          <w:color w:val="000000"/>
          <w:sz w:val="24"/>
        </w:rPr>
        <w:t>Tax Withholding</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16.1 </w:t>
      </w:r>
      <w:r>
        <w:rPr>
          <w:rFonts w:ascii="Times New Roman" w:hAnsi="Times New Roman"/>
          <w:b/>
          <w:color w:val="000000"/>
          <w:sz w:val="24"/>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w:t>
      </w:r>
      <w:r>
        <w:rPr>
          <w:rFonts w:ascii="Times New Roman" w:hAnsi="Times New Roman"/>
          <w:color w:val="1F3864"/>
          <w:sz w:val="20"/>
        </w:rPr>
        <w:t xml:space="preserve"> </w:t>
      </w:r>
      <w:r>
        <w:rPr>
          <w:rFonts w:ascii="Times New Roman" w:hAnsi="Times New Roman"/>
          <w:color w:val="000000"/>
          <w:sz w:val="24"/>
        </w:rPr>
        <w:t>or a relevant tax authority, an amount sufficient to satisfy U.S. federal, state, local, non</w:t>
        <w:noBreakHyphen/>
        <w:t>U.S. and other taxes (including the Participant’s FICA or other social insurance contribution obligation) required to be withheld or paid with respect to such Award (or exercise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16.2 </w:t>
      </w:r>
      <w:r>
        <w:rPr>
          <w:rFonts w:ascii="Times New Roman" w:hAnsi="Times New Roman"/>
          <w:b/>
          <w:color w:val="000000"/>
          <w:sz w:val="24"/>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rFonts w:ascii="Times New Roman" w:hAnsi="Times New Roman"/>
          <w:color w:val="1F3864"/>
          <w:sz w:val="20"/>
        </w:rPr>
        <w:t xml:space="preserve"> </w:t>
      </w:r>
      <w:r>
        <w:rPr>
          <w:rFonts w:ascii="Times New Roman" w:hAnsi="Times New Roman"/>
          <w:color w:val="000000"/>
          <w:sz w:val="24"/>
        </w:rPr>
        <w:t>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17. </w:t>
      </w:r>
      <w:r>
        <w:rPr>
          <w:rFonts w:ascii="Times New Roman" w:hAnsi="Times New Roman"/>
          <w:smallCaps/>
          <w:color w:val="000000"/>
          <w:sz w:val="24"/>
        </w:rPr>
        <w:t>No Effect on Employment or Service</w:t>
      </w:r>
      <w:r>
        <w:rPr>
          <w:rFonts w:ascii="Times New Roman" w:hAnsi="Times New Roman"/>
          <w:b w:val="false"/>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18. </w:t>
      </w:r>
      <w:r>
        <w:rPr>
          <w:rFonts w:ascii="Times New Roman" w:hAnsi="Times New Roman"/>
          <w:smallCaps/>
          <w:color w:val="000000"/>
          <w:sz w:val="24"/>
        </w:rPr>
        <w:t>Date of Grant</w:t>
      </w:r>
      <w:r>
        <w:rPr>
          <w:rFonts w:ascii="Times New Roman" w:hAnsi="Times New Roman"/>
          <w:b w:val="false"/>
          <w:color w:val="000000"/>
          <w:sz w:val="24"/>
        </w:rPr>
        <w:t>. The date of grant of an Award will be, for all purposes, the date on which the Administrator makes the determination to grant such Award, or such other later date as may be determined by the Administrator. Notice of the determination will be provided to each Participant within a reasonable time after the date of such grant.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19. </w:t>
      </w:r>
      <w:r>
        <w:rPr>
          <w:rFonts w:ascii="Times New Roman" w:hAnsi="Times New Roman"/>
          <w:smallCaps/>
          <w:color w:val="000000"/>
          <w:sz w:val="24"/>
        </w:rPr>
        <w:t>Term of Plan</w:t>
      </w:r>
      <w:r>
        <w:rPr>
          <w:rFonts w:ascii="Times New Roman" w:hAnsi="Times New Roman"/>
          <w:b w:val="false"/>
          <w:color w:val="000000"/>
          <w:sz w:val="24"/>
        </w:rPr>
        <w:t>. Subject to Section 23, the Plan will become effective upon the later to occur of (a) the date of its initial adoption by the Board, and (b) the date of its initial approval by the Company’s stockholders (such later date, the “</w:t>
      </w:r>
      <w:r>
        <w:rPr>
          <w:rFonts w:ascii="Times New Roman" w:hAnsi="Times New Roman"/>
          <w:color w:val="000000"/>
          <w:sz w:val="24"/>
        </w:rPr>
        <w:t>Effective Date</w:t>
      </w:r>
      <w:r>
        <w:rPr>
          <w:rFonts w:ascii="Times New Roman" w:hAnsi="Times New Roman"/>
          <w:color w:val="000000"/>
          <w:sz w:val="20"/>
        </w:rPr>
        <w:t>”</w:t>
      </w:r>
      <w:r>
        <w:rPr>
          <w:rFonts w:ascii="Times New Roman" w:hAnsi="Times New Roman"/>
          <w:b w:val="false"/>
          <w:color w:val="000000"/>
          <w:sz w:val="24"/>
        </w:rPr>
        <w:t>). The Plan will continue in effect for a term of ten (10) years from the Effective Date, unless terminated earlier under Section 20.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20. </w:t>
      </w:r>
      <w:r>
        <w:rPr>
          <w:rFonts w:ascii="Times New Roman" w:hAnsi="Times New Roman"/>
          <w:smallCaps/>
          <w:color w:val="000000"/>
          <w:sz w:val="24"/>
        </w:rPr>
        <w:t>Amendment and Termination of the Plan</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20.1 </w:t>
      </w:r>
      <w:r>
        <w:rPr>
          <w:rFonts w:ascii="Times New Roman" w:hAnsi="Times New Roman"/>
          <w:b/>
          <w:color w:val="000000"/>
          <w:sz w:val="24"/>
        </w:rPr>
        <w:t>Amendment and Termination</w:t>
      </w:r>
      <w:r>
        <w:rPr>
          <w:rFonts w:ascii="Times New Roman" w:hAnsi="Times New Roman"/>
          <w:color w:val="000000"/>
          <w:sz w:val="24"/>
        </w:rPr>
        <w:t>. The Administrator, in its sole discretion, may amend, alter, suspend or terminate the Plan, or any part thereof, at any time and for any reason.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20.2 </w:t>
      </w:r>
      <w:r>
        <w:rPr>
          <w:rFonts w:ascii="Times New Roman" w:hAnsi="Times New Roman"/>
          <w:b/>
          <w:color w:val="000000"/>
          <w:sz w:val="24"/>
        </w:rPr>
        <w:t>Stockholder Approval</w:t>
      </w:r>
      <w:r>
        <w:rPr>
          <w:rFonts w:ascii="Times New Roman" w:hAnsi="Times New Roman"/>
          <w:color w:val="000000"/>
          <w:sz w:val="24"/>
        </w:rPr>
        <w:t>. The Company will obtain stockholder approval of any Plan amendment to the extent necessary and desirable to comply with Applicable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20.3 </w:t>
      </w:r>
      <w:r>
        <w:rPr>
          <w:rFonts w:ascii="Times New Roman" w:hAnsi="Times New Roman"/>
          <w:b/>
          <w:color w:val="000000"/>
          <w:sz w:val="24"/>
        </w:rPr>
        <w:t>Effect of Amendment or Termination</w:t>
      </w:r>
      <w:r>
        <w:rPr>
          <w:rFonts w:ascii="Times New Roman" w:hAnsi="Times New Roman"/>
          <w:color w:val="000000"/>
          <w:sz w:val="24"/>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21. </w:t>
      </w:r>
      <w:r>
        <w:rPr>
          <w:rFonts w:ascii="Times New Roman" w:hAnsi="Times New Roman"/>
          <w:smallCaps/>
          <w:color w:val="000000"/>
          <w:sz w:val="24"/>
        </w:rPr>
        <w:t>Conditions Upon Issuance of Shares</w:t>
      </w:r>
      <w:r>
        <w:rPr>
          <w:rFonts w:ascii="Times New Roman" w:hAnsi="Times New Roman"/>
          <w:b w:val="false"/>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21.1 </w:t>
      </w:r>
      <w:r>
        <w:rPr>
          <w:rFonts w:ascii="Times New Roman" w:hAnsi="Times New Roman"/>
          <w:b/>
          <w:color w:val="000000"/>
          <w:sz w:val="24"/>
        </w:rPr>
        <w:t>Legal Compliance</w:t>
      </w:r>
      <w:r>
        <w:rPr>
          <w:rFonts w:ascii="Times New Roman" w:hAnsi="Times New Roman"/>
          <w:color w:val="000000"/>
          <w:sz w:val="24"/>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21.2 </w:t>
      </w:r>
      <w:r>
        <w:rPr>
          <w:rFonts w:ascii="Times New Roman" w:hAnsi="Times New Roman"/>
          <w:b/>
          <w:color w:val="000000"/>
          <w:sz w:val="24"/>
        </w:rPr>
        <w:t>Investment Representations</w:t>
      </w:r>
      <w:r>
        <w:rPr>
          <w:rFonts w:ascii="Times New Roman" w:hAnsi="Times New Roman"/>
          <w:color w:val="000000"/>
          <w:sz w:val="24"/>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22. </w:t>
      </w:r>
      <w:r>
        <w:rPr>
          <w:rFonts w:ascii="Times New Roman" w:hAnsi="Times New Roman"/>
          <w:smallCaps/>
          <w:color w:val="000000"/>
          <w:sz w:val="24"/>
        </w:rPr>
        <w:t>Inability to Obtain Authority</w:t>
      </w:r>
      <w:r>
        <w:rPr>
          <w:rFonts w:ascii="Times New Roman" w:hAnsi="Times New Roman"/>
          <w:b w:val="false"/>
          <w:color w:val="000000"/>
          <w:sz w:val="24"/>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failure to issue or sell such Shares as to which such requisite authority, registration, qualification or rule compliance will not have been obtained.</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23. </w:t>
      </w:r>
      <w:r>
        <w:rPr>
          <w:rFonts w:ascii="Times New Roman" w:hAnsi="Times New Roman"/>
          <w:smallCaps/>
          <w:color w:val="000000"/>
          <w:sz w:val="24"/>
        </w:rPr>
        <w:t>Stockholder Approval</w:t>
      </w:r>
      <w:r>
        <w:rPr>
          <w:rFonts w:ascii="Times New Roman" w:hAnsi="Times New Roman"/>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24. </w:t>
      </w:r>
      <w:r>
        <w:rPr>
          <w:rFonts w:ascii="Times New Roman" w:hAnsi="Times New Roman"/>
          <w:smallCaps/>
          <w:color w:val="000000"/>
          <w:sz w:val="24"/>
        </w:rPr>
        <w:t>Forfeiture Events</w:t>
      </w:r>
      <w:r>
        <w:rPr>
          <w:rFonts w:ascii="Times New Roman" w:hAnsi="Times New Roman"/>
          <w:b w:val="false"/>
          <w:color w:val="000000"/>
          <w:sz w:val="24"/>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the Plan, all Awards granted under the Plan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hAnsi="Times New Roman"/>
          <w:color w:val="000000"/>
          <w:sz w:val="24"/>
        </w:rPr>
        <w:t>Clawback Policy</w:t>
      </w:r>
      <w:r>
        <w:rPr>
          <w:rFonts w:ascii="Times New Roman" w:hAnsi="Times New Roman"/>
          <w:color w:val="000000"/>
          <w:sz w:val="20"/>
        </w:rPr>
        <w:t>”</w:t>
      </w:r>
      <w:r>
        <w:rPr>
          <w:rFonts w:ascii="Times New Roman" w:hAnsi="Times New Roman"/>
          <w:b w:val="false"/>
          <w:color w:val="000000"/>
          <w:sz w:val="24"/>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18"/>
        </w:rPr>
      </w:pPr>
      <w:bookmarkStart w:id="98" w:name="annex_b"/>
      <w:bookmarkEnd w:id="98"/>
      <w:r>
        <w:rPr>
          <w:rFonts w:ascii="Arial" w:hAnsi="Arial"/>
          <w:b/>
          <w:color w:val="000000"/>
          <w:sz w:val="18"/>
        </w:rPr>
        <w:t>Annex B</w:t>
      </w:r>
    </w:p>
    <w:tbl>
      <w:tblPr>
        <w:tblW w:w="644" w:type="dxa"/>
        <w:jc w:val="left"/>
        <w:tblInd w:w="0" w:type="dxa"/>
        <w:tblLayout w:type="fixed"/>
        <w:tblCellMar>
          <w:top w:w="28" w:type="dxa"/>
          <w:left w:w="28" w:type="dxa"/>
          <w:bottom w:w="28" w:type="dxa"/>
          <w:right w:w="28" w:type="dxa"/>
        </w:tblCellMar>
      </w:tblPr>
      <w:tblGrid>
        <w:gridCol w:w="16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b/>
          <w:color w:val="000000"/>
          <w:sz w:val="22"/>
        </w:rPr>
        <w:t>CERTIFICATE OF AMENDMENT</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TO THE</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 CERTIFICATE OF INCORPORATION</w:t>
      </w:r>
    </w:p>
    <w:p>
      <w:pPr>
        <w:pStyle w:val="TextBody"/>
        <w:bidi w:val="0"/>
        <w:jc w:val="center"/>
        <w:rPr>
          <w:rFonts w:ascii="Times New Roman" w:hAnsi="Times New Roman"/>
          <w:b/>
          <w:color w:val="000000"/>
          <w:sz w:val="22"/>
        </w:rPr>
      </w:pPr>
      <w:r>
        <w:rPr>
          <w:rFonts w:ascii="Times New Roman" w:hAnsi="Times New Roman"/>
          <w:b/>
          <w:color w:val="000000"/>
          <w:sz w:val="22"/>
        </w:rPr>
        <w:t>OF</w:t>
      </w:r>
    </w:p>
    <w:p>
      <w:pPr>
        <w:pStyle w:val="TextBody"/>
        <w:bidi w:val="0"/>
        <w:jc w:val="center"/>
        <w:rPr>
          <w:rFonts w:ascii="Times New Roman" w:hAnsi="Times New Roman"/>
          <w:b/>
          <w:color w:val="000000"/>
          <w:sz w:val="22"/>
        </w:rPr>
      </w:pPr>
      <w:r>
        <w:rPr>
          <w:rFonts w:ascii="Times New Roman" w:hAnsi="Times New Roman"/>
          <w:b/>
          <w:color w:val="000000"/>
          <w:sz w:val="22"/>
        </w:rPr>
        <w:t>LEONABIO,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LeonaBio, Inc., a corporation organized and existing under the laws of the State of Delaware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does hereby certify as follows: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Company was originally incorporated under the name of M3 Biotechnology, Inc., and the original Certificate of Incorporation of the Company was filed with the Secretary of State of the State of Delaware on October 27, 2015.</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This Certificate of Amendment to the Amended and Restated Certificate of Incorporation of the Company, as amended, was duly adopted in accordance with Section 242 of the General Corporation Law of the State of Delaware by the Board of Directors of the Company and the stockholders of the Company.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Section 1 of Article IV of the Amended and Restated Certificate of Incorporation of the Company, as amended, is hereby amended and restated in its entirety to read as follows: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Section 1. This Company is authorized to issue two classes of stock, to be designated, respectively, Common Stock and Preferred Stock. The total number of shares of stock that the Company shall have authority to issue is 500,000,000 shares, of which 400,000,000 shares are Common Stock, $0.0001 par value per share, and 100,000,000 shares are Preferred Stock, $0.0001 par value per share.”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 xml:space="preserve">This Certificate of Amendment shall become effective on [●], 2026 at [●] Eastern Time.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Company has caused this Certificate of Amendment to the Amended and Restated Certificate of Incorporation of the Company, as amended, to be signed by a duly authorized officer of the Company, on [●], 2026.</w:t>
      </w:r>
    </w:p>
    <w:tbl>
      <w:tblPr>
        <w:tblW w:w="4033" w:type="dxa"/>
        <w:jc w:val="left"/>
        <w:tblInd w:w="0" w:type="dxa"/>
        <w:tblLayout w:type="fixed"/>
        <w:tblCellMar>
          <w:top w:w="28" w:type="dxa"/>
          <w:left w:w="28" w:type="dxa"/>
          <w:bottom w:w="28" w:type="dxa"/>
          <w:right w:w="28" w:type="dxa"/>
        </w:tblCellMar>
      </w:tblPr>
      <w:tblGrid>
        <w:gridCol w:w="124"/>
        <w:gridCol w:w="109"/>
        <w:gridCol w:w="109"/>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LEONABIO, INC.</w:t>
            </w:r>
          </w:p>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Mark Litton</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83"/>
        <w:jc w:val="left"/>
        <w:rPr/>
      </w:pPr>
      <w:r>
        <w:rPr/>
        <w:t> </w:t>
      </w:r>
    </w:p>
    <w:p>
      <w:pPr>
        <w:pStyle w:val="TextBody"/>
        <w:bidi w:val="0"/>
        <w:jc w:val="left"/>
        <w:rPr/>
      </w:pPr>
      <w:r>
        <w:rPr/>
        <w:t> </w:t>
      </w:r>
    </w:p>
    <w:p>
      <w:pPr>
        <w:pStyle w:val="TextBody"/>
        <w:bidi w:val="0"/>
        <w:jc w:val="center"/>
        <w:rPr/>
      </w:pPr>
      <w:r>
        <w:rPr/>
        <w:drawing>
          <wp:inline distT="0" distB="0" distL="0" distR="0">
            <wp:extent cx="6534150" cy="844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534150" cy="8448675"/>
                    </a:xfrm>
                    <a:prstGeom prst="rect">
                      <a:avLst/>
                    </a:prstGeom>
                  </pic:spPr>
                </pic:pic>
              </a:graphicData>
            </a:graphic>
          </wp:inline>
        </w:drawing>
      </w:r>
      <w:r>
        <w:rPr/>
        <w:t> </w:t>
      </w:r>
    </w:p>
    <w:p>
      <w:pPr>
        <w:pStyle w:val="TextBody"/>
        <w:bidi w:val="0"/>
        <w:spacing w:before="0" w:after="160"/>
        <w:jc w:val="left"/>
        <w:rPr>
          <w:rFonts w:ascii="Times New Roman" w:hAnsi="Times New Roman"/>
          <w:sz w:val="20"/>
        </w:rPr>
      </w:pPr>
      <w:r>
        <w:rPr>
          <w:rFonts w:ascii="Times New Roman" w:hAnsi="Times New Roman"/>
          <w:color w:val="FFFFFF"/>
          <w:sz w:val="2"/>
        </w:rPr>
        <w:t xml:space="preserve">LEONABIO, INC. 18706 NORTH CREEK PARKWAY, SUITE 104 BOTHELL, WA 98011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t>
      </w:r>
      <w:r>
        <w:rPr>
          <w:rFonts w:ascii="Times New Roman" w:hAnsi="Times New Roman"/>
          <w:color w:val="FFFFFF"/>
          <w:sz w:val="2"/>
          <w:u w:val="single"/>
        </w:rPr>
        <w:t>www.virtualshareholdermeeting.com/LONA2026SM</w:t>
      </w:r>
      <w:r>
        <w:rPr>
          <w:rFonts w:ascii="Times New Roman" w:hAnsi="Times New Roman"/>
          <w:color w:val="FFFFFF"/>
          <w:sz w:val="2"/>
        </w:rPr>
        <w:t>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V82957-S30210 KEEP THIS PORTION FOR YOUR RECORDS THIS PROXY CARD IS VALID ONLY WHEN SIGNED AND DATED. LEONABIO, INC. DETACH AND RETURN THIS PORTION ONLY Vote on Proposals The Board of Directors recommends you vote FOR the following proposals: For Against Abstain 1. To approve the issuance of 5,502,402 shares of common stock, par value $0.0001 per share, or the common stock, pursuant to the exercise of a pre-funded warrant, or the Sermonix Pre-Funded Warrant, held by Sermonix Pharmaceuticals, Inc., or Sermonic, in accordance with Nasdaq Rule 5635(a)(2).2.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or the Exchange Act, would beneficially own in excess of 19.99% of our outstanding common stock, in accordance with Nasdaq Rule 5635(b).3. To approve the issuance of shares of common stock to Perceptive Advisors or its affiliates pursuant to the exercise of warrants if, immediately following such exercise, Perceptive Advisors, together with its affiliates and any other persons whose beneficial ownership of shares of common stock would be aggregated with Perceptive Advisors for purposes of Section 13(d) of the Exchange Act, would beneficially own in excess of 19.99% of our outstanding common stock, in accordance with Nasdaq Rule 5635(b). 4. To approve the LeonaBio, Inc. 2026 Equity Incentive Plan. 5. To amend our amended and restated certificate of incorporation to increase the number of authorized shares of common stock. 6. To adjourn the Special Meeting, if necessary or appropriate in the view of the board of directors, including to solicit additional proxies if there are insufficient votes at the time of the Special Meeting to adopt any of Proposal 1, Proposal 2, Proposal 3, Proposal 4 or Proposal 5. The shares represented by this proxy, when properly executed, will be voted in the manner directed herein by the undersigned Stockholder(s). If no direction is made, this proxy will be voted FOR on items 1, 2, 3, 4, 5, and 6. If any other matters properly come before the meeting or any adjournment or postponement thereof, the persons named in this proxy are authorized to vote in their discretion.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spacing w:before="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24625" cy="8439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524625" cy="843915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Special Meeting: The Notice and Proxy Statement is available at www.proxyvote.com. V82958-S30210 LEONABIO, INC. Special Meeting of Stockholders March 18, 2026 8:00 AM PT Via the internet at www.virtualshareholdermeeting.com/LONA2026SMTHIS PROXY IS SOLICITED BY THE BOARD OF DIRECTORS The stockholder(s) hereby appoint(s) Mark Litton, Robert Renninger and Mark Worthington, or any of them, as proxies, each with the power to appoint his substitute, and hereby authorize(s) them to represent and to vote, as designated on the reverse side of this ballot, all of the shares of Common Stock of LeonaBio, Inc. that the stockholder(s) is/are entitled to vote at the Special Meeting of Stockholders to be held at 8:00 AM PT on March 18, 2026, as a virtual meeting via live webcast on the internet, and any adjournment or postponement thereof. To attend the meeting via the internet, please visit www.virtualshareholdermeeting.com/LONA2026SM and have the information that is printed in the box marked by the arrow available and follow the instructions.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spacing w:before="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image" Target="media/image4.gif"/><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44002</Words>
  <Characters>231218</Characters>
  <CharactersWithSpaces>275064</CharactersWithSpaces>
  <Paragraphs>2704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