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643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43826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20" w:space="380"/>
            <w:col w:w="8480"/>
          </w:cols>
          <w:pgMar w:left="460" w:top="216" w:right="359" w:bottom="493"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Litton Mark James</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Athira 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220" w:type="dxa"/>
            <w:vAlign w:val="bottom"/>
          </w:tcPr>
          <w:p>
            <w:pPr>
              <w:spacing w:after="0"/>
              <w:rPr>
                <w:sz w:val="18"/>
                <w:szCs w:val="18"/>
                <w:color w:val="auto"/>
              </w:rPr>
            </w:pPr>
          </w:p>
        </w:tc>
        <w:tc>
          <w:tcPr>
            <w:tcW w:w="17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01/27/2023</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89" w:lineRule="exact"/>
        <w:rPr>
          <w:sz w:val="20"/>
          <w:szCs w:val="20"/>
          <w:color w:val="auto"/>
        </w:rPr>
      </w:pPr>
    </w:p>
    <w:p>
      <w:pPr>
        <w:sectPr>
          <w:pgSz w:w="11900" w:h="16838" w:orient="portrait"/>
          <w:cols w:equalWidth="0" w:num="2">
            <w:col w:w="7680" w:space="55"/>
            <w:col w:w="3345"/>
          </w:cols>
          <w:pgMar w:left="460" w:top="216" w:right="359" w:bottom="493" w:gutter="0" w:footer="0" w:header="0"/>
          <w:type w:val="continuous"/>
        </w:sectPr>
      </w:pP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98011</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6" w:lineRule="exact"/>
        <w:rPr>
          <w:sz w:val="20"/>
          <w:szCs w:val="20"/>
          <w:color w:val="auto"/>
        </w:rPr>
      </w:pPr>
    </w:p>
    <w:p>
      <w:pPr>
        <w:sectPr>
          <w:pgSz w:w="11900" w:h="16838" w:orient="portrait"/>
          <w:cols w:equalWidth="0" w:num="2">
            <w:col w:w="3760" w:space="140"/>
            <w:col w:w="7180"/>
          </w:cols>
          <w:pgMar w:left="460" w:top="216" w:right="359" w:bottom="49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7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440" w:type="dxa"/>
            <w:vAlign w:val="bottom"/>
          </w:tcPr>
          <w:p>
            <w:pPr>
              <w:spacing w:after="0"/>
              <w:rPr>
                <w:sz w:val="11"/>
                <w:szCs w:val="11"/>
                <w:color w:val="auto"/>
              </w:rPr>
            </w:pPr>
          </w:p>
        </w:tc>
        <w:tc>
          <w:tcPr>
            <w:tcW w:w="1780" w:type="dxa"/>
            <w:vAlign w:val="bottom"/>
          </w:tcPr>
          <w:p>
            <w:pPr>
              <w:ind w:left="7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4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4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4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4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78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11/18/2022</w:t>
            </w:r>
            <w:r>
              <w:rPr>
                <w:rFonts w:ascii="Times New Roman" w:cs="Times New Roman" w:eastAsia="Times New Roman" w:hAnsi="Times New Roman"/>
                <w:sz w:val="21"/>
                <w:szCs w:val="21"/>
                <w:color w:val="008000"/>
                <w:vertAlign w:val="superscript"/>
              </w:rPr>
              <w:t>(2)</w:t>
            </w:r>
          </w:p>
        </w:tc>
        <w:tc>
          <w:tcPr>
            <w:tcW w:w="10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68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662</w:t>
            </w: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w:t>
            </w:r>
            <w:r>
              <w:rPr>
                <w:rFonts w:ascii="Times New Roman" w:cs="Times New Roman" w:eastAsia="Times New Roman" w:hAnsi="Times New Roman"/>
                <w:sz w:val="21"/>
                <w:szCs w:val="21"/>
                <w:color w:val="008000"/>
                <w:vertAlign w:val="superscript"/>
              </w:rPr>
              <w:t>(3)</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129,217</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6,563</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0"/>
        </w:trPr>
        <w:tc>
          <w:tcPr>
            <w:tcW w:w="24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440" w:type="dxa"/>
            <w:vAlign w:val="bottom"/>
            <w:tcBorders>
              <w:bottom w:val="single" w:sz="8" w:color="2C2C2C"/>
            </w:tcBorders>
          </w:tcPr>
          <w:p>
            <w:pPr>
              <w:spacing w:after="0"/>
              <w:rPr>
                <w:sz w:val="23"/>
                <w:szCs w:val="23"/>
                <w:color w:val="auto"/>
              </w:rPr>
            </w:pPr>
          </w:p>
        </w:tc>
        <w:tc>
          <w:tcPr>
            <w:tcW w:w="17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100"/>
              <w:spacing w:after="0" w:line="266" w:lineRule="exact"/>
              <w:rPr>
                <w:sz w:val="20"/>
                <w:szCs w:val="20"/>
                <w:color w:val="auto"/>
              </w:rPr>
            </w:pPr>
            <w:r>
              <w:rPr>
                <w:rFonts w:ascii="Times New Roman" w:cs="Times New Roman" w:eastAsia="Times New Roman" w:hAnsi="Times New Roman"/>
                <w:sz w:val="30"/>
                <w:szCs w:val="30"/>
                <w:color w:val="0000FF"/>
                <w:vertAlign w:val="subscript"/>
              </w:rPr>
              <w:t>OSL</w:t>
            </w: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242"/>
        </w:trPr>
        <w:tc>
          <w:tcPr>
            <w:tcW w:w="2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6,563</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0"/>
        </w:trPr>
        <w:tc>
          <w:tcPr>
            <w:tcW w:w="24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440" w:type="dxa"/>
            <w:vAlign w:val="bottom"/>
            <w:tcBorders>
              <w:bottom w:val="single" w:sz="8" w:color="2C2C2C"/>
            </w:tcBorders>
          </w:tcPr>
          <w:p>
            <w:pPr>
              <w:spacing w:after="0"/>
              <w:rPr>
                <w:sz w:val="23"/>
                <w:szCs w:val="23"/>
                <w:color w:val="auto"/>
              </w:rPr>
            </w:pPr>
          </w:p>
        </w:tc>
        <w:tc>
          <w:tcPr>
            <w:tcW w:w="17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100"/>
              <w:spacing w:after="0" w:line="266" w:lineRule="exact"/>
              <w:rPr>
                <w:sz w:val="20"/>
                <w:szCs w:val="20"/>
                <w:color w:val="auto"/>
              </w:rPr>
            </w:pPr>
            <w:r>
              <w:rPr>
                <w:rFonts w:ascii="Times New Roman" w:cs="Times New Roman" w:eastAsia="Times New Roman" w:hAnsi="Times New Roman"/>
                <w:sz w:val="30"/>
                <w:szCs w:val="30"/>
                <w:color w:val="0000FF"/>
                <w:vertAlign w:val="subscript"/>
              </w:rPr>
              <w:t>SWL</w:t>
            </w:r>
            <w:r>
              <w:rPr>
                <w:rFonts w:ascii="Times New Roman" w:cs="Times New Roman" w:eastAsia="Times New Roman" w:hAnsi="Times New Roman"/>
                <w:sz w:val="10"/>
                <w:szCs w:val="10"/>
                <w:color w:val="008000"/>
              </w:rPr>
              <w:t>(5)</w:t>
            </w:r>
          </w:p>
        </w:tc>
        <w:tc>
          <w:tcPr>
            <w:tcW w:w="0" w:type="dxa"/>
            <w:vAlign w:val="bottom"/>
          </w:tcPr>
          <w:p>
            <w:pPr>
              <w:spacing w:after="0"/>
              <w:rPr>
                <w:sz w:val="1"/>
                <w:szCs w:val="1"/>
                <w:color w:val="auto"/>
              </w:rPr>
            </w:pPr>
          </w:p>
        </w:tc>
      </w:tr>
      <w:tr>
        <w:trPr>
          <w:trHeight w:val="242"/>
        </w:trPr>
        <w:tc>
          <w:tcPr>
            <w:tcW w:w="2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6,563</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140"/>
        <w:spacing w:after="0" w:line="184" w:lineRule="auto"/>
        <w:rPr>
          <w:sz w:val="20"/>
          <w:szCs w:val="20"/>
          <w:color w:val="auto"/>
        </w:rPr>
      </w:pPr>
      <w:r>
        <w:rPr>
          <w:rFonts w:ascii="Times New Roman" w:cs="Times New Roman" w:eastAsia="Times New Roman" w:hAnsi="Times New Roman"/>
          <w:sz w:val="23"/>
          <w:szCs w:val="23"/>
          <w:color w:val="0000FF"/>
          <w:vertAlign w:val="subscript"/>
        </w:rPr>
        <w:t>WGL</w:t>
      </w:r>
      <w:r>
        <w:rPr>
          <w:rFonts w:ascii="Times New Roman" w:cs="Times New Roman" w:eastAsia="Times New Roman" w:hAnsi="Times New Roman"/>
          <w:sz w:val="9"/>
          <w:szCs w:val="9"/>
          <w:color w:val="008000"/>
        </w:rPr>
        <w:t>(6)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01/27/2023</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425,000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01/26/2033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425,000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425,000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May 18, 2022 through November 18, 2022. This transaction is also exempt under Rule 16b-3(c).</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November 18, 2022 and is the sole Purchase Period in the Offering Period (as defined in the ESPP) that began May 18, 2022.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November 18, 2022.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OSL held for the benefit of Dr. Litton's children.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SWL held for the benefit of Dr. Litton's children.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WGL held for the benefit of Dr. Litton's children.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thirty-sixth (1/36th) of the shares subject to the option will vest on February 27, 2023 and one thirty-sixth of the shares subject to the option will vest each month thereafter.</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Glenna Mileson,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259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on behalf of Mark</w:t>
      </w:r>
      <w:r>
        <w:rPr>
          <w:sz w:val="20"/>
          <w:szCs w:val="20"/>
          <w:color w:val="auto"/>
        </w:rPr>
        <w:tab/>
      </w:r>
      <w:r>
        <w:rPr>
          <w:rFonts w:ascii="Times New Roman" w:cs="Times New Roman" w:eastAsia="Times New Roman" w:hAnsi="Times New Roman"/>
          <w:sz w:val="16"/>
          <w:szCs w:val="16"/>
          <w:color w:val="0000FF"/>
        </w:rPr>
        <w:t>01/31/2023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56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483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2023-01-31T18:44:21Z</dcterms:created>
  <dcterms:modified xsi:type="dcterms:W3CDTF">2023-01-31T18:44:21Z</dcterms:modified>
</cp:coreProperties>
</file>