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2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295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MOEBIUS HANS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Athira Pharma,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ATHA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20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7"/>
                <w:szCs w:val="17"/>
                <w:color w:val="0000FF"/>
              </w:rPr>
              <w:t>07/21/2021</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0000FF"/>
        </w:rPr>
        <w:t>Chief Medical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7"/>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6"/>
              </w:rPr>
              <w:t>05/18/2021</w:t>
            </w:r>
            <w:r>
              <w:rPr>
                <w:rFonts w:ascii="Arial" w:cs="Arial" w:eastAsia="Arial" w:hAnsi="Arial"/>
                <w:sz w:val="21"/>
                <w:szCs w:val="21"/>
                <w:color w:val="008000"/>
                <w:w w:val="86"/>
                <w:vertAlign w:val="superscript"/>
              </w:rPr>
              <w:t>(2)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A</w:t>
            </w:r>
          </w:p>
        </w:tc>
        <w:tc>
          <w:tcPr>
            <w:tcW w:w="3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9"/>
              </w:rPr>
              <w:t>2,055</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14.45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7"/>
                <w:szCs w:val="17"/>
                <w:color w:val="0000FF"/>
                <w:w w:val="89"/>
              </w:rPr>
              <w:t>07/21/2021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00" w:type="dxa"/>
            <w:vAlign w:val="bottom"/>
          </w:tcPr>
          <w:p>
            <w:pPr>
              <w:jc w:val="center"/>
              <w:ind w:left="93"/>
              <w:spacing w:after="0"/>
              <w:rPr>
                <w:sz w:val="20"/>
                <w:szCs w:val="20"/>
                <w:color w:val="auto"/>
              </w:rPr>
            </w:pPr>
            <w:r>
              <w:rPr>
                <w:rFonts w:ascii="Arial" w:cs="Arial" w:eastAsia="Arial" w:hAnsi="Arial"/>
                <w:sz w:val="17"/>
                <w:szCs w:val="17"/>
                <w:color w:val="0000FF"/>
                <w:w w:val="88"/>
              </w:rPr>
              <w:t>12,610</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14,665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7"/>
                <w:szCs w:val="17"/>
                <w:color w:val="0000FF"/>
                <w:w w:val="89"/>
              </w:rPr>
              <w:t>07/21/2021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00" w:type="dxa"/>
            <w:vAlign w:val="bottom"/>
          </w:tcPr>
          <w:p>
            <w:pPr>
              <w:jc w:val="center"/>
              <w:ind w:left="93"/>
              <w:spacing w:after="0"/>
              <w:rPr>
                <w:sz w:val="20"/>
                <w:szCs w:val="20"/>
                <w:color w:val="auto"/>
              </w:rPr>
            </w:pPr>
            <w:r>
              <w:rPr>
                <w:rFonts w:ascii="Arial" w:cs="Arial" w:eastAsia="Arial" w:hAnsi="Arial"/>
                <w:sz w:val="17"/>
                <w:szCs w:val="17"/>
                <w:color w:val="0000FF"/>
                <w:w w:val="88"/>
              </w:rPr>
              <w:t>15,762</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30,427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07/21/2021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12,610</w:t>
            </w:r>
          </w:p>
        </w:tc>
        <w:tc>
          <w:tcPr>
            <w:tcW w:w="4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0000FF"/>
              </w:rPr>
              <w:t>06/25/2029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12,610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right"/>
              <w:ind w:right="101"/>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7"/>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07/21/2021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15,762</w:t>
            </w:r>
          </w:p>
        </w:tc>
        <w:tc>
          <w:tcPr>
            <w:tcW w:w="4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0000FF"/>
              </w:rPr>
              <w:t>08/14/2029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15,762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jc w:val="right"/>
              <w:spacing w:after="0"/>
              <w:rPr>
                <w:sz w:val="20"/>
                <w:szCs w:val="20"/>
                <w:color w:val="auto"/>
              </w:rPr>
            </w:pPr>
            <w:r>
              <w:rPr>
                <w:rFonts w:ascii="Arial" w:cs="Arial" w:eastAsia="Arial" w:hAnsi="Arial"/>
                <w:sz w:val="13"/>
                <w:szCs w:val="13"/>
                <w:color w:val="0000FF"/>
              </w:rPr>
              <w:t>15,763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September 17, 2020 through May 18, 2021. This transaction is also exempt under Rule 16b-3(c).</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May 18, 2021 and is the Purchase Period comprising the Offering Period (as defined in the ESPP) that began September 17, 2020.</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of the initial public offering price from the issuer's initial public offering.</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April 1, 2021.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subject to the option vested on June 1, 2020 and one-fourth of the shares subject to the option vest on each year thereafter.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Glenna Mileson, Attorney in </w:t>
      </w:r>
      <w:r>
        <w:rPr>
          <w:rFonts w:ascii="Arial" w:cs="Arial" w:eastAsia="Arial" w:hAnsi="Arial"/>
          <w:sz w:val="33"/>
          <w:szCs w:val="33"/>
          <w:color w:val="0000FF"/>
          <w:vertAlign w:val="subscript"/>
        </w:rPr>
        <w:t>07/21/2021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Hans Moebius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54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440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4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2021-07-21T15:49:15Z</dcterms:created>
  <dcterms:modified xsi:type="dcterms:W3CDTF">2021-07-21T15:49:15Z</dcterms:modified>
</cp:coreProperties>
</file>