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903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90308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Litton Mark James</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LeonaBio,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LONA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2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LEONABIO, INC.</w:t>
            </w:r>
          </w:p>
        </w:tc>
        <w:tc>
          <w:tcPr>
            <w:tcW w:w="1180" w:type="dxa"/>
            <w:vAlign w:val="bottom"/>
          </w:tcPr>
          <w:p>
            <w:pPr>
              <w:spacing w:after="0"/>
              <w:rPr>
                <w:sz w:val="18"/>
                <w:szCs w:val="18"/>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03/03/2026</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97"/>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1" w:lineRule="exact"/>
        <w:rPr>
          <w:sz w:val="20"/>
          <w:szCs w:val="20"/>
          <w:color w:val="auto"/>
        </w:rPr>
      </w:pPr>
    </w:p>
    <w:p>
      <w:pPr>
        <w:sectPr>
          <w:pgSz w:w="11900" w:h="16838" w:orient="portrait"/>
          <w:cols w:equalWidth="0" w:num="2">
            <w:col w:w="7660" w:space="63"/>
            <w:col w:w="3357"/>
          </w:cols>
          <w:pgMar w:left="460" w:top="217" w:right="359" w:bottom="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03/03/2026</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0000FF"/>
              </w:rPr>
              <w:t>22,254</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63,082</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03/04/2026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57"/>
              <w:spacing w:after="0"/>
              <w:rPr>
                <w:sz w:val="20"/>
                <w:szCs w:val="20"/>
                <w:color w:val="auto"/>
              </w:rPr>
            </w:pPr>
            <w:r>
              <w:rPr>
                <w:rFonts w:ascii="Times New Roman" w:cs="Times New Roman" w:eastAsia="Times New Roman" w:hAnsi="Times New Roman"/>
                <w:sz w:val="17"/>
                <w:szCs w:val="17"/>
                <w:color w:val="0000FF"/>
              </w:rPr>
              <w:t>5,156</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5.37</w:t>
            </w:r>
            <w:r>
              <w:rPr>
                <w:rFonts w:ascii="Times New Roman" w:cs="Times New Roman" w:eastAsia="Times New Roman" w:hAnsi="Times New Roman"/>
                <w:sz w:val="21"/>
                <w:szCs w:val="21"/>
                <w:color w:val="008000"/>
                <w:w w:val="89"/>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57,926</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left="334"/>
              <w:spacing w:after="0"/>
              <w:rPr>
                <w:sz w:val="20"/>
                <w:szCs w:val="20"/>
                <w:color w:val="auto"/>
              </w:rPr>
            </w:pPr>
            <w:r>
              <w:rPr>
                <w:rFonts w:ascii="Times New Roman" w:cs="Times New Roman" w:eastAsia="Times New Roman" w:hAnsi="Times New Roman"/>
                <w:sz w:val="17"/>
                <w:szCs w:val="17"/>
                <w:color w:val="0000FF"/>
                <w:w w:val="93"/>
              </w:rPr>
              <w:t>656</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center"/>
              <w:ind w:right="33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OSL</w:t>
            </w: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left="334"/>
              <w:spacing w:after="0"/>
              <w:rPr>
                <w:sz w:val="20"/>
                <w:szCs w:val="20"/>
                <w:color w:val="auto"/>
              </w:rPr>
            </w:pPr>
            <w:r>
              <w:rPr>
                <w:rFonts w:ascii="Times New Roman" w:cs="Times New Roman" w:eastAsia="Times New Roman" w:hAnsi="Times New Roman"/>
                <w:sz w:val="17"/>
                <w:szCs w:val="17"/>
                <w:color w:val="0000FF"/>
                <w:w w:val="93"/>
              </w:rPr>
              <w:t>656</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center"/>
              <w:ind w:right="33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SWL</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vMerge w:val="restart"/>
          </w:tcPr>
          <w:p>
            <w:pPr>
              <w:jc w:val="center"/>
              <w:ind w:left="334"/>
              <w:spacing w:after="0"/>
              <w:rPr>
                <w:sz w:val="20"/>
                <w:szCs w:val="20"/>
                <w:color w:val="auto"/>
              </w:rPr>
            </w:pPr>
            <w:r>
              <w:rPr>
                <w:rFonts w:ascii="Times New Roman" w:cs="Times New Roman" w:eastAsia="Times New Roman" w:hAnsi="Times New Roman"/>
                <w:sz w:val="17"/>
                <w:szCs w:val="17"/>
                <w:color w:val="0000FF"/>
                <w:w w:val="93"/>
              </w:rPr>
              <w:t>656</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vMerge w:val="restart"/>
          </w:tcPr>
          <w:p>
            <w:pPr>
              <w:jc w:val="center"/>
              <w:ind w:right="33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WGL</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w w:val="88"/>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22,254</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82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22,254</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w w:val="91"/>
              </w:rPr>
              <w:t>0</w:t>
            </w:r>
          </w:p>
        </w:tc>
        <w:tc>
          <w:tcPr>
            <w:tcW w:w="340" w:type="dxa"/>
            <w:vAlign w:val="bottom"/>
          </w:tcPr>
          <w:p>
            <w:pPr>
              <w:spacing w:after="0"/>
              <w:rPr>
                <w:sz w:val="11"/>
                <w:szCs w:val="11"/>
                <w:color w:val="auto"/>
              </w:rPr>
            </w:pPr>
          </w:p>
        </w:tc>
        <w:tc>
          <w:tcPr>
            <w:tcW w:w="540" w:type="dxa"/>
            <w:vAlign w:val="bottom"/>
          </w:tcPr>
          <w:p>
            <w:pPr>
              <w:ind w:left="40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 No additional shares of common stock were sold by the reporting person.</w:t>
      </w:r>
    </w:p>
    <w:p>
      <w:pPr>
        <w:spacing w:after="0" w:line="25"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$5.03 to $5.70,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OSL held for the benefit of Dr. Litton's children.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SWL held for the benefit of Dr. Litton's children.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WGL held for the benefit of Dr. Litton's children.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 2025, the reporting person was granted 22,254 RSUs (as adjusted for the 10-for-1 reverse stock split completed on September 17, 2025). 100% of the RSUs vested on the one (1) year anniversary of the grant date.</w:t>
      </w:r>
    </w:p>
    <w:p>
      <w:pPr>
        <w:sectPr>
          <w:pgSz w:w="11900" w:h="16838" w:orient="portrait"/>
          <w:cols w:equalWidth="0" w:num="1">
            <w:col w:w="11080"/>
          </w:cols>
          <w:pgMar w:left="460" w:top="217" w:right="359" w:bottom="0" w:gutter="0" w:footer="0" w:header="0"/>
          <w:type w:val="continuous"/>
        </w:sectPr>
      </w:pP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Mark Worthington,</w:t>
            </w:r>
          </w:p>
        </w:tc>
        <w:tc>
          <w:tcPr>
            <w:tcW w:w="4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03/05/2026</w:t>
            </w:r>
          </w:p>
        </w:tc>
      </w:tr>
      <w:tr>
        <w:trPr>
          <w:trHeight w:val="20"/>
        </w:trPr>
        <w:tc>
          <w:tcPr>
            <w:tcW w:w="1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87"/>
        </w:trPr>
        <w:tc>
          <w:tcPr>
            <w:tcW w:w="1980" w:type="dxa"/>
            <w:vAlign w:val="bottom"/>
            <w:tcBorders>
              <w:bottom w:val="single" w:sz="8" w:color="auto"/>
            </w:tcBorders>
            <w:gridSpan w:val="2"/>
          </w:tcPr>
          <w:p>
            <w:pPr>
              <w:spacing w:after="0" w:line="187" w:lineRule="exact"/>
              <w:rPr>
                <w:sz w:val="20"/>
                <w:szCs w:val="20"/>
                <w:color w:val="auto"/>
              </w:rPr>
            </w:pPr>
            <w:r>
              <w:rPr>
                <w:rFonts w:ascii="Times New Roman" w:cs="Times New Roman" w:eastAsia="Times New Roman" w:hAnsi="Times New Roman"/>
                <w:sz w:val="17"/>
                <w:szCs w:val="17"/>
                <w:color w:val="0000FF"/>
                <w:w w:val="97"/>
              </w:rPr>
              <w:t>Attorney-in-Fact on behalf of</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Mark James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805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05180" cy="8255"/>
                    </a:xfrm>
                    <a:prstGeom prst="rect">
                      <a:avLst/>
                    </a:prstGeom>
                    <a:noFill/>
                  </pic:spPr>
                </pic:pic>
              </a:graphicData>
            </a:graphic>
          </wp:anchor>
        </w:drawing>
      </w:r>
    </w:p>
    <w:p>
      <w:pPr>
        <w:spacing w:after="0" w:line="4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0483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2026-03-05T18:16:02Z</dcterms:created>
  <dcterms:modified xsi:type="dcterms:W3CDTF">2026-03-05T18:16:02Z</dcterms:modified>
</cp:coreProperties>
</file>