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MOEBIUS HANS</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06/25/2029</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20"/>
                <w:szCs w:val="20"/>
                <w:color w:val="0000FF"/>
                <w:w w:val="98"/>
              </w:rPr>
              <w:t>12,610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08/14/2029</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20"/>
                <w:szCs w:val="20"/>
                <w:color w:val="0000FF"/>
                <w:w w:val="98"/>
              </w:rPr>
              <w:t>31,525</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09/16/2030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20"/>
                <w:szCs w:val="20"/>
                <w:color w:val="0000FF"/>
                <w:w w:val="95"/>
              </w:rPr>
              <w:t>145,015</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9"/>
              </w:rPr>
              <w:t>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One-half of the shares subject to the option vested on April 1, 2020 and one-half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June 1, 2020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will vest on August 26, 2021 and one-fourth of the shares subject to the option vest on each year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Glenna Mileson,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09/17/2020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 fact for Hans Moebius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21,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Hans Moebius</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Hans Moebius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2494"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2020-09-17T19:31:40Z</dcterms:created>
  <dcterms:modified xsi:type="dcterms:W3CDTF">2020-09-17T19:31:40Z</dcterms:modified>
</cp:coreProperties>
</file>