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199390</wp:posOffset>
            </wp:positionH>
            <wp:positionV relativeFrom="page">
              <wp:posOffset>178435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193675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4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5"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39" w:lineRule="exact"/>
        <w:rPr>
          <w:sz w:val="24"/>
          <w:szCs w:val="24"/>
          <w:color w:val="auto"/>
        </w:rPr>
      </w:pPr>
    </w:p>
    <w:tbl>
      <w:tblPr>
        <w:tblLayout w:type="fixed"/>
        <w:tblInd w:w="84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3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For the transition period from ____ to ____</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00" w:type="dxa"/>
            <w:vAlign w:val="bottom"/>
          </w:tcPr>
          <w:p>
            <w:pPr>
              <w:spacing w:after="0"/>
              <w:rPr>
                <w:sz w:val="20"/>
                <w:szCs w:val="20"/>
                <w:color w:val="auto"/>
              </w:rPr>
            </w:pPr>
          </w:p>
        </w:tc>
        <w:tc>
          <w:tcPr>
            <w:tcW w:w="3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Commission File Number: 001-39503</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3"/>
        </w:trPr>
        <w:tc>
          <w:tcPr>
            <w:tcW w:w="2900" w:type="dxa"/>
            <w:vAlign w:val="bottom"/>
          </w:tcPr>
          <w:p>
            <w:pPr>
              <w:spacing w:after="0"/>
              <w:rPr>
                <w:sz w:val="24"/>
                <w:szCs w:val="24"/>
                <w:color w:val="auto"/>
              </w:rPr>
            </w:pPr>
          </w:p>
        </w:tc>
        <w:tc>
          <w:tcPr>
            <w:tcW w:w="3900" w:type="dxa"/>
            <w:vAlign w:val="bottom"/>
            <w:gridSpan w:val="3"/>
          </w:tcPr>
          <w:p>
            <w:pPr>
              <w:jc w:val="center"/>
              <w:ind w:right="140"/>
              <w:spacing w:after="0"/>
              <w:rPr>
                <w:sz w:val="20"/>
                <w:szCs w:val="20"/>
                <w:color w:val="auto"/>
              </w:rPr>
            </w:pPr>
            <w:r>
              <w:rPr>
                <w:rFonts w:ascii="Arial" w:cs="Arial" w:eastAsia="Arial" w:hAnsi="Arial"/>
                <w:sz w:val="31"/>
                <w:szCs w:val="31"/>
                <w:b w:val="1"/>
                <w:bCs w:val="1"/>
                <w:color w:val="auto"/>
                <w:w w:val="96"/>
              </w:rPr>
              <w:t>Athira Pharma, Inc.</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900" w:type="dxa"/>
            <w:vAlign w:val="bottom"/>
          </w:tcPr>
          <w:p>
            <w:pPr>
              <w:spacing w:after="0"/>
              <w:rPr>
                <w:sz w:val="17"/>
                <w:szCs w:val="17"/>
                <w:color w:val="auto"/>
              </w:rPr>
            </w:pPr>
          </w:p>
        </w:tc>
        <w:tc>
          <w:tcPr>
            <w:tcW w:w="39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(Exact name of registrant as specified in its charter)</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900" w:type="dxa"/>
            <w:vAlign w:val="bottom"/>
            <w:vMerge w:val="restart"/>
          </w:tcPr>
          <w:p>
            <w:pPr>
              <w:jc w:val="center"/>
              <w:ind w:left="991"/>
              <w:spacing w:after="0"/>
              <w:rPr>
                <w:sz w:val="20"/>
                <w:szCs w:val="20"/>
                <w:color w:val="auto"/>
              </w:rPr>
            </w:pPr>
            <w:r>
              <w:rPr>
                <w:rFonts w:ascii="Arial" w:cs="Arial" w:eastAsia="Arial" w:hAnsi="Arial"/>
                <w:sz w:val="16"/>
                <w:szCs w:val="16"/>
                <w:b w:val="1"/>
                <w:bCs w:val="1"/>
                <w:color w:val="auto"/>
                <w:w w:val="91"/>
              </w:rPr>
              <w:t>Delaware</w:t>
            </w:r>
          </w:p>
        </w:tc>
        <w:tc>
          <w:tcPr>
            <w:tcW w:w="76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520" w:type="dxa"/>
            <w:vAlign w:val="bottom"/>
            <w:vMerge w:val="restart"/>
          </w:tcPr>
          <w:p>
            <w:pPr>
              <w:jc w:val="center"/>
              <w:ind w:right="849"/>
              <w:spacing w:after="0"/>
              <w:rPr>
                <w:sz w:val="20"/>
                <w:szCs w:val="20"/>
                <w:color w:val="auto"/>
              </w:rPr>
            </w:pPr>
            <w:r>
              <w:rPr>
                <w:rFonts w:ascii="Arial" w:cs="Arial" w:eastAsia="Arial" w:hAnsi="Arial"/>
                <w:sz w:val="16"/>
                <w:szCs w:val="16"/>
                <w:b w:val="1"/>
                <w:bCs w:val="1"/>
                <w:color w:val="auto"/>
                <w:w w:val="88"/>
              </w:rPr>
              <w:t>45-3368487</w:t>
            </w:r>
          </w:p>
        </w:tc>
        <w:tc>
          <w:tcPr>
            <w:tcW w:w="0" w:type="dxa"/>
            <w:vAlign w:val="bottom"/>
          </w:tcPr>
          <w:p>
            <w:pPr>
              <w:spacing w:after="0"/>
              <w:rPr>
                <w:sz w:val="1"/>
                <w:szCs w:val="1"/>
                <w:color w:val="auto"/>
              </w:rPr>
            </w:pPr>
          </w:p>
        </w:tc>
      </w:tr>
      <w:tr>
        <w:trPr>
          <w:trHeight w:val="285"/>
        </w:trPr>
        <w:tc>
          <w:tcPr>
            <w:tcW w:w="29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900" w:type="dxa"/>
            <w:vAlign w:val="bottom"/>
          </w:tcPr>
          <w:p>
            <w:pPr>
              <w:jc w:val="center"/>
              <w:ind w:left="991"/>
              <w:spacing w:after="0"/>
              <w:rPr>
                <w:sz w:val="20"/>
                <w:szCs w:val="20"/>
                <w:color w:val="auto"/>
              </w:rPr>
            </w:pPr>
            <w:r>
              <w:rPr>
                <w:rFonts w:ascii="Arial" w:cs="Arial" w:eastAsia="Arial" w:hAnsi="Arial"/>
                <w:sz w:val="13"/>
                <w:szCs w:val="13"/>
                <w:b w:val="1"/>
                <w:bCs w:val="1"/>
                <w:color w:val="auto"/>
                <w:w w:val="87"/>
              </w:rPr>
              <w:t>(State or other jurisdiction of</w:t>
            </w:r>
          </w:p>
        </w:tc>
        <w:tc>
          <w:tcPr>
            <w:tcW w:w="7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20" w:type="dxa"/>
            <w:vAlign w:val="bottom"/>
          </w:tcPr>
          <w:p>
            <w:pPr>
              <w:jc w:val="center"/>
              <w:ind w:right="869"/>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2"/>
        </w:trPr>
        <w:tc>
          <w:tcPr>
            <w:tcW w:w="2900" w:type="dxa"/>
            <w:vAlign w:val="bottom"/>
          </w:tcPr>
          <w:p>
            <w:pPr>
              <w:jc w:val="center"/>
              <w:ind w:left="991"/>
              <w:spacing w:after="0"/>
              <w:rPr>
                <w:sz w:val="20"/>
                <w:szCs w:val="20"/>
                <w:color w:val="auto"/>
              </w:rPr>
            </w:pPr>
            <w:r>
              <w:rPr>
                <w:rFonts w:ascii="Arial" w:cs="Arial" w:eastAsia="Arial" w:hAnsi="Arial"/>
                <w:sz w:val="13"/>
                <w:szCs w:val="13"/>
                <w:b w:val="1"/>
                <w:bCs w:val="1"/>
                <w:color w:val="auto"/>
                <w:w w:val="88"/>
              </w:rPr>
              <w:t>incorporation or organization)</w:t>
            </w:r>
          </w:p>
        </w:tc>
        <w:tc>
          <w:tcPr>
            <w:tcW w:w="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20" w:type="dxa"/>
            <w:vAlign w:val="bottom"/>
          </w:tcPr>
          <w:p>
            <w:pPr>
              <w:jc w:val="center"/>
              <w:ind w:right="869"/>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89"/>
        </w:trPr>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6"/>
                <w:szCs w:val="16"/>
                <w:b w:val="1"/>
                <w:bCs w:val="1"/>
                <w:color w:val="auto"/>
                <w:w w:val="88"/>
              </w:rPr>
              <w:t>4000 Mason Road, Suite 300</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4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87"/>
              </w:rPr>
              <w:t>Seattle, Washington 98195</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40" w:type="dxa"/>
            <w:vAlign w:val="bottom"/>
            <w:gridSpan w:val="2"/>
          </w:tcPr>
          <w:p>
            <w:pPr>
              <w:jc w:val="center"/>
              <w:ind w:right="900"/>
              <w:spacing w:after="0" w:line="133" w:lineRule="exact"/>
              <w:rPr>
                <w:sz w:val="20"/>
                <w:szCs w:val="20"/>
                <w:color w:val="auto"/>
              </w:rPr>
            </w:pPr>
            <w:r>
              <w:rPr>
                <w:rFonts w:ascii="Arial" w:cs="Arial" w:eastAsia="Arial" w:hAnsi="Arial"/>
                <w:sz w:val="13"/>
                <w:szCs w:val="13"/>
                <w:b w:val="1"/>
                <w:bCs w:val="1"/>
                <w:color w:val="auto"/>
                <w:w w:val="85"/>
              </w:rPr>
              <w:t>(Address of principal executive offices)</w:t>
            </w: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00" w:type="dxa"/>
            <w:vAlign w:val="bottom"/>
          </w:tcPr>
          <w:p>
            <w:pPr>
              <w:spacing w:after="0"/>
              <w:rPr>
                <w:sz w:val="16"/>
                <w:szCs w:val="16"/>
                <w:color w:val="auto"/>
              </w:rPr>
            </w:pPr>
          </w:p>
        </w:tc>
        <w:tc>
          <w:tcPr>
            <w:tcW w:w="3000" w:type="dxa"/>
            <w:vAlign w:val="bottom"/>
            <w:gridSpan w:val="2"/>
          </w:tcPr>
          <w:p>
            <w:pPr>
              <w:jc w:val="center"/>
              <w:ind w:left="692"/>
              <w:spacing w:after="0"/>
              <w:rPr>
                <w:sz w:val="20"/>
                <w:szCs w:val="20"/>
                <w:color w:val="auto"/>
              </w:rPr>
            </w:pPr>
            <w:r>
              <w:rPr>
                <w:rFonts w:ascii="Arial" w:cs="Arial" w:eastAsia="Arial" w:hAnsi="Arial"/>
                <w:sz w:val="16"/>
                <w:szCs w:val="16"/>
                <w:b w:val="1"/>
                <w:bCs w:val="1"/>
                <w:color w:val="auto"/>
                <w:w w:val="89"/>
              </w:rPr>
              <w:t>(206) 221-8112</w:t>
            </w: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39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1"/>
                <w:szCs w:val="21"/>
                <w:color w:val="auto"/>
              </w:rPr>
            </w:pPr>
          </w:p>
        </w:tc>
        <w:tc>
          <w:tcPr>
            <w:tcW w:w="3900" w:type="dxa"/>
            <w:vAlign w:val="bottom"/>
            <w:gridSpan w:val="3"/>
          </w:tcPr>
          <w:p>
            <w:pPr>
              <w:jc w:val="center"/>
              <w:ind w:right="120"/>
              <w:spacing w:after="0"/>
              <w:rPr>
                <w:sz w:val="20"/>
                <w:szCs w:val="20"/>
                <w:color w:val="auto"/>
              </w:rPr>
            </w:pPr>
            <w:r>
              <w:rPr>
                <w:rFonts w:ascii="Arial" w:cs="Arial" w:eastAsia="Arial" w:hAnsi="Arial"/>
                <w:sz w:val="16"/>
                <w:szCs w:val="16"/>
                <w:color w:val="auto"/>
                <w:w w:val="89"/>
              </w:rPr>
              <w:t>Securities registered pursuant to Section 12(b) of the Act:</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900" w:type="dxa"/>
            <w:vAlign w:val="bottom"/>
          </w:tcPr>
          <w:p>
            <w:pPr>
              <w:jc w:val="center"/>
              <w:ind w:right="11"/>
              <w:spacing w:after="0"/>
              <w:rPr>
                <w:sz w:val="20"/>
                <w:szCs w:val="20"/>
                <w:color w:val="auto"/>
              </w:rPr>
            </w:pPr>
            <w:r>
              <w:rPr>
                <w:rFonts w:ascii="Arial" w:cs="Arial" w:eastAsia="Arial" w:hAnsi="Arial"/>
                <w:sz w:val="13"/>
                <w:szCs w:val="13"/>
                <w:b w:val="1"/>
                <w:bCs w:val="1"/>
                <w:color w:val="auto"/>
                <w:w w:val="83"/>
              </w:rPr>
              <w:t>Title of each class</w:t>
            </w:r>
          </w:p>
        </w:tc>
        <w:tc>
          <w:tcPr>
            <w:tcW w:w="760" w:type="dxa"/>
            <w:vAlign w:val="bottom"/>
          </w:tcPr>
          <w:p>
            <w:pPr>
              <w:spacing w:after="0"/>
              <w:rPr>
                <w:sz w:val="23"/>
                <w:szCs w:val="23"/>
                <w:color w:val="auto"/>
              </w:rPr>
            </w:pPr>
          </w:p>
        </w:tc>
        <w:tc>
          <w:tcPr>
            <w:tcW w:w="3140" w:type="dxa"/>
            <w:vAlign w:val="bottom"/>
            <w:gridSpan w:val="2"/>
          </w:tcPr>
          <w:p>
            <w:pPr>
              <w:jc w:val="center"/>
              <w:ind w:right="900"/>
              <w:spacing w:after="0"/>
              <w:rPr>
                <w:sz w:val="20"/>
                <w:szCs w:val="20"/>
                <w:color w:val="auto"/>
              </w:rPr>
            </w:pPr>
            <w:r>
              <w:rPr>
                <w:rFonts w:ascii="Arial" w:cs="Arial" w:eastAsia="Arial" w:hAnsi="Arial"/>
                <w:sz w:val="13"/>
                <w:szCs w:val="13"/>
                <w:b w:val="1"/>
                <w:bCs w:val="1"/>
                <w:color w:val="auto"/>
                <w:w w:val="87"/>
              </w:rPr>
              <w:t>Trading Symbol(s)</w:t>
            </w:r>
          </w:p>
        </w:tc>
        <w:tc>
          <w:tcPr>
            <w:tcW w:w="2520" w:type="dxa"/>
            <w:vAlign w:val="bottom"/>
          </w:tcPr>
          <w:p>
            <w:pPr>
              <w:jc w:val="center"/>
              <w:ind w:left="129"/>
              <w:spacing w:after="0"/>
              <w:rPr>
                <w:sz w:val="20"/>
                <w:szCs w:val="20"/>
                <w:color w:val="auto"/>
              </w:rPr>
            </w:pPr>
            <w:r>
              <w:rPr>
                <w:rFonts w:ascii="Arial" w:cs="Arial" w:eastAsia="Arial" w:hAnsi="Arial"/>
                <w:sz w:val="13"/>
                <w:szCs w:val="13"/>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2900" w:type="dxa"/>
            <w:vAlign w:val="bottom"/>
          </w:tcPr>
          <w:p>
            <w:pPr>
              <w:jc w:val="center"/>
              <w:ind w:right="31"/>
              <w:spacing w:after="0"/>
              <w:rPr>
                <w:sz w:val="20"/>
                <w:szCs w:val="20"/>
                <w:color w:val="auto"/>
              </w:rPr>
            </w:pPr>
            <w:r>
              <w:rPr>
                <w:rFonts w:ascii="Arial" w:cs="Arial" w:eastAsia="Arial" w:hAnsi="Arial"/>
                <w:sz w:val="16"/>
                <w:szCs w:val="16"/>
                <w:color w:val="auto"/>
                <w:w w:val="87"/>
              </w:rPr>
              <w:t>Common Stock, $0.0001 par value per share</w:t>
            </w:r>
          </w:p>
        </w:tc>
        <w:tc>
          <w:tcPr>
            <w:tcW w:w="760" w:type="dxa"/>
            <w:vAlign w:val="bottom"/>
          </w:tcPr>
          <w:p>
            <w:pPr>
              <w:spacing w:after="0"/>
              <w:rPr>
                <w:sz w:val="19"/>
                <w:szCs w:val="19"/>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6"/>
                <w:szCs w:val="16"/>
                <w:color w:val="auto"/>
                <w:w w:val="98"/>
              </w:rPr>
              <w:t>ATHA</w:t>
            </w:r>
          </w:p>
        </w:tc>
        <w:tc>
          <w:tcPr>
            <w:tcW w:w="2520" w:type="dxa"/>
            <w:vAlign w:val="bottom"/>
          </w:tcPr>
          <w:p>
            <w:pPr>
              <w:jc w:val="center"/>
              <w:ind w:left="149"/>
              <w:spacing w:after="0"/>
              <w:rPr>
                <w:sz w:val="20"/>
                <w:szCs w:val="20"/>
                <w:color w:val="auto"/>
              </w:rPr>
            </w:pPr>
            <w:r>
              <w:rPr>
                <w:rFonts w:ascii="Arial" w:cs="Arial" w:eastAsia="Arial" w:hAnsi="Arial"/>
                <w:sz w:val="16"/>
                <w:szCs w:val="16"/>
                <w:color w:val="auto"/>
                <w:w w:val="90"/>
              </w:rPr>
              <w:t>The Nasdaq Stock Market LLC</w:t>
            </w:r>
          </w:p>
        </w:tc>
        <w:tc>
          <w:tcPr>
            <w:tcW w:w="0" w:type="dxa"/>
            <w:vAlign w:val="bottom"/>
          </w:tcPr>
          <w:p>
            <w:pPr>
              <w:spacing w:after="0"/>
              <w:rPr>
                <w:sz w:val="1"/>
                <w:szCs w:val="1"/>
                <w:color w:val="auto"/>
              </w:rPr>
            </w:pPr>
          </w:p>
        </w:tc>
      </w:tr>
      <w:tr>
        <w:trPr>
          <w:trHeight w:val="236"/>
        </w:trPr>
        <w:tc>
          <w:tcPr>
            <w:tcW w:w="2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20" w:type="dxa"/>
            <w:vAlign w:val="bottom"/>
          </w:tcPr>
          <w:p>
            <w:pPr>
              <w:jc w:val="center"/>
              <w:ind w:left="129"/>
              <w:spacing w:after="0"/>
              <w:rPr>
                <w:sz w:val="20"/>
                <w:szCs w:val="20"/>
                <w:color w:val="auto"/>
              </w:rPr>
            </w:pPr>
            <w:r>
              <w:rPr>
                <w:rFonts w:ascii="Arial" w:cs="Arial" w:eastAsia="Arial" w:hAnsi="Arial"/>
                <w:sz w:val="16"/>
                <w:szCs w:val="16"/>
                <w:color w:val="auto"/>
                <w:w w:val="89"/>
              </w:rPr>
              <w:t>(The Nasdaq Global Select Market)</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right="200" w:firstLine="516"/>
        <w:spacing w:after="0" w:line="19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2"/>
          <w:szCs w:val="12"/>
          <w:color w:val="auto"/>
        </w:rPr>
        <w:t>☒</w:t>
      </w:r>
    </w:p>
    <w:p>
      <w:pPr>
        <w:spacing w:after="0" w:line="69" w:lineRule="exact"/>
        <w:rPr>
          <w:sz w:val="24"/>
          <w:szCs w:val="24"/>
          <w:color w:val="auto"/>
        </w:rPr>
      </w:pPr>
    </w:p>
    <w:p>
      <w:pPr>
        <w:ind w:right="120" w:firstLine="516"/>
        <w:spacing w:after="0" w:line="19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33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080" w:type="dxa"/>
            <w:vAlign w:val="bottom"/>
          </w:tcPr>
          <w:p>
            <w:pPr>
              <w:ind w:left="1720"/>
              <w:spacing w:after="0" w:line="151" w:lineRule="exact"/>
              <w:rPr>
                <w:sz w:val="20"/>
                <w:szCs w:val="20"/>
                <w:color w:val="auto"/>
              </w:rPr>
            </w:pPr>
            <w:r>
              <w:rPr>
                <w:rFonts w:ascii="MS PGothic" w:cs="MS PGothic" w:eastAsia="MS PGothic" w:hAnsi="MS PGothic"/>
                <w:sz w:val="15"/>
                <w:szCs w:val="15"/>
                <w:color w:val="auto"/>
              </w:rPr>
              <w:t>☐</w:t>
            </w:r>
          </w:p>
        </w:tc>
        <w:tc>
          <w:tcPr>
            <w:tcW w:w="3740" w:type="dxa"/>
            <w:vAlign w:val="bottom"/>
          </w:tcPr>
          <w:p>
            <w:pPr>
              <w:ind w:left="200"/>
              <w:spacing w:after="0"/>
              <w:rPr>
                <w:sz w:val="20"/>
                <w:szCs w:val="20"/>
                <w:color w:val="auto"/>
              </w:rPr>
            </w:pPr>
            <w:r>
              <w:rPr>
                <w:rFonts w:ascii="Arial" w:cs="Arial" w:eastAsia="Arial" w:hAnsi="Arial"/>
                <w:sz w:val="15"/>
                <w:szCs w:val="15"/>
                <w:color w:val="auto"/>
              </w:rPr>
              <w:t>Accelerated filer</w:t>
            </w:r>
          </w:p>
        </w:tc>
        <w:tc>
          <w:tcPr>
            <w:tcW w:w="2060" w:type="dxa"/>
            <w:vAlign w:val="bottom"/>
          </w:tcPr>
          <w:p>
            <w:pPr>
              <w:jc w:val="right"/>
              <w:spacing w:after="0" w:line="151" w:lineRule="exact"/>
              <w:rPr>
                <w:sz w:val="20"/>
                <w:szCs w:val="20"/>
                <w:color w:val="auto"/>
              </w:rPr>
            </w:pPr>
            <w:r>
              <w:rPr>
                <w:rFonts w:ascii="MS PGothic" w:cs="MS PGothic" w:eastAsia="MS PGothic" w:hAnsi="MS PGothic"/>
                <w:sz w:val="15"/>
                <w:szCs w:val="15"/>
                <w:color w:val="auto"/>
              </w:rPr>
              <w:t>☐</w:t>
            </w:r>
          </w:p>
        </w:tc>
      </w:tr>
      <w:tr>
        <w:trPr>
          <w:trHeight w:val="222"/>
        </w:trPr>
        <w:tc>
          <w:tcPr>
            <w:tcW w:w="3340" w:type="dxa"/>
            <w:vAlign w:val="bottom"/>
          </w:tcPr>
          <w:p>
            <w:pPr>
              <w:spacing w:after="0"/>
              <w:rPr>
                <w:sz w:val="20"/>
                <w:szCs w:val="20"/>
                <w:color w:val="auto"/>
              </w:rPr>
            </w:pPr>
            <w:r>
              <w:rPr>
                <w:rFonts w:ascii="Arial" w:cs="Arial" w:eastAsia="Arial" w:hAnsi="Arial"/>
                <w:sz w:val="15"/>
                <w:szCs w:val="15"/>
                <w:color w:val="auto"/>
              </w:rPr>
              <w:t>Non-accelerated filer</w:t>
            </w:r>
          </w:p>
        </w:tc>
        <w:tc>
          <w:tcPr>
            <w:tcW w:w="208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200"/>
              <w:spacing w:after="0"/>
              <w:rPr>
                <w:sz w:val="20"/>
                <w:szCs w:val="20"/>
                <w:color w:val="auto"/>
              </w:rPr>
            </w:pPr>
            <w:r>
              <w:rPr>
                <w:rFonts w:ascii="Arial" w:cs="Arial" w:eastAsia="Arial" w:hAnsi="Arial"/>
                <w:sz w:val="15"/>
                <w:szCs w:val="15"/>
                <w:color w:val="auto"/>
              </w:rPr>
              <w:t>Smaller reporting company</w:t>
            </w:r>
          </w:p>
        </w:tc>
        <w:tc>
          <w:tcPr>
            <w:tcW w:w="2060" w:type="dxa"/>
            <w:vAlign w:val="bottom"/>
          </w:tcPr>
          <w:p>
            <w:pPr>
              <w:jc w:val="right"/>
              <w:spacing w:after="0" w:line="141" w:lineRule="exact"/>
              <w:rPr>
                <w:sz w:val="20"/>
                <w:szCs w:val="20"/>
                <w:color w:val="auto"/>
              </w:rPr>
            </w:pPr>
            <w:r>
              <w:rPr>
                <w:rFonts w:ascii="MS PGothic" w:cs="MS PGothic" w:eastAsia="MS PGothic" w:hAnsi="MS PGothic"/>
                <w:sz w:val="14"/>
                <w:szCs w:val="14"/>
                <w:color w:val="auto"/>
              </w:rPr>
              <w:t>☒</w:t>
            </w:r>
          </w:p>
        </w:tc>
      </w:tr>
      <w:tr>
        <w:trPr>
          <w:trHeight w:val="224"/>
        </w:trPr>
        <w:tc>
          <w:tcPr>
            <w:tcW w:w="33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208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104" w:lineRule="exact"/>
        <w:rPr>
          <w:sz w:val="24"/>
          <w:szCs w:val="24"/>
          <w:color w:val="auto"/>
        </w:rPr>
      </w:pPr>
    </w:p>
    <w:p>
      <w:pPr>
        <w:ind w:right="360" w:firstLine="516"/>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3" w:lineRule="exact"/>
        <w:rPr>
          <w:sz w:val="24"/>
          <w:szCs w:val="24"/>
          <w:color w:val="auto"/>
        </w:rPr>
      </w:pPr>
    </w:p>
    <w:p>
      <w:pPr>
        <w:ind w:left="52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November 9, 2020 there were 32,485,184 shares of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109855</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184785</wp:posOffset>
            </wp:positionV>
            <wp:extent cx="71647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6"/>
          <w:szCs w:val="16"/>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9560" w:type="dxa"/>
            <w:vAlign w:val="bottom"/>
            <w:vMerge w:val="restart"/>
          </w:tcPr>
          <w:p>
            <w:pPr>
              <w:ind w:left="24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INFORMATION</w:t>
              </w:r>
            </w:hyperlink>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956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20"/>
                <w:szCs w:val="20"/>
                <w:color w:val="auto"/>
              </w:rPr>
            </w:pPr>
            <w:r>
              <w:rPr>
                <w:rFonts w:ascii="Arial" w:cs="Arial" w:eastAsia="Arial" w:hAnsi="Arial"/>
                <w:sz w:val="16"/>
                <w:szCs w:val="16"/>
                <w:color w:val="auto"/>
              </w:rPr>
              <w:t>Item 1.</w:t>
            </w:r>
          </w:p>
        </w:tc>
        <w:tc>
          <w:tcPr>
            <w:tcW w:w="9560" w:type="dxa"/>
            <w:vAlign w:val="bottom"/>
          </w:tcPr>
          <w:p>
            <w:pPr>
              <w:ind w:left="24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Statements (Unaudited)</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9560" w:type="dxa"/>
            <w:vAlign w:val="bottom"/>
          </w:tcPr>
          <w:p>
            <w:pPr>
              <w:ind w:left="24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Balance Sheets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9560" w:type="dxa"/>
            <w:vAlign w:val="bottom"/>
          </w:tcPr>
          <w:p>
            <w:pPr>
              <w:ind w:left="24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Operations and Comprehensive Loss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9560" w:type="dxa"/>
            <w:vAlign w:val="bottom"/>
          </w:tcPr>
          <w:p>
            <w:pPr>
              <w:ind w:left="24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9560" w:type="dxa"/>
            <w:vAlign w:val="bottom"/>
          </w:tcPr>
          <w:p>
            <w:pPr>
              <w:ind w:left="24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Condensed Consolidated Statements of Convertible Preferred Stock and Stockholders’ Equity (Deficit)</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9560" w:type="dxa"/>
            <w:vAlign w:val="bottom"/>
          </w:tcPr>
          <w:p>
            <w:pPr>
              <w:ind w:left="24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Notes to Unaudited Condensed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20"/>
                <w:szCs w:val="20"/>
                <w:color w:val="auto"/>
              </w:rPr>
            </w:pPr>
            <w:r>
              <w:rPr>
                <w:rFonts w:ascii="Arial" w:cs="Arial" w:eastAsia="Arial" w:hAnsi="Arial"/>
                <w:sz w:val="16"/>
                <w:szCs w:val="16"/>
                <w:color w:val="auto"/>
              </w:rPr>
              <w:t>Item 2.</w:t>
            </w:r>
          </w:p>
        </w:tc>
        <w:tc>
          <w:tcPr>
            <w:tcW w:w="9560" w:type="dxa"/>
            <w:vAlign w:val="bottom"/>
          </w:tcPr>
          <w:p>
            <w:pPr>
              <w:ind w:left="24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20"/>
                <w:szCs w:val="20"/>
                <w:color w:val="auto"/>
              </w:rPr>
            </w:pPr>
            <w:r>
              <w:rPr>
                <w:rFonts w:ascii="Arial" w:cs="Arial" w:eastAsia="Arial" w:hAnsi="Arial"/>
                <w:sz w:val="16"/>
                <w:szCs w:val="16"/>
                <w:color w:val="auto"/>
              </w:rPr>
              <w:t>Item 3.</w:t>
            </w:r>
          </w:p>
        </w:tc>
        <w:tc>
          <w:tcPr>
            <w:tcW w:w="9560" w:type="dxa"/>
            <w:vAlign w:val="bottom"/>
          </w:tcPr>
          <w:p>
            <w:pPr>
              <w:ind w:left="24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Quantitative and Qualitative Disclosures About Market Risk</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00" w:type="dxa"/>
            <w:vAlign w:val="bottom"/>
          </w:tcPr>
          <w:p>
            <w:pPr>
              <w:spacing w:after="0"/>
              <w:rPr>
                <w:sz w:val="20"/>
                <w:szCs w:val="20"/>
                <w:color w:val="auto"/>
              </w:rPr>
            </w:pPr>
            <w:r>
              <w:rPr>
                <w:rFonts w:ascii="Arial" w:cs="Arial" w:eastAsia="Arial" w:hAnsi="Arial"/>
                <w:sz w:val="16"/>
                <w:szCs w:val="16"/>
                <w:color w:val="auto"/>
              </w:rPr>
              <w:t>Item 4.</w:t>
            </w:r>
          </w:p>
        </w:tc>
        <w:tc>
          <w:tcPr>
            <w:tcW w:w="9560" w:type="dxa"/>
            <w:vAlign w:val="bottom"/>
          </w:tcPr>
          <w:p>
            <w:pPr>
              <w:ind w:left="24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Controls and Procedures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9560" w:type="dxa"/>
            <w:vAlign w:val="bottom"/>
          </w:tcPr>
          <w:p>
            <w:pPr>
              <w:ind w:left="2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20"/>
                <w:szCs w:val="20"/>
                <w:color w:val="auto"/>
              </w:rPr>
            </w:pPr>
            <w:r>
              <w:rPr>
                <w:rFonts w:ascii="Arial" w:cs="Arial" w:eastAsia="Arial" w:hAnsi="Arial"/>
                <w:sz w:val="16"/>
                <w:szCs w:val="16"/>
                <w:color w:val="auto"/>
              </w:rPr>
              <w:t>Item 1.</w:t>
            </w:r>
          </w:p>
        </w:tc>
        <w:tc>
          <w:tcPr>
            <w:tcW w:w="9560" w:type="dxa"/>
            <w:vAlign w:val="bottom"/>
          </w:tcPr>
          <w:p>
            <w:pPr>
              <w:ind w:left="2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20"/>
                <w:szCs w:val="20"/>
                <w:color w:val="auto"/>
              </w:rPr>
            </w:pPr>
            <w:r>
              <w:rPr>
                <w:rFonts w:ascii="Arial" w:cs="Arial" w:eastAsia="Arial" w:hAnsi="Arial"/>
                <w:sz w:val="16"/>
                <w:szCs w:val="16"/>
                <w:color w:val="auto"/>
              </w:rPr>
              <w:t>Item 1A.</w:t>
            </w:r>
          </w:p>
        </w:tc>
        <w:tc>
          <w:tcPr>
            <w:tcW w:w="9560" w:type="dxa"/>
            <w:vAlign w:val="bottom"/>
          </w:tcPr>
          <w:p>
            <w:pPr>
              <w:ind w:left="2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Risk Factors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20"/>
                <w:szCs w:val="20"/>
                <w:color w:val="auto"/>
              </w:rPr>
            </w:pPr>
            <w:r>
              <w:rPr>
                <w:rFonts w:ascii="Arial" w:cs="Arial" w:eastAsia="Arial" w:hAnsi="Arial"/>
                <w:sz w:val="16"/>
                <w:szCs w:val="16"/>
                <w:color w:val="auto"/>
              </w:rPr>
              <w:t>Item 2.</w:t>
            </w:r>
          </w:p>
        </w:tc>
        <w:tc>
          <w:tcPr>
            <w:tcW w:w="9560" w:type="dxa"/>
            <w:vAlign w:val="bottom"/>
          </w:tcPr>
          <w:p>
            <w:pPr>
              <w:ind w:left="240"/>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Unregistered Sales of Equity Securities and Use of Proceeds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20"/>
                <w:szCs w:val="20"/>
                <w:color w:val="auto"/>
              </w:rPr>
            </w:pPr>
            <w:r>
              <w:rPr>
                <w:rFonts w:ascii="Arial" w:cs="Arial" w:eastAsia="Arial" w:hAnsi="Arial"/>
                <w:sz w:val="16"/>
                <w:szCs w:val="16"/>
                <w:color w:val="auto"/>
              </w:rPr>
              <w:t>Item 3.</w:t>
            </w:r>
          </w:p>
        </w:tc>
        <w:tc>
          <w:tcPr>
            <w:tcW w:w="9560" w:type="dxa"/>
            <w:vAlign w:val="bottom"/>
          </w:tcPr>
          <w:p>
            <w:pPr>
              <w:ind w:left="240"/>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Defaults Upon Senior Securities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20"/>
                <w:szCs w:val="20"/>
                <w:color w:val="auto"/>
              </w:rPr>
            </w:pPr>
            <w:r>
              <w:rPr>
                <w:rFonts w:ascii="Arial" w:cs="Arial" w:eastAsia="Arial" w:hAnsi="Arial"/>
                <w:sz w:val="16"/>
                <w:szCs w:val="16"/>
                <w:color w:val="auto"/>
              </w:rPr>
              <w:t>Item 4.</w:t>
            </w:r>
          </w:p>
        </w:tc>
        <w:tc>
          <w:tcPr>
            <w:tcW w:w="9560" w:type="dxa"/>
            <w:vAlign w:val="bottom"/>
          </w:tcPr>
          <w:p>
            <w:pPr>
              <w:ind w:left="240"/>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20"/>
                <w:szCs w:val="20"/>
                <w:color w:val="auto"/>
              </w:rPr>
            </w:pPr>
            <w:r>
              <w:rPr>
                <w:rFonts w:ascii="Arial" w:cs="Arial" w:eastAsia="Arial" w:hAnsi="Arial"/>
                <w:sz w:val="16"/>
                <w:szCs w:val="16"/>
                <w:color w:val="auto"/>
              </w:rPr>
              <w:t>Item 5.</w:t>
            </w:r>
          </w:p>
        </w:tc>
        <w:tc>
          <w:tcPr>
            <w:tcW w:w="9560" w:type="dxa"/>
            <w:vAlign w:val="bottom"/>
          </w:tcPr>
          <w:p>
            <w:pPr>
              <w:ind w:left="240"/>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20"/>
                <w:szCs w:val="20"/>
                <w:color w:val="auto"/>
              </w:rPr>
            </w:pPr>
            <w:r>
              <w:rPr>
                <w:rFonts w:ascii="Arial" w:cs="Arial" w:eastAsia="Arial" w:hAnsi="Arial"/>
                <w:sz w:val="16"/>
                <w:szCs w:val="16"/>
                <w:color w:val="auto"/>
              </w:rPr>
              <w:t>Item 6.</w:t>
            </w:r>
          </w:p>
        </w:tc>
        <w:tc>
          <w:tcPr>
            <w:tcW w:w="9560" w:type="dxa"/>
            <w:vAlign w:val="bottom"/>
          </w:tcPr>
          <w:p>
            <w:pPr>
              <w:ind w:left="240"/>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Exhibits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Signatures</w:t>
              </w:r>
            </w:hyperlink>
          </w:p>
        </w:tc>
        <w:tc>
          <w:tcPr>
            <w:tcW w:w="95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900" w:type="dxa"/>
            <w:vAlign w:val="bottom"/>
          </w:tcPr>
          <w:p>
            <w:pPr>
              <w:spacing w:after="0"/>
              <w:rPr>
                <w:sz w:val="24"/>
                <w:szCs w:val="24"/>
                <w:color w:val="auto"/>
              </w:rPr>
            </w:pPr>
          </w:p>
        </w:tc>
        <w:tc>
          <w:tcPr>
            <w:tcW w:w="9560" w:type="dxa"/>
            <w:vAlign w:val="bottom"/>
          </w:tcPr>
          <w:p>
            <w:pPr>
              <w:ind w:left="4680"/>
              <w:spacing w:after="0"/>
              <w:rPr>
                <w:sz w:val="20"/>
                <w:szCs w:val="20"/>
                <w:color w:val="auto"/>
              </w:rPr>
            </w:pPr>
            <w:r>
              <w:rPr>
                <w:rFonts w:ascii="Arial" w:cs="Arial" w:eastAsia="Arial" w:hAnsi="Arial"/>
                <w:sz w:val="16"/>
                <w:szCs w:val="16"/>
                <w:color w:val="auto"/>
              </w:rPr>
              <w:t>2</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900" w:type="dxa"/>
            <w:vAlign w:val="bottom"/>
            <w:tcBorders>
              <w:bottom w:val="single" w:sz="8" w:color="9A9A9A"/>
            </w:tcBorders>
          </w:tcPr>
          <w:p>
            <w:pPr>
              <w:spacing w:after="0"/>
              <w:rPr>
                <w:sz w:val="8"/>
                <w:szCs w:val="8"/>
                <w:color w:val="auto"/>
              </w:rPr>
            </w:pPr>
          </w:p>
        </w:tc>
        <w:tc>
          <w:tcPr>
            <w:tcW w:w="95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2" w:right="2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SUMMARY RISK FACTORS</w:t>
      </w:r>
    </w:p>
    <w:p>
      <w:pPr>
        <w:spacing w:after="0" w:line="256" w:lineRule="exact"/>
        <w:rPr>
          <w:sz w:val="20"/>
          <w:szCs w:val="20"/>
          <w:color w:val="auto"/>
        </w:rPr>
      </w:pPr>
    </w:p>
    <w:p>
      <w:pPr>
        <w:ind w:right="20" w:firstLine="511"/>
        <w:spacing w:after="0" w:line="266"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of this report captioned “Risk Factors.” The following is a summary of the principal risks we face:</w:t>
      </w:r>
    </w:p>
    <w:p>
      <w:pPr>
        <w:spacing w:after="0" w:line="64" w:lineRule="exact"/>
        <w:rPr>
          <w:sz w:val="20"/>
          <w:szCs w:val="20"/>
          <w:color w:val="auto"/>
        </w:rPr>
      </w:pPr>
    </w:p>
    <w:p>
      <w:pPr>
        <w:ind w:left="860" w:hanging="500"/>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a late clinical-stage biopharmaceutical company with a limited operating history.</w:t>
      </w:r>
    </w:p>
    <w:p>
      <w:pPr>
        <w:spacing w:after="0" w:line="98" w:lineRule="exact"/>
        <w:rPr>
          <w:rFonts w:ascii="Arial" w:cs="Arial" w:eastAsia="Arial" w:hAnsi="Arial"/>
          <w:sz w:val="16"/>
          <w:szCs w:val="16"/>
          <w:color w:val="auto"/>
        </w:rPr>
      </w:pPr>
    </w:p>
    <w:p>
      <w:pPr>
        <w:ind w:left="860" w:hanging="500"/>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generate revenue and achieve profitability depends significantly on our ability to achieve a number of objectives.</w:t>
      </w:r>
    </w:p>
    <w:p>
      <w:pPr>
        <w:spacing w:after="0" w:line="98" w:lineRule="exact"/>
        <w:rPr>
          <w:rFonts w:ascii="Arial" w:cs="Arial" w:eastAsia="Arial" w:hAnsi="Arial"/>
          <w:sz w:val="16"/>
          <w:szCs w:val="16"/>
          <w:color w:val="auto"/>
        </w:rPr>
      </w:pPr>
    </w:p>
    <w:p>
      <w:pPr>
        <w:ind w:left="860" w:hanging="500"/>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development of ATH-1017 may never lead to a marketable product.</w:t>
      </w:r>
    </w:p>
    <w:p>
      <w:pPr>
        <w:spacing w:after="0" w:line="98" w:lineRule="exact"/>
        <w:rPr>
          <w:rFonts w:ascii="Arial" w:cs="Arial" w:eastAsia="Arial" w:hAnsi="Arial"/>
          <w:sz w:val="16"/>
          <w:szCs w:val="16"/>
          <w:color w:val="auto"/>
        </w:rPr>
      </w:pPr>
    </w:p>
    <w:p>
      <w:pPr>
        <w:jc w:val="both"/>
        <w:ind w:left="860" w:hanging="500"/>
        <w:spacing w:after="0" w:line="275" w:lineRule="auto"/>
        <w:tabs>
          <w:tab w:leader="none" w:pos="8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Alzheimer’s disease, and we cannot be certain that future trials will yield similar data. In addition, our use of electroencephalogram methods to gather data requires placement of electrodes on a subject’s scalp and, if not properly placed, we may be unable to obtain the data sought or data obtained may be unreliable.</w:t>
      </w:r>
    </w:p>
    <w:p>
      <w:pPr>
        <w:spacing w:after="0" w:line="58" w:lineRule="exact"/>
        <w:rPr>
          <w:rFonts w:ascii="Arial" w:cs="Arial" w:eastAsia="Arial" w:hAnsi="Arial"/>
          <w:sz w:val="15"/>
          <w:szCs w:val="15"/>
          <w:color w:val="auto"/>
        </w:rPr>
      </w:pPr>
    </w:p>
    <w:p>
      <w:pPr>
        <w:ind w:left="860" w:hanging="500"/>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concentrated our research and development efforts on the treatment of central nervous system and peripheral degenerative disorders, a field that has seen very limited success in product development.</w:t>
      </w:r>
    </w:p>
    <w:p>
      <w:pPr>
        <w:spacing w:after="0" w:line="63" w:lineRule="exact"/>
        <w:rPr>
          <w:rFonts w:ascii="Arial" w:cs="Arial" w:eastAsia="Arial" w:hAnsi="Arial"/>
          <w:sz w:val="16"/>
          <w:szCs w:val="16"/>
          <w:color w:val="auto"/>
        </w:rPr>
      </w:pPr>
    </w:p>
    <w:p>
      <w:pPr>
        <w:jc w:val="both"/>
        <w:ind w:left="860" w:right="20" w:hanging="500"/>
        <w:spacing w:after="0" w:line="281" w:lineRule="auto"/>
        <w:tabs>
          <w:tab w:leader="none" w:pos="8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54" w:lineRule="exact"/>
        <w:rPr>
          <w:rFonts w:ascii="Arial" w:cs="Arial" w:eastAsia="Arial" w:hAnsi="Arial"/>
          <w:sz w:val="15"/>
          <w:szCs w:val="15"/>
          <w:color w:val="auto"/>
        </w:rPr>
      </w:pPr>
    </w:p>
    <w:p>
      <w:pPr>
        <w:ind w:left="860" w:right="20" w:hanging="500"/>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experience delays or difficulties in the enrollment and/or retention of patients in clinical trials, our regulatory submissions or receipt of necessary marketing approvals could be delayed or prevented.</w:t>
      </w:r>
    </w:p>
    <w:p>
      <w:pPr>
        <w:spacing w:after="0" w:line="63" w:lineRule="exact"/>
        <w:rPr>
          <w:rFonts w:ascii="Arial" w:cs="Arial" w:eastAsia="Arial" w:hAnsi="Arial"/>
          <w:sz w:val="16"/>
          <w:szCs w:val="16"/>
          <w:color w:val="auto"/>
        </w:rPr>
      </w:pPr>
    </w:p>
    <w:p>
      <w:pPr>
        <w:ind w:left="860" w:right="20" w:hanging="500"/>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63" w:lineRule="exact"/>
        <w:rPr>
          <w:rFonts w:ascii="Arial" w:cs="Arial" w:eastAsia="Arial" w:hAnsi="Arial"/>
          <w:sz w:val="16"/>
          <w:szCs w:val="16"/>
          <w:color w:val="auto"/>
        </w:rPr>
      </w:pPr>
    </w:p>
    <w:p>
      <w:pPr>
        <w:ind w:left="860" w:hanging="500"/>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outbreak of the novel coronavirus disease, COVID-19, could adversely impact our business, including our nonclinical studies and clinical trials.</w:t>
      </w:r>
    </w:p>
    <w:p>
      <w:pPr>
        <w:spacing w:after="0" w:line="98" w:lineRule="exact"/>
        <w:rPr>
          <w:rFonts w:ascii="Arial" w:cs="Arial" w:eastAsia="Arial" w:hAnsi="Arial"/>
          <w:sz w:val="16"/>
          <w:szCs w:val="16"/>
          <w:color w:val="auto"/>
        </w:rPr>
      </w:pPr>
    </w:p>
    <w:p>
      <w:pPr>
        <w:ind w:left="860" w:hanging="500"/>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losses since our inception and anticipate that we will continue to incur significant losses for the foreseeable future.</w:t>
      </w:r>
    </w:p>
    <w:p>
      <w:pPr>
        <w:spacing w:after="0" w:line="98" w:lineRule="exact"/>
        <w:rPr>
          <w:rFonts w:ascii="Arial" w:cs="Arial" w:eastAsia="Arial" w:hAnsi="Arial"/>
          <w:sz w:val="16"/>
          <w:szCs w:val="16"/>
          <w:color w:val="auto"/>
        </w:rPr>
      </w:pPr>
    </w:p>
    <w:p>
      <w:pPr>
        <w:jc w:val="both"/>
        <w:ind w:left="860" w:right="20" w:hanging="500"/>
        <w:spacing w:after="0" w:line="25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71" w:lineRule="exact"/>
        <w:rPr>
          <w:rFonts w:ascii="Arial" w:cs="Arial" w:eastAsia="Arial" w:hAnsi="Arial"/>
          <w:sz w:val="16"/>
          <w:szCs w:val="16"/>
          <w:color w:val="auto"/>
        </w:rPr>
      </w:pPr>
    </w:p>
    <w:p>
      <w:pPr>
        <w:jc w:val="both"/>
        <w:ind w:left="860" w:hanging="500"/>
        <w:spacing w:after="0" w:line="343" w:lineRule="auto"/>
        <w:tabs>
          <w:tab w:leader="none" w:pos="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9" w:lineRule="exact"/>
        <w:rPr>
          <w:rFonts w:ascii="Arial" w:cs="Arial" w:eastAsia="Arial" w:hAnsi="Arial"/>
          <w:sz w:val="13"/>
          <w:szCs w:val="13"/>
          <w:color w:val="auto"/>
        </w:rPr>
      </w:pPr>
    </w:p>
    <w:p>
      <w:pPr>
        <w:ind w:left="860" w:right="20" w:hanging="500"/>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3" w:lineRule="exact"/>
        <w:rPr>
          <w:rFonts w:ascii="Arial" w:cs="Arial" w:eastAsia="Arial" w:hAnsi="Arial"/>
          <w:sz w:val="16"/>
          <w:szCs w:val="16"/>
          <w:color w:val="auto"/>
        </w:rPr>
      </w:pPr>
    </w:p>
    <w:p>
      <w:pPr>
        <w:ind w:left="860" w:right="20" w:hanging="500"/>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Even if approved, our product candidates may not achieve adequate market acceptance among physicians, patients, healthcare payors and others in the medical community necessary for commercial success.</w:t>
      </w:r>
    </w:p>
    <w:p>
      <w:pPr>
        <w:spacing w:after="0" w:line="63" w:lineRule="exact"/>
        <w:rPr>
          <w:rFonts w:ascii="Arial" w:cs="Arial" w:eastAsia="Arial" w:hAnsi="Arial"/>
          <w:sz w:val="16"/>
          <w:szCs w:val="16"/>
          <w:color w:val="auto"/>
        </w:rPr>
      </w:pPr>
    </w:p>
    <w:p>
      <w:pPr>
        <w:ind w:left="860" w:right="20" w:hanging="500"/>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never commercialized a product candidate before and may lack the necessary expertise, personnel and resources to successfully commercialize any products on our own or together with suitable collaborators.</w:t>
      </w:r>
    </w:p>
    <w:p>
      <w:pPr>
        <w:spacing w:after="0" w:line="63" w:lineRule="exact"/>
        <w:rPr>
          <w:rFonts w:ascii="Arial" w:cs="Arial" w:eastAsia="Arial" w:hAnsi="Arial"/>
          <w:sz w:val="16"/>
          <w:szCs w:val="16"/>
          <w:color w:val="auto"/>
        </w:rPr>
      </w:pPr>
    </w:p>
    <w:p>
      <w:pPr>
        <w:ind w:left="860" w:hanging="500"/>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depends on our ability to protect our intellectual property and our proprietary technologies.</w:t>
      </w:r>
    </w:p>
    <w:p>
      <w:pPr>
        <w:spacing w:after="0" w:line="98" w:lineRule="exact"/>
        <w:rPr>
          <w:rFonts w:ascii="Arial" w:cs="Arial" w:eastAsia="Arial" w:hAnsi="Arial"/>
          <w:sz w:val="16"/>
          <w:szCs w:val="16"/>
          <w:color w:val="auto"/>
        </w:rPr>
      </w:pPr>
    </w:p>
    <w:p>
      <w:pPr>
        <w:ind w:left="860" w:hanging="500"/>
        <w:spacing w:after="0" w:line="266"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3" w:lineRule="exact"/>
        <w:rPr>
          <w:rFonts w:ascii="Arial" w:cs="Arial" w:eastAsia="Arial" w:hAnsi="Arial"/>
          <w:sz w:val="16"/>
          <w:szCs w:val="16"/>
          <w:color w:val="auto"/>
        </w:rPr>
      </w:pPr>
    </w:p>
    <w:p>
      <w:pPr>
        <w:ind w:left="860" w:hanging="500"/>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market price of our common stock may be volatile, which could result in substantial losses for investors.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 (Unaudited)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3"/>
                <w:szCs w:val="13"/>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0"/>
        </w:trPr>
        <w:tc>
          <w:tcPr>
            <w:tcW w:w="64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480" w:type="dxa"/>
            <w:vAlign w:val="bottom"/>
          </w:tcPr>
          <w:p>
            <w:pPr>
              <w:spacing w:after="0"/>
              <w:rPr>
                <w:sz w:val="20"/>
                <w:szCs w:val="20"/>
                <w:color w:val="auto"/>
              </w:rPr>
            </w:pPr>
            <w:r>
              <w:rPr>
                <w:rFonts w:ascii="Arial" w:cs="Arial" w:eastAsia="Arial" w:hAnsi="Arial"/>
                <w:sz w:val="16"/>
                <w:szCs w:val="16"/>
                <w:color w:val="auto"/>
              </w:rPr>
              <w:t>Current assets: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480" w:type="dxa"/>
            <w:vAlign w:val="bottom"/>
            <w:gridSpan w:val="2"/>
            <w:shd w:val="clear" w:color="auto" w:fill="CFF0FC"/>
          </w:tcPr>
          <w:p>
            <w:pPr>
              <w:jc w:val="right"/>
              <w:ind w:right="87"/>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165,725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8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60,547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80" w:type="dxa"/>
            <w:vAlign w:val="bottom"/>
          </w:tcPr>
          <w:p>
            <w:pPr>
              <w:ind w:left="200"/>
              <w:spacing w:after="0"/>
              <w:rPr>
                <w:sz w:val="20"/>
                <w:szCs w:val="20"/>
                <w:color w:val="auto"/>
              </w:rPr>
            </w:pPr>
            <w:r>
              <w:rPr>
                <w:rFonts w:ascii="Arial" w:cs="Arial" w:eastAsia="Arial" w:hAnsi="Arial"/>
                <w:sz w:val="16"/>
                <w:szCs w:val="16"/>
                <w:color w:val="auto"/>
              </w:rPr>
              <w:t>Current portion of unsecured related party note receivable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48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current assets</w:t>
            </w:r>
          </w:p>
        </w:tc>
        <w:tc>
          <w:tcPr>
            <w:tcW w:w="12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232,266</w:t>
            </w:r>
          </w:p>
        </w:tc>
        <w:tc>
          <w:tcPr>
            <w:tcW w:w="2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2,160</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4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480" w:type="dxa"/>
            <w:vAlign w:val="bottom"/>
          </w:tcPr>
          <w:p>
            <w:pPr>
              <w:spacing w:after="0"/>
              <w:rPr>
                <w:sz w:val="20"/>
                <w:szCs w:val="20"/>
                <w:color w:val="auto"/>
              </w:rPr>
            </w:pPr>
            <w:r>
              <w:rPr>
                <w:rFonts w:ascii="Arial" w:cs="Arial" w:eastAsia="Arial" w:hAnsi="Arial"/>
                <w:sz w:val="16"/>
                <w:szCs w:val="16"/>
                <w:color w:val="auto"/>
              </w:rPr>
              <w:t>Long-term investments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33,656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480" w:type="dxa"/>
            <w:vAlign w:val="bottom"/>
          </w:tcPr>
          <w:p>
            <w:pPr>
              <w:spacing w:after="0"/>
              <w:rPr>
                <w:sz w:val="20"/>
                <w:szCs w:val="20"/>
                <w:color w:val="auto"/>
              </w:rPr>
            </w:pPr>
            <w:r>
              <w:rPr>
                <w:rFonts w:ascii="Arial" w:cs="Arial" w:eastAsia="Arial" w:hAnsi="Arial"/>
                <w:sz w:val="16"/>
                <w:szCs w:val="16"/>
                <w:color w:val="auto"/>
              </w:rPr>
              <w:t>Unsecured related party note receivable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480" w:type="dxa"/>
            <w:vAlign w:val="bottom"/>
            <w:tcBorders>
              <w:top w:val="single" w:sz="8" w:color="CFF0FC"/>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assets</w:t>
            </w:r>
          </w:p>
        </w:tc>
        <w:tc>
          <w:tcPr>
            <w:tcW w:w="124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267,939</w:t>
            </w: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2,189</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3,872</w:t>
            </w:r>
          </w:p>
        </w:tc>
        <w:tc>
          <w:tcPr>
            <w:tcW w:w="28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80" w:type="dxa"/>
            <w:vAlign w:val="bottom"/>
          </w:tcPr>
          <w:p>
            <w:pPr>
              <w:ind w:left="200"/>
              <w:spacing w:after="0"/>
              <w:rPr>
                <w:sz w:val="20"/>
                <w:szCs w:val="20"/>
                <w:color w:val="auto"/>
              </w:rPr>
            </w:pPr>
            <w:r>
              <w:rPr>
                <w:rFonts w:ascii="Arial" w:cs="Arial" w:eastAsia="Arial" w:hAnsi="Arial"/>
                <w:sz w:val="16"/>
                <w:szCs w:val="16"/>
                <w:color w:val="auto"/>
              </w:rPr>
              <w:t>Current operating lease liability</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Grant liability</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648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1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7,554</w:t>
            </w: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liability, less current portion</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480" w:type="dxa"/>
            <w:vAlign w:val="bottom"/>
          </w:tcPr>
          <w:p>
            <w:pPr>
              <w:spacing w:after="0"/>
              <w:rPr>
                <w:sz w:val="20"/>
                <w:szCs w:val="20"/>
                <w:color w:val="auto"/>
              </w:rPr>
            </w:pPr>
            <w:r>
              <w:rPr>
                <w:rFonts w:ascii="Arial" w:cs="Arial" w:eastAsia="Arial" w:hAnsi="Arial"/>
                <w:sz w:val="16"/>
                <w:szCs w:val="16"/>
                <w:color w:val="auto"/>
              </w:rPr>
              <w:t>Grant liability</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liability</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80" w:type="dxa"/>
            <w:vAlign w:val="bottom"/>
          </w:tcPr>
          <w:p>
            <w:pPr>
              <w:spacing w:after="0"/>
              <w:rPr>
                <w:sz w:val="20"/>
                <w:szCs w:val="20"/>
                <w:color w:val="auto"/>
              </w:rPr>
            </w:pPr>
            <w:r>
              <w:rPr>
                <w:rFonts w:ascii="Arial" w:cs="Arial" w:eastAsia="Arial" w:hAnsi="Arial"/>
                <w:sz w:val="16"/>
                <w:szCs w:val="16"/>
                <w:color w:val="auto"/>
              </w:rPr>
              <w:t>Convertible notes, net</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48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liabilities</w:t>
            </w:r>
          </w:p>
        </w:tc>
        <w:tc>
          <w:tcPr>
            <w:tcW w:w="12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8,469</w:t>
            </w:r>
          </w:p>
        </w:tc>
        <w:tc>
          <w:tcPr>
            <w:tcW w:w="2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spacing w:after="0"/>
              <w:rPr>
                <w:sz w:val="16"/>
                <w:szCs w:val="16"/>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4,861</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8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Convertible preferred stock, $0.0001 par value; 0 and 2,797,464</w:t>
            </w: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 authorized at September 30, 2020 and December 31, 2019,</w:t>
            </w: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respectively; 0 and 2,617,386 shares issued and outstanding</w:t>
            </w: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at September 30, 2020 and December 31, 2019, respectively</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8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$0.0001 par value; 900,000,000 and 10,088,017 shares</w:t>
            </w: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authorized at September 30, 2020 and December 31, 2019, respectively;</w:t>
            </w: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31,087,395 and 3,641,449 shares issued and outstanding at</w:t>
            </w: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September 30, 2020 and December 31, 2019, respectively</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48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292,800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48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(33,340)</w:t>
            </w:r>
          </w:p>
        </w:tc>
        <w:tc>
          <w:tcPr>
            <w:tcW w:w="26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(21,087)</w:t>
            </w:r>
          </w:p>
        </w:tc>
        <w:tc>
          <w:tcPr>
            <w:tcW w:w="0" w:type="dxa"/>
            <w:vAlign w:val="bottom"/>
          </w:tcPr>
          <w:p>
            <w:pPr>
              <w:spacing w:after="0"/>
              <w:rPr>
                <w:sz w:val="1"/>
                <w:szCs w:val="1"/>
                <w:color w:val="auto"/>
              </w:rPr>
            </w:pPr>
          </w:p>
        </w:tc>
      </w:tr>
      <w:tr>
        <w:trPr>
          <w:trHeight w:val="192"/>
        </w:trPr>
        <w:tc>
          <w:tcPr>
            <w:tcW w:w="648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stockholders' equity (deficit)</w:t>
            </w:r>
          </w:p>
        </w:tc>
        <w:tc>
          <w:tcPr>
            <w:tcW w:w="12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259,470</w:t>
            </w:r>
          </w:p>
        </w:tc>
        <w:tc>
          <w:tcPr>
            <w:tcW w:w="2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spacing w:after="0"/>
              <w:rPr>
                <w:sz w:val="16"/>
                <w:szCs w:val="16"/>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(19,723)</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80" w:type="dxa"/>
            <w:vAlign w:val="bottom"/>
          </w:tcPr>
          <w:p>
            <w:pPr>
              <w:ind w:left="420"/>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1240" w:type="dxa"/>
            <w:vAlign w:val="bottom"/>
          </w:tcPr>
          <w:p>
            <w:pPr>
              <w:spacing w:after="0"/>
              <w:rPr>
                <w:sz w:val="16"/>
                <w:szCs w:val="16"/>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267,939</w:t>
            </w:r>
          </w:p>
        </w:tc>
        <w:tc>
          <w:tcPr>
            <w:tcW w:w="280" w:type="dxa"/>
            <w:vAlign w:val="bottom"/>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Athira Pharma,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w w:val="91"/>
              </w:rPr>
              <w:t>Three Months Ended September 30,</w:t>
            </w:r>
          </w:p>
        </w:tc>
        <w:tc>
          <w:tcPr>
            <w:tcW w:w="200" w:type="dxa"/>
            <w:vAlign w:val="bottom"/>
          </w:tcPr>
          <w:p>
            <w:pPr>
              <w:spacing w:after="0"/>
              <w:rPr>
                <w:sz w:val="13"/>
                <w:szCs w:val="13"/>
                <w:color w:val="auto"/>
              </w:rPr>
            </w:pPr>
          </w:p>
        </w:tc>
        <w:tc>
          <w:tcPr>
            <w:tcW w:w="24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2"/>
              </w:rPr>
              <w:t>Nine Months Ended September 30,</w:t>
            </w:r>
          </w:p>
        </w:tc>
        <w:tc>
          <w:tcPr>
            <w:tcW w:w="0" w:type="dxa"/>
            <w:vAlign w:val="bottom"/>
          </w:tcPr>
          <w:p>
            <w:pPr>
              <w:spacing w:after="0"/>
              <w:rPr>
                <w:sz w:val="1"/>
                <w:szCs w:val="1"/>
                <w:color w:val="auto"/>
              </w:rPr>
            </w:pPr>
          </w:p>
        </w:tc>
      </w:tr>
      <w:tr>
        <w:trPr>
          <w:trHeight w:val="133"/>
        </w:trPr>
        <w:tc>
          <w:tcPr>
            <w:tcW w:w="586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84"/>
              <w:spacing w:after="0" w:line="133"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3"/>
              <w:spacing w:after="0" w:line="133"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84"/>
              <w:spacing w:after="0" w:line="133"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3"/>
              <w:spacing w:after="0" w:line="133"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86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5,830</w:t>
            </w:r>
          </w:p>
        </w:tc>
        <w:tc>
          <w:tcPr>
            <w:tcW w:w="24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1,026</w:t>
            </w:r>
          </w:p>
        </w:tc>
        <w:tc>
          <w:tcPr>
            <w:tcW w:w="24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8,099</w:t>
            </w:r>
          </w:p>
        </w:tc>
        <w:tc>
          <w:tcPr>
            <w:tcW w:w="24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1,567</w:t>
            </w:r>
          </w:p>
        </w:tc>
        <w:tc>
          <w:tcPr>
            <w:tcW w:w="2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2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2,817</w:t>
            </w:r>
          </w:p>
        </w:tc>
        <w:tc>
          <w:tcPr>
            <w:tcW w:w="2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8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7,397</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w:t>
            </w:r>
          </w:p>
        </w:tc>
        <w:tc>
          <w:tcPr>
            <w:tcW w:w="2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10,916</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4,332</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(10,916)</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8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(1,059)</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(1,337)</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(8,456)</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(1,530)</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(12,253)</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(4,187)</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6"/>
                <w:szCs w:val="16"/>
                <w:color w:val="auto"/>
              </w:rPr>
              <w:t>Unrealized (loss)/gain on available-for-sale securities</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60" w:type="dxa"/>
            <w:vAlign w:val="bottom"/>
            <w:tcBorders>
              <w:bottom w:val="single" w:sz="8" w:color="CFF0FC"/>
            </w:tcBorders>
            <w:vMerge w:val="continue"/>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w:t>
            </w:r>
          </w:p>
        </w:tc>
        <w:tc>
          <w:tcPr>
            <w:tcW w:w="24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w:t>
            </w:r>
          </w:p>
        </w:tc>
        <w:tc>
          <w:tcPr>
            <w:tcW w:w="24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Comprehensive loss attributable to common shareholders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(8,449)</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(1,530)</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(12,246)</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6"/>
                <w:szCs w:val="16"/>
                <w:color w:val="auto"/>
              </w:rPr>
              <w:t>Net loss per share attributable to common stockholders,</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860" w:type="dxa"/>
            <w:vAlign w:val="bottom"/>
          </w:tcPr>
          <w:p>
            <w:pPr>
              <w:ind w:left="120"/>
              <w:spacing w:after="0"/>
              <w:rPr>
                <w:sz w:val="20"/>
                <w:szCs w:val="20"/>
                <w:color w:val="auto"/>
              </w:rPr>
            </w:pPr>
            <w:r>
              <w:rPr>
                <w:rFonts w:ascii="Arial" w:cs="Arial" w:eastAsia="Arial" w:hAnsi="Arial"/>
                <w:sz w:val="16"/>
                <w:szCs w:val="16"/>
                <w:color w:val="auto"/>
              </w:rPr>
              <w:t>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(1.12)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(0.43)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(2.38)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64"/>
        </w:trPr>
        <w:tc>
          <w:tcPr>
            <w:tcW w:w="5860" w:type="dxa"/>
            <w:vAlign w:val="bottom"/>
            <w:tcBorders>
              <w:top w:val="single" w:sz="8" w:color="CFF0FC"/>
            </w:tcBorders>
            <w:shd w:val="clear" w:color="auto" w:fill="CFF0FC"/>
          </w:tcPr>
          <w:p>
            <w:pPr>
              <w:spacing w:after="0" w:line="164" w:lineRule="exact"/>
              <w:rPr>
                <w:sz w:val="20"/>
                <w:szCs w:val="20"/>
                <w:color w:val="auto"/>
              </w:rPr>
            </w:pPr>
            <w:r>
              <w:rPr>
                <w:rFonts w:ascii="Arial" w:cs="Arial" w:eastAsia="Arial" w:hAnsi="Arial"/>
                <w:sz w:val="16"/>
                <w:szCs w:val="16"/>
                <w:color w:val="auto"/>
              </w:rPr>
              <w:t>Weighted-average shares used in computing net loss per</w:t>
            </w:r>
          </w:p>
        </w:tc>
        <w:tc>
          <w:tcPr>
            <w:tcW w:w="1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 attributable to common stockholders, basic</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and diluted</w:t>
            </w: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7,564,538</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3,554,345</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5,155,338</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3,551,586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Athira Pharma,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9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3"/>
                <w:szCs w:val="13"/>
                <w:b w:val="1"/>
                <w:bCs w:val="1"/>
                <w:color w:val="auto"/>
              </w:rPr>
              <w:t>Nine Months Ended September 30,</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560" w:type="dxa"/>
            <w:vAlign w:val="bottom"/>
            <w:tcBorders>
              <w:bottom w:val="single" w:sz="8" w:color="CFF0FC"/>
            </w:tcBorders>
          </w:tcPr>
          <w:p>
            <w:pPr>
              <w:spacing w:after="0"/>
              <w:rPr>
                <w:sz w:val="11"/>
                <w:szCs w:val="11"/>
                <w:color w:val="auto"/>
              </w:rPr>
            </w:pPr>
          </w:p>
        </w:tc>
        <w:tc>
          <w:tcPr>
            <w:tcW w:w="1160" w:type="dxa"/>
            <w:vAlign w:val="bottom"/>
            <w:tcBorders>
              <w:bottom w:val="single" w:sz="8" w:color="CFF0FC"/>
            </w:tcBorders>
          </w:tcPr>
          <w:p>
            <w:pPr>
              <w:spacing w:after="0"/>
              <w:rPr>
                <w:sz w:val="11"/>
                <w:szCs w:val="11"/>
                <w:color w:val="auto"/>
              </w:rPr>
            </w:pPr>
          </w:p>
        </w:tc>
        <w:tc>
          <w:tcPr>
            <w:tcW w:w="1000" w:type="dxa"/>
            <w:vAlign w:val="bottom"/>
            <w:tcBorders>
              <w:bottom w:val="single" w:sz="8" w:color="auto"/>
            </w:tcBorders>
          </w:tcPr>
          <w:p>
            <w:pPr>
              <w:jc w:val="right"/>
              <w:ind w:right="32"/>
              <w:spacing w:after="0" w:line="133" w:lineRule="exact"/>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1060" w:type="dxa"/>
            <w:vAlign w:val="bottom"/>
            <w:tcBorders>
              <w:bottom w:val="single" w:sz="8" w:color="auto"/>
            </w:tcBorders>
          </w:tcPr>
          <w:p>
            <w:pPr>
              <w:jc w:val="right"/>
              <w:ind w:right="70"/>
              <w:spacing w:after="0" w:line="133" w:lineRule="exact"/>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Operating activities</w:t>
            </w: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2160" w:type="dxa"/>
            <w:vAlign w:val="bottom"/>
            <w:gridSpan w:val="2"/>
          </w:tcPr>
          <w:p>
            <w:pPr>
              <w:jc w:val="right"/>
              <w:ind w:right="85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(12,253)</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(4,187)</w:t>
            </w: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420"/>
              <w:spacing w:after="0"/>
              <w:rPr>
                <w:sz w:val="20"/>
                <w:szCs w:val="20"/>
                <w:color w:val="auto"/>
              </w:rPr>
            </w:pPr>
            <w:r>
              <w:rPr>
                <w:rFonts w:ascii="Arial" w:cs="Arial" w:eastAsia="Arial" w:hAnsi="Arial"/>
                <w:sz w:val="14"/>
                <w:szCs w:val="14"/>
                <w:color w:val="auto"/>
              </w:rPr>
              <w:t>Stock-based compensation</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218</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Change in fair value of derivative liability</w:t>
            </w: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420"/>
              <w:spacing w:after="0"/>
              <w:rPr>
                <w:sz w:val="20"/>
                <w:szCs w:val="20"/>
                <w:color w:val="auto"/>
              </w:rPr>
            </w:pPr>
            <w:r>
              <w:rPr>
                <w:rFonts w:ascii="Arial" w:cs="Arial" w:eastAsia="Arial" w:hAnsi="Arial"/>
                <w:sz w:val="14"/>
                <w:szCs w:val="14"/>
                <w:color w:val="auto"/>
              </w:rPr>
              <w:t>Change in fair value of convertible preferred stock warrant liability</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Change in fair value of grant liability</w:t>
            </w: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420"/>
              <w:spacing w:after="0"/>
              <w:rPr>
                <w:sz w:val="20"/>
                <w:szCs w:val="20"/>
                <w:color w:val="auto"/>
              </w:rPr>
            </w:pPr>
            <w:r>
              <w:rPr>
                <w:rFonts w:ascii="Arial" w:cs="Arial" w:eastAsia="Arial" w:hAnsi="Arial"/>
                <w:sz w:val="14"/>
                <w:szCs w:val="14"/>
                <w:color w:val="auto"/>
              </w:rPr>
              <w:t>Accretion of discounts on convertible notes</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289</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Non-cash interest expense</w:t>
            </w: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420"/>
              <w:spacing w:after="0"/>
              <w:rPr>
                <w:sz w:val="20"/>
                <w:szCs w:val="20"/>
                <w:color w:val="auto"/>
              </w:rPr>
            </w:pPr>
            <w:r>
              <w:rPr>
                <w:rFonts w:ascii="Arial" w:cs="Arial" w:eastAsia="Arial" w:hAnsi="Arial"/>
                <w:sz w:val="14"/>
                <w:szCs w:val="14"/>
                <w:color w:val="auto"/>
              </w:rPr>
              <w:t>Gain on extinguishment of convertible notes</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(199)</w:t>
            </w:r>
          </w:p>
        </w:tc>
        <w:tc>
          <w:tcPr>
            <w:tcW w:w="10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Amortization of available-for-sale securities</w:t>
            </w: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60" w:type="dxa"/>
            <w:vAlign w:val="bottom"/>
          </w:tcPr>
          <w:p>
            <w:pPr>
              <w:ind w:left="420"/>
              <w:spacing w:after="0"/>
              <w:rPr>
                <w:sz w:val="20"/>
                <w:szCs w:val="20"/>
                <w:color w:val="auto"/>
              </w:rPr>
            </w:pPr>
            <w:r>
              <w:rPr>
                <w:rFonts w:ascii="Arial" w:cs="Arial" w:eastAsia="Arial" w:hAnsi="Arial"/>
                <w:sz w:val="14"/>
                <w:szCs w:val="14"/>
                <w:color w:val="auto"/>
              </w:rPr>
              <w:t>Changes in operating assets and liabilities:</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540"/>
              <w:spacing w:after="0"/>
              <w:rPr>
                <w:sz w:val="20"/>
                <w:szCs w:val="20"/>
                <w:color w:val="auto"/>
              </w:rPr>
            </w:pPr>
            <w:r>
              <w:rPr>
                <w:rFonts w:ascii="Arial" w:cs="Arial" w:eastAsia="Arial" w:hAnsi="Arial"/>
                <w:sz w:val="14"/>
                <w:szCs w:val="14"/>
                <w:color w:val="auto"/>
              </w:rPr>
              <w:t>Prepaid expenses and other current assets</w:t>
            </w: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(5,919)</w:t>
            </w: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540"/>
              <w:spacing w:after="0"/>
              <w:rPr>
                <w:sz w:val="20"/>
                <w:szCs w:val="20"/>
                <w:color w:val="auto"/>
              </w:rPr>
            </w:pPr>
            <w:r>
              <w:rPr>
                <w:rFonts w:ascii="Arial" w:cs="Arial" w:eastAsia="Arial" w:hAnsi="Arial"/>
                <w:sz w:val="14"/>
                <w:szCs w:val="14"/>
                <w:color w:val="auto"/>
              </w:rPr>
              <w:t>Accounts payable and accrued expenses</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3,004</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540"/>
              <w:spacing w:after="0"/>
              <w:rPr>
                <w:sz w:val="20"/>
                <w:szCs w:val="20"/>
                <w:color w:val="auto"/>
              </w:rPr>
            </w:pPr>
            <w:r>
              <w:rPr>
                <w:rFonts w:ascii="Arial" w:cs="Arial" w:eastAsia="Arial" w:hAnsi="Arial"/>
                <w:sz w:val="14"/>
                <w:szCs w:val="14"/>
                <w:color w:val="auto"/>
              </w:rPr>
              <w:t>Operating lease liability</w:t>
            </w:r>
          </w:p>
        </w:tc>
        <w:tc>
          <w:tcPr>
            <w:tcW w:w="1160" w:type="dxa"/>
            <w:vAlign w:val="bottom"/>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80" w:type="dxa"/>
            <w:vAlign w:val="bottom"/>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560" w:type="dxa"/>
            <w:vAlign w:val="bottom"/>
          </w:tcPr>
          <w:p>
            <w:pPr>
              <w:ind w:left="740"/>
              <w:spacing w:after="0"/>
              <w:rPr>
                <w:sz w:val="20"/>
                <w:szCs w:val="20"/>
                <w:color w:val="auto"/>
              </w:rPr>
            </w:pPr>
            <w:r>
              <w:rPr>
                <w:rFonts w:ascii="Arial" w:cs="Arial" w:eastAsia="Arial" w:hAnsi="Arial"/>
                <w:sz w:val="14"/>
                <w:szCs w:val="14"/>
                <w:color w:val="auto"/>
              </w:rPr>
              <w:t>Net cash (used in) operating activities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(13,448)</w:t>
            </w:r>
          </w:p>
        </w:tc>
        <w:tc>
          <w:tcPr>
            <w:tcW w:w="10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(2,684)</w:t>
            </w:r>
          </w:p>
        </w:tc>
        <w:tc>
          <w:tcPr>
            <w:tcW w:w="0" w:type="dxa"/>
            <w:vAlign w:val="bottom"/>
          </w:tcPr>
          <w:p>
            <w:pPr>
              <w:spacing w:after="0"/>
              <w:rPr>
                <w:sz w:val="1"/>
                <w:szCs w:val="1"/>
                <w:color w:val="auto"/>
              </w:rPr>
            </w:pPr>
          </w:p>
        </w:tc>
      </w:tr>
      <w:tr>
        <w:trPr>
          <w:trHeight w:val="18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116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4"/>
                <w:szCs w:val="14"/>
                <w:color w:val="auto"/>
              </w:rPr>
              <w:t>Purchases of available-for-sale securities</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(94,281)</w:t>
            </w:r>
          </w:p>
        </w:tc>
        <w:tc>
          <w:tcPr>
            <w:tcW w:w="10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Maturities of available-for-sale securities</w:t>
            </w: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(65)</w:t>
            </w:r>
          </w:p>
        </w:tc>
        <w:tc>
          <w:tcPr>
            <w:tcW w:w="10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Principal payments received on stockholder note receivable</w:t>
            </w:r>
          </w:p>
        </w:tc>
        <w:tc>
          <w:tcPr>
            <w:tcW w:w="1160" w:type="dxa"/>
            <w:vAlign w:val="bottom"/>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280" w:type="dxa"/>
            <w:vAlign w:val="bottom"/>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560" w:type="dxa"/>
            <w:vAlign w:val="bottom"/>
          </w:tcPr>
          <w:p>
            <w:pPr>
              <w:ind w:left="740"/>
              <w:spacing w:after="0"/>
              <w:rPr>
                <w:sz w:val="20"/>
                <w:szCs w:val="20"/>
                <w:color w:val="auto"/>
              </w:rPr>
            </w:pPr>
            <w:r>
              <w:rPr>
                <w:rFonts w:ascii="Arial" w:cs="Arial" w:eastAsia="Arial" w:hAnsi="Arial"/>
                <w:sz w:val="14"/>
                <w:szCs w:val="14"/>
                <w:color w:val="auto"/>
              </w:rPr>
              <w:t>Net cash (used in) provided by investing activities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(94,310)</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Financing activities</w:t>
            </w:r>
          </w:p>
        </w:tc>
        <w:tc>
          <w:tcPr>
            <w:tcW w:w="116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4"/>
                <w:szCs w:val="14"/>
                <w:color w:val="auto"/>
              </w:rPr>
              <w:t>Proceeds from exercise of common stock options and common stock warrants</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613</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initial public offering, net of issuance costs</w:t>
            </w: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187,224</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4"/>
                <w:szCs w:val="14"/>
                <w:color w:val="auto"/>
              </w:rPr>
              <w:t>Proceeds from sales of convertible preferred stock and stock warrants, net of issuance costs</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81,926</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convertible notes, including derivative</w:t>
            </w: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1,666</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4"/>
                <w:szCs w:val="14"/>
                <w:color w:val="auto"/>
              </w:rPr>
              <w:t>Issuance costs of convertible notes</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10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Paycheck Protection Program loan</w:t>
            </w: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4"/>
                <w:szCs w:val="14"/>
                <w:color w:val="auto"/>
              </w:rPr>
              <w:t>Repayment of Paycheck Protection Program loan</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(215)</w:t>
            </w:r>
          </w:p>
        </w:tc>
        <w:tc>
          <w:tcPr>
            <w:tcW w:w="10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5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4"/>
                <w:szCs w:val="14"/>
                <w:color w:val="auto"/>
              </w:rPr>
              <w:t>Net cash provided by financing activities</w:t>
            </w:r>
          </w:p>
        </w:tc>
        <w:tc>
          <w:tcPr>
            <w:tcW w:w="116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271,427</w:t>
            </w:r>
          </w:p>
        </w:tc>
        <w:tc>
          <w:tcPr>
            <w:tcW w:w="280" w:type="dxa"/>
            <w:vAlign w:val="bottom"/>
            <w:tcBorders>
              <w:top w:val="single" w:sz="8" w:color="CFF0FC"/>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spacing w:after="0"/>
              <w:rPr>
                <w:sz w:val="15"/>
                <w:szCs w:val="15"/>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892</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6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163,669</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91"/>
        </w:trPr>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beginning of period</w:t>
            </w:r>
          </w:p>
        </w:tc>
        <w:tc>
          <w:tcPr>
            <w:tcW w:w="1160" w:type="dxa"/>
            <w:vAlign w:val="bottom"/>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2,056</w:t>
            </w:r>
          </w:p>
        </w:tc>
        <w:tc>
          <w:tcPr>
            <w:tcW w:w="280" w:type="dxa"/>
            <w:vAlign w:val="bottom"/>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160" w:type="dxa"/>
            <w:vAlign w:val="bottom"/>
            <w:gridSpan w:val="2"/>
          </w:tcPr>
          <w:p>
            <w:pPr>
              <w:jc w:val="right"/>
              <w:ind w:right="852"/>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165,725</w:t>
            </w:r>
          </w:p>
        </w:tc>
        <w:tc>
          <w:tcPr>
            <w:tcW w:w="280" w:type="dxa"/>
            <w:vAlign w:val="bottom"/>
          </w:tcPr>
          <w:p>
            <w:pPr>
              <w:spacing w:after="0"/>
              <w:rPr>
                <w:sz w:val="18"/>
                <w:szCs w:val="18"/>
                <w:color w:val="auto"/>
              </w:rPr>
            </w:pP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16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56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Purchases of property and equipment included in accounts payable and accrued liabilities</w:t>
            </w:r>
          </w:p>
        </w:tc>
        <w:tc>
          <w:tcPr>
            <w:tcW w:w="1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91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offering costs included in accounts payable and accrued liabilities</w:t>
            </w:r>
          </w:p>
        </w:tc>
        <w:tc>
          <w:tcPr>
            <w:tcW w:w="2160" w:type="dxa"/>
            <w:vAlign w:val="bottom"/>
            <w:gridSpan w:val="2"/>
            <w:shd w:val="clear" w:color="auto" w:fill="CFF0FC"/>
          </w:tcPr>
          <w:p>
            <w:pPr>
              <w:jc w:val="right"/>
              <w:ind w:right="852"/>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w:t>
            </w: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91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bottom w:val="single" w:sz="8" w:color="CFF0FC"/>
            </w:tcBorders>
            <w:vMerge w:val="restart"/>
          </w:tcPr>
          <w:p>
            <w:pPr>
              <w:ind w:left="200"/>
              <w:spacing w:after="0"/>
              <w:rPr>
                <w:sz w:val="20"/>
                <w:szCs w:val="20"/>
                <w:color w:val="auto"/>
              </w:rPr>
            </w:pPr>
            <w:r>
              <w:rPr>
                <w:rFonts w:ascii="Arial" w:cs="Arial" w:eastAsia="Arial" w:hAnsi="Arial"/>
                <w:sz w:val="14"/>
                <w:szCs w:val="14"/>
                <w:color w:val="auto"/>
              </w:rPr>
              <w:t>Issuance of common stock warrants in connection with Series B convertible preferred</w:t>
            </w:r>
          </w:p>
        </w:tc>
        <w:tc>
          <w:tcPr>
            <w:tcW w:w="1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56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tcPr>
          <w:p>
            <w:pPr>
              <w:ind w:left="320"/>
              <w:spacing w:after="0"/>
              <w:rPr>
                <w:sz w:val="20"/>
                <w:szCs w:val="20"/>
                <w:color w:val="auto"/>
              </w:rPr>
            </w:pPr>
            <w:r>
              <w:rPr>
                <w:rFonts w:ascii="Arial" w:cs="Arial" w:eastAsia="Arial" w:hAnsi="Arial"/>
                <w:sz w:val="14"/>
                <w:szCs w:val="14"/>
                <w:color w:val="auto"/>
              </w:rPr>
              <w:t>stock financing</w:t>
            </w:r>
          </w:p>
        </w:tc>
        <w:tc>
          <w:tcPr>
            <w:tcW w:w="1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10,591</w:t>
            </w: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91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Series B preferred stock upon conversion of promissory notes</w:t>
            </w:r>
          </w:p>
        </w:tc>
        <w:tc>
          <w:tcPr>
            <w:tcW w:w="2160" w:type="dxa"/>
            <w:vAlign w:val="bottom"/>
            <w:gridSpan w:val="2"/>
            <w:shd w:val="clear" w:color="auto" w:fill="CFF0FC"/>
          </w:tcPr>
          <w:p>
            <w:pPr>
              <w:jc w:val="right"/>
              <w:ind w:right="852"/>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4,515</w:t>
            </w: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91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bottom w:val="single" w:sz="8" w:color="CFF0FC"/>
            </w:tcBorders>
            <w:vMerge w:val="restart"/>
          </w:tcPr>
          <w:p>
            <w:pPr>
              <w:ind w:left="200"/>
              <w:spacing w:after="0"/>
              <w:rPr>
                <w:sz w:val="20"/>
                <w:szCs w:val="20"/>
                <w:color w:val="auto"/>
              </w:rPr>
            </w:pPr>
            <w:r>
              <w:rPr>
                <w:rFonts w:ascii="Arial" w:cs="Arial" w:eastAsia="Arial" w:hAnsi="Arial"/>
                <w:sz w:val="14"/>
                <w:szCs w:val="14"/>
                <w:color w:val="auto"/>
              </w:rPr>
              <w:t>Recognition of warrant liability in connection with Series B convertible preferred</w:t>
            </w:r>
          </w:p>
        </w:tc>
        <w:tc>
          <w:tcPr>
            <w:tcW w:w="1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56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tcPr>
          <w:p>
            <w:pPr>
              <w:ind w:left="320"/>
              <w:spacing w:after="0"/>
              <w:rPr>
                <w:sz w:val="20"/>
                <w:szCs w:val="20"/>
                <w:color w:val="auto"/>
              </w:rPr>
            </w:pPr>
            <w:r>
              <w:rPr>
                <w:rFonts w:ascii="Arial" w:cs="Arial" w:eastAsia="Arial" w:hAnsi="Arial"/>
                <w:sz w:val="14"/>
                <w:szCs w:val="14"/>
                <w:color w:val="auto"/>
              </w:rPr>
              <w:t>stock financing</w:t>
            </w:r>
          </w:p>
        </w:tc>
        <w:tc>
          <w:tcPr>
            <w:tcW w:w="1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91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Derivative liability recorded upon issuance of convertible notes</w:t>
            </w:r>
          </w:p>
        </w:tc>
        <w:tc>
          <w:tcPr>
            <w:tcW w:w="11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85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774</w:t>
            </w:r>
          </w:p>
        </w:tc>
        <w:tc>
          <w:tcPr>
            <w:tcW w:w="28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0"/>
              <w:spacing w:after="0"/>
              <w:rPr>
                <w:sz w:val="20"/>
                <w:szCs w:val="20"/>
                <w:color w:val="auto"/>
              </w:rPr>
            </w:pPr>
            <w:r>
              <w:rPr>
                <w:rFonts w:ascii="Arial" w:cs="Arial" w:eastAsia="Arial" w:hAnsi="Arial"/>
                <w:sz w:val="14"/>
                <w:szCs w:val="14"/>
                <w:color w:val="auto"/>
              </w:rPr>
              <w:t>Conversion of convertible preferred stock upon closing of initial public offering</w:t>
            </w:r>
          </w:p>
        </w:tc>
        <w:tc>
          <w:tcPr>
            <w:tcW w:w="1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60" w:type="dxa"/>
            <w:vAlign w:val="bottom"/>
            <w:tcBorders>
              <w:bottom w:val="single" w:sz="8" w:color="CFF0FC"/>
            </w:tcBorders>
            <w:vMerge w:val="continue"/>
          </w:tcPr>
          <w:p>
            <w:pPr>
              <w:spacing w:after="0"/>
              <w:rPr>
                <w:sz w:val="17"/>
                <w:szCs w:val="17"/>
                <w:color w:val="auto"/>
              </w:rPr>
            </w:pPr>
          </w:p>
        </w:tc>
        <w:tc>
          <w:tcPr>
            <w:tcW w:w="116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92,537</w:t>
            </w:r>
          </w:p>
        </w:tc>
        <w:tc>
          <w:tcPr>
            <w:tcW w:w="28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jc w:val="right"/>
              <w:ind w:right="91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Right-of-use asset obtained in exchange for new operating lease liability</w:t>
            </w:r>
          </w:p>
        </w:tc>
        <w:tc>
          <w:tcPr>
            <w:tcW w:w="2160" w:type="dxa"/>
            <w:vAlign w:val="bottom"/>
            <w:gridSpan w:val="2"/>
            <w:shd w:val="clear" w:color="auto" w:fill="CFF0FC"/>
          </w:tcPr>
          <w:p>
            <w:pPr>
              <w:jc w:val="right"/>
              <w:ind w:right="852"/>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975</w:t>
            </w: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91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Convertible Preferred Stock and Stockholders’ (Deficit) Equity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September 30, 2020 and 2019</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40"/>
          </w:cols>
          <w:pgMar w:left="320" w:top="312" w:right="339" w:bottom="1440" w:gutter="0" w:footer="0" w:header="0"/>
        </w:sect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176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Convertible</w:t>
            </w:r>
          </w:p>
        </w:tc>
        <w:tc>
          <w:tcPr>
            <w:tcW w:w="0" w:type="dxa"/>
            <w:vAlign w:val="bottom"/>
          </w:tcPr>
          <w:p>
            <w:pPr>
              <w:spacing w:after="0"/>
              <w:rPr>
                <w:sz w:val="1"/>
                <w:szCs w:val="1"/>
                <w:color w:val="auto"/>
              </w:rPr>
            </w:pPr>
          </w:p>
        </w:tc>
      </w:tr>
      <w:tr>
        <w:trPr>
          <w:trHeight w:val="150"/>
        </w:trPr>
        <w:tc>
          <w:tcPr>
            <w:tcW w:w="3500" w:type="dxa"/>
            <w:vAlign w:val="bottom"/>
          </w:tcPr>
          <w:p>
            <w:pPr>
              <w:spacing w:after="0"/>
              <w:rPr>
                <w:sz w:val="13"/>
                <w:szCs w:val="13"/>
                <w:color w:val="auto"/>
              </w:rPr>
            </w:pPr>
          </w:p>
        </w:tc>
        <w:tc>
          <w:tcPr>
            <w:tcW w:w="1760" w:type="dxa"/>
            <w:vAlign w:val="bottom"/>
            <w:gridSpan w:val="6"/>
          </w:tcPr>
          <w:p>
            <w:pPr>
              <w:jc w:val="right"/>
              <w:ind w:right="480"/>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33"/>
        </w:trPr>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Balance as of June 30, 2020</w:t>
            </w:r>
          </w:p>
        </w:tc>
        <w:tc>
          <w:tcPr>
            <w:tcW w:w="96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97"/>
              <w:spacing w:after="0" w:line="133" w:lineRule="exact"/>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00" w:type="dxa"/>
            <w:vAlign w:val="bottom"/>
            <w:vMerge w:val="continue"/>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12,503,009</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92,537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00" w:type="dxa"/>
            <w:vAlign w:val="bottom"/>
          </w:tcPr>
          <w:p>
            <w:pPr>
              <w:ind w:left="200"/>
              <w:spacing w:after="0" w:line="130" w:lineRule="exact"/>
              <w:rPr>
                <w:sz w:val="20"/>
                <w:szCs w:val="20"/>
                <w:color w:val="auto"/>
              </w:rPr>
            </w:pPr>
            <w:r>
              <w:rPr>
                <w:rFonts w:ascii="Arial" w:cs="Arial" w:eastAsia="Arial" w:hAnsi="Arial"/>
                <w:sz w:val="13"/>
                <w:szCs w:val="13"/>
                <w:color w:val="auto"/>
              </w:rPr>
              <w:t>Issuance of common stock upon exercise of</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500" w:type="dxa"/>
            <w:vAlign w:val="bottom"/>
          </w:tcPr>
          <w:p>
            <w:pPr>
              <w:ind w:left="300"/>
              <w:spacing w:after="0" w:line="142" w:lineRule="exact"/>
              <w:rPr>
                <w:sz w:val="20"/>
                <w:szCs w:val="20"/>
                <w:color w:val="auto"/>
              </w:rPr>
            </w:pPr>
            <w:r>
              <w:rPr>
                <w:rFonts w:ascii="Arial" w:cs="Arial" w:eastAsia="Arial" w:hAnsi="Arial"/>
                <w:sz w:val="13"/>
                <w:szCs w:val="13"/>
                <w:color w:val="auto"/>
              </w:rPr>
              <w:t>common stock options</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3500" w:type="dxa"/>
            <w:vAlign w:val="bottom"/>
          </w:tcPr>
          <w:p>
            <w:pPr>
              <w:ind w:left="200"/>
              <w:spacing w:after="0" w:line="130" w:lineRule="exact"/>
              <w:rPr>
                <w:sz w:val="20"/>
                <w:szCs w:val="20"/>
                <w:color w:val="auto"/>
              </w:rPr>
            </w:pPr>
            <w:r>
              <w:rPr>
                <w:rFonts w:ascii="Arial" w:cs="Arial" w:eastAsia="Arial" w:hAnsi="Arial"/>
                <w:sz w:val="13"/>
                <w:szCs w:val="13"/>
                <w:color w:val="auto"/>
              </w:rPr>
              <w:t>Proceeds from initial public offering, net of</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00" w:type="dxa"/>
            <w:vAlign w:val="bottom"/>
          </w:tcPr>
          <w:p>
            <w:pPr>
              <w:ind w:left="300"/>
              <w:spacing w:after="0" w:line="130" w:lineRule="exact"/>
              <w:rPr>
                <w:sz w:val="20"/>
                <w:szCs w:val="20"/>
                <w:color w:val="auto"/>
              </w:rPr>
            </w:pPr>
            <w:r>
              <w:rPr>
                <w:rFonts w:ascii="Arial" w:cs="Arial" w:eastAsia="Arial" w:hAnsi="Arial"/>
                <w:sz w:val="13"/>
                <w:szCs w:val="13"/>
                <w:color w:val="auto"/>
              </w:rPr>
              <w:t>underwriters' discounts and commissions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500" w:type="dxa"/>
            <w:vAlign w:val="bottom"/>
          </w:tcPr>
          <w:p>
            <w:pPr>
              <w:ind w:left="300"/>
              <w:spacing w:after="0" w:line="142" w:lineRule="exact"/>
              <w:rPr>
                <w:sz w:val="20"/>
                <w:szCs w:val="20"/>
                <w:color w:val="auto"/>
              </w:rPr>
            </w:pPr>
            <w:r>
              <w:rPr>
                <w:rFonts w:ascii="Arial" w:cs="Arial" w:eastAsia="Arial" w:hAnsi="Arial"/>
                <w:sz w:val="13"/>
                <w:szCs w:val="13"/>
                <w:color w:val="auto"/>
              </w:rPr>
              <w:t>and issuance costs of $3.3 million</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500" w:type="dxa"/>
            <w:vAlign w:val="bottom"/>
          </w:tcPr>
          <w:p>
            <w:pPr>
              <w:ind w:left="200"/>
              <w:spacing w:after="0" w:line="142" w:lineRule="exact"/>
              <w:rPr>
                <w:sz w:val="20"/>
                <w:szCs w:val="20"/>
                <w:color w:val="auto"/>
              </w:rPr>
            </w:pPr>
            <w:r>
              <w:rPr>
                <w:rFonts w:ascii="Arial" w:cs="Arial" w:eastAsia="Arial" w:hAnsi="Arial"/>
                <w:sz w:val="13"/>
                <w:szCs w:val="13"/>
                <w:color w:val="auto"/>
              </w:rPr>
              <w:t>Conversion of convertible preferred stock</w:t>
            </w: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(12,503,009)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(92,537)</w:t>
            </w:r>
          </w:p>
        </w:tc>
        <w:tc>
          <w:tcPr>
            <w:tcW w:w="0" w:type="dxa"/>
            <w:vAlign w:val="bottom"/>
          </w:tcPr>
          <w:p>
            <w:pPr>
              <w:spacing w:after="0"/>
              <w:rPr>
                <w:sz w:val="1"/>
                <w:szCs w:val="1"/>
                <w:color w:val="auto"/>
              </w:rPr>
            </w:pPr>
          </w:p>
        </w:tc>
      </w:tr>
      <w:tr>
        <w:trPr>
          <w:trHeight w:val="141"/>
        </w:trPr>
        <w:tc>
          <w:tcPr>
            <w:tcW w:w="3500" w:type="dxa"/>
            <w:vAlign w:val="bottom"/>
          </w:tcPr>
          <w:p>
            <w:pPr>
              <w:ind w:left="200"/>
              <w:spacing w:after="0" w:line="142" w:lineRule="exact"/>
              <w:rPr>
                <w:sz w:val="20"/>
                <w:szCs w:val="20"/>
                <w:color w:val="auto"/>
              </w:rPr>
            </w:pPr>
            <w:r>
              <w:rPr>
                <w:rFonts w:ascii="Arial" w:cs="Arial" w:eastAsia="Arial" w:hAnsi="Arial"/>
                <w:sz w:val="13"/>
                <w:szCs w:val="13"/>
                <w:color w:val="auto"/>
              </w:rPr>
              <w:t>Exercise of common stock warrants</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500" w:type="dxa"/>
            <w:vAlign w:val="bottom"/>
          </w:tcPr>
          <w:p>
            <w:pPr>
              <w:ind w:left="200"/>
              <w:spacing w:after="0" w:line="142" w:lineRule="exact"/>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500" w:type="dxa"/>
            <w:vAlign w:val="bottom"/>
          </w:tcPr>
          <w:p>
            <w:pPr>
              <w:ind w:left="200"/>
              <w:spacing w:after="0" w:line="142" w:lineRule="exact"/>
              <w:rPr>
                <w:sz w:val="20"/>
                <w:szCs w:val="20"/>
                <w:color w:val="auto"/>
              </w:rPr>
            </w:pPr>
            <w:r>
              <w:rPr>
                <w:rFonts w:ascii="Arial" w:cs="Arial" w:eastAsia="Arial" w:hAnsi="Arial"/>
                <w:sz w:val="13"/>
                <w:szCs w:val="13"/>
                <w:color w:val="auto"/>
              </w:rPr>
              <w:t>Other comprehensive income</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00" w:type="dxa"/>
            <w:vAlign w:val="bottom"/>
          </w:tcPr>
          <w:p>
            <w:pPr>
              <w:ind w:left="200"/>
              <w:spacing w:after="0" w:line="146" w:lineRule="exact"/>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3500" w:type="dxa"/>
            <w:vAlign w:val="bottom"/>
          </w:tcPr>
          <w:p>
            <w:pPr>
              <w:spacing w:after="0" w:line="133" w:lineRule="exact"/>
              <w:rPr>
                <w:sz w:val="20"/>
                <w:szCs w:val="20"/>
                <w:color w:val="auto"/>
              </w:rPr>
            </w:pPr>
            <w:r>
              <w:rPr>
                <w:rFonts w:ascii="Arial" w:cs="Arial" w:eastAsia="Arial" w:hAnsi="Arial"/>
                <w:sz w:val="13"/>
                <w:szCs w:val="13"/>
                <w:b w:val="1"/>
                <w:bCs w:val="1"/>
                <w:color w:val="auto"/>
              </w:rPr>
              <w:t>Balance as of September 30, 2020</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1720" w:type="dxa"/>
            <w:vAlign w:val="bottom"/>
            <w:gridSpan w:val="5"/>
          </w:tcPr>
          <w:p>
            <w:pPr>
              <w:jc w:val="right"/>
              <w:ind w:right="497"/>
              <w:spacing w:after="0"/>
              <w:rPr>
                <w:sz w:val="20"/>
                <w:szCs w:val="20"/>
                <w:color w:val="auto"/>
              </w:rPr>
            </w:pPr>
            <w:r>
              <w:rPr>
                <w:rFonts w:ascii="Arial" w:cs="Arial" w:eastAsia="Arial" w:hAnsi="Arial"/>
                <w:sz w:val="13"/>
                <w:szCs w:val="13"/>
                <w:b w:val="1"/>
                <w:bCs w:val="1"/>
                <w:color w:val="auto"/>
              </w:rPr>
              <w:t>Convertible</w:t>
            </w:r>
          </w:p>
        </w:tc>
        <w:tc>
          <w:tcPr>
            <w:tcW w:w="0" w:type="dxa"/>
            <w:vAlign w:val="bottom"/>
          </w:tcPr>
          <w:p>
            <w:pPr>
              <w:spacing w:after="0"/>
              <w:rPr>
                <w:sz w:val="1"/>
                <w:szCs w:val="1"/>
                <w:color w:val="auto"/>
              </w:rPr>
            </w:pPr>
          </w:p>
        </w:tc>
      </w:tr>
      <w:tr>
        <w:trPr>
          <w:trHeight w:val="150"/>
        </w:trPr>
        <w:tc>
          <w:tcPr>
            <w:tcW w:w="3500" w:type="dxa"/>
            <w:vAlign w:val="bottom"/>
          </w:tcPr>
          <w:p>
            <w:pPr>
              <w:spacing w:after="0"/>
              <w:rPr>
                <w:sz w:val="13"/>
                <w:szCs w:val="13"/>
                <w:color w:val="auto"/>
              </w:rPr>
            </w:pPr>
          </w:p>
        </w:tc>
        <w:tc>
          <w:tcPr>
            <w:tcW w:w="1720" w:type="dxa"/>
            <w:vAlign w:val="bottom"/>
            <w:tcBorders>
              <w:bottom w:val="single" w:sz="8" w:color="auto"/>
            </w:tcBorders>
            <w:gridSpan w:val="5"/>
          </w:tcPr>
          <w:p>
            <w:pPr>
              <w:jc w:val="right"/>
              <w:ind w:right="377"/>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33"/>
        </w:trPr>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Balance as of June 30, 2019</w:t>
            </w:r>
          </w:p>
        </w:tc>
        <w:tc>
          <w:tcPr>
            <w:tcW w:w="960" w:type="dxa"/>
            <w:vAlign w:val="bottom"/>
            <w:gridSpan w:val="2"/>
          </w:tcPr>
          <w:p>
            <w:pPr>
              <w:ind w:left="180"/>
              <w:spacing w:after="0" w:line="133"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97"/>
              <w:spacing w:after="0" w:line="133" w:lineRule="exact"/>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29"/>
        </w:trPr>
        <w:tc>
          <w:tcPr>
            <w:tcW w:w="3500" w:type="dxa"/>
            <w:vAlign w:val="bottom"/>
            <w:vMerge w:val="continue"/>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2,617,386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17,051</w:t>
            </w:r>
          </w:p>
        </w:tc>
        <w:tc>
          <w:tcPr>
            <w:tcW w:w="0" w:type="dxa"/>
            <w:vAlign w:val="bottom"/>
          </w:tcPr>
          <w:p>
            <w:pPr>
              <w:spacing w:after="0"/>
              <w:rPr>
                <w:sz w:val="1"/>
                <w:szCs w:val="1"/>
                <w:color w:val="auto"/>
              </w:rPr>
            </w:pPr>
          </w:p>
        </w:tc>
      </w:tr>
      <w:tr>
        <w:trPr>
          <w:trHeight w:val="130"/>
        </w:trPr>
        <w:tc>
          <w:tcPr>
            <w:tcW w:w="3500" w:type="dxa"/>
            <w:vAlign w:val="bottom"/>
          </w:tcPr>
          <w:p>
            <w:pPr>
              <w:ind w:left="200"/>
              <w:spacing w:after="0" w:line="130" w:lineRule="exact"/>
              <w:rPr>
                <w:sz w:val="20"/>
                <w:szCs w:val="20"/>
                <w:color w:val="auto"/>
              </w:rPr>
            </w:pPr>
            <w:r>
              <w:rPr>
                <w:rFonts w:ascii="Arial" w:cs="Arial" w:eastAsia="Arial" w:hAnsi="Arial"/>
                <w:sz w:val="13"/>
                <w:szCs w:val="13"/>
                <w:color w:val="auto"/>
              </w:rPr>
              <w:t>Issuance of common stock upon exercise of</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500" w:type="dxa"/>
            <w:vAlign w:val="bottom"/>
          </w:tcPr>
          <w:p>
            <w:pPr>
              <w:ind w:left="300"/>
              <w:spacing w:after="0" w:line="142" w:lineRule="exact"/>
              <w:rPr>
                <w:sz w:val="20"/>
                <w:szCs w:val="20"/>
                <w:color w:val="auto"/>
              </w:rPr>
            </w:pPr>
            <w:r>
              <w:rPr>
                <w:rFonts w:ascii="Arial" w:cs="Arial" w:eastAsia="Arial" w:hAnsi="Arial"/>
                <w:sz w:val="13"/>
                <w:szCs w:val="13"/>
                <w:color w:val="auto"/>
              </w:rPr>
              <w:t>common stock options</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500" w:type="dxa"/>
            <w:vAlign w:val="bottom"/>
          </w:tcPr>
          <w:p>
            <w:pPr>
              <w:ind w:left="200"/>
              <w:spacing w:after="0" w:line="142" w:lineRule="exact"/>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00" w:type="dxa"/>
            <w:vAlign w:val="bottom"/>
          </w:tcPr>
          <w:p>
            <w:pPr>
              <w:ind w:left="200"/>
              <w:spacing w:after="0" w:line="146" w:lineRule="exact"/>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3500" w:type="dxa"/>
            <w:vAlign w:val="bottom"/>
          </w:tcPr>
          <w:p>
            <w:pPr>
              <w:spacing w:after="0" w:line="133" w:lineRule="exact"/>
              <w:rPr>
                <w:sz w:val="20"/>
                <w:szCs w:val="20"/>
                <w:color w:val="auto"/>
              </w:rPr>
            </w:pPr>
            <w:r>
              <w:rPr>
                <w:rFonts w:ascii="Arial" w:cs="Arial" w:eastAsia="Arial" w:hAnsi="Arial"/>
                <w:sz w:val="13"/>
                <w:szCs w:val="13"/>
                <w:b w:val="1"/>
                <w:bCs w:val="1"/>
                <w:color w:val="auto"/>
              </w:rPr>
              <w:t>Balance as of September 30, 2019</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2,617,386</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17,051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r>
      <w:tr>
        <w:trPr>
          <w:trHeight w:val="130"/>
        </w:trPr>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0" w:lineRule="exact"/>
              <w:rPr>
                <w:sz w:val="20"/>
                <w:szCs w:val="20"/>
                <w:color w:val="auto"/>
              </w:rPr>
            </w:pPr>
            <w:r>
              <w:rPr>
                <w:rFonts w:ascii="Arial" w:cs="Arial" w:eastAsia="Arial" w:hAnsi="Arial"/>
                <w:sz w:val="13"/>
                <w:szCs w:val="13"/>
                <w:b w:val="1"/>
                <w:bCs w:val="1"/>
                <w:color w:val="auto"/>
                <w:w w:val="88"/>
              </w:rPr>
              <w:t>Additional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3"/>
                <w:szCs w:val="13"/>
                <w:b w:val="1"/>
                <w:bCs w:val="1"/>
                <w:color w:val="auto"/>
                <w:w w:val="88"/>
              </w:rPr>
              <w:t>Stockholders’</w:t>
            </w:r>
          </w:p>
        </w:tc>
      </w:tr>
      <w:tr>
        <w:trPr>
          <w:trHeight w:val="150"/>
        </w:trPr>
        <w:tc>
          <w:tcPr>
            <w:tcW w:w="156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Paid-In</w:t>
            </w:r>
          </w:p>
        </w:tc>
        <w:tc>
          <w:tcPr>
            <w:tcW w:w="1260" w:type="dxa"/>
            <w:vAlign w:val="bottom"/>
            <w:gridSpan w:val="4"/>
          </w:tcPr>
          <w:p>
            <w:pPr>
              <w:ind w:left="220"/>
              <w:spacing w:after="0"/>
              <w:rPr>
                <w:sz w:val="20"/>
                <w:szCs w:val="20"/>
                <w:color w:val="auto"/>
              </w:rPr>
            </w:pPr>
            <w:r>
              <w:rPr>
                <w:rFonts w:ascii="Arial" w:cs="Arial" w:eastAsia="Arial" w:hAnsi="Arial"/>
                <w:sz w:val="13"/>
                <w:szCs w:val="13"/>
                <w:b w:val="1"/>
                <w:bCs w:val="1"/>
                <w:color w:val="auto"/>
              </w:rPr>
              <w:t>Comprehensive</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r>
      <w:tr>
        <w:trPr>
          <w:trHeight w:val="133"/>
        </w:trPr>
        <w:tc>
          <w:tcPr>
            <w:tcW w:w="960" w:type="dxa"/>
            <w:vAlign w:val="bottom"/>
            <w:gridSpan w:val="2"/>
          </w:tcPr>
          <w:p>
            <w:pPr>
              <w:ind w:left="180"/>
              <w:spacing w:after="0" w:line="133" w:lineRule="exact"/>
              <w:rPr>
                <w:sz w:val="20"/>
                <w:szCs w:val="20"/>
                <w:color w:val="auto"/>
              </w:rPr>
            </w:pPr>
            <w:r>
              <w:rPr>
                <w:rFonts w:ascii="Arial" w:cs="Arial" w:eastAsia="Arial" w:hAnsi="Arial"/>
                <w:sz w:val="13"/>
                <w:szCs w:val="13"/>
                <w:b w:val="1"/>
                <w:bCs w:val="1"/>
                <w:color w:val="auto"/>
              </w:rPr>
              <w:t>Shares</w:t>
            </w:r>
          </w:p>
        </w:tc>
        <w:tc>
          <w:tcPr>
            <w:tcW w:w="60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3"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80"/>
              <w:spacing w:after="0" w:line="133" w:lineRule="exact"/>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1"/>
                <w:szCs w:val="11"/>
                <w:color w:val="auto"/>
              </w:rPr>
            </w:pPr>
          </w:p>
        </w:tc>
        <w:tc>
          <w:tcPr>
            <w:tcW w:w="840" w:type="dxa"/>
            <w:vAlign w:val="bottom"/>
            <w:gridSpan w:val="2"/>
          </w:tcPr>
          <w:p>
            <w:pPr>
              <w:jc w:val="right"/>
              <w:ind w:right="420"/>
              <w:spacing w:after="0" w:line="133"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68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auto"/>
                <w:w w:val="90"/>
              </w:rPr>
              <w:t>Equity</w:t>
            </w:r>
          </w:p>
        </w:tc>
      </w:tr>
      <w:tr>
        <w:trPr>
          <w:trHeight w:val="150"/>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4,607,565</w:t>
            </w:r>
          </w:p>
        </w:tc>
        <w:tc>
          <w:tcPr>
            <w:tcW w:w="200" w:type="dxa"/>
            <w:vAlign w:val="bottom"/>
          </w:tcPr>
          <w:p>
            <w:pPr>
              <w:spacing w:after="0"/>
              <w:rPr>
                <w:sz w:val="13"/>
                <w:szCs w:val="13"/>
                <w:color w:val="auto"/>
              </w:rPr>
            </w:pPr>
          </w:p>
        </w:tc>
        <w:tc>
          <w:tcPr>
            <w:tcW w:w="600" w:type="dxa"/>
            <w:vAlign w:val="bottom"/>
            <w:tcBorders>
              <w:top w:val="single" w:sz="8" w:color="auto"/>
            </w:tcBorders>
          </w:tcPr>
          <w:p>
            <w:pPr>
              <w:jc w:val="right"/>
              <w:ind w:right="484"/>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12,355</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(24,884)</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(12,529)</w:t>
            </w:r>
          </w:p>
        </w:tc>
        <w:tc>
          <w:tcPr>
            <w:tcW w:w="40" w:type="dxa"/>
            <w:vAlign w:val="bottom"/>
          </w:tcPr>
          <w:p>
            <w:pPr>
              <w:spacing w:after="0"/>
              <w:rPr>
                <w:sz w:val="13"/>
                <w:szCs w:val="13"/>
                <w:color w:val="auto"/>
              </w:rPr>
            </w:pPr>
          </w:p>
        </w:tc>
      </w:tr>
      <w:tr>
        <w:trPr>
          <w:trHeight w:val="267"/>
        </w:trPr>
        <w:tc>
          <w:tcPr>
            <w:tcW w:w="760" w:type="dxa"/>
            <w:vAlign w:val="bottom"/>
          </w:tcPr>
          <w:p>
            <w:pPr>
              <w:jc w:val="right"/>
              <w:spacing w:after="0"/>
              <w:rPr>
                <w:sz w:val="20"/>
                <w:szCs w:val="20"/>
                <w:color w:val="auto"/>
              </w:rPr>
            </w:pPr>
            <w:r>
              <w:rPr>
                <w:rFonts w:ascii="Arial" w:cs="Arial" w:eastAsia="Arial" w:hAnsi="Arial"/>
                <w:sz w:val="13"/>
                <w:szCs w:val="13"/>
                <w:color w:val="auto"/>
              </w:rPr>
              <w:t>262,285</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304</w:t>
            </w:r>
          </w:p>
        </w:tc>
        <w:tc>
          <w:tcPr>
            <w:tcW w:w="40" w:type="dxa"/>
            <w:vAlign w:val="bottom"/>
          </w:tcPr>
          <w:p>
            <w:pPr>
              <w:spacing w:after="0"/>
              <w:rPr>
                <w:sz w:val="23"/>
                <w:szCs w:val="23"/>
                <w:color w:val="auto"/>
              </w:rPr>
            </w:pPr>
          </w:p>
        </w:tc>
      </w:tr>
      <w:tr>
        <w:trPr>
          <w:trHeight w:val="384"/>
        </w:trPr>
        <w:tc>
          <w:tcPr>
            <w:tcW w:w="760" w:type="dxa"/>
            <w:vAlign w:val="bottom"/>
          </w:tcPr>
          <w:p>
            <w:pPr>
              <w:jc w:val="right"/>
              <w:spacing w:after="0"/>
              <w:rPr>
                <w:sz w:val="20"/>
                <w:szCs w:val="20"/>
                <w:color w:val="auto"/>
              </w:rPr>
            </w:pPr>
            <w:r>
              <w:rPr>
                <w:rFonts w:ascii="Arial" w:cs="Arial" w:eastAsia="Arial" w:hAnsi="Arial"/>
                <w:sz w:val="13"/>
                <w:szCs w:val="13"/>
                <w:color w:val="auto"/>
              </w:rPr>
              <w:t>12,000,000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186,445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186,446</w:t>
            </w:r>
          </w:p>
        </w:tc>
        <w:tc>
          <w:tcPr>
            <w:tcW w:w="40" w:type="dxa"/>
            <w:vAlign w:val="bottom"/>
          </w:tcPr>
          <w:p>
            <w:pPr>
              <w:spacing w:after="0"/>
              <w:rPr>
                <w:sz w:val="24"/>
                <w:szCs w:val="24"/>
                <w:color w:val="auto"/>
              </w:rPr>
            </w:pPr>
          </w:p>
        </w:tc>
      </w:tr>
      <w:tr>
        <w:trPr>
          <w:trHeight w:val="141"/>
        </w:trPr>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12,503,009</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92,535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92,537</w:t>
            </w:r>
          </w:p>
        </w:tc>
        <w:tc>
          <w:tcPr>
            <w:tcW w:w="40" w:type="dxa"/>
            <w:vAlign w:val="bottom"/>
          </w:tcPr>
          <w:p>
            <w:pPr>
              <w:spacing w:after="0"/>
              <w:rPr>
                <w:sz w:val="12"/>
                <w:szCs w:val="12"/>
                <w:color w:val="auto"/>
              </w:rPr>
            </w:pPr>
          </w:p>
        </w:tc>
      </w:tr>
      <w:tr>
        <w:trPr>
          <w:trHeight w:val="141"/>
        </w:trPr>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1,714,536</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1,050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1,050</w:t>
            </w:r>
          </w:p>
        </w:tc>
        <w:tc>
          <w:tcPr>
            <w:tcW w:w="40" w:type="dxa"/>
            <w:vAlign w:val="bottom"/>
          </w:tcPr>
          <w:p>
            <w:pPr>
              <w:spacing w:after="0"/>
              <w:rPr>
                <w:sz w:val="12"/>
                <w:szCs w:val="12"/>
                <w:color w:val="auto"/>
              </w:rPr>
            </w:pPr>
          </w:p>
        </w:tc>
      </w:tr>
      <w:tr>
        <w:trPr>
          <w:trHeight w:val="141"/>
        </w:trPr>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111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111</w:t>
            </w:r>
          </w:p>
        </w:tc>
        <w:tc>
          <w:tcPr>
            <w:tcW w:w="40" w:type="dxa"/>
            <w:vAlign w:val="bottom"/>
          </w:tcPr>
          <w:p>
            <w:pPr>
              <w:spacing w:after="0"/>
              <w:rPr>
                <w:sz w:val="12"/>
                <w:szCs w:val="12"/>
                <w:color w:val="auto"/>
              </w:rPr>
            </w:pPr>
          </w:p>
        </w:tc>
      </w:tr>
      <w:tr>
        <w:trPr>
          <w:trHeight w:val="141"/>
        </w:trPr>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7</w:t>
            </w:r>
          </w:p>
        </w:tc>
        <w:tc>
          <w:tcPr>
            <w:tcW w:w="40" w:type="dxa"/>
            <w:vAlign w:val="bottom"/>
          </w:tcPr>
          <w:p>
            <w:pPr>
              <w:spacing w:after="0"/>
              <w:rPr>
                <w:sz w:val="12"/>
                <w:szCs w:val="12"/>
                <w:color w:val="auto"/>
              </w:rPr>
            </w:pPr>
          </w:p>
        </w:tc>
      </w:tr>
      <w:tr>
        <w:trPr>
          <w:trHeight w:val="146"/>
        </w:trPr>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(8,456)</w:t>
            </w:r>
          </w:p>
        </w:tc>
        <w:tc>
          <w:tcPr>
            <w:tcW w:w="100" w:type="dxa"/>
            <w:vAlign w:val="bottom"/>
          </w:tcPr>
          <w:p>
            <w:pPr>
              <w:spacing w:after="0"/>
              <w:rPr>
                <w:sz w:val="12"/>
                <w:szCs w:val="12"/>
                <w:color w:val="auto"/>
              </w:rPr>
            </w:pPr>
          </w:p>
        </w:tc>
        <w:tc>
          <w:tcPr>
            <w:tcW w:w="6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(8,456)</w:t>
            </w:r>
          </w:p>
        </w:tc>
      </w:tr>
      <w:tr>
        <w:trPr>
          <w:trHeight w:val="133"/>
        </w:trPr>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31,087,395</w:t>
            </w:r>
          </w:p>
        </w:tc>
        <w:tc>
          <w:tcPr>
            <w:tcW w:w="2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292,800</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7</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(33,340)</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259,470</w:t>
            </w:r>
          </w:p>
        </w:tc>
        <w:tc>
          <w:tcPr>
            <w:tcW w:w="40" w:type="dxa"/>
            <w:vAlign w:val="bottom"/>
          </w:tcPr>
          <w:p>
            <w:pPr>
              <w:spacing w:after="0"/>
              <w:rPr>
                <w:sz w:val="11"/>
                <w:szCs w:val="1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r>
      <w:tr>
        <w:trPr>
          <w:trHeight w:val="130"/>
        </w:trPr>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0" w:lineRule="exact"/>
              <w:rPr>
                <w:sz w:val="20"/>
                <w:szCs w:val="20"/>
                <w:color w:val="auto"/>
              </w:rPr>
            </w:pPr>
            <w:r>
              <w:rPr>
                <w:rFonts w:ascii="Arial" w:cs="Arial" w:eastAsia="Arial" w:hAnsi="Arial"/>
                <w:sz w:val="13"/>
                <w:szCs w:val="13"/>
                <w:b w:val="1"/>
                <w:bCs w:val="1"/>
                <w:color w:val="auto"/>
                <w:w w:val="88"/>
              </w:rPr>
              <w:t>Additional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3"/>
                <w:szCs w:val="13"/>
                <w:b w:val="1"/>
                <w:bCs w:val="1"/>
                <w:color w:val="auto"/>
                <w:w w:val="88"/>
              </w:rPr>
              <w:t>Stockholders’</w:t>
            </w:r>
          </w:p>
        </w:tc>
      </w:tr>
      <w:tr>
        <w:trPr>
          <w:trHeight w:val="150"/>
        </w:trPr>
        <w:tc>
          <w:tcPr>
            <w:tcW w:w="156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Paid-In</w:t>
            </w:r>
          </w:p>
        </w:tc>
        <w:tc>
          <w:tcPr>
            <w:tcW w:w="1260" w:type="dxa"/>
            <w:vAlign w:val="bottom"/>
            <w:gridSpan w:val="4"/>
          </w:tcPr>
          <w:p>
            <w:pPr>
              <w:ind w:left="220"/>
              <w:spacing w:after="0"/>
              <w:rPr>
                <w:sz w:val="20"/>
                <w:szCs w:val="20"/>
                <w:color w:val="auto"/>
              </w:rPr>
            </w:pPr>
            <w:r>
              <w:rPr>
                <w:rFonts w:ascii="Arial" w:cs="Arial" w:eastAsia="Arial" w:hAnsi="Arial"/>
                <w:sz w:val="13"/>
                <w:szCs w:val="13"/>
                <w:b w:val="1"/>
                <w:bCs w:val="1"/>
                <w:color w:val="auto"/>
              </w:rPr>
              <w:t>Comprehensive</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r>
      <w:tr>
        <w:trPr>
          <w:trHeight w:val="133"/>
        </w:trPr>
        <w:tc>
          <w:tcPr>
            <w:tcW w:w="960" w:type="dxa"/>
            <w:vAlign w:val="bottom"/>
            <w:gridSpan w:val="2"/>
          </w:tcPr>
          <w:p>
            <w:pPr>
              <w:ind w:left="180"/>
              <w:spacing w:after="0" w:line="133" w:lineRule="exact"/>
              <w:rPr>
                <w:sz w:val="20"/>
                <w:szCs w:val="20"/>
                <w:color w:val="auto"/>
              </w:rPr>
            </w:pPr>
            <w:r>
              <w:rPr>
                <w:rFonts w:ascii="Arial" w:cs="Arial" w:eastAsia="Arial" w:hAnsi="Arial"/>
                <w:sz w:val="13"/>
                <w:szCs w:val="13"/>
                <w:b w:val="1"/>
                <w:bCs w:val="1"/>
                <w:color w:val="auto"/>
              </w:rPr>
              <w:t>Shares</w:t>
            </w:r>
          </w:p>
        </w:tc>
        <w:tc>
          <w:tcPr>
            <w:tcW w:w="60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3"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80"/>
              <w:spacing w:after="0" w:line="133" w:lineRule="exact"/>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1"/>
                <w:szCs w:val="11"/>
                <w:color w:val="auto"/>
              </w:rPr>
            </w:pPr>
          </w:p>
        </w:tc>
        <w:tc>
          <w:tcPr>
            <w:tcW w:w="840" w:type="dxa"/>
            <w:vAlign w:val="bottom"/>
            <w:gridSpan w:val="2"/>
          </w:tcPr>
          <w:p>
            <w:pPr>
              <w:jc w:val="right"/>
              <w:ind w:right="420"/>
              <w:spacing w:after="0" w:line="133"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68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auto"/>
                <w:w w:val="90"/>
              </w:rPr>
              <w:t>Equity</w:t>
            </w:r>
          </w:p>
        </w:tc>
      </w:tr>
      <w:tr>
        <w:trPr>
          <w:trHeight w:val="150"/>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3,565,789</w:t>
            </w:r>
          </w:p>
        </w:tc>
        <w:tc>
          <w:tcPr>
            <w:tcW w:w="200" w:type="dxa"/>
            <w:vAlign w:val="bottom"/>
          </w:tcPr>
          <w:p>
            <w:pPr>
              <w:spacing w:after="0"/>
              <w:rPr>
                <w:sz w:val="13"/>
                <w:szCs w:val="13"/>
                <w:color w:val="auto"/>
              </w:rPr>
            </w:pPr>
          </w:p>
        </w:tc>
        <w:tc>
          <w:tcPr>
            <w:tcW w:w="600" w:type="dxa"/>
            <w:vAlign w:val="bottom"/>
            <w:tcBorders>
              <w:top w:val="single" w:sz="8" w:color="auto"/>
            </w:tcBorders>
          </w:tcPr>
          <w:p>
            <w:pPr>
              <w:jc w:val="right"/>
              <w:ind w:right="484"/>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1,166</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(18,583)</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(17,417)</w:t>
            </w:r>
          </w:p>
        </w:tc>
        <w:tc>
          <w:tcPr>
            <w:tcW w:w="40" w:type="dxa"/>
            <w:vAlign w:val="bottom"/>
          </w:tcPr>
          <w:p>
            <w:pPr>
              <w:spacing w:after="0"/>
              <w:rPr>
                <w:sz w:val="13"/>
                <w:szCs w:val="13"/>
                <w:color w:val="auto"/>
              </w:rPr>
            </w:pPr>
          </w:p>
        </w:tc>
      </w:tr>
      <w:tr>
        <w:trPr>
          <w:trHeight w:val="251"/>
        </w:trPr>
        <w:tc>
          <w:tcPr>
            <w:tcW w:w="760" w:type="dxa"/>
            <w:vAlign w:val="bottom"/>
          </w:tcPr>
          <w:p>
            <w:pPr>
              <w:jc w:val="right"/>
              <w:spacing w:after="0"/>
              <w:rPr>
                <w:sz w:val="20"/>
                <w:szCs w:val="20"/>
                <w:color w:val="auto"/>
              </w:rPr>
            </w:pPr>
            <w:r>
              <w:rPr>
                <w:rFonts w:ascii="Arial" w:cs="Arial" w:eastAsia="Arial" w:hAnsi="Arial"/>
                <w:sz w:val="13"/>
                <w:szCs w:val="13"/>
                <w:color w:val="auto"/>
              </w:rPr>
              <w:t>6,305</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21"/>
                <w:szCs w:val="21"/>
                <w:color w:val="auto"/>
              </w:rPr>
            </w:pPr>
          </w:p>
        </w:tc>
      </w:tr>
      <w:tr>
        <w:trPr>
          <w:trHeight w:val="141"/>
        </w:trPr>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69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69</w:t>
            </w:r>
          </w:p>
        </w:tc>
        <w:tc>
          <w:tcPr>
            <w:tcW w:w="40" w:type="dxa"/>
            <w:vAlign w:val="bottom"/>
          </w:tcPr>
          <w:p>
            <w:pPr>
              <w:spacing w:after="0"/>
              <w:rPr>
                <w:sz w:val="12"/>
                <w:szCs w:val="12"/>
                <w:color w:val="auto"/>
              </w:rPr>
            </w:pPr>
          </w:p>
        </w:tc>
      </w:tr>
      <w:tr>
        <w:trPr>
          <w:trHeight w:val="146"/>
        </w:trPr>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(1,530)</w:t>
            </w:r>
          </w:p>
        </w:tc>
        <w:tc>
          <w:tcPr>
            <w:tcW w:w="100" w:type="dxa"/>
            <w:vAlign w:val="bottom"/>
          </w:tcPr>
          <w:p>
            <w:pPr>
              <w:spacing w:after="0"/>
              <w:rPr>
                <w:sz w:val="12"/>
                <w:szCs w:val="12"/>
                <w:color w:val="auto"/>
              </w:rPr>
            </w:pPr>
          </w:p>
        </w:tc>
        <w:tc>
          <w:tcPr>
            <w:tcW w:w="6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(1,530)</w:t>
            </w:r>
          </w:p>
        </w:tc>
      </w:tr>
      <w:tr>
        <w:trPr>
          <w:trHeight w:val="133"/>
        </w:trPr>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3,572,094</w:t>
            </w:r>
          </w:p>
        </w:tc>
        <w:tc>
          <w:tcPr>
            <w:tcW w:w="2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1,241</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(20,113)</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(18,872)</w:t>
            </w:r>
          </w:p>
        </w:tc>
        <w:tc>
          <w:tcPr>
            <w:tcW w:w="40" w:type="dxa"/>
            <w:vAlign w:val="bottom"/>
          </w:tcPr>
          <w:p>
            <w:pPr>
              <w:spacing w:after="0"/>
              <w:rPr>
                <w:sz w:val="11"/>
                <w:szCs w:val="1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-2379980</wp:posOffset>
            </wp:positionV>
            <wp:extent cx="7149465" cy="2380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380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280"/>
            <w:col w:w="5700"/>
          </w:cols>
          <w:pgMar w:left="320" w:top="312" w:right="339" w:bottom="1440" w:gutter="0" w:footer="0" w:header="0"/>
          <w:type w:val="continuous"/>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6470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Convertible Preferred Stock and Stockholders’ (Deficit) Equity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Nine Months Ended September 30, 2020 and 2019</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40"/>
          </w:cols>
          <w:pgMar w:left="320" w:top="312" w:right="339" w:bottom="1440" w:gutter="0" w:footer="0" w:header="0"/>
        </w:sect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176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Convertible</w:t>
            </w:r>
          </w:p>
        </w:tc>
        <w:tc>
          <w:tcPr>
            <w:tcW w:w="0" w:type="dxa"/>
            <w:vAlign w:val="bottom"/>
          </w:tcPr>
          <w:p>
            <w:pPr>
              <w:spacing w:after="0"/>
              <w:rPr>
                <w:sz w:val="1"/>
                <w:szCs w:val="1"/>
                <w:color w:val="auto"/>
              </w:rPr>
            </w:pPr>
          </w:p>
        </w:tc>
      </w:tr>
      <w:tr>
        <w:trPr>
          <w:trHeight w:val="150"/>
        </w:trPr>
        <w:tc>
          <w:tcPr>
            <w:tcW w:w="3500" w:type="dxa"/>
            <w:vAlign w:val="bottom"/>
          </w:tcPr>
          <w:p>
            <w:pPr>
              <w:spacing w:after="0"/>
              <w:rPr>
                <w:sz w:val="13"/>
                <w:szCs w:val="13"/>
                <w:color w:val="auto"/>
              </w:rPr>
            </w:pPr>
          </w:p>
        </w:tc>
        <w:tc>
          <w:tcPr>
            <w:tcW w:w="1760" w:type="dxa"/>
            <w:vAlign w:val="bottom"/>
            <w:gridSpan w:val="6"/>
          </w:tcPr>
          <w:p>
            <w:pPr>
              <w:jc w:val="right"/>
              <w:ind w:right="480"/>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33"/>
        </w:trPr>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Balance as of December 31, 2019</w:t>
            </w:r>
          </w:p>
        </w:tc>
        <w:tc>
          <w:tcPr>
            <w:tcW w:w="96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97"/>
              <w:spacing w:after="0" w:line="133" w:lineRule="exact"/>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00" w:type="dxa"/>
            <w:vAlign w:val="bottom"/>
            <w:vMerge w:val="continue"/>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2,617,386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17,051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00" w:type="dxa"/>
            <w:vAlign w:val="bottom"/>
          </w:tcPr>
          <w:p>
            <w:pPr>
              <w:ind w:left="200"/>
              <w:spacing w:after="0" w:line="130" w:lineRule="exact"/>
              <w:rPr>
                <w:sz w:val="20"/>
                <w:szCs w:val="20"/>
                <w:color w:val="auto"/>
              </w:rPr>
            </w:pPr>
            <w:r>
              <w:rPr>
                <w:rFonts w:ascii="Arial" w:cs="Arial" w:eastAsia="Arial" w:hAnsi="Arial"/>
                <w:sz w:val="13"/>
                <w:szCs w:val="13"/>
                <w:color w:val="auto"/>
              </w:rPr>
              <w:t>Issuance of common stock upon exercise of</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500" w:type="dxa"/>
            <w:vAlign w:val="bottom"/>
          </w:tcPr>
          <w:p>
            <w:pPr>
              <w:ind w:left="300"/>
              <w:spacing w:after="0" w:line="142" w:lineRule="exact"/>
              <w:rPr>
                <w:sz w:val="20"/>
                <w:szCs w:val="20"/>
                <w:color w:val="auto"/>
              </w:rPr>
            </w:pPr>
            <w:r>
              <w:rPr>
                <w:rFonts w:ascii="Arial" w:cs="Arial" w:eastAsia="Arial" w:hAnsi="Arial"/>
                <w:sz w:val="13"/>
                <w:szCs w:val="13"/>
                <w:color w:val="auto"/>
              </w:rPr>
              <w:t>common stock options</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3500" w:type="dxa"/>
            <w:vAlign w:val="bottom"/>
          </w:tcPr>
          <w:p>
            <w:pPr>
              <w:ind w:left="200"/>
              <w:spacing w:after="0" w:line="130" w:lineRule="exact"/>
              <w:rPr>
                <w:sz w:val="20"/>
                <w:szCs w:val="20"/>
                <w:color w:val="auto"/>
              </w:rPr>
            </w:pPr>
            <w:r>
              <w:rPr>
                <w:rFonts w:ascii="Arial" w:cs="Arial" w:eastAsia="Arial" w:hAnsi="Arial"/>
                <w:sz w:val="13"/>
                <w:szCs w:val="13"/>
                <w:color w:val="auto"/>
              </w:rPr>
              <w:t>Issuance of Series B convertible preferred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00" w:type="dxa"/>
            <w:vAlign w:val="bottom"/>
          </w:tcPr>
          <w:p>
            <w:pPr>
              <w:ind w:left="300"/>
              <w:spacing w:after="0" w:line="130" w:lineRule="exact"/>
              <w:rPr>
                <w:sz w:val="20"/>
                <w:szCs w:val="20"/>
                <w:color w:val="auto"/>
              </w:rPr>
            </w:pPr>
            <w:r>
              <w:rPr>
                <w:rFonts w:ascii="Arial" w:cs="Arial" w:eastAsia="Arial" w:hAnsi="Arial"/>
                <w:sz w:val="13"/>
                <w:szCs w:val="13"/>
                <w:color w:val="auto"/>
              </w:rPr>
              <w:t>stock and common stock warrants, net</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500" w:type="dxa"/>
            <w:vAlign w:val="bottom"/>
          </w:tcPr>
          <w:p>
            <w:pPr>
              <w:ind w:left="300"/>
              <w:spacing w:after="0" w:line="142" w:lineRule="exact"/>
              <w:rPr>
                <w:sz w:val="20"/>
                <w:szCs w:val="20"/>
                <w:color w:val="auto"/>
              </w:rPr>
            </w:pPr>
            <w:r>
              <w:rPr>
                <w:rFonts w:ascii="Arial" w:cs="Arial" w:eastAsia="Arial" w:hAnsi="Arial"/>
                <w:sz w:val="13"/>
                <w:szCs w:val="13"/>
                <w:color w:val="auto"/>
              </w:rPr>
              <w:t>of issuance costs of $3.5 million</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9,372,765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70,971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00" w:type="dxa"/>
            <w:vAlign w:val="bottom"/>
          </w:tcPr>
          <w:p>
            <w:pPr>
              <w:ind w:left="200"/>
              <w:spacing w:after="0" w:line="130" w:lineRule="exact"/>
              <w:rPr>
                <w:sz w:val="20"/>
                <w:szCs w:val="20"/>
                <w:color w:val="auto"/>
              </w:rPr>
            </w:pPr>
            <w:r>
              <w:rPr>
                <w:rFonts w:ascii="Arial" w:cs="Arial" w:eastAsia="Arial" w:hAnsi="Arial"/>
                <w:sz w:val="13"/>
                <w:szCs w:val="13"/>
                <w:color w:val="auto"/>
              </w:rPr>
              <w:t>Issuance of the Series B-1 convertible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500" w:type="dxa"/>
            <w:vAlign w:val="bottom"/>
          </w:tcPr>
          <w:p>
            <w:pPr>
              <w:ind w:left="300"/>
              <w:spacing w:after="0" w:line="142" w:lineRule="exact"/>
              <w:rPr>
                <w:sz w:val="20"/>
                <w:szCs w:val="20"/>
                <w:color w:val="auto"/>
              </w:rPr>
            </w:pPr>
            <w:r>
              <w:rPr>
                <w:rFonts w:ascii="Arial" w:cs="Arial" w:eastAsia="Arial" w:hAnsi="Arial"/>
                <w:sz w:val="13"/>
                <w:szCs w:val="13"/>
                <w:color w:val="auto"/>
              </w:rPr>
              <w:t>preferred stock upon conversion of convertible notes</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512,858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4,515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00" w:type="dxa"/>
            <w:vAlign w:val="bottom"/>
          </w:tcPr>
          <w:p>
            <w:pPr>
              <w:ind w:left="200"/>
              <w:spacing w:after="0" w:line="130" w:lineRule="exact"/>
              <w:rPr>
                <w:sz w:val="20"/>
                <w:szCs w:val="20"/>
                <w:color w:val="auto"/>
              </w:rPr>
            </w:pPr>
            <w:r>
              <w:rPr>
                <w:rFonts w:ascii="Arial" w:cs="Arial" w:eastAsia="Arial" w:hAnsi="Arial"/>
                <w:sz w:val="13"/>
                <w:szCs w:val="13"/>
                <w:color w:val="auto"/>
              </w:rPr>
              <w:t>Proceeds from initial public offering, net of</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00" w:type="dxa"/>
            <w:vAlign w:val="bottom"/>
          </w:tcPr>
          <w:p>
            <w:pPr>
              <w:ind w:left="300"/>
              <w:spacing w:after="0" w:line="130" w:lineRule="exact"/>
              <w:rPr>
                <w:sz w:val="20"/>
                <w:szCs w:val="20"/>
                <w:color w:val="auto"/>
              </w:rPr>
            </w:pPr>
            <w:r>
              <w:rPr>
                <w:rFonts w:ascii="Arial" w:cs="Arial" w:eastAsia="Arial" w:hAnsi="Arial"/>
                <w:sz w:val="13"/>
                <w:szCs w:val="13"/>
                <w:color w:val="auto"/>
              </w:rPr>
              <w:t>underwriters' discounts and commissions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500" w:type="dxa"/>
            <w:vAlign w:val="bottom"/>
          </w:tcPr>
          <w:p>
            <w:pPr>
              <w:ind w:left="300"/>
              <w:spacing w:after="0" w:line="142" w:lineRule="exact"/>
              <w:rPr>
                <w:sz w:val="20"/>
                <w:szCs w:val="20"/>
                <w:color w:val="auto"/>
              </w:rPr>
            </w:pPr>
            <w:r>
              <w:rPr>
                <w:rFonts w:ascii="Arial" w:cs="Arial" w:eastAsia="Arial" w:hAnsi="Arial"/>
                <w:sz w:val="13"/>
                <w:szCs w:val="13"/>
                <w:color w:val="auto"/>
              </w:rPr>
              <w:t>and issuance costs of $3.3 million</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500" w:type="dxa"/>
            <w:vAlign w:val="bottom"/>
          </w:tcPr>
          <w:p>
            <w:pPr>
              <w:ind w:left="200"/>
              <w:spacing w:after="0" w:line="142" w:lineRule="exact"/>
              <w:rPr>
                <w:sz w:val="20"/>
                <w:szCs w:val="20"/>
                <w:color w:val="auto"/>
              </w:rPr>
            </w:pPr>
            <w:r>
              <w:rPr>
                <w:rFonts w:ascii="Arial" w:cs="Arial" w:eastAsia="Arial" w:hAnsi="Arial"/>
                <w:sz w:val="13"/>
                <w:szCs w:val="13"/>
                <w:color w:val="auto"/>
              </w:rPr>
              <w:t>Conversion of convertible preferred stock</w:t>
            </w: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(12,503,009)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(92,537)</w:t>
            </w:r>
          </w:p>
        </w:tc>
        <w:tc>
          <w:tcPr>
            <w:tcW w:w="0" w:type="dxa"/>
            <w:vAlign w:val="bottom"/>
          </w:tcPr>
          <w:p>
            <w:pPr>
              <w:spacing w:after="0"/>
              <w:rPr>
                <w:sz w:val="1"/>
                <w:szCs w:val="1"/>
                <w:color w:val="auto"/>
              </w:rPr>
            </w:pPr>
          </w:p>
        </w:tc>
      </w:tr>
      <w:tr>
        <w:trPr>
          <w:trHeight w:val="141"/>
        </w:trPr>
        <w:tc>
          <w:tcPr>
            <w:tcW w:w="3500" w:type="dxa"/>
            <w:vAlign w:val="bottom"/>
          </w:tcPr>
          <w:p>
            <w:pPr>
              <w:ind w:left="200"/>
              <w:spacing w:after="0" w:line="142" w:lineRule="exact"/>
              <w:rPr>
                <w:sz w:val="20"/>
                <w:szCs w:val="20"/>
                <w:color w:val="auto"/>
              </w:rPr>
            </w:pPr>
            <w:r>
              <w:rPr>
                <w:rFonts w:ascii="Arial" w:cs="Arial" w:eastAsia="Arial" w:hAnsi="Arial"/>
                <w:sz w:val="13"/>
                <w:szCs w:val="13"/>
                <w:color w:val="auto"/>
              </w:rPr>
              <w:t>Exercise of common stock warrants</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500" w:type="dxa"/>
            <w:vAlign w:val="bottom"/>
          </w:tcPr>
          <w:p>
            <w:pPr>
              <w:ind w:left="200"/>
              <w:spacing w:after="0" w:line="142" w:lineRule="exact"/>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500" w:type="dxa"/>
            <w:vAlign w:val="bottom"/>
          </w:tcPr>
          <w:p>
            <w:pPr>
              <w:ind w:left="200"/>
              <w:spacing w:after="0" w:line="142" w:lineRule="exact"/>
              <w:rPr>
                <w:sz w:val="20"/>
                <w:szCs w:val="20"/>
                <w:color w:val="auto"/>
              </w:rPr>
            </w:pPr>
            <w:r>
              <w:rPr>
                <w:rFonts w:ascii="Arial" w:cs="Arial" w:eastAsia="Arial" w:hAnsi="Arial"/>
                <w:sz w:val="13"/>
                <w:szCs w:val="13"/>
                <w:color w:val="auto"/>
              </w:rPr>
              <w:t>Other comprehensive income</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00" w:type="dxa"/>
            <w:vAlign w:val="bottom"/>
          </w:tcPr>
          <w:p>
            <w:pPr>
              <w:ind w:left="200"/>
              <w:spacing w:after="0" w:line="146" w:lineRule="exact"/>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3500" w:type="dxa"/>
            <w:vAlign w:val="bottom"/>
          </w:tcPr>
          <w:p>
            <w:pPr>
              <w:spacing w:after="0" w:line="133" w:lineRule="exact"/>
              <w:rPr>
                <w:sz w:val="20"/>
                <w:szCs w:val="20"/>
                <w:color w:val="auto"/>
              </w:rPr>
            </w:pPr>
            <w:r>
              <w:rPr>
                <w:rFonts w:ascii="Arial" w:cs="Arial" w:eastAsia="Arial" w:hAnsi="Arial"/>
                <w:sz w:val="13"/>
                <w:szCs w:val="13"/>
                <w:b w:val="1"/>
                <w:bCs w:val="1"/>
                <w:color w:val="auto"/>
              </w:rPr>
              <w:t>Balance as of September 30, 2020</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1720" w:type="dxa"/>
            <w:vAlign w:val="bottom"/>
            <w:gridSpan w:val="5"/>
          </w:tcPr>
          <w:p>
            <w:pPr>
              <w:jc w:val="right"/>
              <w:ind w:right="497"/>
              <w:spacing w:after="0"/>
              <w:rPr>
                <w:sz w:val="20"/>
                <w:szCs w:val="20"/>
                <w:color w:val="auto"/>
              </w:rPr>
            </w:pPr>
            <w:r>
              <w:rPr>
                <w:rFonts w:ascii="Arial" w:cs="Arial" w:eastAsia="Arial" w:hAnsi="Arial"/>
                <w:sz w:val="13"/>
                <w:szCs w:val="13"/>
                <w:b w:val="1"/>
                <w:bCs w:val="1"/>
                <w:color w:val="auto"/>
              </w:rPr>
              <w:t>Convertible</w:t>
            </w:r>
          </w:p>
        </w:tc>
        <w:tc>
          <w:tcPr>
            <w:tcW w:w="0" w:type="dxa"/>
            <w:vAlign w:val="bottom"/>
          </w:tcPr>
          <w:p>
            <w:pPr>
              <w:spacing w:after="0"/>
              <w:rPr>
                <w:sz w:val="1"/>
                <w:szCs w:val="1"/>
                <w:color w:val="auto"/>
              </w:rPr>
            </w:pPr>
          </w:p>
        </w:tc>
      </w:tr>
      <w:tr>
        <w:trPr>
          <w:trHeight w:val="150"/>
        </w:trPr>
        <w:tc>
          <w:tcPr>
            <w:tcW w:w="3500" w:type="dxa"/>
            <w:vAlign w:val="bottom"/>
          </w:tcPr>
          <w:p>
            <w:pPr>
              <w:spacing w:after="0"/>
              <w:rPr>
                <w:sz w:val="13"/>
                <w:szCs w:val="13"/>
                <w:color w:val="auto"/>
              </w:rPr>
            </w:pPr>
          </w:p>
        </w:tc>
        <w:tc>
          <w:tcPr>
            <w:tcW w:w="1720" w:type="dxa"/>
            <w:vAlign w:val="bottom"/>
            <w:tcBorders>
              <w:bottom w:val="single" w:sz="8" w:color="auto"/>
            </w:tcBorders>
            <w:gridSpan w:val="5"/>
          </w:tcPr>
          <w:p>
            <w:pPr>
              <w:jc w:val="right"/>
              <w:ind w:right="377"/>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33"/>
        </w:trPr>
        <w:tc>
          <w:tcPr>
            <w:tcW w:w="3500" w:type="dxa"/>
            <w:vAlign w:val="bottom"/>
            <w:vMerge w:val="restart"/>
          </w:tcPr>
          <w:p>
            <w:pPr>
              <w:jc w:val="center"/>
              <w:ind w:right="1697"/>
              <w:spacing w:after="0"/>
              <w:rPr>
                <w:sz w:val="20"/>
                <w:szCs w:val="20"/>
                <w:color w:val="auto"/>
              </w:rPr>
            </w:pPr>
            <w:r>
              <w:rPr>
                <w:rFonts w:ascii="Arial" w:cs="Arial" w:eastAsia="Arial" w:hAnsi="Arial"/>
                <w:sz w:val="13"/>
                <w:szCs w:val="13"/>
                <w:b w:val="1"/>
                <w:bCs w:val="1"/>
                <w:color w:val="auto"/>
                <w:w w:val="85"/>
              </w:rPr>
              <w:t>Balance as of December 31, 2018</w:t>
            </w:r>
          </w:p>
        </w:tc>
        <w:tc>
          <w:tcPr>
            <w:tcW w:w="960" w:type="dxa"/>
            <w:vAlign w:val="bottom"/>
            <w:gridSpan w:val="2"/>
          </w:tcPr>
          <w:p>
            <w:pPr>
              <w:ind w:left="180"/>
              <w:spacing w:after="0" w:line="133"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97"/>
              <w:spacing w:after="0" w:line="133" w:lineRule="exact"/>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29"/>
        </w:trPr>
        <w:tc>
          <w:tcPr>
            <w:tcW w:w="3500" w:type="dxa"/>
            <w:vAlign w:val="bottom"/>
            <w:vMerge w:val="continue"/>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2,617,386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17,051</w:t>
            </w:r>
          </w:p>
        </w:tc>
        <w:tc>
          <w:tcPr>
            <w:tcW w:w="0" w:type="dxa"/>
            <w:vAlign w:val="bottom"/>
          </w:tcPr>
          <w:p>
            <w:pPr>
              <w:spacing w:after="0"/>
              <w:rPr>
                <w:sz w:val="1"/>
                <w:szCs w:val="1"/>
                <w:color w:val="auto"/>
              </w:rPr>
            </w:pPr>
          </w:p>
        </w:tc>
      </w:tr>
      <w:tr>
        <w:trPr>
          <w:trHeight w:val="130"/>
        </w:trPr>
        <w:tc>
          <w:tcPr>
            <w:tcW w:w="3500" w:type="dxa"/>
            <w:vAlign w:val="bottom"/>
          </w:tcPr>
          <w:p>
            <w:pPr>
              <w:ind w:left="200"/>
              <w:spacing w:after="0" w:line="130" w:lineRule="exact"/>
              <w:rPr>
                <w:sz w:val="20"/>
                <w:szCs w:val="20"/>
                <w:color w:val="auto"/>
              </w:rPr>
            </w:pPr>
            <w:r>
              <w:rPr>
                <w:rFonts w:ascii="Arial" w:cs="Arial" w:eastAsia="Arial" w:hAnsi="Arial"/>
                <w:sz w:val="13"/>
                <w:szCs w:val="13"/>
                <w:color w:val="auto"/>
              </w:rPr>
              <w:t>Issuance of common stock upon exercise of</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500" w:type="dxa"/>
            <w:vAlign w:val="bottom"/>
          </w:tcPr>
          <w:p>
            <w:pPr>
              <w:jc w:val="center"/>
              <w:ind w:right="1697"/>
              <w:spacing w:after="0" w:line="142" w:lineRule="exact"/>
              <w:rPr>
                <w:sz w:val="20"/>
                <w:szCs w:val="20"/>
                <w:color w:val="auto"/>
              </w:rPr>
            </w:pPr>
            <w:r>
              <w:rPr>
                <w:rFonts w:ascii="Arial" w:cs="Arial" w:eastAsia="Arial" w:hAnsi="Arial"/>
                <w:sz w:val="13"/>
                <w:szCs w:val="13"/>
                <w:color w:val="auto"/>
                <w:w w:val="88"/>
              </w:rPr>
              <w:t>common stock options</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500" w:type="dxa"/>
            <w:vAlign w:val="bottom"/>
          </w:tcPr>
          <w:p>
            <w:pPr>
              <w:jc w:val="center"/>
              <w:ind w:right="1677"/>
              <w:spacing w:after="0" w:line="142" w:lineRule="exact"/>
              <w:rPr>
                <w:sz w:val="20"/>
                <w:szCs w:val="20"/>
                <w:color w:val="auto"/>
              </w:rPr>
            </w:pPr>
            <w:r>
              <w:rPr>
                <w:rFonts w:ascii="Arial" w:cs="Arial" w:eastAsia="Arial" w:hAnsi="Arial"/>
                <w:sz w:val="13"/>
                <w:szCs w:val="13"/>
                <w:color w:val="auto"/>
                <w:w w:val="86"/>
              </w:rPr>
              <w:t>Stock-based compensation</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00" w:type="dxa"/>
            <w:vAlign w:val="bottom"/>
          </w:tcPr>
          <w:p>
            <w:pPr>
              <w:ind w:left="200"/>
              <w:spacing w:after="0" w:line="146" w:lineRule="exact"/>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3500" w:type="dxa"/>
            <w:vAlign w:val="bottom"/>
          </w:tcPr>
          <w:p>
            <w:pPr>
              <w:jc w:val="center"/>
              <w:ind w:right="1657"/>
              <w:spacing w:after="0" w:line="133" w:lineRule="exact"/>
              <w:rPr>
                <w:sz w:val="20"/>
                <w:szCs w:val="20"/>
                <w:color w:val="auto"/>
              </w:rPr>
            </w:pPr>
            <w:r>
              <w:rPr>
                <w:rFonts w:ascii="Arial" w:cs="Arial" w:eastAsia="Arial" w:hAnsi="Arial"/>
                <w:sz w:val="13"/>
                <w:szCs w:val="13"/>
                <w:b w:val="1"/>
                <w:bCs w:val="1"/>
                <w:color w:val="auto"/>
                <w:w w:val="85"/>
              </w:rPr>
              <w:t>Balance as of September 30, 2019</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2,617,386</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17,051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r>
      <w:tr>
        <w:trPr>
          <w:trHeight w:val="130"/>
        </w:trPr>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0" w:lineRule="exact"/>
              <w:rPr>
                <w:sz w:val="20"/>
                <w:szCs w:val="20"/>
                <w:color w:val="auto"/>
              </w:rPr>
            </w:pPr>
            <w:r>
              <w:rPr>
                <w:rFonts w:ascii="Arial" w:cs="Arial" w:eastAsia="Arial" w:hAnsi="Arial"/>
                <w:sz w:val="13"/>
                <w:szCs w:val="13"/>
                <w:b w:val="1"/>
                <w:bCs w:val="1"/>
                <w:color w:val="auto"/>
                <w:w w:val="88"/>
              </w:rPr>
              <w:t>Additional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3"/>
                <w:szCs w:val="13"/>
                <w:b w:val="1"/>
                <w:bCs w:val="1"/>
                <w:color w:val="auto"/>
                <w:w w:val="88"/>
              </w:rPr>
              <w:t>Stockholders’</w:t>
            </w:r>
          </w:p>
        </w:tc>
      </w:tr>
      <w:tr>
        <w:trPr>
          <w:trHeight w:val="150"/>
        </w:trPr>
        <w:tc>
          <w:tcPr>
            <w:tcW w:w="156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Paid-In</w:t>
            </w:r>
          </w:p>
        </w:tc>
        <w:tc>
          <w:tcPr>
            <w:tcW w:w="1260" w:type="dxa"/>
            <w:vAlign w:val="bottom"/>
            <w:gridSpan w:val="4"/>
          </w:tcPr>
          <w:p>
            <w:pPr>
              <w:ind w:left="220"/>
              <w:spacing w:after="0"/>
              <w:rPr>
                <w:sz w:val="20"/>
                <w:szCs w:val="20"/>
                <w:color w:val="auto"/>
              </w:rPr>
            </w:pPr>
            <w:r>
              <w:rPr>
                <w:rFonts w:ascii="Arial" w:cs="Arial" w:eastAsia="Arial" w:hAnsi="Arial"/>
                <w:sz w:val="13"/>
                <w:szCs w:val="13"/>
                <w:b w:val="1"/>
                <w:bCs w:val="1"/>
                <w:color w:val="auto"/>
              </w:rPr>
              <w:t>Comprehensive</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r>
      <w:tr>
        <w:trPr>
          <w:trHeight w:val="133"/>
        </w:trPr>
        <w:tc>
          <w:tcPr>
            <w:tcW w:w="960" w:type="dxa"/>
            <w:vAlign w:val="bottom"/>
            <w:gridSpan w:val="2"/>
          </w:tcPr>
          <w:p>
            <w:pPr>
              <w:ind w:left="180"/>
              <w:spacing w:after="0" w:line="133" w:lineRule="exact"/>
              <w:rPr>
                <w:sz w:val="20"/>
                <w:szCs w:val="20"/>
                <w:color w:val="auto"/>
              </w:rPr>
            </w:pPr>
            <w:r>
              <w:rPr>
                <w:rFonts w:ascii="Arial" w:cs="Arial" w:eastAsia="Arial" w:hAnsi="Arial"/>
                <w:sz w:val="13"/>
                <w:szCs w:val="13"/>
                <w:b w:val="1"/>
                <w:bCs w:val="1"/>
                <w:color w:val="auto"/>
              </w:rPr>
              <w:t>Shares</w:t>
            </w:r>
          </w:p>
        </w:tc>
        <w:tc>
          <w:tcPr>
            <w:tcW w:w="60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3"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80"/>
              <w:spacing w:after="0" w:line="133" w:lineRule="exact"/>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1"/>
                <w:szCs w:val="11"/>
                <w:color w:val="auto"/>
              </w:rPr>
            </w:pPr>
          </w:p>
        </w:tc>
        <w:tc>
          <w:tcPr>
            <w:tcW w:w="840" w:type="dxa"/>
            <w:vAlign w:val="bottom"/>
            <w:gridSpan w:val="2"/>
          </w:tcPr>
          <w:p>
            <w:pPr>
              <w:jc w:val="right"/>
              <w:ind w:right="420"/>
              <w:spacing w:after="0" w:line="133"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68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auto"/>
                <w:w w:val="90"/>
              </w:rPr>
              <w:t>Equity</w:t>
            </w:r>
          </w:p>
        </w:tc>
      </w:tr>
      <w:tr>
        <w:trPr>
          <w:trHeight w:val="150"/>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3,641,449</w:t>
            </w:r>
          </w:p>
        </w:tc>
        <w:tc>
          <w:tcPr>
            <w:tcW w:w="200" w:type="dxa"/>
            <w:vAlign w:val="bottom"/>
          </w:tcPr>
          <w:p>
            <w:pPr>
              <w:spacing w:after="0"/>
              <w:rPr>
                <w:sz w:val="13"/>
                <w:szCs w:val="13"/>
                <w:color w:val="auto"/>
              </w:rPr>
            </w:pPr>
          </w:p>
        </w:tc>
        <w:tc>
          <w:tcPr>
            <w:tcW w:w="600" w:type="dxa"/>
            <w:vAlign w:val="bottom"/>
            <w:tcBorders>
              <w:top w:val="single" w:sz="8" w:color="auto"/>
            </w:tcBorders>
          </w:tcPr>
          <w:p>
            <w:pPr>
              <w:jc w:val="right"/>
              <w:ind w:right="484"/>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1,364</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(21,087)</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(19,723)</w:t>
            </w:r>
          </w:p>
        </w:tc>
        <w:tc>
          <w:tcPr>
            <w:tcW w:w="40" w:type="dxa"/>
            <w:vAlign w:val="bottom"/>
          </w:tcPr>
          <w:p>
            <w:pPr>
              <w:spacing w:after="0"/>
              <w:rPr>
                <w:sz w:val="13"/>
                <w:szCs w:val="13"/>
                <w:color w:val="auto"/>
              </w:rPr>
            </w:pPr>
          </w:p>
        </w:tc>
      </w:tr>
      <w:tr>
        <w:trPr>
          <w:trHeight w:val="267"/>
        </w:trPr>
        <w:tc>
          <w:tcPr>
            <w:tcW w:w="760" w:type="dxa"/>
            <w:vAlign w:val="bottom"/>
          </w:tcPr>
          <w:p>
            <w:pPr>
              <w:jc w:val="right"/>
              <w:spacing w:after="0"/>
              <w:rPr>
                <w:sz w:val="20"/>
                <w:szCs w:val="20"/>
                <w:color w:val="auto"/>
              </w:rPr>
            </w:pPr>
            <w:r>
              <w:rPr>
                <w:rFonts w:ascii="Arial" w:cs="Arial" w:eastAsia="Arial" w:hAnsi="Arial"/>
                <w:sz w:val="13"/>
                <w:szCs w:val="13"/>
                <w:color w:val="auto"/>
              </w:rPr>
              <w:t>540,334</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542</w:t>
            </w:r>
          </w:p>
        </w:tc>
        <w:tc>
          <w:tcPr>
            <w:tcW w:w="40" w:type="dxa"/>
            <w:vAlign w:val="bottom"/>
          </w:tcPr>
          <w:p>
            <w:pPr>
              <w:spacing w:after="0"/>
              <w:rPr>
                <w:sz w:val="23"/>
                <w:szCs w:val="23"/>
                <w:color w:val="auto"/>
              </w:rPr>
            </w:pPr>
          </w:p>
        </w:tc>
      </w:tr>
      <w:tr>
        <w:trPr>
          <w:trHeight w:val="401"/>
        </w:trPr>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24"/>
                <w:szCs w:val="2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10,591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10,591</w:t>
            </w:r>
          </w:p>
        </w:tc>
        <w:tc>
          <w:tcPr>
            <w:tcW w:w="40" w:type="dxa"/>
            <w:vAlign w:val="bottom"/>
          </w:tcPr>
          <w:p>
            <w:pPr>
              <w:spacing w:after="0"/>
              <w:rPr>
                <w:sz w:val="24"/>
                <w:szCs w:val="24"/>
                <w:color w:val="auto"/>
              </w:rPr>
            </w:pPr>
          </w:p>
        </w:tc>
      </w:tr>
      <w:tr>
        <w:trPr>
          <w:trHeight w:val="271"/>
        </w:trPr>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23"/>
                <w:szCs w:val="2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384"/>
        </w:trPr>
        <w:tc>
          <w:tcPr>
            <w:tcW w:w="760" w:type="dxa"/>
            <w:vAlign w:val="bottom"/>
          </w:tcPr>
          <w:p>
            <w:pPr>
              <w:jc w:val="right"/>
              <w:spacing w:after="0"/>
              <w:rPr>
                <w:sz w:val="20"/>
                <w:szCs w:val="20"/>
                <w:color w:val="auto"/>
              </w:rPr>
            </w:pPr>
            <w:r>
              <w:rPr>
                <w:rFonts w:ascii="Arial" w:cs="Arial" w:eastAsia="Arial" w:hAnsi="Arial"/>
                <w:sz w:val="13"/>
                <w:szCs w:val="13"/>
                <w:color w:val="auto"/>
              </w:rPr>
              <w:t>12,000,000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186,445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186,446</w:t>
            </w:r>
          </w:p>
        </w:tc>
        <w:tc>
          <w:tcPr>
            <w:tcW w:w="40" w:type="dxa"/>
            <w:vAlign w:val="bottom"/>
          </w:tcPr>
          <w:p>
            <w:pPr>
              <w:spacing w:after="0"/>
              <w:rPr>
                <w:sz w:val="24"/>
                <w:szCs w:val="24"/>
                <w:color w:val="auto"/>
              </w:rPr>
            </w:pPr>
          </w:p>
        </w:tc>
      </w:tr>
      <w:tr>
        <w:trPr>
          <w:trHeight w:val="141"/>
        </w:trPr>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12,503,009</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92,535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92,537</w:t>
            </w:r>
          </w:p>
        </w:tc>
        <w:tc>
          <w:tcPr>
            <w:tcW w:w="40" w:type="dxa"/>
            <w:vAlign w:val="bottom"/>
          </w:tcPr>
          <w:p>
            <w:pPr>
              <w:spacing w:after="0"/>
              <w:rPr>
                <w:sz w:val="12"/>
                <w:szCs w:val="12"/>
                <w:color w:val="auto"/>
              </w:rPr>
            </w:pPr>
          </w:p>
        </w:tc>
      </w:tr>
      <w:tr>
        <w:trPr>
          <w:trHeight w:val="141"/>
        </w:trPr>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2,402,603</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1,105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1,105</w:t>
            </w:r>
          </w:p>
        </w:tc>
        <w:tc>
          <w:tcPr>
            <w:tcW w:w="40" w:type="dxa"/>
            <w:vAlign w:val="bottom"/>
          </w:tcPr>
          <w:p>
            <w:pPr>
              <w:spacing w:after="0"/>
              <w:rPr>
                <w:sz w:val="12"/>
                <w:szCs w:val="12"/>
                <w:color w:val="auto"/>
              </w:rPr>
            </w:pPr>
          </w:p>
        </w:tc>
      </w:tr>
      <w:tr>
        <w:trPr>
          <w:trHeight w:val="141"/>
        </w:trPr>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218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218</w:t>
            </w:r>
          </w:p>
        </w:tc>
        <w:tc>
          <w:tcPr>
            <w:tcW w:w="40" w:type="dxa"/>
            <w:vAlign w:val="bottom"/>
          </w:tcPr>
          <w:p>
            <w:pPr>
              <w:spacing w:after="0"/>
              <w:rPr>
                <w:sz w:val="12"/>
                <w:szCs w:val="12"/>
                <w:color w:val="auto"/>
              </w:rPr>
            </w:pPr>
          </w:p>
        </w:tc>
      </w:tr>
      <w:tr>
        <w:trPr>
          <w:trHeight w:val="141"/>
        </w:trPr>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7</w:t>
            </w:r>
          </w:p>
        </w:tc>
        <w:tc>
          <w:tcPr>
            <w:tcW w:w="40" w:type="dxa"/>
            <w:vAlign w:val="bottom"/>
          </w:tcPr>
          <w:p>
            <w:pPr>
              <w:spacing w:after="0"/>
              <w:rPr>
                <w:sz w:val="12"/>
                <w:szCs w:val="12"/>
                <w:color w:val="auto"/>
              </w:rPr>
            </w:pPr>
          </w:p>
        </w:tc>
      </w:tr>
      <w:tr>
        <w:trPr>
          <w:trHeight w:val="146"/>
        </w:trPr>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(12,253)</w:t>
            </w:r>
          </w:p>
        </w:tc>
        <w:tc>
          <w:tcPr>
            <w:tcW w:w="100" w:type="dxa"/>
            <w:vAlign w:val="bottom"/>
          </w:tcPr>
          <w:p>
            <w:pPr>
              <w:spacing w:after="0"/>
              <w:rPr>
                <w:sz w:val="12"/>
                <w:szCs w:val="12"/>
                <w:color w:val="auto"/>
              </w:rPr>
            </w:pPr>
          </w:p>
        </w:tc>
        <w:tc>
          <w:tcPr>
            <w:tcW w:w="6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(12,253)</w:t>
            </w:r>
          </w:p>
        </w:tc>
      </w:tr>
      <w:tr>
        <w:trPr>
          <w:trHeight w:val="133"/>
        </w:trPr>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31,087,395</w:t>
            </w:r>
          </w:p>
        </w:tc>
        <w:tc>
          <w:tcPr>
            <w:tcW w:w="2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292,800</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7</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(33,340)</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259,470</w:t>
            </w:r>
          </w:p>
        </w:tc>
        <w:tc>
          <w:tcPr>
            <w:tcW w:w="40" w:type="dxa"/>
            <w:vAlign w:val="bottom"/>
          </w:tcPr>
          <w:p>
            <w:pPr>
              <w:spacing w:after="0"/>
              <w:rPr>
                <w:sz w:val="11"/>
                <w:szCs w:val="1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r>
      <w:tr>
        <w:trPr>
          <w:trHeight w:val="130"/>
        </w:trPr>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0" w:lineRule="exact"/>
              <w:rPr>
                <w:sz w:val="20"/>
                <w:szCs w:val="20"/>
                <w:color w:val="auto"/>
              </w:rPr>
            </w:pPr>
            <w:r>
              <w:rPr>
                <w:rFonts w:ascii="Arial" w:cs="Arial" w:eastAsia="Arial" w:hAnsi="Arial"/>
                <w:sz w:val="13"/>
                <w:szCs w:val="13"/>
                <w:b w:val="1"/>
                <w:bCs w:val="1"/>
                <w:color w:val="auto"/>
                <w:w w:val="88"/>
              </w:rPr>
              <w:t>Additional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3"/>
                <w:szCs w:val="13"/>
                <w:b w:val="1"/>
                <w:bCs w:val="1"/>
                <w:color w:val="auto"/>
                <w:w w:val="88"/>
              </w:rPr>
              <w:t>Stockholders’</w:t>
            </w:r>
          </w:p>
        </w:tc>
      </w:tr>
      <w:tr>
        <w:trPr>
          <w:trHeight w:val="150"/>
        </w:trPr>
        <w:tc>
          <w:tcPr>
            <w:tcW w:w="156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Paid-In</w:t>
            </w:r>
          </w:p>
        </w:tc>
        <w:tc>
          <w:tcPr>
            <w:tcW w:w="1260" w:type="dxa"/>
            <w:vAlign w:val="bottom"/>
            <w:gridSpan w:val="4"/>
          </w:tcPr>
          <w:p>
            <w:pPr>
              <w:ind w:left="220"/>
              <w:spacing w:after="0"/>
              <w:rPr>
                <w:sz w:val="20"/>
                <w:szCs w:val="20"/>
                <w:color w:val="auto"/>
              </w:rPr>
            </w:pPr>
            <w:r>
              <w:rPr>
                <w:rFonts w:ascii="Arial" w:cs="Arial" w:eastAsia="Arial" w:hAnsi="Arial"/>
                <w:sz w:val="13"/>
                <w:szCs w:val="13"/>
                <w:b w:val="1"/>
                <w:bCs w:val="1"/>
                <w:color w:val="auto"/>
              </w:rPr>
              <w:t>Comprehensive</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r>
      <w:tr>
        <w:trPr>
          <w:trHeight w:val="133"/>
        </w:trPr>
        <w:tc>
          <w:tcPr>
            <w:tcW w:w="960" w:type="dxa"/>
            <w:vAlign w:val="bottom"/>
            <w:gridSpan w:val="2"/>
          </w:tcPr>
          <w:p>
            <w:pPr>
              <w:ind w:left="180"/>
              <w:spacing w:after="0" w:line="133" w:lineRule="exact"/>
              <w:rPr>
                <w:sz w:val="20"/>
                <w:szCs w:val="20"/>
                <w:color w:val="auto"/>
              </w:rPr>
            </w:pPr>
            <w:r>
              <w:rPr>
                <w:rFonts w:ascii="Arial" w:cs="Arial" w:eastAsia="Arial" w:hAnsi="Arial"/>
                <w:sz w:val="13"/>
                <w:szCs w:val="13"/>
                <w:b w:val="1"/>
                <w:bCs w:val="1"/>
                <w:color w:val="auto"/>
              </w:rPr>
              <w:t>Shares</w:t>
            </w:r>
          </w:p>
        </w:tc>
        <w:tc>
          <w:tcPr>
            <w:tcW w:w="60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3"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80"/>
              <w:spacing w:after="0" w:line="133" w:lineRule="exact"/>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1"/>
                <w:szCs w:val="11"/>
                <w:color w:val="auto"/>
              </w:rPr>
            </w:pPr>
          </w:p>
        </w:tc>
        <w:tc>
          <w:tcPr>
            <w:tcW w:w="840" w:type="dxa"/>
            <w:vAlign w:val="bottom"/>
            <w:gridSpan w:val="2"/>
          </w:tcPr>
          <w:p>
            <w:pPr>
              <w:jc w:val="right"/>
              <w:ind w:right="420"/>
              <w:spacing w:after="0" w:line="133"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68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auto"/>
                <w:w w:val="90"/>
              </w:rPr>
              <w:t>Equity</w:t>
            </w:r>
          </w:p>
        </w:tc>
      </w:tr>
      <w:tr>
        <w:trPr>
          <w:trHeight w:val="150"/>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3,559,484</w:t>
            </w:r>
          </w:p>
        </w:tc>
        <w:tc>
          <w:tcPr>
            <w:tcW w:w="200" w:type="dxa"/>
            <w:vAlign w:val="bottom"/>
          </w:tcPr>
          <w:p>
            <w:pPr>
              <w:spacing w:after="0"/>
              <w:rPr>
                <w:sz w:val="13"/>
                <w:szCs w:val="13"/>
                <w:color w:val="auto"/>
              </w:rPr>
            </w:pPr>
          </w:p>
        </w:tc>
        <w:tc>
          <w:tcPr>
            <w:tcW w:w="600" w:type="dxa"/>
            <w:vAlign w:val="bottom"/>
            <w:tcBorders>
              <w:top w:val="single" w:sz="8" w:color="auto"/>
            </w:tcBorders>
          </w:tcPr>
          <w:p>
            <w:pPr>
              <w:jc w:val="right"/>
              <w:ind w:right="484"/>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1,039</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(15,926)</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(14,887)</w:t>
            </w:r>
          </w:p>
        </w:tc>
        <w:tc>
          <w:tcPr>
            <w:tcW w:w="40" w:type="dxa"/>
            <w:vAlign w:val="bottom"/>
          </w:tcPr>
          <w:p>
            <w:pPr>
              <w:spacing w:after="0"/>
              <w:rPr>
                <w:sz w:val="13"/>
                <w:szCs w:val="13"/>
                <w:color w:val="auto"/>
              </w:rPr>
            </w:pPr>
          </w:p>
        </w:tc>
      </w:tr>
      <w:tr>
        <w:trPr>
          <w:trHeight w:val="251"/>
        </w:trPr>
        <w:tc>
          <w:tcPr>
            <w:tcW w:w="760" w:type="dxa"/>
            <w:vAlign w:val="bottom"/>
          </w:tcPr>
          <w:p>
            <w:pPr>
              <w:jc w:val="right"/>
              <w:spacing w:after="0"/>
              <w:rPr>
                <w:sz w:val="20"/>
                <w:szCs w:val="20"/>
                <w:color w:val="auto"/>
              </w:rPr>
            </w:pPr>
            <w:r>
              <w:rPr>
                <w:rFonts w:ascii="Arial" w:cs="Arial" w:eastAsia="Arial" w:hAnsi="Arial"/>
                <w:sz w:val="13"/>
                <w:szCs w:val="13"/>
                <w:color w:val="auto"/>
              </w:rPr>
              <w:t>12,610</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21"/>
                <w:szCs w:val="21"/>
                <w:color w:val="auto"/>
              </w:rPr>
            </w:pPr>
          </w:p>
        </w:tc>
      </w:tr>
      <w:tr>
        <w:trPr>
          <w:trHeight w:val="141"/>
        </w:trPr>
        <w:tc>
          <w:tcPr>
            <w:tcW w:w="9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189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189</w:t>
            </w:r>
          </w:p>
        </w:tc>
        <w:tc>
          <w:tcPr>
            <w:tcW w:w="40" w:type="dxa"/>
            <w:vAlign w:val="bottom"/>
          </w:tcPr>
          <w:p>
            <w:pPr>
              <w:spacing w:after="0"/>
              <w:rPr>
                <w:sz w:val="12"/>
                <w:szCs w:val="12"/>
                <w:color w:val="auto"/>
              </w:rPr>
            </w:pPr>
          </w:p>
        </w:tc>
      </w:tr>
      <w:tr>
        <w:trPr>
          <w:trHeight w:val="146"/>
        </w:trPr>
        <w:tc>
          <w:tcPr>
            <w:tcW w:w="9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(4,187)</w:t>
            </w:r>
          </w:p>
        </w:tc>
        <w:tc>
          <w:tcPr>
            <w:tcW w:w="100" w:type="dxa"/>
            <w:vAlign w:val="bottom"/>
          </w:tcPr>
          <w:p>
            <w:pPr>
              <w:spacing w:after="0"/>
              <w:rPr>
                <w:sz w:val="12"/>
                <w:szCs w:val="12"/>
                <w:color w:val="auto"/>
              </w:rPr>
            </w:pPr>
          </w:p>
        </w:tc>
        <w:tc>
          <w:tcPr>
            <w:tcW w:w="6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(4,187)</w:t>
            </w:r>
          </w:p>
        </w:tc>
      </w:tr>
      <w:tr>
        <w:trPr>
          <w:trHeight w:val="133"/>
        </w:trPr>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3,572,094</w:t>
            </w:r>
          </w:p>
        </w:tc>
        <w:tc>
          <w:tcPr>
            <w:tcW w:w="2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1,241</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(20,113)</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(18,872)</w:t>
            </w:r>
          </w:p>
        </w:tc>
        <w:tc>
          <w:tcPr>
            <w:tcW w:w="40" w:type="dxa"/>
            <w:vAlign w:val="bottom"/>
          </w:tcPr>
          <w:p>
            <w:pPr>
              <w:spacing w:after="0"/>
              <w:rPr>
                <w:sz w:val="11"/>
                <w:szCs w:val="1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-2806700</wp:posOffset>
            </wp:positionV>
            <wp:extent cx="7149465" cy="2807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807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280"/>
            <w:col w:w="5700"/>
          </w:cols>
          <w:pgMar w:left="320" w:top="312" w:right="339" w:bottom="1440" w:gutter="0" w:footer="0" w:header="0"/>
          <w:type w:val="continuous"/>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6470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Organization</w:t>
      </w:r>
    </w:p>
    <w:p>
      <w:pPr>
        <w:spacing w:after="0" w:line="217"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and Bothell Washington. The Company is a late clinical-stage biopharmaceutical company focused on developing small molecules to restore neuronal health and stop neurodegeneration.</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Reverse Stock Split</w:t>
      </w:r>
    </w:p>
    <w:p>
      <w:pPr>
        <w:spacing w:after="0" w:line="229"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On September 11, 2020, the Company effected a one-for-7.9302 reverse split of its issued and outstanding common stock, convertible preferred stock, warrants, and stock options. The par value of the common stock and convertible preferred stock was not adjusted as a result of the reverse stock split. All share and per share amounts in the accompanying unaudited condensed financial statements and notes to the unaudited condensed financial statements have been retroactively adjusted for all periods presented to reflect the reverse stock split.</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Initial Public Offering</w:t>
      </w:r>
    </w:p>
    <w:p>
      <w:pPr>
        <w:spacing w:after="0" w:line="229"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On September 17, 2020, the Company’s registration statement on Form S-1 (File No. 333-248428) for its initial public offering of common stock (“IPO”) was declared effective by the Securities and Exchange Commission (“SEC”). On September 22, 2020, the Company issued and sold 12,000,000 shares of common stock in the IPO at a public offering price of $17.00 per share, resulting in net proceeds of $186.4 million after deducting underwriting discounts and commissions and offering expenses paid by the Company.</w:t>
      </w:r>
    </w:p>
    <w:p>
      <w:pPr>
        <w:spacing w:after="0" w:line="203" w:lineRule="exact"/>
        <w:rPr>
          <w:sz w:val="20"/>
          <w:szCs w:val="20"/>
          <w:color w:val="auto"/>
        </w:rPr>
      </w:pPr>
    </w:p>
    <w:p>
      <w:pPr>
        <w:jc w:val="both"/>
        <w:ind w:firstLine="511"/>
        <w:spacing w:after="0" w:line="270" w:lineRule="auto"/>
        <w:rPr>
          <w:sz w:val="20"/>
          <w:szCs w:val="20"/>
          <w:color w:val="auto"/>
        </w:rPr>
      </w:pPr>
      <w:r>
        <w:rPr>
          <w:rFonts w:ascii="Arial" w:cs="Arial" w:eastAsia="Arial" w:hAnsi="Arial"/>
          <w:sz w:val="15"/>
          <w:szCs w:val="15"/>
          <w:color w:val="auto"/>
        </w:rPr>
        <w:t>In connection with the closing of the IPO, all of the Company’s outstanding shares of convertible preferred stock were automatically converted into 12,503,009 shares of common stock. Immediately prior to the Company’s IPO, all outstanding common stock warrants were exercised into 1,085,334 shares of common stock. Additionally, all outstanding Series B convertible preferred stock warrants were remeasured to their fair value. The final remeasurement of the Series B convertible preferred stock warrant liability resulted in a $0.6 million loss which was recorded to other income (expense), net. Following remeasurement, all Series B convertible preferred stock warrants automatically net exercised into 59,093 shares of common stock and the corresponding liability was reclassified to additional paid in capital. Following the IPO, there are no shares of convertible preferred stock, common stock warrants, or Series B convertible preferred stock warrants outstanding.</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Liquidity and Capital Resources</w:t>
      </w:r>
    </w:p>
    <w:p>
      <w:pPr>
        <w:spacing w:after="0" w:line="233"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5"/>
          <w:szCs w:val="15"/>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September 30, 2020, it has raised aggregate net cash proceeds of $288.5 million primarily from the issuance of its common stock, convertible preferred stock, common stock warrants, and convertible notes. As of September 30, 2020, the Company had $259.9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196" w:lineRule="exact"/>
        <w:rPr>
          <w:sz w:val="20"/>
          <w:szCs w:val="20"/>
          <w:color w:val="auto"/>
        </w:rPr>
      </w:pPr>
    </w:p>
    <w:p>
      <w:pPr>
        <w:jc w:val="both"/>
        <w:ind w:right="20" w:firstLine="511"/>
        <w:spacing w:after="0" w:line="300" w:lineRule="auto"/>
        <w:rPr>
          <w:sz w:val="20"/>
          <w:szCs w:val="20"/>
          <w:color w:val="auto"/>
        </w:rPr>
      </w:pPr>
      <w:r>
        <w:rPr>
          <w:rFonts w:ascii="Arial" w:cs="Arial" w:eastAsia="Arial" w:hAnsi="Arial"/>
          <w:sz w:val="15"/>
          <w:szCs w:val="15"/>
          <w:color w:val="auto"/>
        </w:rPr>
        <w:t>Based upon the Company’s current operating plan, it estimates that its $259.9 million of cash, cash equivalents, and investments at September 30, 2020 will be sufficient to fund its operating expenses and capital expenditure requirements through at least the 12 months following the date of this Quarterly Report on Form 10-Q.</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9" w:name="page10"/>
    <w:bookmarkEnd w:id="9"/>
    <w:p>
      <w:pPr>
        <w:ind w:left="166" w:hanging="166"/>
        <w:spacing w:after="0"/>
        <w:tabs>
          <w:tab w:leader="none" w:pos="16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232" w:lineRule="exact"/>
        <w:rPr>
          <w:rFonts w:ascii="Arial" w:cs="Arial" w:eastAsia="Arial" w:hAnsi="Arial"/>
          <w:sz w:val="16"/>
          <w:szCs w:val="16"/>
          <w:b w:val="1"/>
          <w:bCs w:val="1"/>
          <w:color w:val="auto"/>
        </w:rPr>
      </w:pPr>
    </w:p>
    <w:p>
      <w:pPr>
        <w:ind w:left="506"/>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Basis of Presentation</w:t>
      </w:r>
    </w:p>
    <w:p>
      <w:pPr>
        <w:spacing w:after="0" w:line="229" w:lineRule="exact"/>
        <w:rPr>
          <w:sz w:val="20"/>
          <w:szCs w:val="20"/>
          <w:color w:val="auto"/>
        </w:rPr>
      </w:pPr>
    </w:p>
    <w:p>
      <w:pPr>
        <w:jc w:val="both"/>
        <w:ind w:left="6" w:right="20" w:firstLine="511"/>
        <w:spacing w:after="0" w:line="300" w:lineRule="auto"/>
        <w:rPr>
          <w:sz w:val="20"/>
          <w:szCs w:val="20"/>
          <w:color w:val="auto"/>
        </w:rPr>
      </w:pPr>
      <w:r>
        <w:rPr>
          <w:rFonts w:ascii="Arial" w:cs="Arial" w:eastAsia="Arial" w:hAnsi="Arial"/>
          <w:sz w:val="15"/>
          <w:szCs w:val="15"/>
          <w:color w:val="auto"/>
        </w:rPr>
        <w:t>The condensed consolidated financial statements have been prepared in conformity with U.S. generally accepted accounting principles (“U.S. GAAP”). During the third quarter of 2020, the Company incorporated Athira Pharma Australia PTY LTD in Australia and as of September 30, 2020, operations have yet to commence.</w:t>
      </w:r>
    </w:p>
    <w:p>
      <w:pPr>
        <w:spacing w:after="0" w:line="158" w:lineRule="exact"/>
        <w:rPr>
          <w:sz w:val="20"/>
          <w:szCs w:val="20"/>
          <w:color w:val="auto"/>
        </w:rPr>
      </w:pPr>
    </w:p>
    <w:p>
      <w:pPr>
        <w:ind w:left="506"/>
        <w:spacing w:after="0"/>
        <w:rPr>
          <w:sz w:val="20"/>
          <w:szCs w:val="20"/>
          <w:color w:val="auto"/>
        </w:rPr>
      </w:pPr>
      <w:r>
        <w:rPr>
          <w:rFonts w:ascii="Arial" w:cs="Arial" w:eastAsia="Arial" w:hAnsi="Arial"/>
          <w:sz w:val="16"/>
          <w:szCs w:val="16"/>
          <w:b w:val="1"/>
          <w:bCs w:val="1"/>
          <w:i w:val="1"/>
          <w:iCs w:val="1"/>
          <w:color w:val="auto"/>
        </w:rPr>
        <w:t>Unaudited Interim Condensed Financial Statements</w:t>
      </w:r>
    </w:p>
    <w:p>
      <w:pPr>
        <w:spacing w:after="0" w:line="229" w:lineRule="exact"/>
        <w:rPr>
          <w:sz w:val="20"/>
          <w:szCs w:val="20"/>
          <w:color w:val="auto"/>
        </w:rPr>
      </w:pPr>
    </w:p>
    <w:p>
      <w:pPr>
        <w:jc w:val="both"/>
        <w:ind w:left="6" w:firstLine="511"/>
        <w:spacing w:after="0" w:line="312" w:lineRule="auto"/>
        <w:rPr>
          <w:sz w:val="20"/>
          <w:szCs w:val="20"/>
          <w:color w:val="auto"/>
        </w:rPr>
      </w:pPr>
      <w:r>
        <w:rPr>
          <w:rFonts w:ascii="Arial" w:cs="Arial" w:eastAsia="Arial" w:hAnsi="Arial"/>
          <w:sz w:val="13"/>
          <w:szCs w:val="13"/>
          <w:color w:val="auto"/>
        </w:rPr>
        <w:t>The accompanying unaudited condensed balance sheet as of September 30, 2020, and condensed statements of operations and comprehensive loss, condensed statements of cash flows, and condensed statements of convertible preferred stock and stockholders’ deficit for the three and nine months ended September 30, 2020 and 2019, are unaudited. The balance sheet as of December 31, 2019 was derived from the audited financial statements as of and for the year ended December 31, 2019. The unaudited interim condensed financial statements have been prepared on a basis consistent with the audited annual financial statements as of and for the year ended December 31, 2019, and, in the opinion of management, reflect all adjustments, consisting solely of normal recurring adjustments, necessary for the fair presentation of the Company’s financial position as of September 30, 2020, and the condensed results of its operations and its cash flows for the three and nine months ended September 30, 2020 and 2019. The financial data and other information disclosed in these notes related to the three and nine months ended September 30, 2020 and 2019 are also unaudited. The condensed results of operations for the three and nine months ended September 30, 2020 are not necessarily indicative of the results to be expected for the full year ending December 31, 2020 or any other period. These interim condensed consolidated financial statements should be read in conjunction with the Company’s audited financial statements as of and for the year ended December 31, 2019 included in its amended registration statement on Form S-1 (File No. 333-248428) filed with the SEC on September 17, 2020.</w:t>
      </w:r>
    </w:p>
    <w:p>
      <w:pPr>
        <w:spacing w:after="0" w:line="361" w:lineRule="exact"/>
        <w:rPr>
          <w:sz w:val="20"/>
          <w:szCs w:val="20"/>
          <w:color w:val="auto"/>
        </w:rPr>
      </w:pPr>
    </w:p>
    <w:p>
      <w:pPr>
        <w:ind w:left="506"/>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17" w:lineRule="exact"/>
        <w:rPr>
          <w:sz w:val="20"/>
          <w:szCs w:val="20"/>
          <w:color w:val="auto"/>
        </w:rPr>
      </w:pPr>
    </w:p>
    <w:p>
      <w:pPr>
        <w:jc w:val="both"/>
        <w:ind w:left="6" w:right="20" w:firstLine="511"/>
        <w:spacing w:after="0" w:line="343" w:lineRule="auto"/>
        <w:rPr>
          <w:sz w:val="20"/>
          <w:szCs w:val="20"/>
          <w:color w:val="auto"/>
        </w:rPr>
      </w:pPr>
      <w:r>
        <w:rPr>
          <w:rFonts w:ascii="Arial" w:cs="Arial" w:eastAsia="Arial" w:hAnsi="Arial"/>
          <w:sz w:val="13"/>
          <w:szCs w:val="13"/>
          <w:color w:val="auto"/>
        </w:rPr>
        <w:t>The carrying amounts of certain financial instruments, including cash, cash equivalents, investments, accounts payable and accrued expenses approximate their fair values due to the short-term nature of those amounts. The fair values of the grant liability to Washington Life Sciences Discovery Fund (“LSDF”), currently managed by the Washington State Department of Commerce, the derivative liability, and the convertible preferred stock warrant liability were estimated using level 3 unobservable inputs.</w:t>
      </w:r>
    </w:p>
    <w:p>
      <w:pPr>
        <w:spacing w:after="0" w:line="149" w:lineRule="exact"/>
        <w:rPr>
          <w:sz w:val="20"/>
          <w:szCs w:val="20"/>
          <w:color w:val="auto"/>
        </w:rPr>
      </w:pPr>
    </w:p>
    <w:p>
      <w:pPr>
        <w:ind w:left="506"/>
        <w:spacing w:after="0"/>
        <w:rPr>
          <w:sz w:val="20"/>
          <w:szCs w:val="20"/>
          <w:color w:val="auto"/>
        </w:rPr>
      </w:pPr>
      <w:r>
        <w:rPr>
          <w:rFonts w:ascii="Arial" w:cs="Arial" w:eastAsia="Arial" w:hAnsi="Arial"/>
          <w:sz w:val="16"/>
          <w:szCs w:val="16"/>
          <w:b w:val="1"/>
          <w:bCs w:val="1"/>
          <w:i w:val="1"/>
          <w:iCs w:val="1"/>
          <w:color w:val="auto"/>
        </w:rPr>
        <w:t>Convertible Preferred Stock Warrant Liability</w:t>
      </w:r>
    </w:p>
    <w:p>
      <w:pPr>
        <w:spacing w:after="0" w:line="229" w:lineRule="exact"/>
        <w:rPr>
          <w:sz w:val="20"/>
          <w:szCs w:val="20"/>
          <w:color w:val="auto"/>
        </w:rPr>
      </w:pPr>
    </w:p>
    <w:p>
      <w:pPr>
        <w:jc w:val="both"/>
        <w:ind w:left="6" w:firstLine="511"/>
        <w:spacing w:after="0" w:line="323" w:lineRule="auto"/>
        <w:rPr>
          <w:sz w:val="20"/>
          <w:szCs w:val="20"/>
          <w:color w:val="auto"/>
        </w:rPr>
      </w:pPr>
      <w:r>
        <w:rPr>
          <w:rFonts w:ascii="Arial" w:cs="Arial" w:eastAsia="Arial" w:hAnsi="Arial"/>
          <w:sz w:val="13"/>
          <w:szCs w:val="13"/>
          <w:color w:val="auto"/>
        </w:rPr>
        <w:t>Freestanding warrants to purchase shares of the Company’s convertible preferred stock are accounted for as liabilities at fair value, because the shares underlying the warrants contain contingent 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adjusted the liability for the final change in the fair value of these warrants immediately preceding their automatic exercise in connection with the Company’s IPO. Subsequently, the corresponding liability was reclassified to additional paid in capital.</w:t>
      </w:r>
    </w:p>
    <w:p>
      <w:pPr>
        <w:spacing w:after="0" w:line="185" w:lineRule="exact"/>
        <w:rPr>
          <w:sz w:val="20"/>
          <w:szCs w:val="20"/>
          <w:color w:val="auto"/>
        </w:rPr>
      </w:pPr>
    </w:p>
    <w:p>
      <w:pPr>
        <w:ind w:left="506"/>
        <w:spacing w:after="0"/>
        <w:rPr>
          <w:sz w:val="20"/>
          <w:szCs w:val="20"/>
          <w:color w:val="auto"/>
        </w:rPr>
      </w:pPr>
      <w:r>
        <w:rPr>
          <w:rFonts w:ascii="Arial" w:cs="Arial" w:eastAsia="Arial" w:hAnsi="Arial"/>
          <w:sz w:val="16"/>
          <w:szCs w:val="16"/>
          <w:b w:val="1"/>
          <w:bCs w:val="1"/>
          <w:i w:val="1"/>
          <w:iCs w:val="1"/>
          <w:color w:val="auto"/>
        </w:rPr>
        <w:t>Short-term and Long-term Investments</w:t>
      </w:r>
    </w:p>
    <w:p>
      <w:pPr>
        <w:spacing w:after="0" w:line="229" w:lineRule="exact"/>
        <w:rPr>
          <w:sz w:val="20"/>
          <w:szCs w:val="20"/>
          <w:color w:val="auto"/>
        </w:rPr>
      </w:pPr>
    </w:p>
    <w:p>
      <w:pPr>
        <w:jc w:val="both"/>
        <w:ind w:left="6" w:right="20" w:firstLine="511"/>
        <w:spacing w:after="0" w:line="281" w:lineRule="auto"/>
        <w:rPr>
          <w:sz w:val="20"/>
          <w:szCs w:val="20"/>
          <w:color w:val="auto"/>
        </w:rPr>
      </w:pPr>
      <w:r>
        <w:rPr>
          <w:rFonts w:ascii="Arial" w:cs="Arial" w:eastAsia="Arial" w:hAnsi="Arial"/>
          <w:sz w:val="15"/>
          <w:szCs w:val="15"/>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loss. Realized gains and losses on the sale of these securities are recognized in net loss.</w:t>
      </w:r>
    </w:p>
    <w:p>
      <w:pPr>
        <w:spacing w:after="0" w:line="172" w:lineRule="exact"/>
        <w:rPr>
          <w:sz w:val="20"/>
          <w:szCs w:val="20"/>
          <w:color w:val="auto"/>
        </w:rPr>
      </w:pPr>
    </w:p>
    <w:p>
      <w:pPr>
        <w:jc w:val="both"/>
        <w:ind w:left="6" w:firstLine="511"/>
        <w:spacing w:after="0" w:line="270" w:lineRule="auto"/>
        <w:rPr>
          <w:sz w:val="20"/>
          <w:szCs w:val="20"/>
          <w:color w:val="auto"/>
        </w:rPr>
      </w:pPr>
      <w:r>
        <w:rPr>
          <w:rFonts w:ascii="Arial" w:cs="Arial" w:eastAsia="Arial" w:hAnsi="Arial"/>
          <w:sz w:val="15"/>
          <w:szCs w:val="15"/>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15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6470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371" w:right="319" w:bottom="1440" w:gutter="0" w:footer="0" w:header="0"/>
        </w:sectPr>
      </w:pPr>
    </w:p>
    <w:bookmarkStart w:id="10" w:name="page11"/>
    <w:bookmarkEnd w:id="10"/>
    <w:p>
      <w:pPr>
        <w:ind w:left="50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17"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29" w:lineRule="exact"/>
        <w:rPr>
          <w:sz w:val="20"/>
          <w:szCs w:val="20"/>
          <w:color w:val="auto"/>
        </w:rPr>
      </w:pPr>
    </w:p>
    <w:p>
      <w:pPr>
        <w:jc w:val="both"/>
        <w:ind w:firstLine="511"/>
        <w:spacing w:after="0" w:line="323" w:lineRule="auto"/>
        <w:rPr>
          <w:sz w:val="20"/>
          <w:szCs w:val="20"/>
          <w:color w:val="auto"/>
        </w:rPr>
      </w:pPr>
      <w:r>
        <w:rPr>
          <w:rFonts w:ascii="Arial" w:cs="Arial" w:eastAsia="Arial" w:hAnsi="Arial"/>
          <w:sz w:val="13"/>
          <w:szCs w:val="13"/>
          <w:color w:val="auto"/>
        </w:rPr>
        <w:t>Research and development expenses consist primarily of direct and indirect costs incurred for research activities, including development of our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49" w:lineRule="exact"/>
        <w:rPr>
          <w:sz w:val="20"/>
          <w:szCs w:val="20"/>
          <w:color w:val="auto"/>
        </w:rPr>
      </w:pPr>
    </w:p>
    <w:p>
      <w:pPr>
        <w:jc w:val="both"/>
        <w:ind w:firstLine="511"/>
        <w:spacing w:after="0" w:line="250" w:lineRule="auto"/>
        <w:rPr>
          <w:sz w:val="20"/>
          <w:szCs w:val="20"/>
          <w:color w:val="auto"/>
        </w:rPr>
      </w:pPr>
      <w:r>
        <w:rPr>
          <w:rFonts w:ascii="Arial" w:cs="Arial" w:eastAsia="Arial" w:hAnsi="Arial"/>
          <w:sz w:val="16"/>
          <w:szCs w:val="16"/>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Leases</w:t>
      </w:r>
    </w:p>
    <w:p>
      <w:pPr>
        <w:spacing w:after="0" w:line="229"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 xml:space="preserve">As discussed in </w:t>
      </w:r>
      <w:r>
        <w:rPr>
          <w:rFonts w:ascii="Arial" w:cs="Arial" w:eastAsia="Arial" w:hAnsi="Arial"/>
          <w:sz w:val="15"/>
          <w:szCs w:val="15"/>
          <w:i w:val="1"/>
          <w:iCs w:val="1"/>
          <w:color w:val="auto"/>
        </w:rPr>
        <w:t>Recently Adopted Accounting Standards</w:t>
      </w:r>
      <w:r>
        <w:rPr>
          <w:rFonts w:ascii="Arial" w:cs="Arial" w:eastAsia="Arial" w:hAnsi="Arial"/>
          <w:sz w:val="15"/>
          <w:szCs w:val="15"/>
          <w:color w:val="auto"/>
        </w:rPr>
        <w:t xml:space="preserve"> below, the Company adopted Accounting Standards Codification (“ASC”) </w:t>
      </w:r>
      <w:r>
        <w:rPr>
          <w:rFonts w:ascii="Arial" w:cs="Arial" w:eastAsia="Arial" w:hAnsi="Arial"/>
          <w:sz w:val="15"/>
          <w:szCs w:val="15"/>
          <w:i w:val="1"/>
          <w:iCs w:val="1"/>
          <w:color w:val="auto"/>
        </w:rPr>
        <w:t>Topic 842 - Leases</w:t>
      </w:r>
      <w:r>
        <w:rPr>
          <w:rFonts w:ascii="Arial" w:cs="Arial" w:eastAsia="Arial" w:hAnsi="Arial"/>
          <w:sz w:val="15"/>
          <w:szCs w:val="15"/>
          <w:color w:val="auto"/>
        </w:rPr>
        <w:t>, on July 1, 2020,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 generally does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183"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color w:val="auto"/>
        </w:rPr>
        <w:t>The Company’s lease contains an option to extend the lease; lease terms are adjusted for these options only when it is reasonably certain the Company will exercise these options. The Company’s lease agreement does not contain residual value guarantees or covenants.</w:t>
      </w:r>
    </w:p>
    <w:p>
      <w:pPr>
        <w:spacing w:after="0" w:line="193" w:lineRule="exact"/>
        <w:rPr>
          <w:sz w:val="20"/>
          <w:szCs w:val="20"/>
          <w:color w:val="auto"/>
        </w:rPr>
      </w:pPr>
    </w:p>
    <w:p>
      <w:pPr>
        <w:jc w:val="both"/>
        <w:ind w:right="20" w:firstLine="511"/>
        <w:spacing w:after="0" w:line="251" w:lineRule="auto"/>
        <w:rPr>
          <w:sz w:val="20"/>
          <w:szCs w:val="20"/>
          <w:color w:val="auto"/>
        </w:rPr>
      </w:pPr>
      <w:r>
        <w:rPr>
          <w:rFonts w:ascii="Arial" w:cs="Arial" w:eastAsia="Arial" w:hAnsi="Arial"/>
          <w:sz w:val="16"/>
          <w:szCs w:val="16"/>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205"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1" w:name="page12"/>
    <w:bookmarkEnd w:id="11"/>
    <w:p>
      <w:pPr>
        <w:ind w:left="5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17"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201"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01" w:lineRule="exact"/>
        <w:rPr>
          <w:sz w:val="20"/>
          <w:szCs w:val="20"/>
          <w:color w:val="auto"/>
        </w:rPr>
      </w:pPr>
    </w:p>
    <w:p>
      <w:pPr>
        <w:jc w:val="both"/>
        <w:ind w:firstLine="511"/>
        <w:spacing w:after="0" w:line="343" w:lineRule="auto"/>
        <w:rPr>
          <w:sz w:val="20"/>
          <w:szCs w:val="20"/>
          <w:color w:val="auto"/>
        </w:rPr>
      </w:pPr>
      <w:r>
        <w:rPr>
          <w:rFonts w:ascii="Arial" w:cs="Arial" w:eastAsia="Arial" w:hAnsi="Arial"/>
          <w:sz w:val="13"/>
          <w:szCs w:val="13"/>
          <w:color w:val="auto"/>
        </w:rPr>
        <w:t>The Company adopted Accounting Standards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Net Loss Per Share Attributable to Common Stockholders</w:t>
      </w:r>
    </w:p>
    <w:p>
      <w:pPr>
        <w:spacing w:after="0" w:line="229" w:lineRule="exact"/>
        <w:rPr>
          <w:sz w:val="20"/>
          <w:szCs w:val="20"/>
          <w:color w:val="auto"/>
        </w:rPr>
      </w:pPr>
    </w:p>
    <w:p>
      <w:pPr>
        <w:jc w:val="both"/>
        <w:ind w:firstLine="511"/>
        <w:spacing w:after="0" w:line="343" w:lineRule="auto"/>
        <w:rPr>
          <w:sz w:val="20"/>
          <w:szCs w:val="20"/>
          <w:color w:val="auto"/>
        </w:rPr>
      </w:pPr>
      <w:r>
        <w:rPr>
          <w:rFonts w:ascii="Arial" w:cs="Arial" w:eastAsia="Arial" w:hAnsi="Arial"/>
          <w:sz w:val="13"/>
          <w:szCs w:val="13"/>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Segments</w:t>
      </w:r>
    </w:p>
    <w:p>
      <w:pPr>
        <w:spacing w:after="0" w:line="217" w:lineRule="exact"/>
        <w:rPr>
          <w:sz w:val="20"/>
          <w:szCs w:val="20"/>
          <w:color w:val="auto"/>
        </w:rPr>
      </w:pPr>
    </w:p>
    <w:p>
      <w:pPr>
        <w:jc w:val="both"/>
        <w:ind w:right="20" w:firstLine="511"/>
        <w:spacing w:after="0" w:line="300" w:lineRule="auto"/>
        <w:rPr>
          <w:sz w:val="20"/>
          <w:szCs w:val="20"/>
          <w:color w:val="auto"/>
        </w:rPr>
      </w:pPr>
      <w:r>
        <w:rPr>
          <w:rFonts w:ascii="Arial" w:cs="Arial" w:eastAsia="Arial" w:hAnsi="Arial"/>
          <w:sz w:val="15"/>
          <w:szCs w:val="15"/>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Emerging Growth Company Status</w:t>
      </w:r>
    </w:p>
    <w:p>
      <w:pPr>
        <w:spacing w:after="0" w:line="229" w:lineRule="exact"/>
        <w:rPr>
          <w:sz w:val="20"/>
          <w:szCs w:val="20"/>
          <w:color w:val="auto"/>
        </w:rPr>
      </w:pPr>
    </w:p>
    <w:p>
      <w:pPr>
        <w:jc w:val="both"/>
        <w:ind w:firstLine="511"/>
        <w:spacing w:after="0" w:line="270" w:lineRule="auto"/>
        <w:rPr>
          <w:sz w:val="20"/>
          <w:szCs w:val="20"/>
          <w:color w:val="auto"/>
        </w:rPr>
      </w:pPr>
      <w:r>
        <w:rPr>
          <w:rFonts w:ascii="Arial" w:cs="Arial" w:eastAsia="Arial" w:hAnsi="Arial"/>
          <w:sz w:val="15"/>
          <w:szCs w:val="15"/>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229"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 xml:space="preserve">In February 2016, the Financial Accounting Standards Board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intended to increase transparency and comparability among organizations by recognizing lease assets and lease liabilities on the balance sheets and disclosing key information about leasing arrangements. The Company adopted the guidance on July 1, 2020, effective January 1, 2020, using the optional transition method described in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Prior to adoption, the Company did not have any leases with initial terms longer than 12 months. The Company will continue to account for leases with initial terms of 12 months or less as operating expenses on a straight-line basis over the lease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2" w:name="page13"/>
    <w:bookmarkEnd w:id="12"/>
    <w:p>
      <w:pPr>
        <w:jc w:val="both"/>
        <w:ind w:right="20" w:firstLine="511"/>
        <w:spacing w:after="0" w:line="323" w:lineRule="auto"/>
        <w:rPr>
          <w:sz w:val="20"/>
          <w:szCs w:val="20"/>
          <w:color w:val="auto"/>
        </w:rPr>
      </w:pPr>
      <w:r>
        <w:rPr>
          <w:rFonts w:ascii="Arial" w:cs="Arial" w:eastAsia="Arial" w:hAnsi="Arial"/>
          <w:sz w:val="13"/>
          <w:szCs w:val="13"/>
          <w:color w:val="auto"/>
        </w:rPr>
        <w:t>In adopting the new standard, the Company utilized certain practical expedients available. These practical expedients include waiving reassessment of 1) whether any expired or existing contracts are or contain leases; 2) lease classification of expired or existing leases; and 3) initial direct costs for existing leases. The Company also elected to use hindsight in determining the lease term and in assessing impairment of its ROU assets. Furthermore, the Company has made a policy decision regarding its real estate leases not to separate nonlease components from lease components, to the extent they are fixed. The Company has also elected not to record on the balance sheet a lease that has a lease term of 12 months or less and does not contain a purchase option that the Company is reasonably certain to exercise.</w:t>
      </w:r>
    </w:p>
    <w:p>
      <w:pPr>
        <w:spacing w:after="0" w:line="149"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The standard had a material impact on the Company’s unaudited condensed balance sheets but did not have a material impact on its unaudited condensed statements of operations or unaudited condensed statements of cash flows. The most significant impact was the recognition of $1.0 million and $1.0 million of operating lease ROU assets and liabilities, respectively. Refer to Note 8, Leases, for additional information regarding leases.</w:t>
      </w:r>
    </w:p>
    <w:p>
      <w:pPr>
        <w:spacing w:after="0" w:line="201" w:lineRule="exact"/>
        <w:rPr>
          <w:sz w:val="20"/>
          <w:szCs w:val="20"/>
          <w:color w:val="auto"/>
        </w:rPr>
      </w:pPr>
    </w:p>
    <w:p>
      <w:pPr>
        <w:jc w:val="both"/>
        <w:ind w:firstLine="511"/>
        <w:spacing w:after="0" w:line="343" w:lineRule="auto"/>
        <w:rPr>
          <w:sz w:val="20"/>
          <w:szCs w:val="20"/>
          <w:color w:val="auto"/>
        </w:rPr>
      </w:pPr>
      <w:r>
        <w:rPr>
          <w:rFonts w:ascii="Arial" w:cs="Arial" w:eastAsia="Arial" w:hAnsi="Arial"/>
          <w:sz w:val="13"/>
          <w:szCs w:val="13"/>
          <w:color w:val="auto"/>
        </w:rPr>
        <w:t xml:space="preserve">In June 2018, the FASB issued ASU 2018-07, </w:t>
      </w:r>
      <w:r>
        <w:rPr>
          <w:rFonts w:ascii="Arial" w:cs="Arial" w:eastAsia="Arial" w:hAnsi="Arial"/>
          <w:sz w:val="13"/>
          <w:szCs w:val="13"/>
          <w:i w:val="1"/>
          <w:iCs w:val="1"/>
          <w:color w:val="auto"/>
        </w:rPr>
        <w:t>Compensation – Stock Compensation (Topic 326) Improvements to Nonemployee Share-Based Payment Accounting</w:t>
      </w:r>
      <w:r>
        <w:rPr>
          <w:rFonts w:ascii="Arial" w:cs="Arial" w:eastAsia="Arial" w:hAnsi="Arial"/>
          <w:sz w:val="13"/>
          <w:szCs w:val="13"/>
          <w:color w:val="auto"/>
        </w:rPr>
        <w:t>. The ASU simplified the accounting for share-based payments to non-employees by aligning it with the accounting for share-based payments to employees, with certain exceptions. The Company adopted the standard on January 1, 2020 and it did not have a material impact on its financial condition, results of operations and cash flows.</w:t>
      </w:r>
    </w:p>
    <w:p>
      <w:pPr>
        <w:spacing w:after="0" w:line="149"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 – Changes to the Disclosure Requirements for Fair Value Measurement</w:t>
      </w:r>
      <w:r>
        <w:rPr>
          <w:rFonts w:ascii="Arial" w:cs="Arial" w:eastAsia="Arial" w:hAnsi="Arial"/>
          <w:sz w:val="16"/>
          <w:szCs w:val="16"/>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229"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Credit Losses (Topic 326)</w:t>
      </w:r>
      <w:r>
        <w:rPr>
          <w:rFonts w:ascii="Arial" w:cs="Arial" w:eastAsia="Arial" w:hAnsi="Arial"/>
          <w:sz w:val="15"/>
          <w:szCs w:val="15"/>
          <w:color w:val="auto"/>
        </w:rPr>
        <w:t xml:space="preserve">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188"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Although there were several other new accounting pronouncements issued or proposed by the FASB, we do not believe any of these have had or will have material impact on our condensed consolidated financial statements.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w:t>
      </w:r>
    </w:p>
    <w:p>
      <w:pPr>
        <w:spacing w:after="0" w:line="233"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—Quoted prices in markets that are not active or financial instruments for which all significant inputs are observable, either directly or indirectly.</w:t>
      </w:r>
    </w:p>
    <w:p>
      <w:pPr>
        <w:spacing w:after="0" w:line="99"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—Inputs are generally unobservable and reflect management’s estimates of assumptions that market participants would use in pricing the asset or liability.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values are determined using model-based techniques, including probability-based simulation methodologies.</w:t>
      </w:r>
    </w:p>
    <w:p>
      <w:pPr>
        <w:spacing w:after="0" w:line="182"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3" w:name="page14"/>
    <w:bookmarkEnd w:id="13"/>
    <w:p>
      <w:pPr>
        <w:ind w:left="500"/>
        <w:spacing w:after="0"/>
        <w:rPr>
          <w:sz w:val="20"/>
          <w:szCs w:val="20"/>
          <w:color w:val="auto"/>
        </w:rPr>
      </w:pPr>
      <w:r>
        <w:rPr>
          <w:rFonts w:ascii="Arial" w:cs="Arial" w:eastAsia="Arial" w:hAnsi="Arial"/>
          <w:sz w:val="16"/>
          <w:szCs w:val="16"/>
          <w:color w:val="auto"/>
        </w:rPr>
        <w:t>The following table reflects the Company’s financial asset balances measured on a recurring basis as of September 30, 2020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3"/>
                <w:szCs w:val="13"/>
                <w:color w:val="auto"/>
              </w:rPr>
            </w:pPr>
          </w:p>
        </w:tc>
        <w:tc>
          <w:tcPr>
            <w:tcW w:w="920" w:type="dxa"/>
            <w:vAlign w:val="bottom"/>
          </w:tcPr>
          <w:p>
            <w:pPr>
              <w:jc w:val="right"/>
              <w:ind w:right="184"/>
              <w:spacing w:after="0"/>
              <w:rPr>
                <w:sz w:val="20"/>
                <w:szCs w:val="20"/>
                <w:color w:val="auto"/>
              </w:rPr>
            </w:pPr>
            <w:r>
              <w:rPr>
                <w:rFonts w:ascii="Arial" w:cs="Arial" w:eastAsia="Arial" w:hAnsi="Arial"/>
                <w:sz w:val="13"/>
                <w:szCs w:val="13"/>
                <w:b w:val="1"/>
                <w:bCs w:val="1"/>
                <w:color w:val="auto"/>
                <w:w w:val="97"/>
              </w:rPr>
              <w:t>Unrealized</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50"/>
        </w:trPr>
        <w:tc>
          <w:tcPr>
            <w:tcW w:w="4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4"/>
              </w:rPr>
              <w:t>Level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Pr>
          <w:p>
            <w:pPr>
              <w:spacing w:after="0"/>
              <w:rPr>
                <w:sz w:val="13"/>
                <w:szCs w:val="13"/>
                <w:color w:val="auto"/>
              </w:rPr>
            </w:pPr>
          </w:p>
        </w:tc>
        <w:tc>
          <w:tcPr>
            <w:tcW w:w="920" w:type="dxa"/>
            <w:vAlign w:val="bottom"/>
          </w:tcPr>
          <w:p>
            <w:pPr>
              <w:jc w:val="right"/>
              <w:ind w:right="324"/>
              <w:spacing w:after="0"/>
              <w:rPr>
                <w:sz w:val="20"/>
                <w:szCs w:val="20"/>
                <w:color w:val="auto"/>
              </w:rPr>
            </w:pPr>
            <w:r>
              <w:rPr>
                <w:rFonts w:ascii="Arial" w:cs="Arial" w:eastAsia="Arial" w:hAnsi="Arial"/>
                <w:sz w:val="13"/>
                <w:szCs w:val="13"/>
                <w:b w:val="1"/>
                <w:bCs w:val="1"/>
                <w:color w:val="auto"/>
              </w:rPr>
              <w:t>Gains</w:t>
            </w:r>
          </w:p>
        </w:tc>
        <w:tc>
          <w:tcPr>
            <w:tcW w:w="220" w:type="dxa"/>
            <w:vAlign w:val="bottom"/>
          </w:tcPr>
          <w:p>
            <w:pPr>
              <w:spacing w:after="0"/>
              <w:rPr>
                <w:sz w:val="13"/>
                <w:szCs w:val="13"/>
                <w:color w:val="auto"/>
              </w:rPr>
            </w:pPr>
          </w:p>
        </w:tc>
        <w:tc>
          <w:tcPr>
            <w:tcW w:w="860" w:type="dxa"/>
            <w:vAlign w:val="bottom"/>
          </w:tcPr>
          <w:p>
            <w:pPr>
              <w:jc w:val="right"/>
              <w:ind w:right="71"/>
              <w:spacing w:after="0"/>
              <w:rPr>
                <w:sz w:val="20"/>
                <w:szCs w:val="20"/>
                <w:color w:val="auto"/>
              </w:rPr>
            </w:pPr>
            <w:r>
              <w:rPr>
                <w:rFonts w:ascii="Arial" w:cs="Arial" w:eastAsia="Arial" w:hAnsi="Arial"/>
                <w:sz w:val="13"/>
                <w:szCs w:val="13"/>
                <w:b w:val="1"/>
                <w:bCs w:val="1"/>
                <w:color w:val="auto"/>
              </w:rPr>
              <w:t>Losses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92"/>
        </w:trPr>
        <w:tc>
          <w:tcPr>
            <w:tcW w:w="456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Cash equivalents:</w:t>
            </w:r>
          </w:p>
        </w:tc>
        <w:tc>
          <w:tcPr>
            <w:tcW w:w="26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60" w:type="dxa"/>
            <w:vAlign w:val="bottom"/>
          </w:tcPr>
          <w:p>
            <w:pPr>
              <w:ind w:left="200"/>
              <w:spacing w:after="0"/>
              <w:rPr>
                <w:sz w:val="20"/>
                <w:szCs w:val="20"/>
                <w:color w:val="auto"/>
              </w:rPr>
            </w:pPr>
            <w:r>
              <w:rPr>
                <w:rFonts w:ascii="Arial" w:cs="Arial" w:eastAsia="Arial" w:hAnsi="Arial"/>
                <w:sz w:val="16"/>
                <w:szCs w:val="16"/>
                <w:color w:val="auto"/>
              </w:rPr>
              <w:t>Money market fund</w:t>
            </w:r>
          </w:p>
        </w:tc>
        <w:tc>
          <w:tcPr>
            <w:tcW w:w="1460" w:type="dxa"/>
            <w:vAlign w:val="bottom"/>
            <w:gridSpan w:val="2"/>
          </w:tcPr>
          <w:p>
            <w:pPr>
              <w:jc w:val="center"/>
              <w:ind w:left="181"/>
              <w:spacing w:after="0"/>
              <w:rPr>
                <w:sz w:val="20"/>
                <w:szCs w:val="20"/>
                <w:color w:val="auto"/>
              </w:rPr>
            </w:pPr>
            <w:r>
              <w:rPr>
                <w:rFonts w:ascii="Arial" w:cs="Arial" w:eastAsia="Arial" w:hAnsi="Arial"/>
                <w:sz w:val="16"/>
                <w:szCs w:val="16"/>
                <w:color w:val="auto"/>
                <w:w w:val="89"/>
              </w:rPr>
              <w:t>1</w:t>
            </w:r>
          </w:p>
        </w:tc>
        <w:tc>
          <w:tcPr>
            <w:tcW w:w="30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66,596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66,596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1460" w:type="dxa"/>
            <w:vAlign w:val="bottom"/>
            <w:gridSpan w:val="2"/>
            <w:shd w:val="clear" w:color="auto" w:fill="CFF0FC"/>
          </w:tcPr>
          <w:p>
            <w:pPr>
              <w:jc w:val="center"/>
              <w:ind w:left="181"/>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70,392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70,389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60" w:type="dxa"/>
            <w:vAlign w:val="bottom"/>
          </w:tcPr>
          <w:p>
            <w:pPr>
              <w:ind w:left="200"/>
              <w:spacing w:after="0"/>
              <w:rPr>
                <w:sz w:val="20"/>
                <w:szCs w:val="20"/>
                <w:color w:val="auto"/>
              </w:rPr>
            </w:pPr>
            <w:r>
              <w:rPr>
                <w:rFonts w:ascii="Arial" w:cs="Arial" w:eastAsia="Arial" w:hAnsi="Arial"/>
                <w:sz w:val="16"/>
                <w:szCs w:val="16"/>
                <w:color w:val="auto"/>
              </w:rPr>
              <w:t>U.S. government debt and agency securities</w:t>
            </w:r>
          </w:p>
        </w:tc>
        <w:tc>
          <w:tcPr>
            <w:tcW w:w="1460" w:type="dxa"/>
            <w:vAlign w:val="bottom"/>
            <w:gridSpan w:val="2"/>
          </w:tcPr>
          <w:p>
            <w:pPr>
              <w:jc w:val="center"/>
              <w:ind w:left="181"/>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treasury bills</w:t>
            </w:r>
          </w:p>
        </w:tc>
        <w:tc>
          <w:tcPr>
            <w:tcW w:w="1460" w:type="dxa"/>
            <w:vAlign w:val="bottom"/>
            <w:gridSpan w:val="2"/>
            <w:shd w:val="clear" w:color="auto" w:fill="CFF0FC"/>
          </w:tcPr>
          <w:p>
            <w:pPr>
              <w:jc w:val="center"/>
              <w:ind w:left="181"/>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14,999</w:t>
            </w:r>
          </w:p>
        </w:tc>
        <w:tc>
          <w:tcPr>
            <w:tcW w:w="2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14,999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560" w:type="dxa"/>
            <w:vAlign w:val="bottom"/>
          </w:tcPr>
          <w:p>
            <w:pPr>
              <w:ind w:left="200"/>
              <w:spacing w:after="0"/>
              <w:rPr>
                <w:sz w:val="20"/>
                <w:szCs w:val="20"/>
                <w:color w:val="auto"/>
              </w:rPr>
            </w:pPr>
            <w:r>
              <w:rPr>
                <w:rFonts w:ascii="Arial" w:cs="Arial" w:eastAsia="Arial" w:hAnsi="Arial"/>
                <w:sz w:val="16"/>
                <w:szCs w:val="16"/>
                <w:color w:val="auto"/>
              </w:rPr>
              <w:t>Total cash equivalents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152,822</w:t>
            </w:r>
          </w:p>
        </w:tc>
        <w:tc>
          <w:tcPr>
            <w:tcW w:w="24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ind w:right="711"/>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152,819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560" w:type="dxa"/>
            <w:vAlign w:val="bottom"/>
            <w:tcBorders>
              <w:top w:val="single" w:sz="8" w:color="CFF0FC"/>
              <w:bottom w:val="single" w:sz="8" w:color="auto"/>
            </w:tcBorders>
            <w:shd w:val="clear" w:color="auto" w:fill="CFF0FC"/>
          </w:tcPr>
          <w:p>
            <w:pPr>
              <w:spacing w:after="0" w:line="175" w:lineRule="exact"/>
              <w:rPr>
                <w:sz w:val="20"/>
                <w:szCs w:val="20"/>
                <w:color w:val="auto"/>
              </w:rPr>
            </w:pPr>
            <w:r>
              <w:rPr>
                <w:rFonts w:ascii="Arial" w:cs="Arial" w:eastAsia="Arial" w:hAnsi="Arial"/>
                <w:sz w:val="16"/>
                <w:szCs w:val="16"/>
                <w:color w:val="auto"/>
              </w:rPr>
              <w:t>Short-term investments:</w:t>
            </w:r>
          </w:p>
        </w:tc>
        <w:tc>
          <w:tcPr>
            <w:tcW w:w="260" w:type="dxa"/>
            <w:vAlign w:val="bottom"/>
            <w:tcBorders>
              <w:top w:val="single" w:sz="8" w:color="CFF0FC"/>
            </w:tcBorders>
            <w:shd w:val="clear" w:color="auto" w:fill="CFF0FC"/>
          </w:tcPr>
          <w:p>
            <w:pPr>
              <w:spacing w:after="0"/>
              <w:rPr>
                <w:sz w:val="15"/>
                <w:szCs w:val="15"/>
                <w:color w:val="auto"/>
              </w:rPr>
            </w:pPr>
          </w:p>
        </w:tc>
        <w:tc>
          <w:tcPr>
            <w:tcW w:w="1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560" w:type="dxa"/>
            <w:vAlign w:val="bottom"/>
          </w:tcPr>
          <w:p>
            <w:pPr>
              <w:ind w:left="200"/>
              <w:spacing w:after="0"/>
              <w:rPr>
                <w:sz w:val="20"/>
                <w:szCs w:val="20"/>
                <w:color w:val="auto"/>
              </w:rPr>
            </w:pPr>
            <w:r>
              <w:rPr>
                <w:rFonts w:ascii="Arial" w:cs="Arial" w:eastAsia="Arial" w:hAnsi="Arial"/>
                <w:sz w:val="16"/>
                <w:szCs w:val="16"/>
                <w:color w:val="auto"/>
              </w:rPr>
              <w:t>Commercial paper</w:t>
            </w:r>
          </w:p>
        </w:tc>
        <w:tc>
          <w:tcPr>
            <w:tcW w:w="1460" w:type="dxa"/>
            <w:vAlign w:val="bottom"/>
            <w:gridSpan w:val="2"/>
          </w:tcPr>
          <w:p>
            <w:pPr>
              <w:jc w:val="center"/>
              <w:ind w:left="181"/>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30,393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30,394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government debt and agency securities</w:t>
            </w:r>
          </w:p>
        </w:tc>
        <w:tc>
          <w:tcPr>
            <w:tcW w:w="1460" w:type="dxa"/>
            <w:vAlign w:val="bottom"/>
            <w:gridSpan w:val="2"/>
            <w:shd w:val="clear" w:color="auto" w:fill="CFF0FC"/>
          </w:tcPr>
          <w:p>
            <w:pPr>
              <w:jc w:val="center"/>
              <w:ind w:left="181"/>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29,220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29,227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Corporate bonds</w:t>
            </w:r>
          </w:p>
        </w:tc>
        <w:tc>
          <w:tcPr>
            <w:tcW w:w="1460" w:type="dxa"/>
            <w:vAlign w:val="bottom"/>
            <w:tcBorders>
              <w:bottom w:val="single" w:sz="8" w:color="CFF0FC"/>
            </w:tcBorders>
            <w:gridSpan w:val="2"/>
          </w:tcPr>
          <w:p>
            <w:pPr>
              <w:jc w:val="center"/>
              <w:ind w:left="181"/>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Total short-term investments</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60,539</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11"/>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60,547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Long-term investments:</w:t>
            </w:r>
          </w:p>
        </w:tc>
        <w:tc>
          <w:tcPr>
            <w:tcW w:w="2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5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12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9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government debt and agency securities</w:t>
            </w:r>
          </w:p>
        </w:tc>
        <w:tc>
          <w:tcPr>
            <w:tcW w:w="1460" w:type="dxa"/>
            <w:vAlign w:val="bottom"/>
            <w:gridSpan w:val="2"/>
            <w:shd w:val="clear" w:color="auto" w:fill="CFF0FC"/>
          </w:tcPr>
          <w:p>
            <w:pPr>
              <w:jc w:val="center"/>
              <w:ind w:left="181"/>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32,634</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32,636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U. S. treasury bills</w:t>
            </w:r>
          </w:p>
        </w:tc>
        <w:tc>
          <w:tcPr>
            <w:tcW w:w="1460" w:type="dxa"/>
            <w:vAlign w:val="bottom"/>
            <w:tcBorders>
              <w:bottom w:val="single" w:sz="8" w:color="CFF0FC"/>
            </w:tcBorders>
            <w:gridSpan w:val="2"/>
          </w:tcPr>
          <w:p>
            <w:pPr>
              <w:jc w:val="center"/>
              <w:ind w:left="181"/>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Total long-term investments</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33,654</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11"/>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33,656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40" w:firstLine="511"/>
        <w:spacing w:after="0" w:line="256" w:lineRule="auto"/>
        <w:rPr>
          <w:sz w:val="20"/>
          <w:szCs w:val="20"/>
          <w:color w:val="auto"/>
        </w:rPr>
      </w:pPr>
      <w:r>
        <w:rPr>
          <w:rFonts w:ascii="Arial" w:cs="Arial" w:eastAsia="Arial" w:hAnsi="Arial"/>
          <w:sz w:val="16"/>
          <w:szCs w:val="16"/>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201" w:lineRule="exact"/>
        <w:rPr>
          <w:sz w:val="20"/>
          <w:szCs w:val="20"/>
          <w:color w:val="auto"/>
        </w:rPr>
      </w:pPr>
    </w:p>
    <w:p>
      <w:pPr>
        <w:jc w:val="both"/>
        <w:ind w:right="20" w:firstLine="511"/>
        <w:spacing w:after="0" w:line="268" w:lineRule="auto"/>
        <w:rPr>
          <w:sz w:val="20"/>
          <w:szCs w:val="20"/>
          <w:color w:val="auto"/>
        </w:rPr>
      </w:pPr>
      <w:r>
        <w:rPr>
          <w:rFonts w:ascii="Arial" w:cs="Arial" w:eastAsia="Arial" w:hAnsi="Arial"/>
          <w:sz w:val="15"/>
          <w:szCs w:val="15"/>
          <w:color w:val="auto"/>
        </w:rPr>
        <w:t>Prior to the IPO, the Company’s level 3 financial liabilities carried at fair value and remeasured on a recurring basis are the grant liability, derivative liability, and the convertible preferred stock warrant liability. In the third quarter the Company recorded an additional $464,000 to bring the total grant liability to $1.5 million as the Company’s IPO triggered the repayment obligation (see Note 6), and the derivative was settled upon the Company’s conversion of its convertible notes in May 2020 (see Note 7). The losses resulting from the change in fair value of the grant liability, the bifurcated conversion and redemption features related to the derivative liability, and the convertible preferred stock warrant liability are classified as other income (expense), net in the accompanying condensed consolidated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following table presents the activity for the grant liability for the nine months ended September 30, 2020 and year ended December 31, 2019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right"/>
              <w:ind w:right="248"/>
              <w:spacing w:after="0"/>
              <w:rPr>
                <w:sz w:val="20"/>
                <w:szCs w:val="20"/>
                <w:color w:val="auto"/>
              </w:rPr>
            </w:pPr>
            <w:r>
              <w:rPr>
                <w:rFonts w:ascii="Arial" w:cs="Arial" w:eastAsia="Arial" w:hAnsi="Arial"/>
                <w:sz w:val="13"/>
                <w:szCs w:val="13"/>
                <w:b w:val="1"/>
                <w:bCs w:val="1"/>
                <w:color w:val="auto"/>
                <w:w w:val="95"/>
              </w:rPr>
              <w:t>Nine Months Ended</w:t>
            </w:r>
          </w:p>
        </w:tc>
        <w:tc>
          <w:tcPr>
            <w:tcW w:w="200" w:type="dxa"/>
            <w:vAlign w:val="bottom"/>
          </w:tcPr>
          <w:p>
            <w:pPr>
              <w:spacing w:after="0"/>
              <w:rPr>
                <w:sz w:val="12"/>
                <w:szCs w:val="12"/>
                <w:color w:val="auto"/>
              </w:rPr>
            </w:pPr>
          </w:p>
        </w:tc>
        <w:tc>
          <w:tcPr>
            <w:tcW w:w="1580" w:type="dxa"/>
            <w:vAlign w:val="bottom"/>
            <w:gridSpan w:val="2"/>
          </w:tcPr>
          <w:p>
            <w:pPr>
              <w:jc w:val="right"/>
              <w:ind w:right="65"/>
              <w:spacing w:after="0"/>
              <w:rPr>
                <w:sz w:val="20"/>
                <w:szCs w:val="20"/>
                <w:color w:val="auto"/>
              </w:rPr>
            </w:pPr>
            <w:r>
              <w:rPr>
                <w:rFonts w:ascii="Arial" w:cs="Arial" w:eastAsia="Arial" w:hAnsi="Arial"/>
                <w:sz w:val="13"/>
                <w:szCs w:val="13"/>
                <w:b w:val="1"/>
                <w:bCs w:val="1"/>
                <w:color w:val="auto"/>
                <w:w w:val="88"/>
              </w:rPr>
              <w:t>Year Ended December 31,</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700" w:type="dxa"/>
            <w:vAlign w:val="bottom"/>
          </w:tcPr>
          <w:p>
            <w:pPr>
              <w:spacing w:after="0"/>
              <w:rPr>
                <w:sz w:val="13"/>
                <w:szCs w:val="13"/>
                <w:color w:val="auto"/>
              </w:rPr>
            </w:pPr>
          </w:p>
        </w:tc>
        <w:tc>
          <w:tcPr>
            <w:tcW w:w="308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w w:val="95"/>
              </w:rPr>
              <w:t>September 30, 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25"/>
              <w:spacing w:after="0"/>
              <w:rPr>
                <w:sz w:val="20"/>
                <w:szCs w:val="20"/>
                <w:color w:val="auto"/>
              </w:rPr>
            </w:pPr>
            <w:r>
              <w:rPr>
                <w:rFonts w:ascii="Arial" w:cs="Arial" w:eastAsia="Arial" w:hAnsi="Arial"/>
                <w:sz w:val="13"/>
                <w:szCs w:val="13"/>
                <w:b w:val="1"/>
                <w:bCs w:val="1"/>
                <w:color w:val="auto"/>
              </w:rPr>
              <w:t>2019</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700" w:type="dxa"/>
            <w:vAlign w:val="bottom"/>
          </w:tcPr>
          <w:p>
            <w:pPr>
              <w:spacing w:after="0"/>
              <w:rPr>
                <w:sz w:val="16"/>
                <w:szCs w:val="16"/>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Fair value at beginning of period</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6"/>
                <w:szCs w:val="16"/>
                <w:color w:val="auto"/>
              </w:rPr>
              <w:t>936</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00" w:type="dxa"/>
            <w:vAlign w:val="bottom"/>
          </w:tcPr>
          <w:p>
            <w:pPr>
              <w:spacing w:after="0"/>
              <w:rPr>
                <w:sz w:val="17"/>
                <w:szCs w:val="17"/>
                <w:color w:val="auto"/>
              </w:rPr>
            </w:pPr>
          </w:p>
        </w:tc>
        <w:tc>
          <w:tcPr>
            <w:tcW w:w="30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Change in fair value of grant liability</w:t>
            </w:r>
          </w:p>
        </w:tc>
        <w:tc>
          <w:tcPr>
            <w:tcW w:w="13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2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00" w:type="dxa"/>
            <w:vAlign w:val="bottom"/>
          </w:tcPr>
          <w:p>
            <w:pPr>
              <w:spacing w:after="0"/>
              <w:rPr>
                <w:sz w:val="16"/>
                <w:szCs w:val="16"/>
                <w:color w:val="auto"/>
              </w:rPr>
            </w:pPr>
          </w:p>
        </w:tc>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Fair value at end of period</w:t>
            </w:r>
          </w:p>
        </w:tc>
        <w:tc>
          <w:tcPr>
            <w:tcW w:w="13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right w:val="single" w:sz="8" w:color="CFF0FC"/>
            </w:tcBorders>
            <w:shd w:val="clear" w:color="auto" w:fill="CFF0FC"/>
          </w:tcPr>
          <w:p>
            <w:pPr>
              <w:jc w:val="right"/>
              <w:ind w:right="5"/>
              <w:spacing w:after="0"/>
              <w:rPr>
                <w:sz w:val="20"/>
                <w:szCs w:val="20"/>
                <w:color w:val="auto"/>
              </w:rPr>
            </w:pPr>
            <w:r>
              <w:rPr>
                <w:rFonts w:ascii="Arial" w:cs="Arial" w:eastAsia="Arial" w:hAnsi="Arial"/>
                <w:sz w:val="16"/>
                <w:szCs w:val="16"/>
                <w:color w:val="auto"/>
              </w:rPr>
              <w:t>1,036</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20" w:type="dxa"/>
            <w:vAlign w:val="bottom"/>
            <w:vMerge w:val="restart"/>
          </w:tcPr>
          <w:p>
            <w:pPr>
              <w:jc w:val="right"/>
              <w:ind w:right="321"/>
              <w:spacing w:after="0"/>
              <w:rPr>
                <w:sz w:val="20"/>
                <w:szCs w:val="20"/>
                <w:color w:val="auto"/>
              </w:rPr>
            </w:pPr>
            <w:r>
              <w:rPr>
                <w:rFonts w:ascii="Arial" w:cs="Arial" w:eastAsia="Arial" w:hAnsi="Arial"/>
                <w:sz w:val="16"/>
                <w:szCs w:val="16"/>
                <w:color w:val="auto"/>
              </w:rPr>
              <w:t>14</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70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540" w:right="299" w:bottom="1440" w:gutter="0" w:footer="0" w:header="0"/>
        </w:sectPr>
      </w:pPr>
    </w:p>
    <w:bookmarkStart w:id="14" w:name="page15"/>
    <w:bookmarkEnd w:id="14"/>
    <w:p>
      <w:pPr>
        <w:ind w:left="500"/>
        <w:spacing w:after="0"/>
        <w:rPr>
          <w:sz w:val="20"/>
          <w:szCs w:val="20"/>
          <w:color w:val="auto"/>
        </w:rPr>
      </w:pPr>
      <w:r>
        <w:rPr>
          <w:rFonts w:ascii="Arial" w:cs="Arial" w:eastAsia="Arial" w:hAnsi="Arial"/>
          <w:sz w:val="13"/>
          <w:szCs w:val="13"/>
          <w:color w:val="auto"/>
        </w:rPr>
        <w:t>The following table presents the activity for the derivative liability for the nine months ended September 30, 2020 and year ended December 31, 2019 (in thousands):</w:t>
      </w:r>
    </w:p>
    <w:p>
      <w:pPr>
        <w:spacing w:after="0" w:line="212"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5"/>
              </w:rPr>
              <w:t>Nine Months Ended</w:t>
            </w:r>
          </w:p>
        </w:tc>
        <w:tc>
          <w:tcPr>
            <w:tcW w:w="80" w:type="dxa"/>
            <w:vAlign w:val="bottom"/>
          </w:tcPr>
          <w:p>
            <w:pPr>
              <w:spacing w:after="0"/>
              <w:rPr>
                <w:sz w:val="13"/>
                <w:szCs w:val="13"/>
                <w:color w:val="auto"/>
              </w:rPr>
            </w:pPr>
          </w:p>
        </w:tc>
        <w:tc>
          <w:tcPr>
            <w:tcW w:w="1580" w:type="dxa"/>
            <w:vAlign w:val="bottom"/>
            <w:gridSpan w:val="3"/>
          </w:tcPr>
          <w:p>
            <w:pPr>
              <w:ind w:left="60"/>
              <w:spacing w:after="0"/>
              <w:rPr>
                <w:sz w:val="20"/>
                <w:szCs w:val="20"/>
                <w:color w:val="auto"/>
              </w:rPr>
            </w:pPr>
            <w:r>
              <w:rPr>
                <w:rFonts w:ascii="Arial" w:cs="Arial" w:eastAsia="Arial" w:hAnsi="Arial"/>
                <w:sz w:val="13"/>
                <w:szCs w:val="13"/>
                <w:b w:val="1"/>
                <w:bCs w:val="1"/>
                <w:color w:val="auto"/>
                <w:w w:val="93"/>
              </w:rPr>
              <w:t>Year Ended December 31,</w:t>
            </w:r>
          </w:p>
        </w:tc>
      </w:tr>
      <w:tr>
        <w:trPr>
          <w:trHeight w:val="150"/>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5"/>
              </w:rPr>
              <w:t>September 30, 2020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64"/>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Fair value at beginning of period</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539</w:t>
            </w:r>
          </w:p>
        </w:tc>
        <w:tc>
          <w:tcPr>
            <w:tcW w:w="60" w:type="dxa"/>
            <w:vAlign w:val="bottom"/>
            <w:tcBorders>
              <w:top w:val="single" w:sz="8" w:color="CFF0FC"/>
            </w:tcBorders>
            <w:shd w:val="clear" w:color="auto" w:fill="CFF0FC"/>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Derivative liability recorded upon issuance of</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convertible notes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389</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 of derivative liability</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60" w:type="dxa"/>
            <w:vAlign w:val="bottom"/>
            <w:shd w:val="clear" w:color="auto" w:fill="CFF0FC"/>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Derivative liability settled upon conversion of</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convertible notes</w:t>
            </w:r>
          </w:p>
        </w:tc>
        <w:tc>
          <w:tcPr>
            <w:tcW w:w="180" w:type="dxa"/>
            <w:vAlign w:val="bottom"/>
          </w:tcPr>
          <w:p>
            <w:pPr>
              <w:spacing w:after="0"/>
              <w:rPr>
                <w:sz w:val="17"/>
                <w:szCs w:val="17"/>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(1,905)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Fair value at end of period</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following table presents the activity for the convertible preferred stock warrant liability for the nine months ended September 30, 2020 (in thousands):</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940" w:type="dxa"/>
            <w:vAlign w:val="bottom"/>
          </w:tcPr>
          <w:p>
            <w:pPr>
              <w:spacing w:after="0"/>
              <w:rPr>
                <w:sz w:val="13"/>
                <w:szCs w:val="13"/>
                <w:color w:val="auto"/>
              </w:rPr>
            </w:pPr>
          </w:p>
        </w:tc>
        <w:tc>
          <w:tcPr>
            <w:tcW w:w="20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8"/>
              </w:rPr>
              <w:t>Nine Months Ended September 30,</w:t>
            </w:r>
          </w:p>
        </w:tc>
      </w:tr>
      <w:tr>
        <w:trPr>
          <w:trHeight w:val="150"/>
        </w:trPr>
        <w:tc>
          <w:tcPr>
            <w:tcW w:w="69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0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192"/>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Fair value at beginning of period</w:t>
            </w:r>
          </w:p>
        </w:tc>
        <w:tc>
          <w:tcPr>
            <w:tcW w:w="460" w:type="dxa"/>
            <w:vAlign w:val="bottom"/>
            <w:shd w:val="clear" w:color="auto" w:fill="CFF0FC"/>
          </w:tcPr>
          <w:p>
            <w:pPr>
              <w:jc w:val="right"/>
              <w:ind w:right="310"/>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200"/>
        </w:trPr>
        <w:tc>
          <w:tcPr>
            <w:tcW w:w="6940" w:type="dxa"/>
            <w:vAlign w:val="bottom"/>
          </w:tcPr>
          <w:p>
            <w:pPr>
              <w:spacing w:after="0"/>
              <w:rPr>
                <w:sz w:val="20"/>
                <w:szCs w:val="20"/>
                <w:color w:val="auto"/>
              </w:rPr>
            </w:pPr>
            <w:r>
              <w:rPr>
                <w:rFonts w:ascii="Arial" w:cs="Arial" w:eastAsia="Arial" w:hAnsi="Arial"/>
                <w:sz w:val="16"/>
                <w:szCs w:val="16"/>
                <w:color w:val="auto"/>
              </w:rPr>
              <w:t>Recognition of convertible preferred stock warrant liability</w:t>
            </w: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7"/>
                <w:szCs w:val="17"/>
                <w:color w:val="auto"/>
              </w:rPr>
            </w:pPr>
          </w:p>
        </w:tc>
      </w:tr>
      <w:tr>
        <w:trPr>
          <w:trHeight w:val="201"/>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w:t>
            </w:r>
          </w:p>
        </w:tc>
        <w:tc>
          <w:tcPr>
            <w:tcW w:w="4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FF0FC"/>
          </w:tcPr>
          <w:p>
            <w:pPr>
              <w:spacing w:after="0"/>
              <w:rPr>
                <w:sz w:val="17"/>
                <w:szCs w:val="17"/>
                <w:color w:val="auto"/>
              </w:rPr>
            </w:pPr>
          </w:p>
        </w:tc>
      </w:tr>
      <w:tr>
        <w:trPr>
          <w:trHeight w:val="200"/>
        </w:trPr>
        <w:tc>
          <w:tcPr>
            <w:tcW w:w="6940" w:type="dxa"/>
            <w:vAlign w:val="bottom"/>
          </w:tcPr>
          <w:p>
            <w:pPr>
              <w:spacing w:after="0"/>
              <w:rPr>
                <w:sz w:val="20"/>
                <w:szCs w:val="20"/>
                <w:color w:val="auto"/>
              </w:rPr>
            </w:pPr>
            <w:r>
              <w:rPr>
                <w:rFonts w:ascii="Arial" w:cs="Arial" w:eastAsia="Arial" w:hAnsi="Arial"/>
                <w:sz w:val="16"/>
                <w:szCs w:val="16"/>
                <w:color w:val="auto"/>
              </w:rPr>
              <w:t>Settlement upon IPO</w:t>
            </w:r>
          </w:p>
        </w:tc>
        <w:tc>
          <w:tcPr>
            <w:tcW w:w="46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6"/>
                <w:szCs w:val="16"/>
                <w:color w:val="auto"/>
              </w:rPr>
              <w:t>(1,005)</w:t>
            </w:r>
          </w:p>
        </w:tc>
      </w:tr>
      <w:tr>
        <w:trPr>
          <w:trHeight w:val="192"/>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Fair value at end of period</w:t>
            </w:r>
          </w:p>
        </w:tc>
        <w:tc>
          <w:tcPr>
            <w:tcW w:w="46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Prior to the IPO, the activity for the convertible preferred stock warrant liability presented in the table above was shown in the Company’s financial statements as level 3.</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Following the IPO, the preferred stock warrant liability was revalued based on the IPO price of $17.00 per share.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Accrued Expenses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expenses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2"/>
              </w:rPr>
              <w:t>As of September 30,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4"/>
          </w:tcPr>
          <w:p>
            <w:pPr>
              <w:jc w:val="right"/>
              <w:ind w:right="221"/>
              <w:spacing w:after="0"/>
              <w:rPr>
                <w:sz w:val="20"/>
                <w:szCs w:val="20"/>
                <w:color w:val="auto"/>
              </w:rPr>
            </w:pPr>
            <w:r>
              <w:rPr>
                <w:rFonts w:ascii="Arial" w:cs="Arial" w:eastAsia="Arial" w:hAnsi="Arial"/>
                <w:sz w:val="13"/>
                <w:szCs w:val="13"/>
                <w:b w:val="1"/>
                <w:bCs w:val="1"/>
                <w:color w:val="auto"/>
                <w:w w:val="92"/>
              </w:rPr>
              <w:t>As of December 31,</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w w:val="94"/>
              </w:rPr>
              <w:t>Research and development expenses</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1,672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20" w:type="dxa"/>
            <w:vAlign w:val="bottom"/>
            <w:tcBorders>
              <w:right w:val="single" w:sz="8" w:color="CFF0FC"/>
            </w:tcBorders>
            <w:gridSpan w:val="2"/>
            <w:shd w:val="clear" w:color="auto" w:fill="CFF0FC"/>
          </w:tcPr>
          <w:p>
            <w:pPr>
              <w:ind w:left="100"/>
              <w:spacing w:after="0"/>
              <w:rPr>
                <w:sz w:val="20"/>
                <w:szCs w:val="20"/>
                <w:color w:val="auto"/>
              </w:rPr>
            </w:pPr>
            <w:r>
              <w:rPr>
                <w:rFonts w:ascii="Arial" w:cs="Arial" w:eastAsia="Arial" w:hAnsi="Arial"/>
                <w:sz w:val="16"/>
                <w:szCs w:val="16"/>
                <w:color w:val="auto"/>
              </w:rPr>
              <w:t>536</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w w:val="95"/>
              </w:rPr>
              <w:t>Employee compensation and benefits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w w:val="89"/>
              </w:rPr>
              <w:t>229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230</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Professional services and other</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9"/>
              </w:rPr>
              <w:t>224</w:t>
            </w:r>
          </w:p>
        </w:tc>
        <w:tc>
          <w:tcPr>
            <w:tcW w:w="2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right w:val="single" w:sz="8" w:color="CFF0FC"/>
            </w:tcBorders>
            <w:gridSpan w:val="2"/>
            <w:shd w:val="clear" w:color="auto" w:fill="CFF0FC"/>
          </w:tcPr>
          <w:p>
            <w:pPr>
              <w:jc w:val="right"/>
              <w:ind w:right="1"/>
              <w:spacing w:after="0"/>
              <w:rPr>
                <w:sz w:val="20"/>
                <w:szCs w:val="20"/>
                <w:color w:val="auto"/>
              </w:rPr>
            </w:pPr>
            <w:r>
              <w:rPr>
                <w:rFonts w:ascii="Arial" w:cs="Arial" w:eastAsia="Arial" w:hAnsi="Arial"/>
                <w:sz w:val="16"/>
                <w:szCs w:val="16"/>
                <w:color w:val="auto"/>
              </w:rPr>
              <w:t>86</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60" w:type="dxa"/>
            <w:vAlign w:val="bottom"/>
          </w:tcPr>
          <w:p>
            <w:pPr>
              <w:ind w:left="200"/>
              <w:spacing w:after="0"/>
              <w:rPr>
                <w:sz w:val="20"/>
                <w:szCs w:val="20"/>
                <w:color w:val="auto"/>
              </w:rPr>
            </w:pPr>
            <w:r>
              <w:rPr>
                <w:rFonts w:ascii="Arial" w:cs="Arial" w:eastAsia="Arial" w:hAnsi="Arial"/>
                <w:sz w:val="16"/>
                <w:szCs w:val="16"/>
                <w:color w:val="auto"/>
              </w:rPr>
              <w:t>Total accrued expenses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2,125</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852</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5. Other Income (Expense), Net</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2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5340" w:type="dxa"/>
            <w:vAlign w:val="bottom"/>
            <w:gridSpan w:val="5"/>
          </w:tcPr>
          <w:p>
            <w:pPr>
              <w:jc w:val="right"/>
              <w:ind w:right="332"/>
              <w:spacing w:after="0"/>
              <w:rPr>
                <w:sz w:val="20"/>
                <w:szCs w:val="20"/>
                <w:color w:val="auto"/>
              </w:rPr>
            </w:pPr>
            <w:r>
              <w:rPr>
                <w:rFonts w:ascii="Arial" w:cs="Arial" w:eastAsia="Arial" w:hAnsi="Arial"/>
                <w:sz w:val="16"/>
                <w:szCs w:val="16"/>
                <w:color w:val="auto"/>
                <w:w w:val="99"/>
              </w:rPr>
              <w:t>Other income (expense), net consisted of the following (in thousands):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7"/>
          </w:tcPr>
          <w:p>
            <w:pPr>
              <w:jc w:val="right"/>
              <w:ind w:right="580"/>
              <w:spacing w:after="0"/>
              <w:rPr>
                <w:sz w:val="20"/>
                <w:szCs w:val="20"/>
                <w:color w:val="auto"/>
              </w:rPr>
            </w:pPr>
            <w:r>
              <w:rPr>
                <w:rFonts w:ascii="Arial" w:cs="Arial" w:eastAsia="Arial" w:hAnsi="Arial"/>
                <w:sz w:val="13"/>
                <w:szCs w:val="13"/>
                <w:b w:val="1"/>
                <w:bCs w:val="1"/>
                <w:color w:val="auto"/>
              </w:rPr>
              <w:t>Three Months Ended September 30,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w w:val="89"/>
              </w:rPr>
              <w:t>Nine Months Ended September 30,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1140" w:type="dxa"/>
            <w:vAlign w:val="bottom"/>
            <w:tcBorders>
              <w:bottom w:val="single" w:sz="8" w:color="CFF0FC"/>
            </w:tcBorders>
          </w:tcPr>
          <w:p>
            <w:pPr>
              <w:spacing w:after="0"/>
              <w:rPr>
                <w:sz w:val="11"/>
                <w:szCs w:val="11"/>
                <w:color w:val="auto"/>
              </w:rPr>
            </w:pPr>
          </w:p>
        </w:tc>
        <w:tc>
          <w:tcPr>
            <w:tcW w:w="2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2020</w:t>
            </w:r>
          </w:p>
        </w:tc>
        <w:tc>
          <w:tcPr>
            <w:tcW w:w="5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CFF0FC"/>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485"/>
              <w:spacing w:after="0" w:line="133"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487"/>
              <w:spacing w:after="0" w:line="133"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FF0FC"/>
            </w:tcBorders>
          </w:tcPr>
          <w:p>
            <w:pPr>
              <w:spacing w:after="0"/>
              <w:rPr>
                <w:sz w:val="11"/>
                <w:szCs w:val="11"/>
                <w:color w:val="auto"/>
              </w:rPr>
            </w:pPr>
          </w:p>
        </w:tc>
        <w:tc>
          <w:tcPr>
            <w:tcW w:w="100" w:type="dxa"/>
            <w:vAlign w:val="bottom"/>
            <w:tcBorders>
              <w:top w:val="single" w:sz="8" w:color="auto"/>
              <w:bottom w:val="single" w:sz="8" w:color="CFF0FC"/>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483"/>
              <w:spacing w:after="0" w:line="133"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6"/>
                <w:szCs w:val="16"/>
                <w:i w:val="1"/>
                <w:iCs w:val="1"/>
                <w:color w:val="auto"/>
              </w:rPr>
              <w:t xml:space="preserve">Part the Cloud </w:t>
            </w:r>
            <w:r>
              <w:rPr>
                <w:rFonts w:ascii="Arial" w:cs="Arial" w:eastAsia="Arial" w:hAnsi="Arial"/>
                <w:sz w:val="16"/>
                <w:szCs w:val="16"/>
                <w:color w:val="auto"/>
              </w:rPr>
              <w:t>research grant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9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80" w:type="dxa"/>
            <w:vAlign w:val="bottom"/>
            <w:shd w:val="clear" w:color="auto" w:fill="CFF0FC"/>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Interest and other income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(236)</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Change in fair value of derivative liability</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(84)</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Change in fair value of grant liability</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(453)</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(51)</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Change in convertible preferred stock</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3700" w:type="dxa"/>
            <w:vAlign w:val="bottom"/>
            <w:gridSpan w:val="2"/>
          </w:tcPr>
          <w:p>
            <w:pPr>
              <w:ind w:left="120"/>
              <w:spacing w:after="0"/>
              <w:rPr>
                <w:sz w:val="20"/>
                <w:szCs w:val="20"/>
                <w:color w:val="auto"/>
              </w:rPr>
            </w:pPr>
            <w:r>
              <w:rPr>
                <w:rFonts w:ascii="Arial" w:cs="Arial" w:eastAsia="Arial" w:hAnsi="Arial"/>
                <w:sz w:val="16"/>
                <w:szCs w:val="16"/>
                <w:color w:val="auto"/>
              </w:rPr>
              <w:t>warrant liability</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(641)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Gain on extinguishment of convertible notes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3700" w:type="dxa"/>
            <w:vAlign w:val="bottom"/>
            <w:gridSpan w:val="2"/>
          </w:tcPr>
          <w:p>
            <w:pPr>
              <w:ind w:left="220"/>
              <w:spacing w:after="0"/>
              <w:rPr>
                <w:sz w:val="20"/>
                <w:szCs w:val="20"/>
                <w:color w:val="auto"/>
              </w:rPr>
            </w:pPr>
            <w:r>
              <w:rPr>
                <w:rFonts w:ascii="Arial" w:cs="Arial" w:eastAsia="Arial" w:hAnsi="Arial"/>
                <w:sz w:val="16"/>
                <w:szCs w:val="16"/>
                <w:color w:val="auto"/>
              </w:rPr>
              <w:t>Total other income (expense), net</w:t>
            </w:r>
          </w:p>
        </w:tc>
        <w:tc>
          <w:tcPr>
            <w:tcW w:w="24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(1,059)</w:t>
            </w:r>
          </w:p>
        </w:tc>
        <w:tc>
          <w:tcPr>
            <w:tcW w:w="24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jc w:val="right"/>
              <w:ind w:right="61"/>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5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75" w:right="29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6. Significant Agreements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Washington State University (“WSU”) License Agreement</w:t>
      </w:r>
    </w:p>
    <w:p>
      <w:pPr>
        <w:spacing w:after="0" w:line="217"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Washington State University (“WSU”) in 2015. Under this agreement, the Company has an exclusive license to make, use, sell, and offer for sale a chemical compound that forms the underlying technology of the drug therapies being developed by the Company.</w:t>
      </w:r>
    </w:p>
    <w:p>
      <w:pPr>
        <w:spacing w:after="0" w:line="203"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To keep in good standing, the agreement requires the Company to meet certain development milestones and pay an annual maintenance fee. All contractual requirements have been met as of September 30, 2020.</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September 30, 2020, the Phase 2 clinical trial milestone had been reached and a $50,000 liability to WSU was recorded.</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may also be obligated to pay the following if the related milestones are reached:</w:t>
      </w:r>
    </w:p>
    <w:p>
      <w:pPr>
        <w:spacing w:after="0" w:line="99" w:lineRule="exact"/>
        <w:rPr>
          <w:sz w:val="20"/>
          <w:szCs w:val="20"/>
          <w:color w:val="auto"/>
        </w:rPr>
      </w:pPr>
    </w:p>
    <w:p>
      <w:pPr>
        <w:ind w:left="1000" w:hanging="499"/>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$300,000 – At initiation of the first Phase 3 clinical trial in the United States, European Union or Japan for the first licensed product.</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$600,000 – Marketing approval in the United States, European Union or Japan for the first licensed product.</w:t>
      </w:r>
    </w:p>
    <w:p>
      <w:pPr>
        <w:spacing w:after="0" w:line="229"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September 30, 2020, the Company had not incurred a royalty obligation under this agreement.</w:t>
      </w:r>
    </w:p>
    <w:p>
      <w:pPr>
        <w:spacing w:after="0" w:line="201" w:lineRule="exact"/>
        <w:rPr>
          <w:sz w:val="20"/>
          <w:szCs w:val="20"/>
          <w:color w:val="auto"/>
        </w:rPr>
      </w:pPr>
    </w:p>
    <w:p>
      <w:pPr>
        <w:jc w:val="both"/>
        <w:ind w:right="20" w:firstLine="511"/>
        <w:spacing w:after="0" w:line="343" w:lineRule="auto"/>
        <w:rPr>
          <w:sz w:val="20"/>
          <w:szCs w:val="20"/>
          <w:color w:val="auto"/>
        </w:rPr>
      </w:pPr>
      <w:r>
        <w:rPr>
          <w:rFonts w:ascii="Arial" w:cs="Arial" w:eastAsia="Arial" w:hAnsi="Arial"/>
          <w:sz w:val="13"/>
          <w:szCs w:val="13"/>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mid-teens of any non-sales based payments received, and low twenties of net sales based sublicense royalties. As of September 30, 2020, the Company has not entered into or incurred any liability from a sublicense agreement.</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Grant Liability</w:t>
      </w:r>
    </w:p>
    <w:p>
      <w:pPr>
        <w:spacing w:after="0" w:line="229" w:lineRule="exact"/>
        <w:rPr>
          <w:sz w:val="20"/>
          <w:szCs w:val="20"/>
          <w:color w:val="auto"/>
        </w:rPr>
      </w:pPr>
    </w:p>
    <w:p>
      <w:pPr>
        <w:jc w:val="both"/>
        <w:ind w:firstLine="511"/>
        <w:spacing w:after="0" w:line="378" w:lineRule="auto"/>
        <w:rPr>
          <w:sz w:val="20"/>
          <w:szCs w:val="20"/>
          <w:color w:val="auto"/>
        </w:rPr>
      </w:pPr>
      <w:r>
        <w:rPr>
          <w:rFonts w:ascii="Arial" w:cs="Arial" w:eastAsia="Arial" w:hAnsi="Arial"/>
          <w:sz w:val="13"/>
          <w:szCs w:val="13"/>
          <w:color w:val="auto"/>
        </w:rPr>
        <w:t>In 2014 and 2015, the Company received $250,000 and $500,000, respectively, from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1" w:lineRule="exact"/>
        <w:rPr>
          <w:sz w:val="20"/>
          <w:szCs w:val="20"/>
          <w:color w:val="auto"/>
        </w:rPr>
      </w:pPr>
    </w:p>
    <w:p>
      <w:pPr>
        <w:ind w:left="1000" w:hanging="499"/>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receipt of license revenue, sales revenue, or consideration related to the underlying IP;</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transfers the underlying IP without receiving consideration;</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relocation of the Company from Washington state;</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completion of an initial public offering;</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third-party acquisition of a controlling interest in the Company,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termination of the agreements.</w:t>
      </w:r>
    </w:p>
    <w:p>
      <w:pPr>
        <w:spacing w:after="0" w:line="229" w:lineRule="exact"/>
        <w:rPr>
          <w:sz w:val="20"/>
          <w:szCs w:val="20"/>
          <w:color w:val="auto"/>
        </w:rPr>
      </w:pPr>
    </w:p>
    <w:p>
      <w:pPr>
        <w:jc w:val="both"/>
        <w:ind w:firstLine="511"/>
        <w:spacing w:after="0" w:line="250" w:lineRule="auto"/>
        <w:rPr>
          <w:sz w:val="20"/>
          <w:szCs w:val="20"/>
          <w:color w:val="auto"/>
        </w:rPr>
      </w:pPr>
      <w:r>
        <w:rPr>
          <w:rFonts w:ascii="Arial" w:cs="Arial" w:eastAsia="Arial" w:hAnsi="Arial"/>
          <w:sz w:val="16"/>
          <w:szCs w:val="16"/>
          <w:color w:val="auto"/>
        </w:rPr>
        <w:t xml:space="preserve">To appropriately capture the economics of this arrangement, the grant liability is accounted for under ASC 825-10, </w:t>
      </w:r>
      <w:r>
        <w:rPr>
          <w:rFonts w:ascii="Arial" w:cs="Arial" w:eastAsia="Arial" w:hAnsi="Arial"/>
          <w:sz w:val="16"/>
          <w:szCs w:val="16"/>
          <w:i w:val="1"/>
          <w:iCs w:val="1"/>
          <w:color w:val="auto"/>
        </w:rPr>
        <w:t>Financial Instruments −Overall</w:t>
      </w:r>
      <w:r>
        <w:rPr>
          <w:rFonts w:ascii="Arial" w:cs="Arial" w:eastAsia="Arial" w:hAnsi="Arial"/>
          <w:sz w:val="16"/>
          <w:szCs w:val="16"/>
          <w:color w:val="auto"/>
        </w:rPr>
        <w:t>. The estimated fair value of the grant liability is reassessed at each balance sheet date, with changes in fair value reflected in other income (expense), net. To determine the estimated fair value of the grant liability,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194"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The estimated fair value of the grant liability was $1.0 million as of December 31, 2019. The consummation of the Company’s IPO in September 2020 was a triggering event under the terms of the grant and the liability was remeasured to the pay-off amount of $1.5 million as of September 30, 2020. The changes in the fair value of the liability resulted in expense of approximately $453,000 and $21,000 for the three months ended September 30, 2020 and 2019, respectively, and $464,000 and $51,000 for the nine months ended September 30, 2020 and 2019, respectively, which were included in other income (expense), net in the accompanying condensed consolidated statements of operations and comprehensive loss.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7. Debt</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Convertible Notes</w:t>
      </w:r>
    </w:p>
    <w:p>
      <w:pPr>
        <w:spacing w:after="0" w:line="229"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5"/>
          <w:szCs w:val="15"/>
          <w:color w:val="auto"/>
        </w:rPr>
        <w:t>The Company issued unsecured convertible notes with an aggregate principal amount of $1.7 million in 2020. Previously, the Company issued unsecured convertible notes with aggregate principal amounts of $884,000 and $1.3 million and in 2019 and 2018,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196" w:lineRule="exact"/>
        <w:rPr>
          <w:sz w:val="20"/>
          <w:szCs w:val="20"/>
          <w:color w:val="auto"/>
        </w:rPr>
      </w:pPr>
    </w:p>
    <w:p>
      <w:pPr>
        <w:jc w:val="both"/>
        <w:ind w:firstLine="511"/>
        <w:spacing w:after="0" w:line="272" w:lineRule="auto"/>
        <w:rPr>
          <w:sz w:val="20"/>
          <w:szCs w:val="20"/>
          <w:color w:val="auto"/>
        </w:rPr>
      </w:pPr>
      <w:r>
        <w:rPr>
          <w:rFonts w:ascii="Arial" w:cs="Arial" w:eastAsia="Arial" w:hAnsi="Arial"/>
          <w:sz w:val="15"/>
          <w:szCs w:val="15"/>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8"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In May 2020, the outstanding principal balance of the convertible notes of $3.8 million and accrued interest of $160,000 converted into 512,858 shares of Series B-1 convertible preferred stock.</w:t>
      </w:r>
    </w:p>
    <w:p>
      <w:pPr>
        <w:spacing w:after="0" w:line="193"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color w:val="auto"/>
        </w:rPr>
        <w:t>The excess of the carrying value of the convertible notes and the derivative liability over the fair value of the Series B-1 convertible preferred stock at conversion resulted in a gain upon extinguishment of $199,000.</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Paycheck Protection Program</w:t>
      </w:r>
    </w:p>
    <w:p>
      <w:pPr>
        <w:spacing w:after="0" w:line="217" w:lineRule="exact"/>
        <w:rPr>
          <w:sz w:val="20"/>
          <w:szCs w:val="20"/>
          <w:color w:val="auto"/>
        </w:rPr>
      </w:pPr>
    </w:p>
    <w:p>
      <w:pPr>
        <w:jc w:val="both"/>
        <w:ind w:right="20" w:firstLine="511"/>
        <w:spacing w:after="0" w:line="251" w:lineRule="auto"/>
        <w:rPr>
          <w:sz w:val="20"/>
          <w:szCs w:val="20"/>
          <w:color w:val="auto"/>
        </w:rPr>
      </w:pPr>
      <w:r>
        <w:rPr>
          <w:rFonts w:ascii="Arial" w:cs="Arial" w:eastAsia="Arial" w:hAnsi="Arial"/>
          <w:sz w:val="16"/>
          <w:szCs w:val="16"/>
          <w:color w:val="auto"/>
        </w:rPr>
        <w:t>The Company received a loan of $215,000 from the U.S. Small Business Administration Paycheck Protection Program (“PPP”) in April 2020. The PPP loans are intended to assist companies impacted by the novel coronavirus disease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Leases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229" w:lineRule="exact"/>
        <w:rPr>
          <w:sz w:val="20"/>
          <w:szCs w:val="20"/>
          <w:color w:val="auto"/>
        </w:rPr>
      </w:pPr>
    </w:p>
    <w:p>
      <w:pPr>
        <w:jc w:val="both"/>
        <w:ind w:firstLine="511"/>
        <w:spacing w:after="0" w:line="323" w:lineRule="auto"/>
        <w:rPr>
          <w:sz w:val="20"/>
          <w:szCs w:val="20"/>
          <w:color w:val="auto"/>
        </w:rPr>
      </w:pPr>
      <w:r>
        <w:rPr>
          <w:rFonts w:ascii="Arial" w:cs="Arial" w:eastAsia="Arial" w:hAnsi="Arial"/>
          <w:sz w:val="13"/>
          <w:szCs w:val="13"/>
          <w:color w:val="auto"/>
        </w:rPr>
        <w:t>The Company has an operating lease for laboratory and office facilities in Bothell, Washington that expires in August 2027. The initial term of the lease is seven years and the Company has an option to extend the lease for an additional five years that it is not reasonably certain to exercise. As of September 30, 2020, the remaining lease term for the Company’s operating lease was 6.9 years. The Company discounted future operating lease payments using an incremental borrowing rate of 8.2%. Additionally, the Company has a lease agreement for laboratory and office facilities at the University of Washington in Seattle, Washington with an initial term of 12 months for which the Company recognizes expense on a straight-line basis within operating expenses. As of September 30, 2020, the Company was not party to any finance leases.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17" w:name="page18"/>
    <w:bookmarkEnd w:id="17"/>
    <w:p>
      <w:pPr>
        <w:ind w:left="500"/>
        <w:spacing w:after="0"/>
        <w:rPr>
          <w:sz w:val="20"/>
          <w:szCs w:val="20"/>
          <w:color w:val="auto"/>
        </w:rPr>
      </w:pPr>
      <w:r>
        <w:rPr>
          <w:rFonts w:ascii="Arial" w:cs="Arial" w:eastAsia="Arial" w:hAnsi="Arial"/>
          <w:sz w:val="16"/>
          <w:szCs w:val="16"/>
          <w:color w:val="auto"/>
        </w:rPr>
        <w:t>The following table reconciles the Company’s undiscounted operating lease cash flows to its operating lease liability (in thousands):</w:t>
      </w:r>
    </w:p>
    <w:p>
      <w:pPr>
        <w:spacing w:after="0" w:line="17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6"/>
              </w:rPr>
              <w:t>As of</w:t>
            </w:r>
          </w:p>
        </w:tc>
      </w:tr>
      <w:tr>
        <w:trPr>
          <w:trHeight w:val="141"/>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tcPr>
          <w:p>
            <w:pPr>
              <w:jc w:val="center"/>
              <w:ind w:right="460"/>
              <w:spacing w:after="0" w:line="142" w:lineRule="exact"/>
              <w:rPr>
                <w:sz w:val="20"/>
                <w:szCs w:val="20"/>
                <w:color w:val="auto"/>
              </w:rPr>
            </w:pPr>
            <w:r>
              <w:rPr>
                <w:rFonts w:ascii="Arial" w:cs="Arial" w:eastAsia="Arial" w:hAnsi="Arial"/>
                <w:sz w:val="13"/>
                <w:szCs w:val="13"/>
                <w:b w:val="1"/>
                <w:bCs w:val="1"/>
                <w:color w:val="auto"/>
                <w:w w:val="85"/>
              </w:rPr>
              <w:t>September 30,</w:t>
            </w:r>
          </w:p>
        </w:tc>
      </w:tr>
      <w:tr>
        <w:trPr>
          <w:trHeight w:val="150"/>
        </w:trPr>
        <w:tc>
          <w:tcPr>
            <w:tcW w:w="69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285"/>
              <w:spacing w:after="0"/>
              <w:rPr>
                <w:sz w:val="20"/>
                <w:szCs w:val="20"/>
                <w:color w:val="auto"/>
              </w:rPr>
            </w:pPr>
            <w:r>
              <w:rPr>
                <w:rFonts w:ascii="Arial" w:cs="Arial" w:eastAsia="Arial" w:hAnsi="Arial"/>
                <w:sz w:val="13"/>
                <w:szCs w:val="13"/>
                <w:b w:val="1"/>
                <w:bCs w:val="1"/>
                <w:color w:val="auto"/>
                <w:w w:val="82"/>
              </w:rPr>
              <w:t>2020</w:t>
            </w:r>
          </w:p>
        </w:tc>
        <w:tc>
          <w:tcPr>
            <w:tcW w:w="100" w:type="dxa"/>
            <w:vAlign w:val="bottom"/>
            <w:tcBorders>
              <w:bottom w:val="single" w:sz="8" w:color="CFF0FC"/>
            </w:tcBorders>
          </w:tcPr>
          <w:p>
            <w:pPr>
              <w:spacing w:after="0"/>
              <w:rPr>
                <w:sz w:val="13"/>
                <w:szCs w:val="13"/>
                <w:color w:val="auto"/>
              </w:rPr>
            </w:pPr>
          </w:p>
        </w:tc>
      </w:tr>
      <w:tr>
        <w:trPr>
          <w:trHeight w:val="192"/>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Remaining 2020</w:t>
            </w: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200"/>
        </w:trPr>
        <w:tc>
          <w:tcPr>
            <w:tcW w:w="6940" w:type="dxa"/>
            <w:vAlign w:val="bottom"/>
          </w:tcPr>
          <w:p>
            <w:pPr>
              <w:spacing w:after="0"/>
              <w:rPr>
                <w:sz w:val="20"/>
                <w:szCs w:val="20"/>
                <w:color w:val="auto"/>
              </w:rPr>
            </w:pPr>
            <w:r>
              <w:rPr>
                <w:rFonts w:ascii="Arial" w:cs="Arial" w:eastAsia="Arial" w:hAnsi="Arial"/>
                <w:sz w:val="16"/>
                <w:szCs w:val="16"/>
                <w:color w:val="auto"/>
              </w:rPr>
              <w:t>2021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7"/>
                <w:szCs w:val="17"/>
                <w:color w:val="auto"/>
              </w:rPr>
            </w:pPr>
          </w:p>
        </w:tc>
      </w:tr>
      <w:tr>
        <w:trPr>
          <w:trHeight w:val="201"/>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FF0FC"/>
          </w:tcPr>
          <w:p>
            <w:pPr>
              <w:spacing w:after="0"/>
              <w:rPr>
                <w:sz w:val="17"/>
                <w:szCs w:val="17"/>
                <w:color w:val="auto"/>
              </w:rPr>
            </w:pPr>
          </w:p>
        </w:tc>
      </w:tr>
      <w:tr>
        <w:trPr>
          <w:trHeight w:val="200"/>
        </w:trPr>
        <w:tc>
          <w:tcPr>
            <w:tcW w:w="6940" w:type="dxa"/>
            <w:vAlign w:val="bottom"/>
          </w:tcPr>
          <w:p>
            <w:pPr>
              <w:spacing w:after="0"/>
              <w:rPr>
                <w:sz w:val="20"/>
                <w:szCs w:val="20"/>
                <w:color w:val="auto"/>
              </w:rPr>
            </w:pPr>
            <w:r>
              <w:rPr>
                <w:rFonts w:ascii="Arial" w:cs="Arial" w:eastAsia="Arial" w:hAnsi="Arial"/>
                <w:sz w:val="16"/>
                <w:szCs w:val="16"/>
                <w:color w:val="auto"/>
              </w:rPr>
              <w:t>2023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7"/>
                <w:szCs w:val="17"/>
                <w:color w:val="auto"/>
              </w:rPr>
            </w:pPr>
          </w:p>
        </w:tc>
      </w:tr>
      <w:tr>
        <w:trPr>
          <w:trHeight w:val="201"/>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FF0FC"/>
          </w:tcPr>
          <w:p>
            <w:pPr>
              <w:spacing w:after="0"/>
              <w:rPr>
                <w:sz w:val="17"/>
                <w:szCs w:val="17"/>
                <w:color w:val="auto"/>
              </w:rPr>
            </w:pPr>
          </w:p>
        </w:tc>
      </w:tr>
      <w:tr>
        <w:trPr>
          <w:trHeight w:val="200"/>
        </w:trPr>
        <w:tc>
          <w:tcPr>
            <w:tcW w:w="6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2025 and thereafter</w:t>
            </w:r>
          </w:p>
        </w:tc>
        <w:tc>
          <w:tcPr>
            <w:tcW w:w="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FF0FC"/>
            </w:tcBorders>
          </w:tcPr>
          <w:p>
            <w:pPr>
              <w:spacing w:after="0"/>
              <w:rPr>
                <w:sz w:val="17"/>
                <w:szCs w:val="17"/>
                <w:color w:val="auto"/>
              </w:rPr>
            </w:pPr>
          </w:p>
        </w:tc>
      </w:tr>
      <w:tr>
        <w:trPr>
          <w:trHeight w:val="192"/>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Total undiscounted lease payments</w:t>
            </w: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FF0FC"/>
          </w:tcPr>
          <w:p>
            <w:pPr>
              <w:spacing w:after="0"/>
              <w:rPr>
                <w:sz w:val="16"/>
                <w:szCs w:val="16"/>
                <w:color w:val="auto"/>
              </w:rPr>
            </w:pPr>
          </w:p>
        </w:tc>
      </w:tr>
      <w:tr>
        <w:trPr>
          <w:trHeight w:val="200"/>
        </w:trPr>
        <w:tc>
          <w:tcPr>
            <w:tcW w:w="6940" w:type="dxa"/>
            <w:vAlign w:val="bottom"/>
          </w:tcPr>
          <w:p>
            <w:pPr>
              <w:spacing w:after="0"/>
              <w:rPr>
                <w:sz w:val="20"/>
                <w:szCs w:val="20"/>
                <w:color w:val="auto"/>
              </w:rPr>
            </w:pPr>
            <w:r>
              <w:rPr>
                <w:rFonts w:ascii="Arial" w:cs="Arial" w:eastAsia="Arial" w:hAnsi="Arial"/>
                <w:sz w:val="16"/>
                <w:szCs w:val="16"/>
                <w:color w:val="auto"/>
              </w:rPr>
              <w:t>Present value adjustment for minimum lease commitments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(457)</w:t>
            </w:r>
          </w:p>
        </w:tc>
      </w:tr>
      <w:tr>
        <w:trPr>
          <w:trHeight w:val="201"/>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Tenant improvement allowance receivable</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(391)</w:t>
            </w:r>
          </w:p>
        </w:tc>
      </w:tr>
      <w:tr>
        <w:trPr>
          <w:trHeight w:val="192"/>
        </w:trPr>
        <w:tc>
          <w:tcPr>
            <w:tcW w:w="6940" w:type="dxa"/>
            <w:vAlign w:val="bottom"/>
          </w:tcPr>
          <w:p>
            <w:pPr>
              <w:ind w:left="220"/>
              <w:spacing w:after="0"/>
              <w:rPr>
                <w:sz w:val="20"/>
                <w:szCs w:val="20"/>
                <w:color w:val="auto"/>
              </w:rPr>
            </w:pPr>
            <w:r>
              <w:rPr>
                <w:rFonts w:ascii="Arial" w:cs="Arial" w:eastAsia="Arial" w:hAnsi="Arial"/>
                <w:sz w:val="16"/>
                <w:szCs w:val="16"/>
                <w:color w:val="auto"/>
              </w:rPr>
              <w:t>Net lease liability</w:t>
            </w:r>
          </w:p>
        </w:tc>
        <w:tc>
          <w:tcPr>
            <w:tcW w:w="2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6"/>
                <w:szCs w:val="16"/>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6"/>
          <w:szCs w:val="16"/>
          <w:color w:val="auto"/>
        </w:rPr>
        <w:t>Operating lease expense was $34,000 for the three and nine months ended September 30, 2020. The Company did not incur variable lease expense for operating leases during the three and nine months ended September 30, 2020. Rent expense recognized for short term leases was $18,000 and $57,000 for the three and nine months ended September 30, 2020, respectively.</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paid for amounts included in the measurement of the lease liability for the nine months ended September 30, 2020 was $21,000.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Convertible Preferred Stock</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Convertible preferred stock as of December 31, 2019 consisted of the following (in thousands, except share amounts):</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3"/>
              </w:rPr>
              <w:t>Aggregate</w:t>
            </w:r>
          </w:p>
        </w:tc>
      </w:tr>
      <w:tr>
        <w:trPr>
          <w:trHeight w:val="141"/>
        </w:trPr>
        <w:tc>
          <w:tcPr>
            <w:tcW w:w="426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89"/>
              </w:rPr>
              <w:t>Convertible</w:t>
            </w:r>
          </w:p>
        </w:tc>
        <w:tc>
          <w:tcPr>
            <w:tcW w:w="144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82"/>
              </w:rPr>
              <w:t>Shares</w:t>
            </w:r>
          </w:p>
        </w:tc>
        <w:tc>
          <w:tcPr>
            <w:tcW w:w="142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85"/>
              </w:rPr>
              <w:t>Issued and</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91"/>
              </w:rPr>
              <w:t>Liquidation</w:t>
            </w:r>
          </w:p>
        </w:tc>
      </w:tr>
      <w:tr>
        <w:trPr>
          <w:trHeight w:val="150"/>
        </w:trPr>
        <w:tc>
          <w:tcPr>
            <w:tcW w:w="4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Preferred Stock</w:t>
            </w:r>
          </w:p>
        </w:tc>
        <w:tc>
          <w:tcPr>
            <w:tcW w:w="14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Authorized</w:t>
            </w:r>
          </w:p>
        </w:tc>
        <w:tc>
          <w:tcPr>
            <w:tcW w:w="14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Outstanding</w:t>
            </w:r>
          </w:p>
        </w:tc>
        <w:tc>
          <w:tcPr>
            <w:tcW w:w="200" w:type="dxa"/>
            <w:vAlign w:val="bottom"/>
          </w:tcPr>
          <w:p>
            <w:pPr>
              <w:spacing w:after="0"/>
              <w:rPr>
                <w:sz w:val="13"/>
                <w:szCs w:val="13"/>
                <w:color w:val="auto"/>
              </w:rPr>
            </w:pPr>
          </w:p>
        </w:tc>
        <w:tc>
          <w:tcPr>
            <w:tcW w:w="1260" w:type="dxa"/>
            <w:vAlign w:val="bottom"/>
          </w:tcPr>
          <w:p>
            <w:pPr>
              <w:jc w:val="right"/>
              <w:ind w:right="245"/>
              <w:spacing w:after="0"/>
              <w:rPr>
                <w:sz w:val="20"/>
                <w:szCs w:val="20"/>
                <w:color w:val="auto"/>
              </w:rPr>
            </w:pPr>
            <w:r>
              <w:rPr>
                <w:rFonts w:ascii="Arial" w:cs="Arial" w:eastAsia="Arial" w:hAnsi="Arial"/>
                <w:sz w:val="13"/>
                <w:szCs w:val="13"/>
                <w:b w:val="1"/>
                <w:bCs w:val="1"/>
                <w:color w:val="auto"/>
              </w:rPr>
              <w:t>Carrying Value</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Preference</w:t>
            </w:r>
          </w:p>
        </w:tc>
      </w:tr>
      <w:tr>
        <w:trPr>
          <w:trHeight w:val="192"/>
        </w:trPr>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Series A</w:t>
            </w:r>
          </w:p>
        </w:tc>
        <w:tc>
          <w:tcPr>
            <w:tcW w:w="160" w:type="dxa"/>
            <w:vAlign w:val="bottom"/>
            <w:tcBorders>
              <w:top w:val="single" w:sz="8" w:color="CFF0FC"/>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1,714,963</w:t>
            </w:r>
          </w:p>
        </w:tc>
        <w:tc>
          <w:tcPr>
            <w:tcW w:w="260" w:type="dxa"/>
            <w:vAlign w:val="bottom"/>
            <w:tcBorders>
              <w:top w:val="single" w:sz="8" w:color="CFF0FC"/>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1,534,885</w:t>
            </w:r>
          </w:p>
        </w:tc>
        <w:tc>
          <w:tcPr>
            <w:tcW w:w="2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15,163</w:t>
            </w:r>
          </w:p>
        </w:tc>
        <w:tc>
          <w:tcPr>
            <w:tcW w:w="2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15,215</w:t>
            </w:r>
          </w:p>
        </w:tc>
        <w:tc>
          <w:tcPr>
            <w:tcW w:w="100" w:type="dxa"/>
            <w:vAlign w:val="bottom"/>
            <w:tcBorders>
              <w:top w:val="single" w:sz="8" w:color="CFF0FC"/>
            </w:tcBorders>
            <w:shd w:val="clear" w:color="auto" w:fill="CFF0FC"/>
          </w:tcPr>
          <w:p>
            <w:pPr>
              <w:spacing w:after="0"/>
              <w:rPr>
                <w:sz w:val="16"/>
                <w:szCs w:val="16"/>
                <w:color w:val="auto"/>
              </w:rPr>
            </w:pPr>
          </w:p>
        </w:tc>
      </w:tr>
      <w:tr>
        <w:trPr>
          <w:trHeight w:val="200"/>
        </w:trPr>
        <w:tc>
          <w:tcPr>
            <w:tcW w:w="42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Series A-1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1,082,501</w:t>
            </w:r>
          </w:p>
        </w:tc>
        <w:tc>
          <w:tcPr>
            <w:tcW w:w="26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1,082,501</w:t>
            </w:r>
          </w:p>
        </w:tc>
        <w:tc>
          <w:tcPr>
            <w:tcW w:w="2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w:t>
            </w:r>
          </w:p>
        </w:tc>
        <w:tc>
          <w:tcPr>
            <w:tcW w:w="2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FF0FC"/>
            </w:tcBorders>
          </w:tcPr>
          <w:p>
            <w:pPr>
              <w:spacing w:after="0"/>
              <w:rPr>
                <w:sz w:val="17"/>
                <w:szCs w:val="17"/>
                <w:color w:val="auto"/>
              </w:rPr>
            </w:pPr>
          </w:p>
        </w:tc>
      </w:tr>
      <w:tr>
        <w:trPr>
          <w:trHeight w:val="192"/>
        </w:trPr>
        <w:tc>
          <w:tcPr>
            <w:tcW w:w="426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2,797,464</w:t>
            </w:r>
          </w:p>
        </w:tc>
        <w:tc>
          <w:tcPr>
            <w:tcW w:w="26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2,617,386</w:t>
            </w:r>
          </w:p>
        </w:tc>
        <w:tc>
          <w:tcPr>
            <w:tcW w:w="2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17,051</w:t>
            </w:r>
          </w:p>
        </w:tc>
        <w:tc>
          <w:tcPr>
            <w:tcW w:w="2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16,288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511"/>
        <w:spacing w:after="0" w:line="270" w:lineRule="auto"/>
        <w:rPr>
          <w:sz w:val="20"/>
          <w:szCs w:val="20"/>
          <w:color w:val="auto"/>
        </w:rPr>
      </w:pPr>
      <w:r>
        <w:rPr>
          <w:rFonts w:ascii="Arial" w:cs="Arial" w:eastAsia="Arial" w:hAnsi="Arial"/>
          <w:sz w:val="15"/>
          <w:szCs w:val="15"/>
          <w:color w:val="212121"/>
        </w:rPr>
        <w:t>In May and June 2020, the Company issued an aggregate of 9,372,765 shares of its Series B convertible preferred stock at a purchase price of $9.12 per share for aggregate proceeds of $81.6 million, net of offering costs. The Company issued warrants to purchase 2,343,168 shares of its common stock, of which 688,067 were exercised concurrently with the shares of Series B convertible preferred stock issuance, for net proceeds of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$7.752 per share (85% of the $9.12 original issuance price of the Series B convertible preferred stock).</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3"/>
          <w:szCs w:val="13"/>
          <w:color w:val="212121"/>
        </w:rPr>
        <w:t>In September 2020, upon the consummation of the Company’s IPO, all outstanding shares of convertible preferred stock converted into 12,503,009 shares of common</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212121"/>
        </w:rPr>
        <w:t>stock.</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Common Stock</w:t>
      </w:r>
    </w:p>
    <w:p>
      <w:pPr>
        <w:spacing w:after="0" w:line="233"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8" w:name="page19"/>
    <w:bookmarkEnd w:id="18"/>
    <w:p>
      <w:pPr>
        <w:ind w:left="500"/>
        <w:spacing w:after="0"/>
        <w:rPr>
          <w:sz w:val="20"/>
          <w:szCs w:val="20"/>
          <w:color w:val="auto"/>
        </w:rPr>
      </w:pPr>
      <w:r>
        <w:rPr>
          <w:rFonts w:ascii="Arial" w:cs="Arial" w:eastAsia="Arial" w:hAnsi="Arial"/>
          <w:sz w:val="16"/>
          <w:szCs w:val="16"/>
          <w:color w:val="auto"/>
        </w:rPr>
        <w:t>The Company has reserved the following shares of common stock for future issuance, on an as-converted basis,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left="107"/>
              <w:spacing w:after="0"/>
              <w:rPr>
                <w:sz w:val="20"/>
                <w:szCs w:val="20"/>
                <w:color w:val="auto"/>
              </w:rPr>
            </w:pPr>
            <w:r>
              <w:rPr>
                <w:rFonts w:ascii="Arial" w:cs="Arial" w:eastAsia="Arial" w:hAnsi="Arial"/>
                <w:sz w:val="13"/>
                <w:szCs w:val="13"/>
                <w:b w:val="1"/>
                <w:bCs w:val="1"/>
                <w:color w:val="auto"/>
                <w:w w:val="86"/>
              </w:rPr>
              <w:t>As of</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left="289"/>
              <w:spacing w:after="0"/>
              <w:rPr>
                <w:sz w:val="20"/>
                <w:szCs w:val="20"/>
                <w:color w:val="auto"/>
              </w:rPr>
            </w:pPr>
            <w:r>
              <w:rPr>
                <w:rFonts w:ascii="Arial" w:cs="Arial" w:eastAsia="Arial" w:hAnsi="Arial"/>
                <w:sz w:val="13"/>
                <w:szCs w:val="13"/>
                <w:b w:val="1"/>
                <w:bCs w:val="1"/>
                <w:color w:val="auto"/>
                <w:w w:val="79"/>
              </w:rPr>
              <w:t>As of</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jc w:val="center"/>
              <w:ind w:left="107"/>
              <w:spacing w:after="0" w:line="130" w:lineRule="exact"/>
              <w:rPr>
                <w:sz w:val="20"/>
                <w:szCs w:val="20"/>
                <w:color w:val="auto"/>
              </w:rPr>
            </w:pPr>
            <w:r>
              <w:rPr>
                <w:rFonts w:ascii="Arial" w:cs="Arial" w:eastAsia="Arial" w:hAnsi="Arial"/>
                <w:sz w:val="13"/>
                <w:szCs w:val="13"/>
                <w:b w:val="1"/>
                <w:bCs w:val="1"/>
                <w:color w:val="auto"/>
                <w:w w:val="85"/>
              </w:rPr>
              <w:t>September 30,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3"/>
          </w:tcPr>
          <w:p>
            <w:pPr>
              <w:jc w:val="center"/>
              <w:ind w:right="7"/>
              <w:spacing w:after="0" w:line="130" w:lineRule="exact"/>
              <w:rPr>
                <w:sz w:val="20"/>
                <w:szCs w:val="20"/>
                <w:color w:val="auto"/>
              </w:rPr>
            </w:pPr>
            <w:r>
              <w:rPr>
                <w:rFonts w:ascii="Arial" w:cs="Arial" w:eastAsia="Arial" w:hAnsi="Arial"/>
                <w:sz w:val="13"/>
                <w:szCs w:val="13"/>
                <w:b w:val="1"/>
                <w:bCs w:val="1"/>
                <w:color w:val="auto"/>
                <w:w w:val="87"/>
              </w:rPr>
              <w:t>December 31,</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center"/>
              <w:ind w:left="347"/>
              <w:spacing w:after="0"/>
              <w:rPr>
                <w:sz w:val="20"/>
                <w:szCs w:val="20"/>
                <w:color w:val="auto"/>
              </w:rPr>
            </w:pPr>
            <w:r>
              <w:rPr>
                <w:rFonts w:ascii="Arial" w:cs="Arial" w:eastAsia="Arial" w:hAnsi="Arial"/>
                <w:sz w:val="13"/>
                <w:szCs w:val="13"/>
                <w:b w:val="1"/>
                <w:bCs w:val="1"/>
                <w:color w:val="auto"/>
                <w:w w:val="82"/>
              </w:rPr>
              <w:t>2020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left="487"/>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46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auto"/>
              <w:right w:val="single" w:sz="8" w:color="CFF0FC"/>
            </w:tcBorders>
            <w:gridSpan w:val="3"/>
            <w:shd w:val="clear" w:color="auto" w:fill="CFF0FC"/>
          </w:tcPr>
          <w:p>
            <w:pPr>
              <w:jc w:val="right"/>
              <w:ind w:right="7"/>
              <w:spacing w:after="0"/>
              <w:rPr>
                <w:sz w:val="20"/>
                <w:szCs w:val="20"/>
                <w:color w:val="auto"/>
              </w:rPr>
            </w:pPr>
            <w:r>
              <w:rPr>
                <w:rFonts w:ascii="Arial" w:cs="Arial" w:eastAsia="Arial" w:hAnsi="Arial"/>
                <w:sz w:val="16"/>
                <w:szCs w:val="16"/>
                <w:color w:val="auto"/>
              </w:rPr>
              <w:t>2,617,386</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Stock options outstanding</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1,927,428</w:t>
            </w:r>
          </w:p>
        </w:tc>
        <w:tc>
          <w:tcPr>
            <w:tcW w:w="1460" w:type="dxa"/>
            <w:vAlign w:val="bottom"/>
            <w:gridSpan w:val="4"/>
          </w:tcPr>
          <w:p>
            <w:pPr>
              <w:jc w:val="right"/>
              <w:ind w:right="7"/>
              <w:spacing w:after="0"/>
              <w:rPr>
                <w:sz w:val="20"/>
                <w:szCs w:val="20"/>
                <w:color w:val="auto"/>
              </w:rPr>
            </w:pPr>
            <w:r>
              <w:rPr>
                <w:rFonts w:ascii="Arial" w:cs="Arial" w:eastAsia="Arial" w:hAnsi="Arial"/>
                <w:sz w:val="16"/>
                <w:szCs w:val="16"/>
                <w:color w:val="auto"/>
              </w:rPr>
              <w:t>1,514,770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Shares available for future grant under the 2020 Equity</w:t>
            </w: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Incentive Plan</w:t>
            </w:r>
          </w:p>
        </w:tc>
        <w:tc>
          <w:tcPr>
            <w:tcW w:w="8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3,790,279</w:t>
            </w:r>
          </w:p>
        </w:tc>
        <w:tc>
          <w:tcPr>
            <w:tcW w:w="1460" w:type="dxa"/>
            <w:vAlign w:val="bottom"/>
            <w:tcBorders>
              <w:right w:val="single" w:sz="8" w:color="CFF0FC"/>
            </w:tcBorders>
            <w:gridSpan w:val="4"/>
            <w:shd w:val="clear" w:color="auto" w:fill="CFF0FC"/>
          </w:tcPr>
          <w:p>
            <w:pPr>
              <w:jc w:val="right"/>
              <w:ind w:right="7"/>
              <w:spacing w:after="0"/>
              <w:rPr>
                <w:sz w:val="20"/>
                <w:szCs w:val="20"/>
                <w:color w:val="auto"/>
              </w:rPr>
            </w:pPr>
            <w:r>
              <w:rPr>
                <w:rFonts w:ascii="Arial" w:cs="Arial" w:eastAsia="Arial" w:hAnsi="Arial"/>
                <w:sz w:val="16"/>
                <w:szCs w:val="16"/>
                <w:color w:val="auto"/>
              </w:rPr>
              <w:t>399,737</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160" w:type="dxa"/>
            <w:vAlign w:val="bottom"/>
            <w:gridSpan w:val="3"/>
          </w:tcPr>
          <w:p>
            <w:pPr>
              <w:spacing w:after="0"/>
              <w:rPr>
                <w:sz w:val="20"/>
                <w:szCs w:val="20"/>
                <w:color w:val="auto"/>
              </w:rPr>
            </w:pPr>
            <w:r>
              <w:rPr>
                <w:rFonts w:ascii="Arial" w:cs="Arial" w:eastAsia="Arial" w:hAnsi="Arial"/>
                <w:sz w:val="16"/>
                <w:szCs w:val="16"/>
                <w:color w:val="auto"/>
                <w:w w:val="98"/>
              </w:rPr>
              <w:t>Shares available for future grant under the Employee Stock</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00" w:type="dxa"/>
            <w:vAlign w:val="bottom"/>
          </w:tcPr>
          <w:p>
            <w:pPr>
              <w:ind w:left="100"/>
              <w:spacing w:after="0"/>
              <w:rPr>
                <w:sz w:val="20"/>
                <w:szCs w:val="20"/>
                <w:color w:val="auto"/>
              </w:rPr>
            </w:pPr>
            <w:r>
              <w:rPr>
                <w:rFonts w:ascii="Arial" w:cs="Arial" w:eastAsia="Arial" w:hAnsi="Arial"/>
                <w:sz w:val="16"/>
                <w:szCs w:val="16"/>
                <w:color w:val="auto"/>
              </w:rPr>
              <w:t>Purchase Plan</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323,000</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Common stock warrants</w:t>
            </w:r>
          </w:p>
        </w:tc>
        <w:tc>
          <w:tcPr>
            <w:tcW w:w="8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right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6"/>
                <w:szCs w:val="16"/>
                <w:color w:val="auto"/>
                <w:w w:val="84"/>
              </w:rPr>
              <w:t>3,310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00" w:type="dxa"/>
            <w:vAlign w:val="bottom"/>
          </w:tcPr>
          <w:p>
            <w:pPr>
              <w:ind w:left="200"/>
              <w:spacing w:after="0"/>
              <w:rPr>
                <w:sz w:val="20"/>
                <w:szCs w:val="20"/>
                <w:color w:val="auto"/>
              </w:rPr>
            </w:pPr>
            <w:r>
              <w:rPr>
                <w:rFonts w:ascii="Arial" w:cs="Arial" w:eastAsia="Arial" w:hAnsi="Arial"/>
                <w:sz w:val="16"/>
                <w:szCs w:val="16"/>
                <w:color w:val="auto"/>
              </w:rPr>
              <w:t>Total</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6,040,707</w:t>
            </w:r>
          </w:p>
        </w:tc>
        <w:tc>
          <w:tcPr>
            <w:tcW w:w="200" w:type="dxa"/>
            <w:vAlign w:val="bottom"/>
          </w:tcPr>
          <w:p>
            <w:pPr>
              <w:spacing w:after="0"/>
              <w:rPr>
                <w:sz w:val="16"/>
                <w:szCs w:val="16"/>
                <w:color w:val="auto"/>
              </w:rPr>
            </w:pPr>
          </w:p>
        </w:tc>
        <w:tc>
          <w:tcPr>
            <w:tcW w:w="12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6"/>
                <w:szCs w:val="16"/>
                <w:color w:val="auto"/>
              </w:rPr>
              <w:t>4,535,203</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11. Stock-based Compensation</w:t>
            </w: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860" w:type="dxa"/>
            <w:vAlign w:val="bottom"/>
            <w:gridSpan w:val="5"/>
          </w:tcPr>
          <w:p>
            <w:pPr>
              <w:jc w:val="right"/>
              <w:ind w:right="392"/>
              <w:spacing w:after="0" w:line="184" w:lineRule="exact"/>
              <w:rPr>
                <w:sz w:val="20"/>
                <w:szCs w:val="20"/>
                <w:color w:val="auto"/>
              </w:rPr>
            </w:pPr>
            <w:r>
              <w:rPr>
                <w:rFonts w:ascii="Arial" w:cs="Arial" w:eastAsia="Arial" w:hAnsi="Arial"/>
                <w:sz w:val="16"/>
                <w:szCs w:val="16"/>
                <w:color w:val="auto"/>
                <w:w w:val="96"/>
              </w:rPr>
              <w:t>Stock</w:t>
            </w:r>
            <w:r>
              <w:rPr>
                <w:rFonts w:ascii="MS PGothic" w:cs="MS PGothic" w:eastAsia="MS PGothic" w:hAnsi="MS PGothic"/>
                <w:sz w:val="16"/>
                <w:szCs w:val="16"/>
                <w:color w:val="auto"/>
                <w:w w:val="96"/>
              </w:rPr>
              <w:t>‑</w:t>
            </w:r>
            <w:r>
              <w:rPr>
                <w:rFonts w:ascii="Arial" w:cs="Arial" w:eastAsia="Arial" w:hAnsi="Arial"/>
                <w:sz w:val="16"/>
                <w:szCs w:val="16"/>
                <w:color w:val="auto"/>
                <w:w w:val="96"/>
              </w:rPr>
              <w:t>based compensation expense recognized was as follows (in thousands):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00" w:type="dxa"/>
            <w:vAlign w:val="bottom"/>
            <w:gridSpan w:val="6"/>
          </w:tcPr>
          <w:p>
            <w:pPr>
              <w:ind w:left="360"/>
              <w:spacing w:after="0"/>
              <w:rPr>
                <w:sz w:val="20"/>
                <w:szCs w:val="20"/>
                <w:color w:val="auto"/>
              </w:rPr>
            </w:pPr>
            <w:r>
              <w:rPr>
                <w:rFonts w:ascii="Arial" w:cs="Arial" w:eastAsia="Arial" w:hAnsi="Arial"/>
                <w:sz w:val="13"/>
                <w:szCs w:val="13"/>
                <w:b w:val="1"/>
                <w:bCs w:val="1"/>
                <w:color w:val="auto"/>
              </w:rPr>
              <w:t>Three Months Ended September 30,</w:t>
            </w:r>
          </w:p>
        </w:tc>
        <w:tc>
          <w:tcPr>
            <w:tcW w:w="200" w:type="dxa"/>
            <w:vAlign w:val="bottom"/>
          </w:tcPr>
          <w:p>
            <w:pPr>
              <w:spacing w:after="0"/>
              <w:rPr>
                <w:sz w:val="24"/>
                <w:szCs w:val="24"/>
                <w:color w:val="auto"/>
              </w:rPr>
            </w:pPr>
          </w:p>
        </w:tc>
        <w:tc>
          <w:tcPr>
            <w:tcW w:w="2580" w:type="dxa"/>
            <w:vAlign w:val="bottom"/>
            <w:gridSpan w:val="6"/>
          </w:tcPr>
          <w:p>
            <w:pPr>
              <w:ind w:left="200"/>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114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800" w:type="dxa"/>
            <w:vAlign w:val="bottom"/>
            <w:tcBorders>
              <w:bottom w:val="single" w:sz="8" w:color="CFF0FC"/>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52"/>
              <w:spacing w:after="0" w:line="133"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407"/>
              <w:spacing w:after="0" w:line="133" w:lineRule="exact"/>
              <w:rPr>
                <w:sz w:val="20"/>
                <w:szCs w:val="20"/>
                <w:color w:val="auto"/>
              </w:rPr>
            </w:pPr>
            <w:r>
              <w:rPr>
                <w:rFonts w:ascii="Arial" w:cs="Arial" w:eastAsia="Arial" w:hAnsi="Arial"/>
                <w:sz w:val="13"/>
                <w:szCs w:val="13"/>
                <w:b w:val="1"/>
                <w:bCs w:val="1"/>
                <w:color w:val="auto"/>
                <w:w w:val="82"/>
              </w:rPr>
              <w:t>2019</w:t>
            </w:r>
          </w:p>
        </w:tc>
        <w:tc>
          <w:tcPr>
            <w:tcW w:w="240" w:type="dxa"/>
            <w:vAlign w:val="bottom"/>
            <w:tcBorders>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gridSpan w:val="2"/>
          </w:tcPr>
          <w:p>
            <w:pPr>
              <w:jc w:val="right"/>
              <w:ind w:right="409"/>
              <w:spacing w:after="0" w:line="133"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425"/>
              <w:spacing w:after="0" w:line="133"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8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1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36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General and administrative</w:t>
            </w:r>
          </w:p>
        </w:tc>
        <w:tc>
          <w:tcPr>
            <w:tcW w:w="80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4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156</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364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6"/>
                <w:szCs w:val="16"/>
                <w:color w:val="auto"/>
              </w:rPr>
              <w:t>Total stock-based compensation expense</w:t>
            </w:r>
          </w:p>
        </w:tc>
        <w:tc>
          <w:tcPr>
            <w:tcW w:w="8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712"/>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right w:val="single" w:sz="8" w:color="CFF0FC"/>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Valuation Assumptions</w:t>
      </w:r>
    </w:p>
    <w:p>
      <w:pPr>
        <w:spacing w:after="0" w:line="217" w:lineRule="exact"/>
        <w:rPr>
          <w:sz w:val="20"/>
          <w:szCs w:val="20"/>
          <w:color w:val="auto"/>
        </w:rPr>
      </w:pPr>
    </w:p>
    <w:p>
      <w:pPr>
        <w:ind w:right="20" w:firstLine="511"/>
        <w:spacing w:after="0" w:line="266" w:lineRule="auto"/>
        <w:rPr>
          <w:sz w:val="20"/>
          <w:szCs w:val="20"/>
          <w:color w:val="auto"/>
        </w:rPr>
      </w:pPr>
      <w:r>
        <w:rPr>
          <w:rFonts w:ascii="Arial" w:cs="Arial" w:eastAsia="Arial" w:hAnsi="Arial"/>
          <w:sz w:val="16"/>
          <w:szCs w:val="16"/>
          <w:color w:val="auto"/>
        </w:rPr>
        <w:t>The fair value of stock options was determined using the Black-Scholes option-pricing model and the assumptions below. Each of these inputs is subjective and generally required significant judgment.</w:t>
      </w:r>
    </w:p>
    <w:p>
      <w:pPr>
        <w:spacing w:after="0" w:line="64" w:lineRule="exact"/>
        <w:rPr>
          <w:sz w:val="20"/>
          <w:szCs w:val="20"/>
          <w:color w:val="auto"/>
        </w:rPr>
      </w:pPr>
    </w:p>
    <w:p>
      <w:pPr>
        <w:jc w:val="both"/>
        <w:ind w:left="1000" w:hanging="499"/>
        <w:spacing w:after="0" w:line="249"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—The grant date fair market value of the shares of common stock underlying stock options has historically been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board of directors. Because previously there was no public market for the Company’s common stock, the board of directors exercised reasonable judgment and considered a number of objective and subjective factors to determine the best estimate of the fair market value, which include contemporaneous valuations performed by an independent third party, important developments in the Company’s operations, sales of convertible preferred stock, the rights, preferences and privileges of its convertible preferred stock relative to those of its common stock, lack of marketability of its common stock, actual operating results, financial performance, the progress of clinical development, the likelihood of achieving a liquidity event for its security holders, the trends, development and conditions in the life sciences and biotechnology sectors, the economy in general, and the stock price performance and volatility of comparable public companies.</w:t>
      </w:r>
    </w:p>
    <w:p>
      <w:pPr>
        <w:spacing w:after="0" w:line="76"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U.S. Treasury zero coupon issues in effect at the time of grant for periods corresponding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term of the option.</w:t>
      </w:r>
    </w:p>
    <w:p>
      <w:pPr>
        <w:spacing w:after="0" w:line="63" w:lineRule="exact"/>
        <w:rPr>
          <w:rFonts w:ascii="Arial" w:cs="Arial" w:eastAsia="Arial" w:hAnsi="Arial"/>
          <w:sz w:val="16"/>
          <w:szCs w:val="16"/>
          <w:color w:val="auto"/>
        </w:rPr>
      </w:pPr>
    </w:p>
    <w:p>
      <w:pPr>
        <w:jc w:val="both"/>
        <w:ind w:left="1000" w:hanging="499"/>
        <w:spacing w:after="0" w:line="275" w:lineRule="auto"/>
        <w:tabs>
          <w:tab w:leader="none" w:pos="10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Expected Volatility</w:t>
      </w:r>
      <w:r>
        <w:rPr>
          <w:rFonts w:ascii="Arial" w:cs="Arial" w:eastAsia="Arial" w:hAnsi="Arial"/>
          <w:sz w:val="15"/>
          <w:szCs w:val="15"/>
          <w:color w:val="auto"/>
        </w:rPr>
        <w:t>—Because the Company was previously privately held and did not have any trading history for its common stock, the expected volatility was</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58" w:lineRule="exact"/>
        <w:rPr>
          <w:rFonts w:ascii="Arial" w:cs="Arial" w:eastAsia="Arial" w:hAnsi="Arial"/>
          <w:sz w:val="15"/>
          <w:szCs w:val="15"/>
          <w:color w:val="auto"/>
        </w:rPr>
      </w:pPr>
    </w:p>
    <w:p>
      <w:pPr>
        <w:jc w:val="both"/>
        <w:ind w:left="1000" w:hanging="499"/>
        <w:spacing w:after="0" w:line="256"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stock-based awards are expected to be outstanding and is determined using the simplified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(based on the midpoint between the vesting date and the end of the contractual term) as the Company has limited history of relevant stock option exercise activity.</w:t>
      </w:r>
    </w:p>
    <w:p>
      <w:pPr>
        <w:spacing w:after="0" w:line="71"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—The Company has never paid dividends on its common stock and has no plans to pay dividends going forward. Therefore, it used an</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dividend yield of zero.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9" w:name="page20"/>
    <w:bookmarkEnd w:id="19"/>
    <w:p>
      <w:pPr>
        <w:ind w:left="500"/>
        <w:spacing w:after="0" w:line="184" w:lineRule="exact"/>
        <w:rPr>
          <w:sz w:val="20"/>
          <w:szCs w:val="20"/>
          <w:color w:val="auto"/>
        </w:rPr>
      </w:pPr>
      <w:r>
        <w:rPr>
          <w:rFonts w:ascii="Arial" w:cs="Arial" w:eastAsia="Arial" w:hAnsi="Arial"/>
          <w:sz w:val="16"/>
          <w:szCs w:val="16"/>
          <w:color w:val="auto"/>
        </w:rPr>
        <w:t>The fair value of each stock option was estimated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with the following weighted-average assumptions:</w:t>
      </w:r>
    </w:p>
    <w:p>
      <w:pPr>
        <w:spacing w:after="0" w:line="257" w:lineRule="exact"/>
        <w:rPr>
          <w:sz w:val="20"/>
          <w:szCs w:val="20"/>
          <w:color w:val="auto"/>
        </w:rPr>
      </w:pPr>
    </w:p>
    <w:p>
      <w:pPr>
        <w:ind w:left="6960"/>
        <w:spacing w:after="0"/>
        <w:rPr>
          <w:sz w:val="20"/>
          <w:szCs w:val="20"/>
          <w:color w:val="auto"/>
        </w:rPr>
      </w:pPr>
      <w:r>
        <w:rPr>
          <w:rFonts w:ascii="Arial" w:cs="Arial" w:eastAsia="Arial" w:hAnsi="Arial"/>
          <w:sz w:val="13"/>
          <w:szCs w:val="13"/>
          <w:b w:val="1"/>
          <w:bCs w:val="1"/>
          <w:color w:val="auto"/>
        </w:rPr>
        <w:t>Nine Months Ended September 30,</w:t>
      </w:r>
    </w:p>
    <w:tbl>
      <w:tblPr>
        <w:tblLayout w:type="fixed"/>
        <w:tblInd w:w="168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4720" w:type="dxa"/>
            <w:vAlign w:val="bottom"/>
            <w:tcBorders>
              <w:bottom w:val="single" w:sz="8" w:color="CFF0FC"/>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7"/>
              <w:spacing w:after="0" w:line="133"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CFF0FC"/>
            </w:tcBorders>
          </w:tcPr>
          <w:p>
            <w:pPr>
              <w:spacing w:after="0"/>
              <w:rPr>
                <w:sz w:val="11"/>
                <w:szCs w:val="11"/>
                <w:color w:val="auto"/>
              </w:rPr>
            </w:pPr>
          </w:p>
        </w:tc>
        <w:tc>
          <w:tcPr>
            <w:tcW w:w="1340" w:type="dxa"/>
            <w:vAlign w:val="bottom"/>
            <w:tcBorders>
              <w:top w:val="single" w:sz="8" w:color="auto"/>
              <w:bottom w:val="single" w:sz="8" w:color="auto"/>
            </w:tcBorders>
          </w:tcPr>
          <w:p>
            <w:pPr>
              <w:jc w:val="right"/>
              <w:ind w:right="485"/>
              <w:spacing w:after="0" w:line="133"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1"/>
                <w:szCs w:val="11"/>
                <w:color w:val="auto"/>
              </w:rPr>
            </w:pPr>
          </w:p>
        </w:tc>
      </w:tr>
      <w:tr>
        <w:trPr>
          <w:trHeight w:val="192"/>
        </w:trPr>
        <w:tc>
          <w:tcPr>
            <w:tcW w:w="20" w:type="dxa"/>
            <w:vAlign w:val="bottom"/>
          </w:tcPr>
          <w:p>
            <w:pPr>
              <w:spacing w:after="0"/>
              <w:rPr>
                <w:sz w:val="16"/>
                <w:szCs w:val="16"/>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8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0.49%</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1.58%</w:t>
            </w:r>
          </w:p>
        </w:tc>
      </w:tr>
      <w:tr>
        <w:trPr>
          <w:trHeight w:val="200"/>
        </w:trPr>
        <w:tc>
          <w:tcPr>
            <w:tcW w:w="2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80.11%</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74.59%</w:t>
            </w:r>
          </w:p>
        </w:tc>
      </w:tr>
      <w:tr>
        <w:trPr>
          <w:trHeight w:val="201"/>
        </w:trPr>
        <w:tc>
          <w:tcPr>
            <w:tcW w:w="20" w:type="dxa"/>
            <w:vAlign w:val="bottom"/>
          </w:tcPr>
          <w:p>
            <w:pPr>
              <w:spacing w:after="0"/>
              <w:rPr>
                <w:sz w:val="17"/>
                <w:szCs w:val="17"/>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w:t>
            </w:r>
          </w:p>
        </w:tc>
        <w:tc>
          <w:tcPr>
            <w:tcW w:w="140" w:type="dxa"/>
            <w:vAlign w:val="bottom"/>
            <w:shd w:val="clear" w:color="auto" w:fill="CFF0FC"/>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Arial" w:cs="Arial" w:eastAsia="Arial" w:hAnsi="Arial"/>
                <w:sz w:val="16"/>
                <w:szCs w:val="16"/>
                <w:color w:val="auto"/>
              </w:rPr>
              <w:t>Expected dividend yield</w:t>
            </w: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bl>
    <w:p>
      <w:pPr>
        <w:spacing w:after="0" w:line="224"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5"/>
          <w:szCs w:val="15"/>
          <w:color w:val="auto"/>
        </w:rPr>
        <w:t>The weighted-average grant-date fair value of options granted to employees and directors during the nine months ended September 30, 2020 and 2019 were $2.1 million and $259,000 respectively. The weighted-average grant-date fair value of options granted to advisors during the nine months ended September 30, 2020 was $727,000. The remeasured weighted-average fair value of options granted to advisors during the nine months ended September 30, 2019 was $46,000.</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Stock Option Activity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option activity for the nine months ended September 30, 2020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0" w:lineRule="exact"/>
              <w:rPr>
                <w:sz w:val="20"/>
                <w:szCs w:val="20"/>
                <w:color w:val="auto"/>
              </w:rPr>
            </w:pPr>
            <w:r>
              <w:rPr>
                <w:rFonts w:ascii="Arial" w:cs="Arial" w:eastAsia="Arial" w:hAnsi="Arial"/>
                <w:sz w:val="13"/>
                <w:szCs w:val="13"/>
                <w:b w:val="1"/>
                <w:bCs w:val="1"/>
                <w:color w:val="auto"/>
                <w:w w:val="89"/>
              </w:rPr>
              <w:t>Weighted-</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1"/>
              </w:rPr>
              <w:t>Average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w w:val="83"/>
              </w:rPr>
              <w:t>Aggregate</w:t>
            </w:r>
          </w:p>
        </w:tc>
        <w:tc>
          <w:tcPr>
            <w:tcW w:w="0" w:type="dxa"/>
            <w:vAlign w:val="bottom"/>
          </w:tcPr>
          <w:p>
            <w:pPr>
              <w:spacing w:after="0"/>
              <w:rPr>
                <w:sz w:val="1"/>
                <w:szCs w:val="1"/>
                <w:color w:val="auto"/>
              </w:rPr>
            </w:pPr>
          </w:p>
        </w:tc>
      </w:tr>
      <w:tr>
        <w:trPr>
          <w:trHeight w:val="130"/>
        </w:trPr>
        <w:tc>
          <w:tcPr>
            <w:tcW w:w="5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0" w:lineRule="exact"/>
              <w:rPr>
                <w:sz w:val="20"/>
                <w:szCs w:val="20"/>
                <w:color w:val="auto"/>
              </w:rPr>
            </w:pPr>
            <w:r>
              <w:rPr>
                <w:rFonts w:ascii="Arial" w:cs="Arial" w:eastAsia="Arial" w:hAnsi="Arial"/>
                <w:sz w:val="13"/>
                <w:szCs w:val="13"/>
                <w:b w:val="1"/>
                <w:bCs w:val="1"/>
                <w:color w:val="auto"/>
                <w:w w:val="85"/>
              </w:rPr>
              <w:t>Average</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7"/>
              </w:rPr>
              <w:t>Remaining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30"/>
        </w:trPr>
        <w:tc>
          <w:tcPr>
            <w:tcW w:w="5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85"/>
              </w:rPr>
              <w:t>Exercise</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1"/>
              </w:rPr>
              <w:t>Contractual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30"/>
        </w:trPr>
        <w:tc>
          <w:tcPr>
            <w:tcW w:w="5220" w:type="dxa"/>
            <w:vAlign w:val="bottom"/>
          </w:tcPr>
          <w:p>
            <w:pPr>
              <w:spacing w:after="0"/>
              <w:rPr>
                <w:sz w:val="11"/>
                <w:szCs w:val="11"/>
                <w:color w:val="auto"/>
              </w:rPr>
            </w:pPr>
          </w:p>
        </w:tc>
        <w:tc>
          <w:tcPr>
            <w:tcW w:w="1220" w:type="dxa"/>
            <w:vAlign w:val="bottom"/>
            <w:gridSpan w:val="2"/>
          </w:tcPr>
          <w:p>
            <w:pPr>
              <w:jc w:val="right"/>
              <w:ind w:right="480"/>
              <w:spacing w:after="0" w:line="130" w:lineRule="exact"/>
              <w:rPr>
                <w:sz w:val="20"/>
                <w:szCs w:val="20"/>
                <w:color w:val="auto"/>
              </w:rPr>
            </w:pPr>
            <w:r>
              <w:rPr>
                <w:rFonts w:ascii="Arial" w:cs="Arial" w:eastAsia="Arial" w:hAnsi="Arial"/>
                <w:sz w:val="13"/>
                <w:szCs w:val="13"/>
                <w:b w:val="1"/>
                <w:bCs w:val="1"/>
                <w:color w:val="auto"/>
              </w:rPr>
              <w:t>Available</w:t>
            </w: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0" w:lineRule="exact"/>
              <w:rPr>
                <w:sz w:val="20"/>
                <w:szCs w:val="20"/>
                <w:color w:val="auto"/>
              </w:rPr>
            </w:pPr>
            <w:r>
              <w:rPr>
                <w:rFonts w:ascii="Arial" w:cs="Arial" w:eastAsia="Arial" w:hAnsi="Arial"/>
                <w:sz w:val="13"/>
                <w:szCs w:val="13"/>
                <w:b w:val="1"/>
                <w:bCs w:val="1"/>
                <w:color w:val="auto"/>
                <w:w w:val="89"/>
              </w:rPr>
              <w:t>price</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4"/>
              </w:rPr>
              <w:t>Term</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w w:val="87"/>
              </w:rPr>
              <w:t>(in</w:t>
            </w:r>
          </w:p>
        </w:tc>
        <w:tc>
          <w:tcPr>
            <w:tcW w:w="0" w:type="dxa"/>
            <w:vAlign w:val="bottom"/>
          </w:tcPr>
          <w:p>
            <w:pPr>
              <w:spacing w:after="0"/>
              <w:rPr>
                <w:sz w:val="1"/>
                <w:szCs w:val="1"/>
                <w:color w:val="auto"/>
              </w:rPr>
            </w:pPr>
          </w:p>
        </w:tc>
      </w:tr>
      <w:tr>
        <w:trPr>
          <w:trHeight w:val="150"/>
        </w:trPr>
        <w:tc>
          <w:tcPr>
            <w:tcW w:w="52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for Grant</w:t>
            </w:r>
          </w:p>
        </w:tc>
        <w:tc>
          <w:tcPr>
            <w:tcW w:w="12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per Share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6"/>
              </w:rPr>
              <w:t>(in years)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thousands)</w:t>
            </w:r>
          </w:p>
        </w:tc>
        <w:tc>
          <w:tcPr>
            <w:tcW w:w="0" w:type="dxa"/>
            <w:vAlign w:val="bottom"/>
          </w:tcPr>
          <w:p>
            <w:pPr>
              <w:spacing w:after="0"/>
              <w:rPr>
                <w:sz w:val="1"/>
                <w:szCs w:val="1"/>
                <w:color w:val="auto"/>
              </w:rPr>
            </w:pPr>
          </w:p>
        </w:tc>
      </w:tr>
      <w:tr>
        <w:trPr>
          <w:trHeight w:val="192"/>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399,737</w:t>
            </w:r>
          </w:p>
        </w:tc>
        <w:tc>
          <w:tcPr>
            <w:tcW w:w="220" w:type="dxa"/>
            <w:vAlign w:val="bottom"/>
            <w:tcBorders>
              <w:top w:val="single" w:sz="8" w:color="CFF0FC"/>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1,514,770</w:t>
            </w: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Borders>
              <w:top w:val="single" w:sz="8" w:color="CFF0FC"/>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220" w:type="dxa"/>
            <w:vAlign w:val="bottom"/>
          </w:tcPr>
          <w:p>
            <w:pPr>
              <w:spacing w:after="0"/>
              <w:rPr>
                <w:sz w:val="20"/>
                <w:szCs w:val="20"/>
                <w:color w:val="auto"/>
              </w:rPr>
            </w:pPr>
            <w:r>
              <w:rPr>
                <w:rFonts w:ascii="Arial" w:cs="Arial" w:eastAsia="Arial" w:hAnsi="Arial"/>
                <w:sz w:val="16"/>
                <w:szCs w:val="16"/>
                <w:color w:val="auto"/>
              </w:rPr>
              <w:t>Authorized</w:t>
            </w:r>
          </w:p>
        </w:tc>
        <w:tc>
          <w:tcPr>
            <w:tcW w:w="1000" w:type="dxa"/>
            <w:vAlign w:val="bottom"/>
          </w:tcPr>
          <w:p>
            <w:pPr>
              <w:jc w:val="right"/>
              <w:spacing w:after="0"/>
              <w:rPr>
                <w:sz w:val="20"/>
                <w:szCs w:val="20"/>
                <w:color w:val="auto"/>
              </w:rPr>
            </w:pPr>
            <w:r>
              <w:rPr>
                <w:rFonts w:ascii="Arial" w:cs="Arial" w:eastAsia="Arial" w:hAnsi="Arial"/>
                <w:sz w:val="16"/>
                <w:szCs w:val="16"/>
                <w:color w:val="auto"/>
              </w:rPr>
              <w:t>4,343,534</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Granted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(994,293)</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994,293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20" w:type="dxa"/>
            <w:vAlign w:val="bottom"/>
          </w:tcPr>
          <w:p>
            <w:pPr>
              <w:spacing w:after="0"/>
              <w:rPr>
                <w:sz w:val="20"/>
                <w:szCs w:val="20"/>
                <w:color w:val="auto"/>
              </w:rPr>
            </w:pPr>
            <w:r>
              <w:rPr>
                <w:rFonts w:ascii="Arial" w:cs="Arial" w:eastAsia="Arial" w:hAnsi="Arial"/>
                <w:sz w:val="16"/>
                <w:szCs w:val="16"/>
                <w:color w:val="auto"/>
              </w:rPr>
              <w:t>Exercised</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(540,334)</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41,301</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(41,301)</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Balance at 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3,790,279</w:t>
            </w:r>
          </w:p>
        </w:tc>
        <w:tc>
          <w:tcPr>
            <w:tcW w:w="220" w:type="dxa"/>
            <w:vAlign w:val="bottom"/>
            <w:tcBorders>
              <w:bottom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1,927,428</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8.85</w:t>
            </w:r>
          </w:p>
        </w:tc>
        <w:tc>
          <w:tcPr>
            <w:tcW w:w="2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8.18</w:t>
            </w:r>
          </w:p>
        </w:tc>
        <w:tc>
          <w:tcPr>
            <w:tcW w:w="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18,521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22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Expected to vest</w:t>
            </w: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6"/>
                <w:szCs w:val="16"/>
                <w:color w:val="auto"/>
              </w:rPr>
              <w:t>1,298,059</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FF0FC"/>
            </w:tcBorders>
            <w:shd w:val="clear" w:color="auto" w:fill="CFF0FC"/>
          </w:tcPr>
          <w:p>
            <w:pPr>
              <w:jc w:val="right"/>
              <w:spacing w:after="0" w:line="175" w:lineRule="exact"/>
              <w:rPr>
                <w:sz w:val="20"/>
                <w:szCs w:val="20"/>
                <w:color w:val="auto"/>
              </w:rPr>
            </w:pPr>
            <w:r>
              <w:rPr>
                <w:rFonts w:ascii="Arial" w:cs="Arial" w:eastAsia="Arial" w:hAnsi="Arial"/>
                <w:sz w:val="16"/>
                <w:szCs w:val="16"/>
                <w:color w:val="auto"/>
              </w:rPr>
              <w:t>12.71</w:t>
            </w: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line="175" w:lineRule="exact"/>
              <w:rPr>
                <w:sz w:val="20"/>
                <w:szCs w:val="20"/>
                <w:color w:val="auto"/>
              </w:rPr>
            </w:pPr>
            <w:r>
              <w:rPr>
                <w:rFonts w:ascii="Arial" w:cs="Arial" w:eastAsia="Arial" w:hAnsi="Arial"/>
                <w:sz w:val="16"/>
                <w:szCs w:val="16"/>
                <w:color w:val="auto"/>
              </w:rPr>
              <w:t>9.52</w:t>
            </w:r>
          </w:p>
        </w:tc>
        <w:tc>
          <w:tcPr>
            <w:tcW w:w="360" w:type="dxa"/>
            <w:vAlign w:val="bottom"/>
            <w:tcBorders>
              <w:bottom w:val="single" w:sz="8" w:color="CFF0FC"/>
            </w:tcBorders>
            <w:gridSpan w:val="2"/>
            <w:shd w:val="clear" w:color="auto" w:fill="CFF0FC"/>
          </w:tcPr>
          <w:p>
            <w:pPr>
              <w:jc w:val="right"/>
              <w:spacing w:after="0" w:line="175"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CFF0FC"/>
            </w:tcBorders>
            <w:shd w:val="clear" w:color="auto" w:fill="CFF0FC"/>
          </w:tcPr>
          <w:p>
            <w:pPr>
              <w:jc w:val="right"/>
              <w:spacing w:after="0" w:line="175" w:lineRule="exact"/>
              <w:rPr>
                <w:sz w:val="20"/>
                <w:szCs w:val="20"/>
                <w:color w:val="auto"/>
              </w:rPr>
            </w:pPr>
            <w:r>
              <w:rPr>
                <w:rFonts w:ascii="Arial" w:cs="Arial" w:eastAsia="Arial" w:hAnsi="Arial"/>
                <w:sz w:val="16"/>
                <w:szCs w:val="16"/>
                <w:color w:val="auto"/>
              </w:rPr>
              <w:t>7,460</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6"/>
                <w:szCs w:val="16"/>
                <w:color w:val="auto"/>
              </w:rPr>
              <w:t>Options exercisable</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0.89</w:t>
            </w:r>
          </w:p>
        </w:tc>
        <w:tc>
          <w:tcPr>
            <w:tcW w:w="22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5.43</w:t>
            </w:r>
          </w:p>
        </w:tc>
        <w:tc>
          <w:tcPr>
            <w:tcW w:w="3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11,061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629,373</w:t>
            </w:r>
          </w:p>
        </w:tc>
        <w:tc>
          <w:tcPr>
            <w:tcW w:w="2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5"/>
          <w:szCs w:val="15"/>
          <w:color w:val="auto"/>
        </w:rPr>
        <w:t>The total fair value of options granted to employees, directors, and advisors that vested during the nine months ended September 30, 2020 was $219,000, which included $144,000 for options granted to employees and directors and $75,000 for options granted to advisors. The total fair value of options that vested during the nine months ended September 30, 2019 was $123,000, which included $64,000 for options granted to employees and directors and $59,000 for options granted to advisors.</w:t>
      </w:r>
    </w:p>
    <w:p>
      <w:pPr>
        <w:spacing w:after="0" w:line="184"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The aggregate intrinsic value in the table above is calculated as the difference between the exercise price of the underlying options and the estimated fair value of the Company’s common stock underlying all options that were in-the-money at September 30, 2020. The aggregate intrinsic value of options exercised was $9.4 million and $4,000 during the nine months ended September 30, 2020 and 2019, respectively, determined as of the date of option exercise. As of September 30, 2020, there was $2.9 million of total unrecognized compensation cost related to unvested stock options. The Company expects to recognize this cost over a remaining weighted-average period of 1.95 years. The Company utilizes newly issued shares to satisfy option exercises.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20" w:name="page21"/>
    <w:bookmarkEnd w:id="20"/>
    <w:p>
      <w:pPr>
        <w:ind w:left="500"/>
        <w:spacing w:after="0"/>
        <w:rPr>
          <w:sz w:val="20"/>
          <w:szCs w:val="20"/>
          <w:color w:val="auto"/>
        </w:rPr>
      </w:pPr>
      <w:r>
        <w:rPr>
          <w:rFonts w:ascii="Arial" w:cs="Arial" w:eastAsia="Arial" w:hAnsi="Arial"/>
          <w:sz w:val="16"/>
          <w:szCs w:val="16"/>
          <w:color w:val="auto"/>
        </w:rPr>
        <w:t>Stock options outstanding and exercisable consisted of the following at September 30, 2020:</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9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480" w:type="dxa"/>
            <w:vAlign w:val="bottom"/>
            <w:gridSpan w:val="4"/>
          </w:tcPr>
          <w:p>
            <w:pPr>
              <w:ind w:left="460"/>
              <w:spacing w:after="0"/>
              <w:rPr>
                <w:sz w:val="20"/>
                <w:szCs w:val="20"/>
                <w:color w:val="auto"/>
              </w:rPr>
            </w:pPr>
            <w:r>
              <w:rPr>
                <w:rFonts w:ascii="Arial" w:cs="Arial" w:eastAsia="Arial" w:hAnsi="Arial"/>
                <w:sz w:val="13"/>
                <w:szCs w:val="13"/>
                <w:b w:val="1"/>
                <w:bCs w:val="1"/>
                <w:color w:val="auto"/>
              </w:rPr>
              <w:t>Employees and Directors</w:t>
            </w:r>
          </w:p>
        </w:tc>
        <w:tc>
          <w:tcPr>
            <w:tcW w:w="2360" w:type="dxa"/>
            <w:vAlign w:val="bottom"/>
            <w:gridSpan w:val="4"/>
          </w:tcPr>
          <w:p>
            <w:pPr>
              <w:ind w:left="720"/>
              <w:spacing w:after="0"/>
              <w:rPr>
                <w:sz w:val="20"/>
                <w:szCs w:val="20"/>
                <w:color w:val="auto"/>
              </w:rPr>
            </w:pPr>
            <w:r>
              <w:rPr>
                <w:rFonts w:ascii="Arial" w:cs="Arial" w:eastAsia="Arial" w:hAnsi="Arial"/>
                <w:sz w:val="13"/>
                <w:szCs w:val="13"/>
                <w:b w:val="1"/>
                <w:bCs w:val="1"/>
                <w:color w:val="auto"/>
              </w:rPr>
              <w:t>Non-employees</w:t>
            </w:r>
          </w:p>
        </w:tc>
      </w:tr>
      <w:tr>
        <w:trPr>
          <w:trHeight w:val="113"/>
        </w:trPr>
        <w:tc>
          <w:tcPr>
            <w:tcW w:w="94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240" w:type="dxa"/>
            <w:vAlign w:val="bottom"/>
            <w:tcBorders>
              <w:top w:val="single" w:sz="8" w:color="auto"/>
            </w:tcBorders>
            <w:gridSpan w:val="2"/>
          </w:tcPr>
          <w:p>
            <w:pPr>
              <w:jc w:val="center"/>
              <w:ind w:right="240"/>
              <w:spacing w:after="0" w:line="114" w:lineRule="exact"/>
              <w:rPr>
                <w:sz w:val="20"/>
                <w:szCs w:val="20"/>
                <w:color w:val="auto"/>
              </w:rPr>
            </w:pPr>
            <w:r>
              <w:rPr>
                <w:rFonts w:ascii="Arial" w:cs="Arial" w:eastAsia="Arial" w:hAnsi="Arial"/>
                <w:sz w:val="13"/>
                <w:szCs w:val="13"/>
                <w:b w:val="1"/>
                <w:bCs w:val="1"/>
                <w:color w:val="auto"/>
                <w:w w:val="82"/>
              </w:rPr>
              <w:t>Shares</w:t>
            </w:r>
          </w:p>
        </w:tc>
        <w:tc>
          <w:tcPr>
            <w:tcW w:w="10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82"/>
              </w:rPr>
              <w:t>Shares</w:t>
            </w:r>
          </w:p>
        </w:tc>
        <w:tc>
          <w:tcPr>
            <w:tcW w:w="220" w:type="dxa"/>
            <w:vAlign w:val="bottom"/>
          </w:tcPr>
          <w:p>
            <w:pPr>
              <w:spacing w:after="0"/>
              <w:rPr>
                <w:sz w:val="9"/>
                <w:szCs w:val="9"/>
                <w:color w:val="auto"/>
              </w:rPr>
            </w:pPr>
          </w:p>
        </w:tc>
        <w:tc>
          <w:tcPr>
            <w:tcW w:w="1240" w:type="dxa"/>
            <w:vAlign w:val="bottom"/>
            <w:tcBorders>
              <w:top w:val="single" w:sz="8" w:color="auto"/>
            </w:tcBorders>
            <w:gridSpan w:val="2"/>
          </w:tcPr>
          <w:p>
            <w:pPr>
              <w:jc w:val="center"/>
              <w:ind w:right="240"/>
              <w:spacing w:after="0" w:line="114" w:lineRule="exact"/>
              <w:rPr>
                <w:sz w:val="20"/>
                <w:szCs w:val="20"/>
                <w:color w:val="auto"/>
              </w:rPr>
            </w:pPr>
            <w:r>
              <w:rPr>
                <w:rFonts w:ascii="Arial" w:cs="Arial" w:eastAsia="Arial" w:hAnsi="Arial"/>
                <w:sz w:val="13"/>
                <w:szCs w:val="13"/>
                <w:b w:val="1"/>
                <w:bCs w:val="1"/>
                <w:color w:val="auto"/>
                <w:w w:val="82"/>
              </w:rPr>
              <w:t>Shares</w:t>
            </w:r>
          </w:p>
        </w:tc>
        <w:tc>
          <w:tcPr>
            <w:tcW w:w="104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9"/>
                <w:szCs w:val="9"/>
                <w:color w:val="auto"/>
              </w:rPr>
            </w:pPr>
          </w:p>
        </w:tc>
      </w:tr>
      <w:tr>
        <w:trPr>
          <w:trHeight w:val="158"/>
        </w:trPr>
        <w:tc>
          <w:tcPr>
            <w:tcW w:w="528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 xml:space="preserve">Exercise Price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p>
        </w:tc>
        <w:tc>
          <w:tcPr>
            <w:tcW w:w="12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6"/>
              </w:rPr>
              <w:t>Outstanding</w:t>
            </w:r>
          </w:p>
        </w:tc>
        <w:tc>
          <w:tcPr>
            <w:tcW w:w="12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5"/>
              </w:rPr>
              <w:t>Exercisable</w:t>
            </w:r>
          </w:p>
        </w:tc>
        <w:tc>
          <w:tcPr>
            <w:tcW w:w="124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8"/>
              </w:rPr>
              <w:t>Outstanding</w:t>
            </w:r>
          </w:p>
        </w:tc>
        <w:tc>
          <w:tcPr>
            <w:tcW w:w="11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5"/>
              </w:rPr>
              <w:t>Exercisable</w:t>
            </w:r>
          </w:p>
        </w:tc>
      </w:tr>
      <w:tr>
        <w:trPr>
          <w:trHeight w:val="184"/>
        </w:trPr>
        <w:tc>
          <w:tcPr>
            <w:tcW w:w="94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0.16</w:t>
            </w:r>
          </w:p>
        </w:tc>
        <w:tc>
          <w:tcPr>
            <w:tcW w:w="434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75,660</w:t>
            </w:r>
          </w:p>
        </w:tc>
        <w:tc>
          <w:tcPr>
            <w:tcW w:w="22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75,660</w:t>
            </w:r>
          </w:p>
        </w:tc>
        <w:tc>
          <w:tcPr>
            <w:tcW w:w="22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12,611</w:t>
            </w:r>
          </w:p>
        </w:tc>
        <w:tc>
          <w:tcPr>
            <w:tcW w:w="220" w:type="dxa"/>
            <w:vAlign w:val="bottom"/>
            <w:tcBorders>
              <w:top w:val="single" w:sz="8" w:color="CFF0FC"/>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12,611</w:t>
            </w:r>
          </w:p>
        </w:tc>
        <w:tc>
          <w:tcPr>
            <w:tcW w:w="80" w:type="dxa"/>
            <w:vAlign w:val="bottom"/>
            <w:tcBorders>
              <w:top w:val="single" w:sz="8" w:color="CFF0FC"/>
            </w:tcBorders>
            <w:shd w:val="clear" w:color="auto" w:fill="CFF0FC"/>
          </w:tcPr>
          <w:p>
            <w:pPr>
              <w:spacing w:after="0"/>
              <w:rPr>
                <w:sz w:val="16"/>
                <w:szCs w:val="16"/>
                <w:color w:val="auto"/>
              </w:rPr>
            </w:pPr>
          </w:p>
        </w:tc>
      </w:tr>
      <w:tr>
        <w:trPr>
          <w:trHeight w:val="200"/>
        </w:trPr>
        <w:tc>
          <w:tcPr>
            <w:tcW w:w="940" w:type="dxa"/>
            <w:vAlign w:val="bottom"/>
          </w:tcPr>
          <w:p>
            <w:pPr>
              <w:spacing w:after="0"/>
              <w:rPr>
                <w:sz w:val="20"/>
                <w:szCs w:val="20"/>
                <w:color w:val="auto"/>
              </w:rPr>
            </w:pPr>
            <w:r>
              <w:rPr>
                <w:rFonts w:ascii="Arial" w:cs="Arial" w:eastAsia="Arial" w:hAnsi="Arial"/>
                <w:sz w:val="16"/>
                <w:szCs w:val="16"/>
                <w:color w:val="auto"/>
              </w:rPr>
              <w:t>0.48</w:t>
            </w:r>
          </w:p>
        </w:tc>
        <w:tc>
          <w:tcPr>
            <w:tcW w:w="4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162,353</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162,353</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940" w:type="dxa"/>
            <w:vAlign w:val="bottom"/>
            <w:shd w:val="clear" w:color="auto" w:fill="CFF0FC"/>
          </w:tcPr>
          <w:p>
            <w:pPr>
              <w:spacing w:after="0"/>
              <w:rPr>
                <w:sz w:val="20"/>
                <w:szCs w:val="20"/>
                <w:color w:val="auto"/>
              </w:rPr>
            </w:pPr>
            <w:r>
              <w:rPr>
                <w:rFonts w:ascii="Arial" w:cs="Arial" w:eastAsia="Arial" w:hAnsi="Arial"/>
                <w:sz w:val="16"/>
                <w:szCs w:val="16"/>
                <w:color w:val="auto"/>
              </w:rPr>
              <w:t>1.00</w:t>
            </w:r>
          </w:p>
        </w:tc>
        <w:tc>
          <w:tcPr>
            <w:tcW w:w="4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37,830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37,830</w:t>
            </w:r>
          </w:p>
        </w:tc>
        <w:tc>
          <w:tcPr>
            <w:tcW w:w="80" w:type="dxa"/>
            <w:vAlign w:val="bottom"/>
            <w:shd w:val="clear" w:color="auto" w:fill="CFF0FC"/>
          </w:tcPr>
          <w:p>
            <w:pPr>
              <w:spacing w:after="0"/>
              <w:rPr>
                <w:sz w:val="17"/>
                <w:szCs w:val="17"/>
                <w:color w:val="auto"/>
              </w:rPr>
            </w:pPr>
          </w:p>
        </w:tc>
      </w:tr>
      <w:tr>
        <w:trPr>
          <w:trHeight w:val="200"/>
        </w:trPr>
        <w:tc>
          <w:tcPr>
            <w:tcW w:w="940" w:type="dxa"/>
            <w:vAlign w:val="bottom"/>
          </w:tcPr>
          <w:p>
            <w:pPr>
              <w:spacing w:after="0"/>
              <w:rPr>
                <w:sz w:val="20"/>
                <w:szCs w:val="20"/>
                <w:color w:val="auto"/>
              </w:rPr>
            </w:pPr>
            <w:r>
              <w:rPr>
                <w:rFonts w:ascii="Arial" w:cs="Arial" w:eastAsia="Arial" w:hAnsi="Arial"/>
                <w:sz w:val="16"/>
                <w:szCs w:val="16"/>
                <w:color w:val="auto"/>
              </w:rPr>
              <w:t>1.04</w:t>
            </w:r>
          </w:p>
        </w:tc>
        <w:tc>
          <w:tcPr>
            <w:tcW w:w="4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70,933</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70,933</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31,525</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31,525</w:t>
            </w:r>
          </w:p>
        </w:tc>
        <w:tc>
          <w:tcPr>
            <w:tcW w:w="80" w:type="dxa"/>
            <w:vAlign w:val="bottom"/>
          </w:tcPr>
          <w:p>
            <w:pPr>
              <w:spacing w:after="0"/>
              <w:rPr>
                <w:sz w:val="17"/>
                <w:szCs w:val="17"/>
                <w:color w:val="auto"/>
              </w:rPr>
            </w:pPr>
          </w:p>
        </w:tc>
      </w:tr>
      <w:tr>
        <w:trPr>
          <w:trHeight w:val="201"/>
        </w:trPr>
        <w:tc>
          <w:tcPr>
            <w:tcW w:w="940" w:type="dxa"/>
            <w:vAlign w:val="bottom"/>
            <w:shd w:val="clear" w:color="auto" w:fill="CFF0FC"/>
          </w:tcPr>
          <w:p>
            <w:pPr>
              <w:spacing w:after="0"/>
              <w:rPr>
                <w:sz w:val="20"/>
                <w:szCs w:val="20"/>
                <w:color w:val="auto"/>
              </w:rPr>
            </w:pPr>
            <w:r>
              <w:rPr>
                <w:rFonts w:ascii="Arial" w:cs="Arial" w:eastAsia="Arial" w:hAnsi="Arial"/>
                <w:sz w:val="16"/>
                <w:szCs w:val="16"/>
                <w:color w:val="auto"/>
              </w:rPr>
              <w:t>1.19</w:t>
            </w:r>
          </w:p>
        </w:tc>
        <w:tc>
          <w:tcPr>
            <w:tcW w:w="4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52,645</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38,878</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34,677</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34,677</w:t>
            </w:r>
          </w:p>
        </w:tc>
        <w:tc>
          <w:tcPr>
            <w:tcW w:w="80" w:type="dxa"/>
            <w:vAlign w:val="bottom"/>
            <w:shd w:val="clear" w:color="auto" w:fill="CFF0FC"/>
          </w:tcPr>
          <w:p>
            <w:pPr>
              <w:spacing w:after="0"/>
              <w:rPr>
                <w:sz w:val="17"/>
                <w:szCs w:val="17"/>
                <w:color w:val="auto"/>
              </w:rPr>
            </w:pPr>
          </w:p>
        </w:tc>
      </w:tr>
      <w:tr>
        <w:trPr>
          <w:trHeight w:val="200"/>
        </w:trPr>
        <w:tc>
          <w:tcPr>
            <w:tcW w:w="940" w:type="dxa"/>
            <w:vAlign w:val="bottom"/>
          </w:tcPr>
          <w:p>
            <w:pPr>
              <w:spacing w:after="0"/>
              <w:rPr>
                <w:sz w:val="20"/>
                <w:szCs w:val="20"/>
                <w:color w:val="auto"/>
              </w:rPr>
            </w:pPr>
            <w:r>
              <w:rPr>
                <w:rFonts w:ascii="Arial" w:cs="Arial" w:eastAsia="Arial" w:hAnsi="Arial"/>
                <w:sz w:val="16"/>
                <w:szCs w:val="16"/>
                <w:color w:val="auto"/>
              </w:rPr>
              <w:t>1.31</w:t>
            </w:r>
          </w:p>
        </w:tc>
        <w:tc>
          <w:tcPr>
            <w:tcW w:w="4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63,050</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63,050</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940" w:type="dxa"/>
            <w:vAlign w:val="bottom"/>
            <w:shd w:val="clear" w:color="auto" w:fill="CFF0FC"/>
          </w:tcPr>
          <w:p>
            <w:pPr>
              <w:spacing w:after="0"/>
              <w:rPr>
                <w:sz w:val="20"/>
                <w:szCs w:val="20"/>
                <w:color w:val="auto"/>
              </w:rPr>
            </w:pPr>
            <w:r>
              <w:rPr>
                <w:rFonts w:ascii="Arial" w:cs="Arial" w:eastAsia="Arial" w:hAnsi="Arial"/>
                <w:sz w:val="16"/>
                <w:szCs w:val="16"/>
                <w:color w:val="auto"/>
              </w:rPr>
              <w:t>1.35</w:t>
            </w:r>
          </w:p>
        </w:tc>
        <w:tc>
          <w:tcPr>
            <w:tcW w:w="4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294,754</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27,529</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116,642</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63,049</w:t>
            </w:r>
          </w:p>
        </w:tc>
        <w:tc>
          <w:tcPr>
            <w:tcW w:w="80" w:type="dxa"/>
            <w:vAlign w:val="bottom"/>
            <w:shd w:val="clear" w:color="auto" w:fill="CFF0FC"/>
          </w:tcPr>
          <w:p>
            <w:pPr>
              <w:spacing w:after="0"/>
              <w:rPr>
                <w:sz w:val="17"/>
                <w:szCs w:val="17"/>
                <w:color w:val="auto"/>
              </w:rPr>
            </w:pPr>
          </w:p>
        </w:tc>
      </w:tr>
      <w:tr>
        <w:trPr>
          <w:trHeight w:val="200"/>
        </w:trPr>
        <w:tc>
          <w:tcPr>
            <w:tcW w:w="940" w:type="dxa"/>
            <w:vAlign w:val="bottom"/>
          </w:tcPr>
          <w:p>
            <w:pPr>
              <w:spacing w:after="0"/>
              <w:rPr>
                <w:sz w:val="20"/>
                <w:szCs w:val="20"/>
                <w:color w:val="auto"/>
              </w:rPr>
            </w:pPr>
            <w:r>
              <w:rPr>
                <w:rFonts w:ascii="Arial" w:cs="Arial" w:eastAsia="Arial" w:hAnsi="Arial"/>
                <w:sz w:val="16"/>
                <w:szCs w:val="16"/>
                <w:color w:val="auto"/>
              </w:rPr>
              <w:t>1.49</w:t>
            </w:r>
          </w:p>
        </w:tc>
        <w:tc>
          <w:tcPr>
            <w:tcW w:w="4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31,525</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10,508</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940" w:type="dxa"/>
            <w:vAlign w:val="bottom"/>
            <w:shd w:val="clear" w:color="auto" w:fill="CFF0FC"/>
          </w:tcPr>
          <w:p>
            <w:pPr>
              <w:spacing w:after="0"/>
              <w:rPr>
                <w:sz w:val="20"/>
                <w:szCs w:val="20"/>
                <w:color w:val="auto"/>
              </w:rPr>
            </w:pPr>
            <w:r>
              <w:rPr>
                <w:rFonts w:ascii="Arial" w:cs="Arial" w:eastAsia="Arial" w:hAnsi="Arial"/>
                <w:sz w:val="16"/>
                <w:szCs w:val="16"/>
                <w:color w:val="auto"/>
              </w:rPr>
              <w:t>17.00</w:t>
            </w:r>
          </w:p>
        </w:tc>
        <w:tc>
          <w:tcPr>
            <w:tcW w:w="4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747,770</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195,453</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92"/>
        </w:trPr>
        <w:tc>
          <w:tcPr>
            <w:tcW w:w="528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1,498,690</w:t>
            </w:r>
          </w:p>
        </w:tc>
        <w:tc>
          <w:tcPr>
            <w:tcW w:w="2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449,681</w:t>
            </w:r>
          </w:p>
        </w:tc>
        <w:tc>
          <w:tcPr>
            <w:tcW w:w="2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428,738</w:t>
            </w:r>
          </w:p>
        </w:tc>
        <w:tc>
          <w:tcPr>
            <w:tcW w:w="2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179,692</w:t>
            </w:r>
          </w:p>
        </w:tc>
        <w:tc>
          <w:tcPr>
            <w:tcW w:w="8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Restricted Stock Award Activity</w:t>
      </w:r>
    </w:p>
    <w:p>
      <w:pPr>
        <w:spacing w:after="0" w:line="229"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5"/>
          <w:szCs w:val="15"/>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Shares subject to repurchase as of September 30, 2020 and December 31, 2019 were 4,204 shares and 8,407 shares, respectively, all of which were related to non-employee RSAs.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RSA activity for the nine months ended September 30, 2020 was as follows:</w:t>
      </w:r>
    </w:p>
    <w:p>
      <w:pPr>
        <w:spacing w:after="0" w:line="178"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Weighted-</w:t>
            </w:r>
          </w:p>
        </w:tc>
      </w:tr>
      <w:tr>
        <w:trPr>
          <w:trHeight w:val="130"/>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w w:val="85"/>
              </w:rPr>
              <w:t>Average</w:t>
            </w:r>
          </w:p>
        </w:tc>
      </w:tr>
      <w:tr>
        <w:trPr>
          <w:trHeight w:val="130"/>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280" w:type="dxa"/>
            <w:vAlign w:val="bottom"/>
            <w:gridSpan w:val="2"/>
          </w:tcPr>
          <w:p>
            <w:pPr>
              <w:jc w:val="right"/>
              <w:ind w:right="580"/>
              <w:spacing w:after="0" w:line="130" w:lineRule="exact"/>
              <w:rPr>
                <w:sz w:val="20"/>
                <w:szCs w:val="20"/>
                <w:color w:val="auto"/>
              </w:rPr>
            </w:pPr>
            <w:r>
              <w:rPr>
                <w:rFonts w:ascii="Arial" w:cs="Arial" w:eastAsia="Arial" w:hAnsi="Arial"/>
                <w:sz w:val="13"/>
                <w:szCs w:val="13"/>
                <w:b w:val="1"/>
                <w:bCs w:val="1"/>
                <w:color w:val="auto"/>
              </w:rPr>
              <w:t>Share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w w:val="90"/>
              </w:rPr>
              <w:t>Grant Date</w:t>
            </w:r>
          </w:p>
        </w:tc>
      </w:tr>
      <w:tr>
        <w:trPr>
          <w:trHeight w:val="150"/>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Equivalent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Fair Value</w:t>
            </w:r>
          </w:p>
        </w:tc>
      </w:tr>
      <w:tr>
        <w:trPr>
          <w:trHeight w:val="192"/>
        </w:trPr>
        <w:tc>
          <w:tcPr>
            <w:tcW w:w="20" w:type="dxa"/>
            <w:vAlign w:val="bottom"/>
          </w:tcPr>
          <w:p>
            <w:pPr>
              <w:spacing w:after="0"/>
              <w:rPr>
                <w:sz w:val="16"/>
                <w:szCs w:val="16"/>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Non-vested at December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8,407</w:t>
            </w:r>
          </w:p>
        </w:tc>
        <w:tc>
          <w:tcPr>
            <w:tcW w:w="2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80" w:type="dxa"/>
            <w:vAlign w:val="bottom"/>
            <w:tcBorders>
              <w:top w:val="single" w:sz="8" w:color="CFF0FC"/>
            </w:tcBorders>
            <w:shd w:val="clear" w:color="auto" w:fill="CFF0FC"/>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Granted</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20" w:type="dxa"/>
            <w:vAlign w:val="bottom"/>
          </w:tcPr>
          <w:p>
            <w:pPr>
              <w:spacing w:after="0"/>
              <w:rPr>
                <w:sz w:val="17"/>
                <w:szCs w:val="17"/>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(4,203)</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FF0FC"/>
          </w:tcPr>
          <w:p>
            <w:pPr>
              <w:spacing w:after="0"/>
              <w:rPr>
                <w:sz w:val="17"/>
                <w:szCs w:val="17"/>
                <w:color w:val="auto"/>
              </w:rPr>
            </w:pPr>
          </w:p>
        </w:tc>
      </w:tr>
      <w:tr>
        <w:trPr>
          <w:trHeight w:val="192"/>
        </w:trPr>
        <w:tc>
          <w:tcPr>
            <w:tcW w:w="5420" w:type="dxa"/>
            <w:vAlign w:val="bottom"/>
            <w:gridSpan w:val="2"/>
          </w:tcPr>
          <w:p>
            <w:pPr>
              <w:spacing w:after="0"/>
              <w:rPr>
                <w:sz w:val="20"/>
                <w:szCs w:val="20"/>
                <w:color w:val="auto"/>
              </w:rPr>
            </w:pPr>
            <w:r>
              <w:rPr>
                <w:rFonts w:ascii="Arial" w:cs="Arial" w:eastAsia="Arial" w:hAnsi="Arial"/>
                <w:sz w:val="16"/>
                <w:szCs w:val="16"/>
                <w:color w:val="auto"/>
              </w:rPr>
              <w:t>Non-vested at September 30,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4,204</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4"/>
                <w:szCs w:val="4"/>
                <w:color w:val="auto"/>
                <w:w w:val="8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212121"/>
        </w:rPr>
        <w:t>12. Net Loss Per Share Attributable to Common Stockholders</w:t>
      </w:r>
    </w:p>
    <w:p>
      <w:pPr>
        <w:spacing w:after="0" w:line="221"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21" w:lineRule="exact"/>
        <w:rPr>
          <w:sz w:val="20"/>
          <w:szCs w:val="20"/>
          <w:color w:val="auto"/>
        </w:rPr>
      </w:pPr>
    </w:p>
    <w:tbl>
      <w:tblPr>
        <w:tblLayout w:type="fixed"/>
        <w:tblInd w:w="16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440" w:type="dxa"/>
            <w:vAlign w:val="bottom"/>
            <w:gridSpan w:val="4"/>
          </w:tcPr>
          <w:p>
            <w:pPr>
              <w:ind w:left="240"/>
              <w:spacing w:after="0"/>
              <w:rPr>
                <w:sz w:val="20"/>
                <w:szCs w:val="20"/>
                <w:color w:val="auto"/>
              </w:rPr>
            </w:pPr>
            <w:r>
              <w:rPr>
                <w:rFonts w:ascii="Arial" w:cs="Arial" w:eastAsia="Arial" w:hAnsi="Arial"/>
                <w:sz w:val="13"/>
                <w:szCs w:val="13"/>
                <w:b w:val="1"/>
                <w:bCs w:val="1"/>
                <w:color w:val="auto"/>
              </w:rPr>
              <w:t>Nine Months Ended September 30,</w:t>
            </w:r>
          </w:p>
        </w:tc>
      </w:tr>
      <w:tr>
        <w:trPr>
          <w:trHeight w:val="133"/>
        </w:trPr>
        <w:tc>
          <w:tcPr>
            <w:tcW w:w="20" w:type="dxa"/>
            <w:vAlign w:val="bottom"/>
          </w:tcPr>
          <w:p>
            <w:pPr>
              <w:spacing w:after="0"/>
              <w:rPr>
                <w:sz w:val="11"/>
                <w:szCs w:val="11"/>
                <w:color w:val="auto"/>
              </w:rPr>
            </w:pPr>
          </w:p>
        </w:tc>
        <w:tc>
          <w:tcPr>
            <w:tcW w:w="5420" w:type="dxa"/>
            <w:vAlign w:val="bottom"/>
            <w:tcBorders>
              <w:bottom w:val="single" w:sz="8" w:color="CFF0FC"/>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46"/>
              <w:spacing w:after="0" w:line="133"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CFF0FC"/>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344"/>
              <w:spacing w:after="0" w:line="133"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1"/>
                <w:szCs w:val="11"/>
                <w:color w:val="auto"/>
              </w:rPr>
            </w:pPr>
          </w:p>
        </w:tc>
      </w:tr>
      <w:tr>
        <w:trPr>
          <w:trHeight w:val="192"/>
        </w:trPr>
        <w:tc>
          <w:tcPr>
            <w:tcW w:w="20" w:type="dxa"/>
            <w:vAlign w:val="bottom"/>
          </w:tcPr>
          <w:p>
            <w:pPr>
              <w:spacing w:after="0"/>
              <w:rPr>
                <w:sz w:val="16"/>
                <w:szCs w:val="16"/>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Convertible preferred stock on an as-converted basis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2,617,386</w:t>
            </w:r>
          </w:p>
        </w:tc>
        <w:tc>
          <w:tcPr>
            <w:tcW w:w="80" w:type="dxa"/>
            <w:vAlign w:val="bottom"/>
            <w:shd w:val="clear" w:color="auto" w:fill="CFF0FC"/>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Unvested RSAs</w:t>
            </w:r>
          </w:p>
        </w:tc>
        <w:tc>
          <w:tcPr>
            <w:tcW w:w="1080" w:type="dxa"/>
            <w:vAlign w:val="bottom"/>
          </w:tcPr>
          <w:p>
            <w:pPr>
              <w:jc w:val="right"/>
              <w:spacing w:after="0"/>
              <w:rPr>
                <w:sz w:val="20"/>
                <w:szCs w:val="20"/>
                <w:color w:val="auto"/>
              </w:rPr>
            </w:pPr>
            <w:r>
              <w:rPr>
                <w:rFonts w:ascii="Arial" w:cs="Arial" w:eastAsia="Arial" w:hAnsi="Arial"/>
                <w:sz w:val="16"/>
                <w:szCs w:val="16"/>
                <w:color w:val="auto"/>
              </w:rPr>
              <w:t>4,204</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8,407</w:t>
            </w:r>
          </w:p>
        </w:tc>
        <w:tc>
          <w:tcPr>
            <w:tcW w:w="8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Stock 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1,927,428</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1,498,377</w:t>
            </w:r>
          </w:p>
        </w:tc>
        <w:tc>
          <w:tcPr>
            <w:tcW w:w="80" w:type="dxa"/>
            <w:vAlign w:val="bottom"/>
            <w:shd w:val="clear" w:color="auto" w:fill="CFF0FC"/>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Common stock warrants</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3,310</w:t>
            </w:r>
          </w:p>
        </w:tc>
        <w:tc>
          <w:tcPr>
            <w:tcW w:w="8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542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1,931,632</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4,127,480</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212121"/>
        </w:rPr>
        <w:t>13. Subsequent Events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Exercise of Underwriters’ Option</w:t>
      </w:r>
    </w:p>
    <w:p>
      <w:pPr>
        <w:spacing w:after="0" w:line="217"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6"/>
          <w:szCs w:val="16"/>
          <w:color w:val="auto"/>
        </w:rPr>
        <w:t>On October 16, 2020, the Company sold an additional 1,397,712 shares of common stock to the underwriters of the IPO upon partial exercise of the underwriters’ option to purchase additional shares at the initial public offering price of $17.00 per share, less underwriting discounts and commissions, resulting in net proceeds to the Company of approximately $22.1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3" w:lineRule="exact"/>
        <w:rPr>
          <w:sz w:val="20"/>
          <w:szCs w:val="20"/>
          <w:color w:val="auto"/>
        </w:rPr>
      </w:pPr>
    </w:p>
    <w:p>
      <w:pPr>
        <w:jc w:val="both"/>
        <w:ind w:right="20" w:firstLine="511"/>
        <w:spacing w:after="0" w:line="275" w:lineRule="auto"/>
        <w:rPr>
          <w:sz w:val="20"/>
          <w:szCs w:val="20"/>
          <w:color w:val="auto"/>
        </w:rPr>
      </w:pPr>
      <w:r>
        <w:rPr>
          <w:rFonts w:ascii="Arial" w:cs="Arial" w:eastAsia="Arial" w:hAnsi="Arial"/>
          <w:sz w:val="15"/>
          <w:szCs w:val="15"/>
          <w:i w:val="1"/>
          <w:iCs w:val="1"/>
          <w:color w:val="auto"/>
        </w:rPr>
        <w:t>You should read the following management’s discussion and analysis of financial condition and results of operations in conjunction with our unaudited condensed consolidated financial statements and notes thereto included in Part I, Item 1 of this Quarterly Report on Form 10-Q and with our audited financial statements and related notes thereto and Management’s Discussion and Analysis of Financial Condition and Results of Operations included in our final prospectus for our initial public offering, or IPO, filed with the Securities and Exchange Commission, or the SEC, pursuant to Rule 424(b)(4) on September 18, 2020.</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33" w:lineRule="exact"/>
        <w:rPr>
          <w:sz w:val="20"/>
          <w:szCs w:val="20"/>
          <w:color w:val="auto"/>
        </w:rPr>
      </w:pPr>
    </w:p>
    <w:p>
      <w:pPr>
        <w:jc w:val="both"/>
        <w:ind w:firstLine="511"/>
        <w:spacing w:after="0" w:line="192" w:lineRule="exact"/>
        <w:rPr>
          <w:sz w:val="20"/>
          <w:szCs w:val="20"/>
          <w:color w:val="auto"/>
        </w:rPr>
      </w:pPr>
      <w:r>
        <w:rPr>
          <w:rFonts w:ascii="Arial" w:cs="Arial" w:eastAsia="Arial" w:hAnsi="Arial"/>
          <w:sz w:val="15"/>
          <w:szCs w:val="15"/>
          <w:color w:val="auto"/>
        </w:rPr>
        <w:t>This Quarterly Report on Form 10-Q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Quarterly Report on Form 10</w:t>
      </w:r>
      <w:r>
        <w:rPr>
          <w:rFonts w:ascii="MS PGothic" w:cs="MS PGothic" w:eastAsia="MS PGothic" w:hAnsi="MS PGothic"/>
          <w:sz w:val="15"/>
          <w:szCs w:val="15"/>
          <w:color w:val="auto"/>
        </w:rPr>
        <w:t>‑</w:t>
      </w:r>
      <w:r>
        <w:rPr>
          <w:rFonts w:ascii="Arial" w:cs="Arial" w:eastAsia="Arial" w:hAnsi="Arial"/>
          <w:sz w:val="15"/>
          <w:szCs w:val="15"/>
          <w:color w:val="auto"/>
        </w:rPr>
        <w:t>Q that are not purely historical are forward-looking statements within the meaning of Section 27A of the Securities Act of 1933, as amended, and Section 21E of the Securities Exchange Act of 1934, as amended.</w:t>
      </w:r>
    </w:p>
    <w:p>
      <w:pPr>
        <w:spacing w:after="0" w:line="214" w:lineRule="exact"/>
        <w:rPr>
          <w:sz w:val="20"/>
          <w:szCs w:val="20"/>
          <w:color w:val="auto"/>
        </w:rPr>
      </w:pPr>
    </w:p>
    <w:p>
      <w:pPr>
        <w:jc w:val="both"/>
        <w:ind w:firstLine="511"/>
        <w:spacing w:after="0" w:line="272" w:lineRule="auto"/>
        <w:rPr>
          <w:sz w:val="20"/>
          <w:szCs w:val="20"/>
          <w:color w:val="auto"/>
        </w:rPr>
      </w:pPr>
      <w:r>
        <w:rPr>
          <w:rFonts w:ascii="Arial" w:cs="Arial" w:eastAsia="Arial" w:hAnsi="Arial"/>
          <w:sz w:val="15"/>
          <w:szCs w:val="15"/>
          <w:color w:val="auto"/>
        </w:rPr>
        <w:t>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 statements include, but are not limited to, statements about:</w:t>
      </w:r>
    </w:p>
    <w:p>
      <w:pPr>
        <w:spacing w:after="0" w:line="60" w:lineRule="exact"/>
        <w:rPr>
          <w:sz w:val="20"/>
          <w:szCs w:val="20"/>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financial performance;</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develop and commercialize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our nonclinical studies and clinical trials to demonstrate safety and efficacy of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success, cost and timing of our development activities, nonclinical studies and clinical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or likelihood of regulatory filings and approvals;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and focus of our future clinical trials, and the reporting of data from those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plans relating to commercializing our product candidates, if approved;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plans and ability to establish sales, marketing and distribution infrastructure to commercialize any product candidates for which we obtain approval;</w:t>
      </w:r>
    </w:p>
    <w:p>
      <w:pPr>
        <w:spacing w:after="0" w:line="110" w:lineRule="exact"/>
        <w:rPr>
          <w:rFonts w:ascii="Arial" w:cs="Arial" w:eastAsia="Arial" w:hAnsi="Arial"/>
          <w:sz w:val="15"/>
          <w:szCs w:val="15"/>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attract and retain key managerial, scientific and clinical personnel;</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contract with third-party suppliers and manufacturers and their ability to perform adequately;</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 capital requirements and needs for additional financing;</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reliance on third parties to conduct clinical trials of our product candidates, and for the manufacture of our product candidates for nonclinical studies and clinical trials;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beneficial characteristics, safety and efficacy of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regulatory developments in the United States and other jurisdictions;</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future agreements with third parties in connection with the commercialization of our product candidates;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22" w:name="page23"/>
    <w:bookmarkEnd w:id="22"/>
    <w:p>
      <w:pPr>
        <w:ind w:left="1000" w:right="20" w:hanging="499"/>
        <w:spacing w:after="0" w:line="266"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plans relating to the further development and manufacturing of our product candidates, including additional indications for which we may pursue regulatory approval;</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plans and ability to obtain or protect intellectual property rights, including extensions of existing patent terms where available;</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expectations regarding the impact of the novel coronavirus disease, or COVID-19, pandemic on our business;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potential benefits of any strategic collaboration agreements we may enter into.</w:t>
      </w:r>
    </w:p>
    <w:p>
      <w:pPr>
        <w:spacing w:after="0" w:line="252"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These statements, like all statements in this report, speak only as of their date, and we undertake no obligation to update or revise these statements in light of future developments. In this report, “we,” “our,” “us,” “Athira,” and “the Company” refer to Athira Pharma, Inc.</w:t>
      </w:r>
    </w:p>
    <w:p>
      <w:pPr>
        <w:spacing w:after="0" w:line="203"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jc w:val="both"/>
        <w:ind w:firstLine="511"/>
        <w:spacing w:after="0" w:line="249" w:lineRule="auto"/>
        <w:rPr>
          <w:sz w:val="20"/>
          <w:szCs w:val="20"/>
          <w:color w:val="auto"/>
        </w:rPr>
      </w:pPr>
      <w:r>
        <w:rPr>
          <w:rFonts w:ascii="Arial" w:cs="Arial" w:eastAsia="Arial" w:hAnsi="Arial"/>
          <w:sz w:val="16"/>
          <w:szCs w:val="16"/>
          <w:color w:val="auto"/>
        </w:rPr>
        <w:t>We are a late clinical-stage biopharmaceutical company focused on developing small molecules to restore neuronal health and stop neurodegeneration. With our product candidates, we aim to potentially provide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p>
    <w:p>
      <w:pPr>
        <w:spacing w:after="0" w:line="208"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5"/>
          <w:szCs w:val="15"/>
          <w:color w:val="auto"/>
        </w:rPr>
        <w:t>Our lead candidate, ATH-1017, is a subcutaneous administered, BBB-penetrating, small molecule HGF/MET activator. In September 2020, we initiated patient dosing in LIFT-AD, our Phase 2/3 clinical trial for ATH-1017 that may provide pivotal data in support of registration, for the treatment of mild-to-moderate Alzheimer’s disease, or AD, with topline results expected by the end of 2022. By the end of 2020, we plan to initiate dosing in ACT-AD, a P300 Phase 2 clinical trial, in mild-to-moderate AD to better understand the overall effects of ATH-1017 on working memory processing speed and cognitive measures, with topline results expected by early 2022. P300 latency is a functional measure that is highly correlated with cognition; however, we have not yet established a connection between these P300 latency results and improved cognition. Beyond AD, we believe that ATH-1017 can ultimately address the broader dementia patient population. In an effort to begin this expansion, we are planning to conduct a Phase 2 clinical trial for Parkinson’s disease dementia, or PDD, to commence by the end of 2021.</w:t>
      </w:r>
    </w:p>
    <w:p>
      <w:pPr>
        <w:spacing w:after="0" w:line="196"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We are also developing ATH compounds for neuropsychiatric conditions including depression. ATH compounds represent a novel mechanism for the treatment of neuropsychiatric conditions with a fast onset of action that may help to reduce disease burden on multiple levels. ATH-1019 is a novel, orally active candidate that is designed to activate the HGF/MET system, and distribute to the CNS, and is neuroactive in animal models. We are advancing ATH-1019 to further development for neuropsychiatric indications including depression and are targeting an investigational new drug, or IND, submission to the U.S. Food and Drug Administration, or FDA, for depression in the first half of 2022.</w:t>
      </w:r>
    </w:p>
    <w:p>
      <w:pPr>
        <w:spacing w:after="0" w:line="193"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In addition to ATH-1017 and ATH-1019, we have initiated a discovery program to evaluate ATH compounds for peripheral neuropathy. ATH-1018 is a novel, orally active candidate that has demonstrated ability to significantly promote the activity of the HGF/MET system. We are planning to administer ATH-1018 at doses that are expected to largely relegate its activity to the periphery. ATH-1018 potentially represents a new strategy to address neuropathy by promoting the regenerative power of the HGF/MET system with a small molecule therapy. We are advancing ATH-1018 to further development for neuropathy indications and are targeting an IND submission to the FDA by the end of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23" w:name="page24"/>
    <w:bookmarkEnd w:id="23"/>
    <w:p>
      <w:pPr>
        <w:jc w:val="both"/>
        <w:ind w:right="20" w:firstLine="511"/>
        <w:spacing w:after="0" w:line="272" w:lineRule="auto"/>
        <w:rPr>
          <w:sz w:val="20"/>
          <w:szCs w:val="20"/>
          <w:color w:val="auto"/>
        </w:rPr>
      </w:pPr>
      <w:r>
        <w:rPr>
          <w:rFonts w:ascii="Arial" w:cs="Arial" w:eastAsia="Arial" w:hAnsi="Arial"/>
          <w:sz w:val="15"/>
          <w:szCs w:val="15"/>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178"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198"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203" w:lineRule="exact"/>
        <w:rPr>
          <w:sz w:val="20"/>
          <w:szCs w:val="20"/>
          <w:color w:val="auto"/>
        </w:rPr>
      </w:pPr>
    </w:p>
    <w:p>
      <w:pPr>
        <w:jc w:val="both"/>
        <w:ind w:right="20" w:firstLine="511"/>
        <w:spacing w:after="0" w:line="319" w:lineRule="auto"/>
        <w:rPr>
          <w:sz w:val="20"/>
          <w:szCs w:val="20"/>
          <w:color w:val="auto"/>
        </w:rPr>
      </w:pPr>
      <w:r>
        <w:rPr>
          <w:rFonts w:ascii="Arial" w:cs="Arial" w:eastAsia="Arial" w:hAnsi="Arial"/>
          <w:sz w:val="13"/>
          <w:szCs w:val="13"/>
          <w:color w:val="auto"/>
        </w:rPr>
        <w:t>To date, we have funded our operations primarily through proceeds from the sale of equity securities, including proceeds from the sale and issuance of common stock in our IPO, the sale and issuance of convertible preferred stock, common stock warrants, and convertible notes, and to a lesser extent from grant income and stock option exercises. From inception to September 30, 2020, we have raised aggregate net cash proceeds of approximately $288.5 million primarily from the issuance of our common stock, convertible preferred stock, common stock warrants, and convertible notes. We have incurred significant operating losses to date. Our net losses were $8.5 million and $1.5 million for the three months ended September 30, 2020 and 2019, respectively, and $12.3 million and $4.2 million for the nine months ended September 30, 2020 and 2019, respectively. As of September 30, 2020, we had an accumulated deficit of $33.3 million and cash, cash equivalents and investments of $259.9 million.</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Recent Developments</w:t>
      </w:r>
    </w:p>
    <w:p>
      <w:pPr>
        <w:spacing w:after="0" w:line="233" w:lineRule="exact"/>
        <w:rPr>
          <w:sz w:val="20"/>
          <w:szCs w:val="20"/>
          <w:color w:val="auto"/>
        </w:rPr>
      </w:pPr>
    </w:p>
    <w:p>
      <w:pPr>
        <w:jc w:val="both"/>
        <w:ind w:firstLine="511"/>
        <w:spacing w:after="0" w:line="272" w:lineRule="auto"/>
        <w:rPr>
          <w:sz w:val="20"/>
          <w:szCs w:val="20"/>
          <w:color w:val="auto"/>
        </w:rPr>
      </w:pPr>
      <w:r>
        <w:rPr>
          <w:rFonts w:ascii="Arial" w:cs="Arial" w:eastAsia="Arial" w:hAnsi="Arial"/>
          <w:sz w:val="15"/>
          <w:szCs w:val="15"/>
          <w:color w:val="auto"/>
        </w:rPr>
        <w:t>In September 2020, we completed an initial public offering of our common stock. As part of the IPO, we issued and sold 12,000,000 shares of our common stock at a public offering price of $17.00 per share. We received net proceeds of approximately $186.4 million from the IPO, after deducting underwriting discounts and commissions of $14.3 million and offering costs of approximately $3.3 million. In October 2020, the Company sold an additional 1,397,712 shares of common stock to the underwriters of the IPO upon partial exercise of the underwriters’ option to purchase additional shares at the initial public offering price of $17.00 per share, less underwriting discounts and commissions, resulting in net proceeds to the Company of approximately $22.1 million.</w:t>
      </w:r>
    </w:p>
    <w:p>
      <w:pPr>
        <w:spacing w:after="0" w:line="190"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The global COVID-19 pandemic continues to rapidly evolve, and we will continue to monitor the COVID-19 situation closely. The extent of the impact of COVID-19 on our business, supply chain, operations and clinical development timelines and plans remains uncertain, and will depend on certain developments, including the duration and spread of the outbreak and its impact on our clinical trial enrollment, trial sites, contract research organizations, or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most of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24" w:name="page25"/>
    <w:bookmarkEnd w:id="24"/>
    <w:p>
      <w:pPr>
        <w:ind w:left="500"/>
        <w:spacing w:after="0"/>
        <w:rPr>
          <w:sz w:val="20"/>
          <w:szCs w:val="20"/>
          <w:color w:val="auto"/>
        </w:rPr>
      </w:pPr>
      <w:r>
        <w:rPr>
          <w:rFonts w:ascii="Arial" w:cs="Arial" w:eastAsia="Arial" w:hAnsi="Arial"/>
          <w:sz w:val="16"/>
          <w:szCs w:val="16"/>
          <w:b w:val="1"/>
          <w:bCs w:val="1"/>
          <w:color w:val="auto"/>
        </w:rPr>
        <w:t>Components of Operating Results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229" w:lineRule="exact"/>
        <w:rPr>
          <w:sz w:val="20"/>
          <w:szCs w:val="20"/>
          <w:color w:val="auto"/>
        </w:rPr>
      </w:pPr>
    </w:p>
    <w:p>
      <w:pPr>
        <w:jc w:val="both"/>
        <w:ind w:firstLine="511"/>
        <w:spacing w:after="0" w:line="323" w:lineRule="auto"/>
        <w:rPr>
          <w:sz w:val="20"/>
          <w:szCs w:val="20"/>
          <w:color w:val="auto"/>
        </w:rPr>
      </w:pPr>
      <w:r>
        <w:rPr>
          <w:rFonts w:ascii="Arial" w:cs="Arial" w:eastAsia="Arial" w:hAnsi="Arial"/>
          <w:sz w:val="13"/>
          <w:szCs w:val="13"/>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149" w:lineRule="exact"/>
        <w:rPr>
          <w:sz w:val="20"/>
          <w:szCs w:val="20"/>
          <w:color w:val="auto"/>
        </w:rPr>
      </w:pPr>
    </w:p>
    <w:p>
      <w:pPr>
        <w:jc w:val="both"/>
        <w:ind w:right="20" w:firstLine="511"/>
        <w:spacing w:after="0" w:line="251" w:lineRule="auto"/>
        <w:rPr>
          <w:sz w:val="20"/>
          <w:szCs w:val="20"/>
          <w:color w:val="auto"/>
        </w:rPr>
      </w:pPr>
      <w:r>
        <w:rPr>
          <w:rFonts w:ascii="Arial" w:cs="Arial" w:eastAsia="Arial" w:hAnsi="Arial"/>
          <w:sz w:val="16"/>
          <w:szCs w:val="16"/>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205" w:lineRule="exact"/>
        <w:rPr>
          <w:sz w:val="20"/>
          <w:szCs w:val="20"/>
          <w:color w:val="auto"/>
        </w:rPr>
      </w:pPr>
    </w:p>
    <w:p>
      <w:pPr>
        <w:jc w:val="both"/>
        <w:ind w:firstLine="511"/>
        <w:spacing w:after="0" w:line="316" w:lineRule="auto"/>
        <w:rPr>
          <w:sz w:val="20"/>
          <w:szCs w:val="20"/>
          <w:color w:val="auto"/>
        </w:rPr>
      </w:pPr>
      <w:r>
        <w:rPr>
          <w:rFonts w:ascii="Arial" w:cs="Arial" w:eastAsia="Arial" w:hAnsi="Arial"/>
          <w:sz w:val="13"/>
          <w:szCs w:val="13"/>
          <w:color w:val="auto"/>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expect our research and development expenses will increase substantially as we initiate and conduct planned Phase 2 and Phase 2/3 clinical trials for ATH-1017.</w:t>
      </w:r>
    </w:p>
    <w:p>
      <w:pPr>
        <w:spacing w:after="0" w:line="167"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64" w:lineRule="exact"/>
        <w:rPr>
          <w:sz w:val="20"/>
          <w:szCs w:val="20"/>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and scope of preclinical and IND-enabling studies;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phases of development of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progress and results of our research and development activities;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 subject trial costs;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trials required for regulatory approval, in particular with respect to ATH-1017 for the treatment of mild-to-moderate AD;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sites included in the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countries in which the trials are conducted;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length of time required to enroll eligible subjects and initiate clinical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subjects that participate in the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drop-out and discontinuation rate of subjects;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potential additional safety monitoring requested by regulatory agencies;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duration of subject participation in the trials and follow-up;</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cost and timing of manufacturing of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receipt of regulatory approvals from applicable regulatory authorities;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25" w:name="page26"/>
    <w:bookmarkEnd w:id="25"/>
    <w:p>
      <w:pPr>
        <w:ind w:left="1000" w:hanging="499"/>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timing, receipt and terms of any marketing approvals from applicable regulatory authorities;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hiring and retention of research and development personnel;</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degree to which we obtain, maintain, defend and enforce our intellectual property rights;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impact of COVID-19 on timelines and clinical operations, which may lead to increased costs;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extent to which we establish collaboration, licensing or similar arrangements and the performance of any related third parties.</w:t>
      </w:r>
    </w:p>
    <w:p>
      <w:pPr>
        <w:spacing w:after="0" w:line="229"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229"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203"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also expect to increase the size of our administrative function to support the growth of our business.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229"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color w:val="auto"/>
        </w:rPr>
        <w:t>Other income (expense), net consists of interest earned on our cash, cash equivalents, and investments, grant income, periodic mark to market gains and losses on the derivative, grant, and convertible preferred stock warrant liabilities carried at fair value, and interest expense on our convertible notes.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Comparison of the Three Months Ended September 30, 2020 and 2019</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our results of operations for the periods presented:</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3"/>
                <w:szCs w:val="13"/>
                <w:b w:val="1"/>
                <w:bCs w:val="1"/>
                <w:color w:val="auto"/>
                <w:w w:val="90"/>
              </w:rPr>
              <w:t>Three Months Ended September 30,</w:t>
            </w:r>
          </w:p>
        </w:tc>
        <w:tc>
          <w:tcPr>
            <w:tcW w:w="1140" w:type="dxa"/>
            <w:vAlign w:val="bottom"/>
            <w:tcBorders>
              <w:bottom w:val="single" w:sz="8" w:color="auto"/>
            </w:tcBorders>
          </w:tcPr>
          <w:p>
            <w:pPr>
              <w:spacing w:after="0"/>
              <w:rPr>
                <w:sz w:val="13"/>
                <w:szCs w:val="13"/>
                <w:color w:val="auto"/>
              </w:rPr>
            </w:pPr>
          </w:p>
        </w:tc>
      </w:tr>
      <w:tr>
        <w:trPr>
          <w:trHeight w:val="125"/>
        </w:trPr>
        <w:tc>
          <w:tcPr>
            <w:tcW w:w="5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tcPr>
          <w:p>
            <w:pPr>
              <w:jc w:val="right"/>
              <w:ind w:right="560"/>
              <w:spacing w:after="0" w:line="125" w:lineRule="exact"/>
              <w:rPr>
                <w:sz w:val="20"/>
                <w:szCs w:val="20"/>
                <w:color w:val="auto"/>
              </w:rPr>
            </w:pPr>
            <w:r>
              <w:rPr>
                <w:rFonts w:ascii="Arial" w:cs="Arial" w:eastAsia="Arial" w:hAnsi="Arial"/>
                <w:sz w:val="13"/>
                <w:szCs w:val="13"/>
                <w:b w:val="1"/>
                <w:bCs w:val="1"/>
                <w:color w:val="auto"/>
              </w:rPr>
              <w:t>Dollar</w:t>
            </w:r>
          </w:p>
        </w:tc>
        <w:tc>
          <w:tcPr>
            <w:tcW w:w="1140" w:type="dxa"/>
            <w:vAlign w:val="bottom"/>
          </w:tcPr>
          <w:p>
            <w:pPr>
              <w:jc w:val="right"/>
              <w:ind w:right="445"/>
              <w:spacing w:after="0" w:line="125" w:lineRule="exact"/>
              <w:rPr>
                <w:sz w:val="20"/>
                <w:szCs w:val="20"/>
                <w:color w:val="auto"/>
              </w:rPr>
            </w:pPr>
            <w:r>
              <w:rPr>
                <w:rFonts w:ascii="Arial" w:cs="Arial" w:eastAsia="Arial" w:hAnsi="Arial"/>
                <w:sz w:val="13"/>
                <w:szCs w:val="13"/>
                <w:b w:val="1"/>
                <w:bCs w:val="1"/>
                <w:color w:val="auto"/>
              </w:rPr>
              <w:t>%</w:t>
            </w:r>
          </w:p>
        </w:tc>
      </w:tr>
      <w:tr>
        <w:trPr>
          <w:trHeight w:val="150"/>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04"/>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327"/>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83"/>
              </w:rPr>
              <w:t>Change</w:t>
            </w:r>
          </w:p>
        </w:tc>
        <w:tc>
          <w:tcPr>
            <w:tcW w:w="1140" w:type="dxa"/>
            <w:vAlign w:val="bottom"/>
          </w:tcPr>
          <w:p>
            <w:pPr>
              <w:jc w:val="right"/>
              <w:ind w:right="285"/>
              <w:spacing w:after="0"/>
              <w:rPr>
                <w:sz w:val="20"/>
                <w:szCs w:val="20"/>
                <w:color w:val="auto"/>
              </w:rPr>
            </w:pPr>
            <w:r>
              <w:rPr>
                <w:rFonts w:ascii="Arial" w:cs="Arial" w:eastAsia="Arial" w:hAnsi="Arial"/>
                <w:sz w:val="13"/>
                <w:szCs w:val="13"/>
                <w:b w:val="1"/>
                <w:bCs w:val="1"/>
                <w:color w:val="auto"/>
              </w:rPr>
              <w:t>Change</w:t>
            </w:r>
          </w:p>
        </w:tc>
      </w:tr>
      <w:tr>
        <w:trPr>
          <w:trHeight w:val="133"/>
        </w:trPr>
        <w:tc>
          <w:tcPr>
            <w:tcW w:w="5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4"/>
          </w:tcPr>
          <w:p>
            <w:pPr>
              <w:jc w:val="right"/>
              <w:spacing w:after="0" w:line="133" w:lineRule="exact"/>
              <w:rPr>
                <w:sz w:val="20"/>
                <w:szCs w:val="20"/>
                <w:color w:val="auto"/>
              </w:rPr>
            </w:pPr>
            <w:r>
              <w:rPr>
                <w:rFonts w:ascii="Arial" w:cs="Arial" w:eastAsia="Arial" w:hAnsi="Arial"/>
                <w:sz w:val="13"/>
                <w:szCs w:val="13"/>
                <w:b w:val="1"/>
                <w:bCs w:val="1"/>
                <w:color w:val="auto"/>
              </w:rPr>
              <w:t>(in thousands)</w:t>
            </w: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20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0"/>
        </w:trPr>
        <w:tc>
          <w:tcPr>
            <w:tcW w:w="528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5,830</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1,026</w:t>
            </w:r>
          </w:p>
        </w:tc>
        <w:tc>
          <w:tcPr>
            <w:tcW w:w="140" w:type="dxa"/>
            <w:vAlign w:val="bottom"/>
          </w:tcPr>
          <w:p>
            <w:pPr>
              <w:spacing w:after="0"/>
              <w:rPr>
                <w:sz w:val="17"/>
                <w:szCs w:val="17"/>
                <w:color w:val="auto"/>
              </w:rPr>
            </w:pPr>
          </w:p>
        </w:tc>
        <w:tc>
          <w:tcPr>
            <w:tcW w:w="360" w:type="dxa"/>
            <w:vAlign w:val="bottom"/>
            <w:gridSpan w:val="2"/>
          </w:tcPr>
          <w:p>
            <w:pPr>
              <w:jc w:val="right"/>
              <w:ind w:right="127"/>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4,804</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5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1,058</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528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7,397</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5,862</w:t>
            </w:r>
          </w:p>
        </w:tc>
        <w:tc>
          <w:tcPr>
            <w:tcW w:w="220" w:type="dxa"/>
            <w:vAlign w:val="bottom"/>
            <w:tcBorders>
              <w:bottom w:val="single" w:sz="8" w:color="CFF0FC"/>
            </w:tcBorders>
          </w:tcPr>
          <w:p>
            <w:pPr>
              <w:spacing w:after="0"/>
              <w:rPr>
                <w:sz w:val="16"/>
                <w:szCs w:val="16"/>
                <w:color w:val="auto"/>
              </w:rPr>
            </w:pP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(5,862)</w:t>
            </w: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52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(1,064)</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and comprehensive loss</w:t>
            </w:r>
          </w:p>
        </w:tc>
        <w:tc>
          <w:tcPr>
            <w:tcW w:w="22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(8,456)</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(1,530)</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(6,926)</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3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Not meaningful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26" w:name="page27"/>
    <w:bookmarkEnd w:id="26"/>
    <w:p>
      <w:pPr>
        <w:ind w:left="5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shows the primary components of our research and development expenses for the periods presented:</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52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3"/>
                <w:szCs w:val="13"/>
                <w:b w:val="1"/>
                <w:bCs w:val="1"/>
                <w:color w:val="auto"/>
                <w:w w:val="94"/>
              </w:rPr>
              <w:t>Three Months Ended September 30,</w:t>
            </w: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5"/>
        </w:trPr>
        <w:tc>
          <w:tcPr>
            <w:tcW w:w="5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right"/>
              <w:ind w:right="265"/>
              <w:spacing w:after="0" w:line="125" w:lineRule="exact"/>
              <w:rPr>
                <w:sz w:val="20"/>
                <w:szCs w:val="20"/>
                <w:color w:val="auto"/>
              </w:rPr>
            </w:pPr>
            <w:r>
              <w:rPr>
                <w:rFonts w:ascii="Arial" w:cs="Arial" w:eastAsia="Arial" w:hAnsi="Arial"/>
                <w:sz w:val="13"/>
                <w:szCs w:val="13"/>
                <w:b w:val="1"/>
                <w:bCs w:val="1"/>
                <w:color w:val="auto"/>
              </w:rPr>
              <w:t>Dollar</w:t>
            </w:r>
          </w:p>
        </w:tc>
        <w:tc>
          <w:tcPr>
            <w:tcW w:w="1260" w:type="dxa"/>
            <w:vAlign w:val="bottom"/>
            <w:gridSpan w:val="2"/>
          </w:tcPr>
          <w:p>
            <w:pPr>
              <w:jc w:val="right"/>
              <w:ind w:right="397"/>
              <w:spacing w:after="0" w:line="125"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50"/>
        </w:trPr>
        <w:tc>
          <w:tcPr>
            <w:tcW w:w="5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225"/>
              <w:spacing w:after="0"/>
              <w:rPr>
                <w:sz w:val="20"/>
                <w:szCs w:val="20"/>
                <w:color w:val="auto"/>
              </w:rPr>
            </w:pPr>
            <w:r>
              <w:rPr>
                <w:rFonts w:ascii="Arial" w:cs="Arial" w:eastAsia="Arial" w:hAnsi="Arial"/>
                <w:sz w:val="13"/>
                <w:szCs w:val="13"/>
                <w:b w:val="1"/>
                <w:bCs w:val="1"/>
                <w:color w:val="auto"/>
                <w:w w:val="88"/>
              </w:rPr>
              <w:t>Change</w:t>
            </w:r>
          </w:p>
        </w:tc>
        <w:tc>
          <w:tcPr>
            <w:tcW w:w="220" w:type="dxa"/>
            <w:vAlign w:val="bottom"/>
          </w:tcPr>
          <w:p>
            <w:pPr>
              <w:spacing w:after="0"/>
              <w:rPr>
                <w:sz w:val="13"/>
                <w:szCs w:val="13"/>
                <w:color w:val="auto"/>
              </w:rPr>
            </w:pPr>
          </w:p>
        </w:tc>
        <w:tc>
          <w:tcPr>
            <w:tcW w:w="1120" w:type="dxa"/>
            <w:vAlign w:val="bottom"/>
            <w:gridSpan w:val="2"/>
          </w:tcPr>
          <w:p>
            <w:pPr>
              <w:ind w:left="300"/>
              <w:spacing w:after="0"/>
              <w:rPr>
                <w:sz w:val="20"/>
                <w:szCs w:val="20"/>
                <w:color w:val="auto"/>
              </w:rPr>
            </w:pPr>
            <w:r>
              <w:rPr>
                <w:rFonts w:ascii="Arial" w:cs="Arial" w:eastAsia="Arial" w:hAnsi="Arial"/>
                <w:sz w:val="13"/>
                <w:szCs w:val="13"/>
                <w:b w:val="1"/>
                <w:bCs w:val="1"/>
                <w:color w:val="auto"/>
              </w:rPr>
              <w:t>Change</w:t>
            </w:r>
          </w:p>
        </w:tc>
      </w:tr>
      <w:tr>
        <w:trPr>
          <w:trHeight w:val="133"/>
        </w:trPr>
        <w:tc>
          <w:tcPr>
            <w:tcW w:w="52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right"/>
              <w:spacing w:after="0" w:line="133" w:lineRule="exact"/>
              <w:rPr>
                <w:sz w:val="20"/>
                <w:szCs w:val="20"/>
                <w:color w:val="auto"/>
              </w:rPr>
            </w:pPr>
            <w:r>
              <w:rPr>
                <w:rFonts w:ascii="Arial" w:cs="Arial" w:eastAsia="Arial" w:hAnsi="Arial"/>
                <w:sz w:val="13"/>
                <w:szCs w:val="13"/>
                <w:b w:val="1"/>
                <w:bCs w:val="1"/>
                <w:color w:val="auto"/>
                <w:w w:val="93"/>
              </w:rPr>
              <w:t>(in thousands)</w:t>
            </w: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Direct costs:</w:t>
            </w: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0"/>
        </w:trPr>
        <w:tc>
          <w:tcPr>
            <w:tcW w:w="5280" w:type="dxa"/>
            <w:vAlign w:val="bottom"/>
          </w:tcPr>
          <w:p>
            <w:pPr>
              <w:ind w:left="220"/>
              <w:spacing w:after="0"/>
              <w:rPr>
                <w:sz w:val="20"/>
                <w:szCs w:val="20"/>
                <w:color w:val="auto"/>
              </w:rPr>
            </w:pPr>
            <w:r>
              <w:rPr>
                <w:rFonts w:ascii="Arial" w:cs="Arial" w:eastAsia="Arial" w:hAnsi="Arial"/>
                <w:sz w:val="16"/>
                <w:szCs w:val="16"/>
                <w:color w:val="auto"/>
              </w:rPr>
              <w:t>ATH-1017</w:t>
            </w:r>
          </w:p>
        </w:tc>
        <w:tc>
          <w:tcPr>
            <w:tcW w:w="640" w:type="dxa"/>
            <w:vAlign w:val="bottom"/>
          </w:tcPr>
          <w:p>
            <w:pPr>
              <w:jc w:val="right"/>
              <w:ind w:right="49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5,104</w:t>
            </w:r>
          </w:p>
        </w:tc>
        <w:tc>
          <w:tcPr>
            <w:tcW w:w="860" w:type="dxa"/>
            <w:vAlign w:val="bottom"/>
            <w:gridSpan w:val="2"/>
          </w:tcPr>
          <w:p>
            <w:pPr>
              <w:jc w:val="right"/>
              <w:ind w:right="49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781</w:t>
            </w:r>
          </w:p>
        </w:tc>
        <w:tc>
          <w:tcPr>
            <w:tcW w:w="22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4,323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201"/>
        </w:trPr>
        <w:tc>
          <w:tcPr>
            <w:tcW w:w="5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Preclinical programs</w:t>
            </w:r>
          </w:p>
        </w:tc>
        <w:tc>
          <w:tcPr>
            <w:tcW w:w="6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220" w:type="dxa"/>
            <w:vAlign w:val="bottom"/>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r>
      <w:tr>
        <w:trPr>
          <w:trHeight w:val="192"/>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direct costs</w:t>
            </w: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5,274</w:t>
            </w:r>
          </w:p>
        </w:tc>
        <w:tc>
          <w:tcPr>
            <w:tcW w:w="22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2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4,472</w:t>
            </w:r>
          </w:p>
        </w:tc>
        <w:tc>
          <w:tcPr>
            <w:tcW w:w="1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6"/>
                <w:szCs w:val="16"/>
                <w:color w:val="auto"/>
              </w:rPr>
            </w:pPr>
          </w:p>
        </w:tc>
      </w:tr>
      <w:tr>
        <w:trPr>
          <w:trHeight w:val="192"/>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Indirect costs:</w:t>
            </w:r>
          </w:p>
        </w:tc>
        <w:tc>
          <w:tcPr>
            <w:tcW w:w="6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8"/>
        </w:trPr>
        <w:tc>
          <w:tcPr>
            <w:tcW w:w="5280" w:type="dxa"/>
            <w:vAlign w:val="bottom"/>
          </w:tcPr>
          <w:p>
            <w:pPr>
              <w:ind w:left="220"/>
              <w:spacing w:after="0"/>
              <w:rPr>
                <w:sz w:val="20"/>
                <w:szCs w:val="20"/>
                <w:color w:val="auto"/>
              </w:rPr>
            </w:pPr>
            <w:r>
              <w:rPr>
                <w:rFonts w:ascii="Arial" w:cs="Arial" w:eastAsia="Arial" w:hAnsi="Arial"/>
                <w:sz w:val="16"/>
                <w:szCs w:val="16"/>
                <w:color w:val="auto"/>
              </w:rPr>
              <w:t>Personnel-related costs, including stock-based</w:t>
            </w: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5280" w:type="dxa"/>
            <w:vAlign w:val="bottom"/>
          </w:tcPr>
          <w:p>
            <w:pPr>
              <w:ind w:left="340"/>
              <w:spacing w:after="0"/>
              <w:rPr>
                <w:sz w:val="20"/>
                <w:szCs w:val="20"/>
                <w:color w:val="auto"/>
              </w:rPr>
            </w:pPr>
            <w:r>
              <w:rPr>
                <w:rFonts w:ascii="Arial" w:cs="Arial" w:eastAsia="Arial" w:hAnsi="Arial"/>
                <w:sz w:val="16"/>
                <w:szCs w:val="16"/>
                <w:color w:val="auto"/>
              </w:rPr>
              <w:t>compensation</w:t>
            </w:r>
          </w:p>
        </w:tc>
        <w:tc>
          <w:tcPr>
            <w:tcW w:w="6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201"/>
        </w:trPr>
        <w:tc>
          <w:tcPr>
            <w:tcW w:w="5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Facilities and other costs</w:t>
            </w:r>
          </w:p>
        </w:tc>
        <w:tc>
          <w:tcPr>
            <w:tcW w:w="6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220" w:type="dxa"/>
            <w:vAlign w:val="bottom"/>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FF0FC"/>
          </w:tcPr>
          <w:p>
            <w:pPr>
              <w:spacing w:after="0"/>
              <w:rPr>
                <w:sz w:val="17"/>
                <w:szCs w:val="17"/>
                <w:color w:val="auto"/>
              </w:rPr>
            </w:pPr>
          </w:p>
        </w:tc>
      </w:tr>
      <w:tr>
        <w:trPr>
          <w:trHeight w:val="192"/>
        </w:trPr>
        <w:tc>
          <w:tcPr>
            <w:tcW w:w="5280" w:type="dxa"/>
            <w:vAlign w:val="bottom"/>
          </w:tcPr>
          <w:p>
            <w:pPr>
              <w:spacing w:after="0"/>
              <w:rPr>
                <w:sz w:val="20"/>
                <w:szCs w:val="20"/>
                <w:color w:val="auto"/>
              </w:rPr>
            </w:pPr>
            <w:r>
              <w:rPr>
                <w:rFonts w:ascii="Arial" w:cs="Arial" w:eastAsia="Arial" w:hAnsi="Arial"/>
                <w:sz w:val="16"/>
                <w:szCs w:val="16"/>
                <w:color w:val="auto"/>
              </w:rPr>
              <w:t>Total research and development expenses</w:t>
            </w:r>
          </w:p>
        </w:tc>
        <w:tc>
          <w:tcPr>
            <w:tcW w:w="640" w:type="dxa"/>
            <w:vAlign w:val="bottom"/>
            <w:tcBorders>
              <w:bottom w:val="single" w:sz="8" w:color="auto"/>
            </w:tcBorders>
          </w:tcPr>
          <w:p>
            <w:pPr>
              <w:jc w:val="right"/>
              <w:ind w:right="490"/>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5,830</w:t>
            </w:r>
          </w:p>
        </w:tc>
        <w:tc>
          <w:tcPr>
            <w:tcW w:w="220" w:type="dxa"/>
            <w:vAlign w:val="bottom"/>
          </w:tcPr>
          <w:p>
            <w:pPr>
              <w:spacing w:after="0"/>
              <w:rPr>
                <w:sz w:val="16"/>
                <w:szCs w:val="16"/>
                <w:color w:val="auto"/>
              </w:rPr>
            </w:pPr>
          </w:p>
        </w:tc>
        <w:tc>
          <w:tcPr>
            <w:tcW w:w="640" w:type="dxa"/>
            <w:vAlign w:val="bottom"/>
            <w:tcBorders>
              <w:bottom w:val="single" w:sz="8" w:color="auto"/>
            </w:tcBorders>
          </w:tcPr>
          <w:p>
            <w:pPr>
              <w:jc w:val="right"/>
              <w:ind w:right="492"/>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1,026</w:t>
            </w: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20"/>
        </w:trPr>
        <w:tc>
          <w:tcPr>
            <w:tcW w:w="5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Research and development expenses increased by $4.8 million, from $1.0 million for the three months ended September 30, 2019 to $5.8 million for the three months ended September 30, 2020. The increase was driven primarily by an increase in expenses for ATH-1017 of $4.3 million related to start-up activities by our clinical research organization and clinical drug supply manufacturers for Phase 2 clinical trials, and to a lesser extent, by increases in personnel-related costs, facilities, and other costs supporting our general growth.</w:t>
      </w:r>
    </w:p>
    <w:p>
      <w:pPr>
        <w:spacing w:after="0" w:line="22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29"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5"/>
          <w:szCs w:val="15"/>
          <w:color w:val="auto"/>
        </w:rPr>
        <w:t>General and administrative expenses increased by $1.1 million, from $0.5 million for the three months ended September 30, 2019 to $1.6 million for the three months ended September 30, 2020. The increase was primarily due to an increase in corporate legal, accounting, technical and consulting services of $0.6 million, an increase in personnel-related costs of $0.2 million to support our continued growth, and to a lesser extent, by increases in insurance and marketing costs.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229"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 xml:space="preserve">Other income (expense), net, changed from income of less than $0.1 million for the three months ended September 30, 2019 to expense of $1.1 million for the three months ended September 30, 2020. The change was primarily due to a decrease in grant income due to a </w:t>
      </w:r>
      <w:r>
        <w:rPr>
          <w:rFonts w:ascii="Arial" w:cs="Arial" w:eastAsia="Arial" w:hAnsi="Arial"/>
          <w:sz w:val="16"/>
          <w:szCs w:val="16"/>
          <w:i w:val="1"/>
          <w:iCs w:val="1"/>
          <w:color w:val="auto"/>
        </w:rPr>
        <w:t>Part the Cloud</w:t>
      </w:r>
      <w:r>
        <w:rPr>
          <w:rFonts w:ascii="Arial" w:cs="Arial" w:eastAsia="Arial" w:hAnsi="Arial"/>
          <w:sz w:val="16"/>
          <w:szCs w:val="16"/>
          <w:color w:val="auto"/>
        </w:rPr>
        <w:t xml:space="preserve"> research grant of $0.2 million received in 2019 with no corresponding grant received in 2020, and an increase of $1.1 million from increases in liabilities recorded at fair value.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Comparison of the Nine Months Ended September 30, 2020 and 2019</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our results of operations for the periods presented:</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5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3"/>
                <w:szCs w:val="13"/>
                <w:b w:val="1"/>
                <w:bCs w:val="1"/>
                <w:color w:val="auto"/>
                <w:w w:val="87"/>
              </w:rPr>
              <w:t>Nine Months Ended September 30,</w:t>
            </w:r>
          </w:p>
        </w:tc>
        <w:tc>
          <w:tcPr>
            <w:tcW w:w="10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25"/>
        </w:trPr>
        <w:tc>
          <w:tcPr>
            <w:tcW w:w="5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tcPr>
          <w:p>
            <w:pPr>
              <w:jc w:val="right"/>
              <w:ind w:right="540"/>
              <w:spacing w:after="0" w:line="125" w:lineRule="exact"/>
              <w:rPr>
                <w:sz w:val="20"/>
                <w:szCs w:val="20"/>
                <w:color w:val="auto"/>
              </w:rPr>
            </w:pPr>
            <w:r>
              <w:rPr>
                <w:rFonts w:ascii="Arial" w:cs="Arial" w:eastAsia="Arial" w:hAnsi="Arial"/>
                <w:sz w:val="13"/>
                <w:szCs w:val="13"/>
                <w:b w:val="1"/>
                <w:bCs w:val="1"/>
                <w:color w:val="auto"/>
              </w:rPr>
              <w:t>Dollar</w:t>
            </w:r>
          </w:p>
        </w:tc>
        <w:tc>
          <w:tcPr>
            <w:tcW w:w="1000" w:type="dxa"/>
            <w:vAlign w:val="bottom"/>
          </w:tcPr>
          <w:p>
            <w:pPr>
              <w:jc w:val="right"/>
              <w:ind w:right="365"/>
              <w:spacing w:after="0" w:line="12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r>
      <w:tr>
        <w:trPr>
          <w:trHeight w:val="150"/>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24"/>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2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3"/>
              </w:rPr>
              <w:t>Change</w:t>
            </w:r>
          </w:p>
        </w:tc>
        <w:tc>
          <w:tcPr>
            <w:tcW w:w="11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Change</w:t>
            </w:r>
          </w:p>
        </w:tc>
      </w:tr>
      <w:tr>
        <w:trPr>
          <w:trHeight w:val="133"/>
        </w:trPr>
        <w:tc>
          <w:tcPr>
            <w:tcW w:w="5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tcPr>
          <w:p>
            <w:pPr>
              <w:jc w:val="right"/>
              <w:spacing w:after="0" w:line="133" w:lineRule="exact"/>
              <w:rPr>
                <w:sz w:val="20"/>
                <w:szCs w:val="20"/>
                <w:color w:val="auto"/>
              </w:rPr>
            </w:pPr>
            <w:r>
              <w:rPr>
                <w:rFonts w:ascii="Arial" w:cs="Arial" w:eastAsia="Arial" w:hAnsi="Arial"/>
                <w:sz w:val="13"/>
                <w:szCs w:val="13"/>
                <w:b w:val="1"/>
                <w:bCs w:val="1"/>
                <w:color w:val="auto"/>
              </w:rPr>
              <w:t>(in thousands)</w:t>
            </w: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0"/>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0"/>
        </w:trPr>
        <w:tc>
          <w:tcPr>
            <w:tcW w:w="522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8,099</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3,135</w:t>
            </w:r>
          </w:p>
        </w:tc>
        <w:tc>
          <w:tcPr>
            <w:tcW w:w="120" w:type="dxa"/>
            <w:vAlign w:val="bottom"/>
          </w:tcPr>
          <w:p>
            <w:pPr>
              <w:spacing w:after="0"/>
              <w:rPr>
                <w:sz w:val="17"/>
                <w:szCs w:val="17"/>
                <w:color w:val="auto"/>
              </w:rPr>
            </w:pPr>
          </w:p>
        </w:tc>
        <w:tc>
          <w:tcPr>
            <w:tcW w:w="36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4,964</w:t>
            </w:r>
          </w:p>
        </w:tc>
        <w:tc>
          <w:tcPr>
            <w:tcW w:w="20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158%</w:t>
            </w:r>
          </w:p>
        </w:tc>
      </w:tr>
      <w:tr>
        <w:trPr>
          <w:trHeight w:val="201"/>
        </w:trPr>
        <w:tc>
          <w:tcPr>
            <w:tcW w:w="52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1,620</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80" w:type="dxa"/>
            <w:vAlign w:val="bottom"/>
            <w:shd w:val="clear" w:color="auto" w:fill="CFF0FC"/>
          </w:tcPr>
          <w:p>
            <w:pPr>
              <w:spacing w:after="0"/>
              <w:rPr>
                <w:sz w:val="17"/>
                <w:szCs w:val="17"/>
                <w:color w:val="auto"/>
              </w:rPr>
            </w:pPr>
          </w:p>
        </w:tc>
      </w:tr>
      <w:tr>
        <w:trPr>
          <w:trHeight w:val="192"/>
        </w:trPr>
        <w:tc>
          <w:tcPr>
            <w:tcW w:w="522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10,916</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4,332</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6,584</w:t>
            </w:r>
          </w:p>
        </w:tc>
        <w:tc>
          <w:tcPr>
            <w:tcW w:w="200" w:type="dxa"/>
            <w:vAlign w:val="bottom"/>
            <w:tcBorders>
              <w:bottom w:val="single" w:sz="8" w:color="CFF0FC"/>
            </w:tcBorders>
          </w:tcPr>
          <w:p>
            <w:pPr>
              <w:spacing w:after="0"/>
              <w:rPr>
                <w:sz w:val="16"/>
                <w:szCs w:val="16"/>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152</w:t>
            </w:r>
          </w:p>
        </w:tc>
        <w:tc>
          <w:tcPr>
            <w:tcW w:w="180" w:type="dxa"/>
            <w:vAlign w:val="bottom"/>
            <w:tcBorders>
              <w:bottom w:val="single" w:sz="8" w:color="CFF0FC"/>
            </w:tcBorders>
          </w:tcPr>
          <w:p>
            <w:pPr>
              <w:spacing w:after="0"/>
              <w:rPr>
                <w:sz w:val="16"/>
                <w:szCs w:val="16"/>
                <w:color w:val="auto"/>
              </w:rPr>
            </w:pPr>
          </w:p>
        </w:tc>
      </w:tr>
      <w:tr>
        <w:trPr>
          <w:trHeight w:val="192"/>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(4,332)</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(6,584)</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180" w:type="dxa"/>
            <w:vAlign w:val="bottom"/>
            <w:shd w:val="clear" w:color="auto" w:fill="CFF0FC"/>
          </w:tcPr>
          <w:p>
            <w:pPr>
              <w:spacing w:after="0"/>
              <w:rPr>
                <w:sz w:val="16"/>
                <w:szCs w:val="16"/>
                <w:color w:val="auto"/>
              </w:rPr>
            </w:pPr>
          </w:p>
        </w:tc>
      </w:tr>
      <w:tr>
        <w:trPr>
          <w:trHeight w:val="200"/>
        </w:trPr>
        <w:tc>
          <w:tcPr>
            <w:tcW w:w="52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(1,337)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(1,482)</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r>
      <w:tr>
        <w:trPr>
          <w:trHeight w:val="192"/>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and comprehensive loss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(12,253)</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(4,187)</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(8,066)</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3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Not meaningful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27" w:name="page28"/>
    <w:bookmarkEnd w:id="27"/>
    <w:p>
      <w:pPr>
        <w:ind w:left="5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shows the primary components of our research and development expenses for the periods presented:</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52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right"/>
              <w:ind w:right="105"/>
              <w:spacing w:after="0"/>
              <w:rPr>
                <w:sz w:val="20"/>
                <w:szCs w:val="20"/>
                <w:color w:val="auto"/>
              </w:rPr>
            </w:pPr>
            <w:r>
              <w:rPr>
                <w:rFonts w:ascii="Arial" w:cs="Arial" w:eastAsia="Arial" w:hAnsi="Arial"/>
                <w:sz w:val="13"/>
                <w:szCs w:val="13"/>
                <w:b w:val="1"/>
                <w:bCs w:val="1"/>
                <w:color w:val="auto"/>
                <w:w w:val="88"/>
              </w:rPr>
              <w:t>Nine Months Ended September 30,</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5"/>
        </w:trPr>
        <w:tc>
          <w:tcPr>
            <w:tcW w:w="5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jc w:val="right"/>
              <w:ind w:right="265"/>
              <w:spacing w:after="0" w:line="125" w:lineRule="exact"/>
              <w:rPr>
                <w:sz w:val="20"/>
                <w:szCs w:val="20"/>
                <w:color w:val="auto"/>
              </w:rPr>
            </w:pPr>
            <w:r>
              <w:rPr>
                <w:rFonts w:ascii="Arial" w:cs="Arial" w:eastAsia="Arial" w:hAnsi="Arial"/>
                <w:sz w:val="13"/>
                <w:szCs w:val="13"/>
                <w:b w:val="1"/>
                <w:bCs w:val="1"/>
                <w:color w:val="auto"/>
                <w:w w:val="97"/>
              </w:rPr>
              <w:t>Dollar</w:t>
            </w:r>
          </w:p>
        </w:tc>
        <w:tc>
          <w:tcPr>
            <w:tcW w:w="1240" w:type="dxa"/>
            <w:vAlign w:val="bottom"/>
            <w:gridSpan w:val="2"/>
          </w:tcPr>
          <w:p>
            <w:pPr>
              <w:jc w:val="right"/>
              <w:ind w:right="397"/>
              <w:spacing w:after="0" w:line="125"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r>
      <w:tr>
        <w:trPr>
          <w:trHeight w:val="150"/>
        </w:trPr>
        <w:tc>
          <w:tcPr>
            <w:tcW w:w="5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327"/>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25"/>
              <w:spacing w:after="0"/>
              <w:rPr>
                <w:sz w:val="20"/>
                <w:szCs w:val="20"/>
                <w:color w:val="auto"/>
              </w:rPr>
            </w:pPr>
            <w:r>
              <w:rPr>
                <w:rFonts w:ascii="Arial" w:cs="Arial" w:eastAsia="Arial" w:hAnsi="Arial"/>
                <w:sz w:val="13"/>
                <w:szCs w:val="13"/>
                <w:b w:val="1"/>
                <w:bCs w:val="1"/>
                <w:color w:val="auto"/>
                <w:w w:val="83"/>
              </w:rPr>
              <w:t>Change</w:t>
            </w:r>
          </w:p>
        </w:tc>
        <w:tc>
          <w:tcPr>
            <w:tcW w:w="200" w:type="dxa"/>
            <w:vAlign w:val="bottom"/>
          </w:tcPr>
          <w:p>
            <w:pPr>
              <w:spacing w:after="0"/>
              <w:rPr>
                <w:sz w:val="13"/>
                <w:szCs w:val="13"/>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Change</w:t>
            </w:r>
          </w:p>
        </w:tc>
      </w:tr>
      <w:tr>
        <w:trPr>
          <w:trHeight w:val="133"/>
        </w:trPr>
        <w:tc>
          <w:tcPr>
            <w:tcW w:w="52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4"/>
          </w:tcPr>
          <w:p>
            <w:pPr>
              <w:jc w:val="right"/>
              <w:spacing w:after="0" w:line="133" w:lineRule="exact"/>
              <w:rPr>
                <w:sz w:val="20"/>
                <w:szCs w:val="20"/>
                <w:color w:val="auto"/>
              </w:rPr>
            </w:pPr>
            <w:r>
              <w:rPr>
                <w:rFonts w:ascii="Arial" w:cs="Arial" w:eastAsia="Arial" w:hAnsi="Arial"/>
                <w:sz w:val="13"/>
                <w:szCs w:val="13"/>
                <w:b w:val="1"/>
                <w:bCs w:val="1"/>
                <w:color w:val="auto"/>
              </w:rPr>
              <w:t>(in thousands)</w:t>
            </w: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0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Direct costs:</w:t>
            </w: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0"/>
        </w:trPr>
        <w:tc>
          <w:tcPr>
            <w:tcW w:w="5280" w:type="dxa"/>
            <w:vAlign w:val="bottom"/>
          </w:tcPr>
          <w:p>
            <w:pPr>
              <w:ind w:left="220"/>
              <w:spacing w:after="0"/>
              <w:rPr>
                <w:sz w:val="20"/>
                <w:szCs w:val="20"/>
                <w:color w:val="auto"/>
              </w:rPr>
            </w:pPr>
            <w:r>
              <w:rPr>
                <w:rFonts w:ascii="Arial" w:cs="Arial" w:eastAsia="Arial" w:hAnsi="Arial"/>
                <w:sz w:val="16"/>
                <w:szCs w:val="16"/>
                <w:color w:val="auto"/>
              </w:rPr>
              <w:t>ATH-1017</w:t>
            </w:r>
          </w:p>
        </w:tc>
        <w:tc>
          <w:tcPr>
            <w:tcW w:w="640" w:type="dxa"/>
            <w:vAlign w:val="bottom"/>
          </w:tcPr>
          <w:p>
            <w:pPr>
              <w:jc w:val="right"/>
              <w:ind w:right="49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4"/>
              </w:rPr>
              <w:t>6,834</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2,290</w:t>
            </w:r>
          </w:p>
        </w:tc>
        <w:tc>
          <w:tcPr>
            <w:tcW w:w="200" w:type="dxa"/>
            <w:vAlign w:val="bottom"/>
          </w:tcPr>
          <w:p>
            <w:pPr>
              <w:spacing w:after="0"/>
              <w:rPr>
                <w:sz w:val="17"/>
                <w:szCs w:val="17"/>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4,544</w:t>
            </w:r>
          </w:p>
        </w:tc>
        <w:tc>
          <w:tcPr>
            <w:tcW w:w="1380" w:type="dxa"/>
            <w:vAlign w:val="bottom"/>
            <w:gridSpan w:val="3"/>
          </w:tcPr>
          <w:p>
            <w:pPr>
              <w:jc w:val="right"/>
              <w:ind w:right="20"/>
              <w:spacing w:after="0"/>
              <w:rPr>
                <w:sz w:val="20"/>
                <w:szCs w:val="20"/>
                <w:color w:val="auto"/>
              </w:rPr>
            </w:pPr>
            <w:r>
              <w:rPr>
                <w:rFonts w:ascii="Arial" w:cs="Arial" w:eastAsia="Arial" w:hAnsi="Arial"/>
                <w:sz w:val="16"/>
                <w:szCs w:val="16"/>
                <w:color w:val="auto"/>
              </w:rPr>
              <w:t>198%</w:t>
            </w:r>
          </w:p>
        </w:tc>
      </w:tr>
      <w:tr>
        <w:trPr>
          <w:trHeight w:val="201"/>
        </w:trPr>
        <w:tc>
          <w:tcPr>
            <w:tcW w:w="5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Preclinical programs</w:t>
            </w:r>
          </w:p>
        </w:tc>
        <w:tc>
          <w:tcPr>
            <w:tcW w:w="6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2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7"/>
                <w:szCs w:val="17"/>
                <w:color w:val="auto"/>
              </w:rPr>
            </w:pPr>
          </w:p>
        </w:tc>
      </w:tr>
      <w:tr>
        <w:trPr>
          <w:trHeight w:val="192"/>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direct costs</w:t>
            </w: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7,022</w:t>
            </w:r>
          </w:p>
        </w:tc>
        <w:tc>
          <w:tcPr>
            <w:tcW w:w="2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w:t>
            </w:r>
          </w:p>
        </w:tc>
        <w:tc>
          <w:tcPr>
            <w:tcW w:w="2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4,576</w:t>
            </w:r>
          </w:p>
        </w:tc>
        <w:tc>
          <w:tcPr>
            <w:tcW w:w="1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187</w:t>
            </w:r>
          </w:p>
        </w:tc>
        <w:tc>
          <w:tcPr>
            <w:tcW w:w="140" w:type="dxa"/>
            <w:vAlign w:val="bottom"/>
            <w:tcBorders>
              <w:bottom w:val="single" w:sz="8" w:color="CFF0FC"/>
            </w:tcBorders>
          </w:tcPr>
          <w:p>
            <w:pPr>
              <w:spacing w:after="0"/>
              <w:rPr>
                <w:sz w:val="16"/>
                <w:szCs w:val="16"/>
                <w:color w:val="auto"/>
              </w:rPr>
            </w:pPr>
          </w:p>
        </w:tc>
      </w:tr>
      <w:tr>
        <w:trPr>
          <w:trHeight w:val="192"/>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Indirect costs:</w:t>
            </w:r>
          </w:p>
        </w:tc>
        <w:tc>
          <w:tcPr>
            <w:tcW w:w="6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188"/>
        </w:trPr>
        <w:tc>
          <w:tcPr>
            <w:tcW w:w="5280" w:type="dxa"/>
            <w:vAlign w:val="bottom"/>
          </w:tcPr>
          <w:p>
            <w:pPr>
              <w:ind w:left="220"/>
              <w:spacing w:after="0"/>
              <w:rPr>
                <w:sz w:val="20"/>
                <w:szCs w:val="20"/>
                <w:color w:val="auto"/>
              </w:rPr>
            </w:pPr>
            <w:r>
              <w:rPr>
                <w:rFonts w:ascii="Arial" w:cs="Arial" w:eastAsia="Arial" w:hAnsi="Arial"/>
                <w:sz w:val="16"/>
                <w:szCs w:val="16"/>
                <w:color w:val="auto"/>
              </w:rPr>
              <w:t>Personnel-related costs, including stock-based</w:t>
            </w: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1"/>
        </w:trPr>
        <w:tc>
          <w:tcPr>
            <w:tcW w:w="5280" w:type="dxa"/>
            <w:vAlign w:val="bottom"/>
          </w:tcPr>
          <w:p>
            <w:pPr>
              <w:ind w:left="340"/>
              <w:spacing w:after="0"/>
              <w:rPr>
                <w:sz w:val="20"/>
                <w:szCs w:val="20"/>
                <w:color w:val="auto"/>
              </w:rPr>
            </w:pPr>
            <w:r>
              <w:rPr>
                <w:rFonts w:ascii="Arial" w:cs="Arial" w:eastAsia="Arial" w:hAnsi="Arial"/>
                <w:sz w:val="16"/>
                <w:szCs w:val="16"/>
                <w:color w:val="auto"/>
              </w:rPr>
              <w:t>compensation</w:t>
            </w:r>
          </w:p>
        </w:tc>
        <w:tc>
          <w:tcPr>
            <w:tcW w:w="6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7"/>
                <w:szCs w:val="17"/>
                <w:color w:val="auto"/>
              </w:rPr>
            </w:pPr>
          </w:p>
        </w:tc>
      </w:tr>
      <w:tr>
        <w:trPr>
          <w:trHeight w:val="201"/>
        </w:trPr>
        <w:tc>
          <w:tcPr>
            <w:tcW w:w="5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Facilities and other costs</w:t>
            </w:r>
          </w:p>
        </w:tc>
        <w:tc>
          <w:tcPr>
            <w:tcW w:w="6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825</w:t>
            </w:r>
          </w:p>
        </w:tc>
        <w:tc>
          <w:tcPr>
            <w:tcW w:w="2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FF0FC"/>
          </w:tcPr>
          <w:p>
            <w:pPr>
              <w:spacing w:after="0"/>
              <w:rPr>
                <w:sz w:val="17"/>
                <w:szCs w:val="17"/>
                <w:color w:val="auto"/>
              </w:rPr>
            </w:pPr>
          </w:p>
        </w:tc>
      </w:tr>
      <w:tr>
        <w:trPr>
          <w:trHeight w:val="192"/>
        </w:trPr>
        <w:tc>
          <w:tcPr>
            <w:tcW w:w="5280" w:type="dxa"/>
            <w:vAlign w:val="bottom"/>
          </w:tcPr>
          <w:p>
            <w:pPr>
              <w:spacing w:after="0"/>
              <w:rPr>
                <w:sz w:val="20"/>
                <w:szCs w:val="20"/>
                <w:color w:val="auto"/>
              </w:rPr>
            </w:pPr>
            <w:r>
              <w:rPr>
                <w:rFonts w:ascii="Arial" w:cs="Arial" w:eastAsia="Arial" w:hAnsi="Arial"/>
                <w:sz w:val="16"/>
                <w:szCs w:val="16"/>
                <w:color w:val="auto"/>
              </w:rPr>
              <w:t>Total research and development expenses</w:t>
            </w:r>
          </w:p>
        </w:tc>
        <w:tc>
          <w:tcPr>
            <w:tcW w:w="640" w:type="dxa"/>
            <w:vAlign w:val="bottom"/>
            <w:tcBorders>
              <w:bottom w:val="single" w:sz="8" w:color="auto"/>
            </w:tcBorders>
          </w:tcPr>
          <w:p>
            <w:pPr>
              <w:jc w:val="right"/>
              <w:ind w:right="490"/>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8,099</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3,135</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Pr>
          <w:p>
            <w:pPr>
              <w:spacing w:after="0"/>
              <w:rPr>
                <w:sz w:val="16"/>
                <w:szCs w:val="16"/>
                <w:color w:val="auto"/>
              </w:rPr>
            </w:pPr>
          </w:p>
        </w:tc>
      </w:tr>
      <w:tr>
        <w:trPr>
          <w:trHeight w:val="20"/>
        </w:trPr>
        <w:tc>
          <w:tcPr>
            <w:tcW w:w="5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Research and development expenses increased by $5.0 million, from $3.1 million for the nine months ended September 30, 2019 to $8.1 million for the nine months ended September 30, 2020. The increase was driven primarily by an increase in expenses for ATH-1017 of $4.5 million related to start-up activities by our clinical research organization and clinical drug supply manufacturers for Phase 2 clinical trials, and to a lesser extent, by increases in personnel-related costs and facilities and other costs supporting our general growth.</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29"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5"/>
          <w:szCs w:val="15"/>
          <w:color w:val="auto"/>
        </w:rPr>
        <w:t>General and administrative expenses increased by $1.6 million, from $1.2 million for the nine months ended September 30, 2019 to $2.8 million for the nine months ended September 30, 2020. The increase was primarily due to an increase in corporate legal, accounting, technical and consulting services of $1.1 million, an increase in personnel-related costs of $0.3 million to support our continued growth, and to a lesser extent, by increases in insurance and marketing costs.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229"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 xml:space="preserve">Other income (expense), net, changed from income of $0.1 million for the nine months ended September 30, 2019 to expense of $1.3 million for the nine months ended September 30, 2020. The change was primarily due to a decrease in grant income due to a </w:t>
      </w:r>
      <w:r>
        <w:rPr>
          <w:rFonts w:ascii="Arial" w:cs="Arial" w:eastAsia="Arial" w:hAnsi="Arial"/>
          <w:sz w:val="16"/>
          <w:szCs w:val="16"/>
          <w:i w:val="1"/>
          <w:iCs w:val="1"/>
          <w:color w:val="auto"/>
        </w:rPr>
        <w:t>Part the Cloud</w:t>
      </w:r>
      <w:r>
        <w:rPr>
          <w:rFonts w:ascii="Arial" w:cs="Arial" w:eastAsia="Arial" w:hAnsi="Arial"/>
          <w:sz w:val="16"/>
          <w:szCs w:val="16"/>
          <w:color w:val="auto"/>
        </w:rPr>
        <w:t xml:space="preserve"> research grant of $0.5 million received in 2019 with no corresponding grant received in 2020, an increase of $0.1 million in interest expense and accretion of discounts related to the convertible notes, and an increase of $1.1 million from increases in liabilities recorded at fair value. This was offset by a gain of $0.2 million on the extinguishment of convertible notes in connection with our Series B convertible preferred stock financing in the second quarter of 2020.</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Liquidity and Capital Resources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229"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5"/>
          <w:szCs w:val="15"/>
          <w:color w:val="auto"/>
        </w:rPr>
        <w:t>Since our inception, we have funded our operations primarily with proceeds from the sale and issuance of convertible preferred stock, common stock warrants, and convertible notes, and to a lesser extent from grant income and stock option exercises. From our inception through September 30, 2020, we have raised aggregate net cash proceeds of $288.5 million primarily from the issuance of our common stock, convertible preferred stock, common stock warrants, and convertible notes. We issued 12,000,000 shares of our common stock in our IPO at a public offering price of $17.00 per share for net proceeds of $186.4 million, after deducting underwriting discounts and commissions and offering costs. As of September 30, 2020, we had $259.9 million in cash, cash equivalents and investments and have not generated positive cash flows from operations. In October, 2020, we sold an additional 1,397,712 shares of common stock to the underwriters of the IPO upon partial exercise of the underwriters’ option to purchase additional shares at the initial public offering price of $17.00 per share, less underwriting discounts and commissions, resulting in net proceeds to us of approximately $22.1 million.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75" w:right="319" w:bottom="1440" w:gutter="0" w:footer="0" w:header="0"/>
        </w:sectPr>
      </w:pPr>
    </w:p>
    <w:bookmarkStart w:id="28" w:name="page29"/>
    <w:bookmarkEnd w:id="28"/>
    <w:p>
      <w:pPr>
        <w:ind w:left="500"/>
        <w:spacing w:after="0"/>
        <w:rPr>
          <w:sz w:val="20"/>
          <w:szCs w:val="20"/>
          <w:color w:val="auto"/>
        </w:rPr>
      </w:pPr>
      <w:r>
        <w:rPr>
          <w:rFonts w:ascii="Arial" w:cs="Arial" w:eastAsia="Arial" w:hAnsi="Arial"/>
          <w:sz w:val="16"/>
          <w:szCs w:val="16"/>
          <w:b w:val="1"/>
          <w:bCs w:val="1"/>
          <w:i w:val="1"/>
          <w:iCs w:val="1"/>
          <w:color w:val="auto"/>
        </w:rPr>
        <w:t>Future Funding Requirements</w:t>
      </w:r>
    </w:p>
    <w:p>
      <w:pPr>
        <w:spacing w:after="0" w:line="217" w:lineRule="exact"/>
        <w:rPr>
          <w:sz w:val="20"/>
          <w:szCs w:val="20"/>
          <w:color w:val="auto"/>
        </w:rPr>
      </w:pPr>
    </w:p>
    <w:p>
      <w:pPr>
        <w:jc w:val="both"/>
        <w:ind w:firstLine="511"/>
        <w:spacing w:after="0" w:line="308" w:lineRule="auto"/>
        <w:rPr>
          <w:sz w:val="20"/>
          <w:szCs w:val="20"/>
          <w:color w:val="auto"/>
        </w:rPr>
      </w:pPr>
      <w:r>
        <w:rPr>
          <w:rFonts w:ascii="Arial" w:cs="Arial" w:eastAsia="Arial" w:hAnsi="Arial"/>
          <w:sz w:val="13"/>
          <w:szCs w:val="13"/>
          <w:color w:val="auto"/>
        </w:rPr>
        <w:t>Based upon our current operating plan, we estimate that our $259.9 million of cash, cash equivalents, and investments at September 30, 2020 will be sufficient to fund our operating expenses and capital expenditure requirements through at least the 12 months following the date of this Quarterly Report on Form 10-Q.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368" w:lineRule="exact"/>
        <w:rPr>
          <w:sz w:val="20"/>
          <w:szCs w:val="20"/>
          <w:color w:val="auto"/>
        </w:rPr>
      </w:pPr>
    </w:p>
    <w:p>
      <w:pPr>
        <w:jc w:val="both"/>
        <w:ind w:right="20" w:firstLine="511"/>
        <w:spacing w:after="0" w:line="343" w:lineRule="auto"/>
        <w:rPr>
          <w:sz w:val="20"/>
          <w:szCs w:val="20"/>
          <w:color w:val="auto"/>
        </w:rPr>
      </w:pPr>
      <w:r>
        <w:rPr>
          <w:rFonts w:ascii="Arial" w:cs="Arial" w:eastAsia="Arial" w:hAnsi="Arial"/>
          <w:sz w:val="13"/>
          <w:szCs w:val="13"/>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19" w:lineRule="exact"/>
        <w:rPr>
          <w:sz w:val="20"/>
          <w:szCs w:val="20"/>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scope, timing, progress and results of our ongoing preclinical studies and clinical trials of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trials required for regulatory approval, in particular with respect to ATH-1017 for the treatment of mild-to-moderate AD;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of other product candidates that we may pursue;</w:t>
      </w:r>
    </w:p>
    <w:p>
      <w:pPr>
        <w:spacing w:after="0" w:line="110" w:lineRule="exact"/>
        <w:rPr>
          <w:rFonts w:ascii="Arial" w:cs="Arial" w:eastAsia="Arial" w:hAnsi="Arial"/>
          <w:sz w:val="15"/>
          <w:szCs w:val="15"/>
          <w:color w:val="auto"/>
        </w:rPr>
      </w:pPr>
    </w:p>
    <w:p>
      <w:pPr>
        <w:ind w:left="1000" w:right="20" w:hanging="499"/>
        <w:spacing w:after="0" w:line="266"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product candidates;</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and timing of future commercialization activities, including product manufacturing, marketing, sales and distribution, for any of our product candidates for which we receive marketing approval;</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our product candidates for which we receive marketing approval;</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and timing of preparing, filing and prosecuting patent applications, maintaining and enforcing our intellectual property rights and defending any intellectual property-related claims;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expenses needed to attract, hire and retain skilled personnel;</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of operating as a public company;</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associated with relocating to our new facility and building out lab space;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companies’ product candidates and technologies.</w:t>
      </w:r>
    </w:p>
    <w:p>
      <w:pPr>
        <w:spacing w:after="0" w:line="229"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29" w:name="page30"/>
    <w:bookmarkEnd w:id="29"/>
    <w:p>
      <w:pPr>
        <w:ind w:left="500"/>
        <w:spacing w:after="0"/>
        <w:rPr>
          <w:sz w:val="20"/>
          <w:szCs w:val="20"/>
          <w:color w:val="auto"/>
        </w:rPr>
      </w:pPr>
      <w:r>
        <w:rPr>
          <w:rFonts w:ascii="Arial" w:cs="Arial" w:eastAsia="Arial" w:hAnsi="Arial"/>
          <w:sz w:val="16"/>
          <w:szCs w:val="16"/>
          <w:b w:val="1"/>
          <w:bCs w:val="1"/>
          <w:i w:val="1"/>
          <w:iCs w:val="1"/>
          <w:color w:val="auto"/>
        </w:rPr>
        <w:t>Cash Flows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257" w:lineRule="exact"/>
        <w:rPr>
          <w:sz w:val="20"/>
          <w:szCs w:val="20"/>
          <w:color w:val="auto"/>
        </w:rPr>
      </w:pPr>
    </w:p>
    <w:tbl>
      <w:tblPr>
        <w:tblLayout w:type="fixed"/>
        <w:tblInd w:w="16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3"/>
                <w:szCs w:val="13"/>
                <w:b w:val="1"/>
                <w:bCs w:val="1"/>
                <w:color w:val="auto"/>
              </w:rPr>
              <w:t>Nine Months Ended September 30,</w:t>
            </w: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100"/>
              <w:spacing w:after="0" w:line="133"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60" w:type="dxa"/>
            <w:vAlign w:val="bottom"/>
            <w:gridSpan w:val="4"/>
          </w:tcPr>
          <w:p>
            <w:pPr>
              <w:jc w:val="right"/>
              <w:ind w:right="700"/>
              <w:spacing w:after="0" w:line="133" w:lineRule="exact"/>
              <w:rPr>
                <w:sz w:val="20"/>
                <w:szCs w:val="20"/>
                <w:color w:val="auto"/>
              </w:rPr>
            </w:pPr>
            <w:r>
              <w:rPr>
                <w:rFonts w:ascii="Arial" w:cs="Arial" w:eastAsia="Arial" w:hAnsi="Arial"/>
                <w:sz w:val="13"/>
                <w:szCs w:val="13"/>
                <w:b w:val="1"/>
                <w:bCs w:val="1"/>
                <w:color w:val="auto"/>
              </w:rPr>
              <w:t>(unaudited)</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Net cash used provided by (used in):</w:t>
            </w:r>
          </w:p>
        </w:tc>
        <w:tc>
          <w:tcPr>
            <w:tcW w:w="1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560" w:type="dxa"/>
            <w:vAlign w:val="bottom"/>
          </w:tcPr>
          <w:p>
            <w:pPr>
              <w:ind w:left="200"/>
              <w:spacing w:after="0"/>
              <w:rPr>
                <w:sz w:val="20"/>
                <w:szCs w:val="20"/>
                <w:color w:val="auto"/>
              </w:rPr>
            </w:pPr>
            <w:r>
              <w:rPr>
                <w:rFonts w:ascii="Arial" w:cs="Arial" w:eastAsia="Arial" w:hAnsi="Arial"/>
                <w:sz w:val="16"/>
                <w:szCs w:val="16"/>
                <w:color w:val="auto"/>
              </w:rPr>
              <w:t>Operating activities</w:t>
            </w:r>
          </w:p>
        </w:tc>
        <w:tc>
          <w:tcPr>
            <w:tcW w:w="2100" w:type="dxa"/>
            <w:vAlign w:val="bottom"/>
            <w:gridSpan w:val="2"/>
          </w:tcPr>
          <w:p>
            <w:pPr>
              <w:jc w:val="right"/>
              <w:ind w:right="677"/>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(13,448)</w:t>
            </w:r>
          </w:p>
        </w:tc>
        <w:tc>
          <w:tcPr>
            <w:tcW w:w="98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(2,684)</w:t>
            </w:r>
          </w:p>
        </w:tc>
      </w:tr>
      <w:tr>
        <w:trPr>
          <w:trHeight w:val="201"/>
        </w:trPr>
        <w:tc>
          <w:tcPr>
            <w:tcW w:w="20" w:type="dxa"/>
            <w:vAlign w:val="bottom"/>
          </w:tcPr>
          <w:p>
            <w:pPr>
              <w:spacing w:after="0"/>
              <w:rPr>
                <w:sz w:val="17"/>
                <w:szCs w:val="17"/>
                <w:color w:val="auto"/>
              </w:rPr>
            </w:pPr>
          </w:p>
        </w:tc>
        <w:tc>
          <w:tcPr>
            <w:tcW w:w="3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Investing activities</w:t>
            </w:r>
          </w:p>
        </w:tc>
        <w:tc>
          <w:tcPr>
            <w:tcW w:w="1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7"/>
              </w:rPr>
              <w:t>(94,310)</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60" w:type="dxa"/>
            <w:vAlign w:val="bottom"/>
            <w:shd w:val="clear" w:color="auto" w:fill="CFF0FC"/>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5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Financing activities</w:t>
            </w:r>
          </w:p>
        </w:tc>
        <w:tc>
          <w:tcPr>
            <w:tcW w:w="128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271,427</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60" w:type="dxa"/>
            <w:vAlign w:val="bottom"/>
            <w:tcBorders>
              <w:bottom w:val="single" w:sz="8" w:color="CFF0FC"/>
            </w:tcBorders>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35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increase (decrease) in cash and</w:t>
            </w:r>
          </w:p>
        </w:tc>
        <w:tc>
          <w:tcPr>
            <w:tcW w:w="12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cash equivalents</w:t>
            </w:r>
          </w:p>
        </w:tc>
        <w:tc>
          <w:tcPr>
            <w:tcW w:w="2100" w:type="dxa"/>
            <w:vAlign w:val="bottom"/>
            <w:gridSpan w:val="2"/>
            <w:shd w:val="clear" w:color="auto" w:fill="CFF0FC"/>
          </w:tcPr>
          <w:p>
            <w:pPr>
              <w:jc w:val="right"/>
              <w:ind w:right="677"/>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163,669</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8"/>
              </w:rPr>
              <w:t>(1,037)</w:t>
            </w: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4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17"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During the nine months ended September 30, 2020, net cash used in operating activities was $13.4 million. This consisted primarily of a net loss of $12.3 million, partially offset by non-cash charges of $1.7 million and an increase in our net operating assets of $2.9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 decrease in accounts payable and accrued expenses.</w:t>
      </w:r>
    </w:p>
    <w:p>
      <w:pPr>
        <w:spacing w:after="0" w:line="205"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During the nine months ended September 30, 2019, net cash used in operating activities was $2.7 million. This consisted primarily of a net loss of $4.2 million, partially offset by non-cash charges of $0.6 million and an increase in our net operating assets of $0.9 million. The non-cash charges primarily consisted of stock-based compensation expense, non-cash interest expense and accretion of discounts on our convertible notes, and changes in the carrying value of liabilities stated at fair value. The increase in our net operating assets was due to an increase in accounts payable and accrued expenses.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During the nine months ended September 30, 2020, net cash used in investing was $94.3 million. This consisted of purchases of available-for-sale securities.</w:t>
      </w:r>
    </w:p>
    <w:p>
      <w:pPr>
        <w:spacing w:after="0" w:line="240"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During the nine months ended September 30, 2019, net cash provided by investing activities was $0.8 million. This consisted primarily of $1.7 million in proceeds received from short-term investments which matured during the period, partially offset by purchases of short-term investments of $1.0 million.</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17"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During the nine months ended September 30, 2020, net cash provided by financing activities was $271.4 million. This consisted primarily of net proceeds received from our IPO of $187.2 million, net proceeds of $81.9 million from the issuance of our Series B convertible preferred stock and common stock warrants, $1.7 million from the issuance of our convertible notes, and to a lesser extent from exercises of stock options and common stock warrants.</w:t>
      </w:r>
    </w:p>
    <w:p>
      <w:pPr>
        <w:spacing w:after="0" w:line="201"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During the nine months ended September 30, 2019, net cash provided by financing activities was $0.9 million. This consisted primarily of proceeds of $0.9 million from the issuance of our convertible notes and to a lesser extent from exercises of stock options.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221"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During the nine months ended September 30, 2020, there have been no material changes, except to the lease commitment discussed in Note 8 to our condensed consolidated financial statements included in “Part I, Item 1—Financial Statements (Unaudited)” of this Quarterly Report on Form 10-Q, outside the ordinary course of business to our contractual obligations from those disclosed in “Management’s Discussion and Analysis of Financial Condition and Results of Operations” included in our final prospectus dated September 17, 2020 and filed with the SEC on September 18,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30" w:name="page31"/>
    <w:bookmarkEnd w:id="30"/>
    <w:p>
      <w:pPr>
        <w:ind w:left="500"/>
        <w:spacing w:after="0"/>
        <w:rPr>
          <w:sz w:val="20"/>
          <w:szCs w:val="20"/>
          <w:color w:val="auto"/>
        </w:rPr>
      </w:pPr>
      <w:r>
        <w:rPr>
          <w:rFonts w:ascii="Arial" w:cs="Arial" w:eastAsia="Arial" w:hAnsi="Arial"/>
          <w:sz w:val="16"/>
          <w:szCs w:val="16"/>
          <w:b w:val="1"/>
          <w:bCs w:val="1"/>
          <w:color w:val="auto"/>
        </w:rPr>
        <w:t>Off-Balance Sheet Arrangements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Since our inception, we have not engaged in any off-balance sheet arrangements, as defined in the rules and regulations of the SEC.</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Critical Accounting Policies, Significant Judgments and Use of Estimates</w:t>
      </w:r>
    </w:p>
    <w:p>
      <w:pPr>
        <w:spacing w:after="0" w:line="233" w:lineRule="exact"/>
        <w:rPr>
          <w:sz w:val="20"/>
          <w:szCs w:val="20"/>
          <w:color w:val="auto"/>
        </w:rPr>
      </w:pPr>
    </w:p>
    <w:p>
      <w:pPr>
        <w:jc w:val="both"/>
        <w:ind w:right="20" w:firstLine="511"/>
        <w:spacing w:after="0" w:line="323" w:lineRule="auto"/>
        <w:rPr>
          <w:sz w:val="20"/>
          <w:szCs w:val="20"/>
          <w:color w:val="auto"/>
        </w:rPr>
      </w:pPr>
      <w:r>
        <w:rPr>
          <w:rFonts w:ascii="Arial" w:cs="Arial" w:eastAsia="Arial" w:hAnsi="Arial"/>
          <w:sz w:val="13"/>
          <w:szCs w:val="13"/>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9"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p>
    <w:p>
      <w:pPr>
        <w:spacing w:after="0" w:line="201" w:lineRule="exact"/>
        <w:rPr>
          <w:sz w:val="20"/>
          <w:szCs w:val="20"/>
          <w:color w:val="auto"/>
        </w:rPr>
      </w:pPr>
    </w:p>
    <w:p>
      <w:pPr>
        <w:jc w:val="both"/>
        <w:ind w:firstLine="511"/>
        <w:spacing w:after="0" w:line="319" w:lineRule="auto"/>
        <w:rPr>
          <w:sz w:val="20"/>
          <w:szCs w:val="20"/>
          <w:color w:val="auto"/>
        </w:rPr>
      </w:pPr>
      <w:r>
        <w:rPr>
          <w:rFonts w:ascii="Arial" w:cs="Arial" w:eastAsia="Arial" w:hAnsi="Arial"/>
          <w:sz w:val="13"/>
          <w:szCs w:val="13"/>
          <w:color w:val="auto"/>
        </w:rPr>
        <w:t>During the nine months ended September 30, 2020,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final prospectus filed with the SEC on September 18, 2020 and Note 2 to our unaudited condensed consolidated financial statements included in “Part I, Item 1 —Financial Statements (Unaudited)” of this Quarterly Report on Form 10-Q. Note that as a result of the impact of the IPO, for periods subsequent to the third quarter of 2020, certain critical accounting policies, such as those relating to convertible notes, convertible preferred stock warrant liability and grant liability, will cease to be critical accounting policies. We believe that of our critical accounting policies, the following accounting policies involve the most judgment and complexity:</w:t>
      </w:r>
    </w:p>
    <w:p>
      <w:pPr>
        <w:spacing w:after="0" w:line="34" w:lineRule="exact"/>
        <w:rPr>
          <w:sz w:val="20"/>
          <w:szCs w:val="20"/>
          <w:color w:val="auto"/>
        </w:rPr>
      </w:pPr>
    </w:p>
    <w:p>
      <w:pPr>
        <w:ind w:left="1000" w:hanging="499"/>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Research and Development Costs;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Stock-based Compensation;</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Recent Accounting Pronouncements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See Note 2 to our unaudited interim condensed consolidated financial statements included elsewhere in this Quarterly Report on Form 10-Q for additional information.</w:t>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Emerging Growth Company Status</w:t>
      </w:r>
    </w:p>
    <w:p>
      <w:pPr>
        <w:spacing w:after="0" w:line="233" w:lineRule="exact"/>
        <w:rPr>
          <w:sz w:val="20"/>
          <w:szCs w:val="20"/>
          <w:color w:val="auto"/>
        </w:rPr>
      </w:pPr>
    </w:p>
    <w:p>
      <w:pPr>
        <w:jc w:val="both"/>
        <w:ind w:firstLine="511"/>
        <w:spacing w:after="0" w:line="323" w:lineRule="auto"/>
        <w:rPr>
          <w:sz w:val="20"/>
          <w:szCs w:val="20"/>
          <w:color w:val="auto"/>
        </w:rPr>
      </w:pPr>
      <w:r>
        <w:rPr>
          <w:rFonts w:ascii="Arial" w:cs="Arial" w:eastAsia="Arial" w:hAnsi="Arial"/>
          <w:sz w:val="13"/>
          <w:szCs w:val="13"/>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17"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We had cash, cash equivalents and investments of $259.9 million as of September 30, 2020. Our exposure to interest rate risk is not significant and a hypothetical 10% change in interest rates during any of the periods presented would not have had a material impact on our financial statements.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Foreign Currency</w:t>
      </w:r>
    </w:p>
    <w:p>
      <w:pPr>
        <w:spacing w:after="0" w:line="229" w:lineRule="exact"/>
        <w:rPr>
          <w:sz w:val="20"/>
          <w:szCs w:val="20"/>
          <w:color w:val="auto"/>
        </w:rPr>
      </w:pPr>
    </w:p>
    <w:p>
      <w:pPr>
        <w:jc w:val="both"/>
        <w:ind w:right="20" w:firstLine="511"/>
        <w:spacing w:after="0" w:line="329" w:lineRule="auto"/>
        <w:rPr>
          <w:sz w:val="20"/>
          <w:szCs w:val="20"/>
          <w:color w:val="auto"/>
        </w:rPr>
      </w:pPr>
      <w:r>
        <w:rPr>
          <w:rFonts w:ascii="Arial" w:cs="Arial" w:eastAsia="Arial" w:hAnsi="Arial"/>
          <w:sz w:val="13"/>
          <w:szCs w:val="13"/>
          <w:color w:val="auto"/>
        </w:rPr>
        <w:t>Our functional currency is the U.S. dollar. We are exposed to foreign currency rate risk related to various third-party service contracts denominated in foreign currencies. Transaction gains and losses are included in other income (expense), net on our statements of operations and comprehensive loss and were not material for any of the periods presented. A hypothetical 10% change in exchange rates during any of the periods presented would not have had a material impact on our financial statements. However, we established an Australian subsidiary to facilitate the P300 Phase 2 clinical trial. As a result, our exposure to the foreign currencies, particularly the Australian dollar, will increase.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Effects of Inflation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Inflation generally affects us by increasing our cost of labor and clinical trial costs. We believe that inflation has not had a material effect on our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29"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5"/>
          <w:szCs w:val="15"/>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96"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5"/>
          <w:szCs w:val="15"/>
          <w:color w:val="auto"/>
        </w:rPr>
        <w:t>Our management, with the participation of our principal executive officer and principal financial and accounting officer, evaluated the effectiveness of our disclosure controls and procedures at the end of the period covered by this Quarterly Report. Based upon such evaluation, our principal executive officer and principal financial and accounting officer have concluded that our disclosure controls and procedures were effective at the reasonable assurance level as of such date.</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29"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quarter ended September 30, 2020, that have materially affected, or are reasonably likely to materially affect, our internal control over financial reporting.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PART II—OTHER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33"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6"/>
          <w:szCs w:val="16"/>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3" w:lineRule="exact"/>
        <w:rPr>
          <w:sz w:val="20"/>
          <w:szCs w:val="20"/>
          <w:color w:val="auto"/>
        </w:rPr>
      </w:pPr>
    </w:p>
    <w:p>
      <w:pPr>
        <w:jc w:val="both"/>
        <w:ind w:firstLine="511"/>
        <w:spacing w:after="0" w:line="323" w:lineRule="auto"/>
        <w:rPr>
          <w:sz w:val="20"/>
          <w:szCs w:val="20"/>
          <w:color w:val="auto"/>
        </w:rPr>
      </w:pPr>
      <w:r>
        <w:rPr>
          <w:rFonts w:ascii="Arial" w:cs="Arial" w:eastAsia="Arial" w:hAnsi="Arial"/>
          <w:sz w:val="13"/>
          <w:szCs w:val="13"/>
          <w:color w:val="231F20"/>
        </w:rPr>
        <w:t xml:space="preserve">You should carefully consider the </w:t>
      </w:r>
      <w:r>
        <w:rPr>
          <w:rFonts w:ascii="Arial" w:cs="Arial" w:eastAsia="Arial" w:hAnsi="Arial"/>
          <w:sz w:val="13"/>
          <w:szCs w:val="13"/>
          <w:i w:val="1"/>
          <w:iCs w:val="1"/>
          <w:color w:val="231F20"/>
        </w:rPr>
        <w:t>following risk factors, in addition to</w:t>
      </w:r>
      <w:r>
        <w:rPr>
          <w:rFonts w:ascii="Arial" w:cs="Arial" w:eastAsia="Arial" w:hAnsi="Arial"/>
          <w:sz w:val="13"/>
          <w:szCs w:val="13"/>
          <w:color w:val="231F20"/>
        </w:rPr>
        <w:t xml:space="preserve"> the other information </w:t>
      </w:r>
      <w:r>
        <w:rPr>
          <w:rFonts w:ascii="Arial" w:cs="Arial" w:eastAsia="Arial" w:hAnsi="Arial"/>
          <w:sz w:val="13"/>
          <w:szCs w:val="13"/>
          <w:i w:val="1"/>
          <w:iCs w:val="1"/>
          <w:color w:val="231F20"/>
        </w:rPr>
        <w:t>contained in this Quarterly Report on Form 10-Q, or Quarterly Report</w:t>
      </w:r>
      <w:r>
        <w:rPr>
          <w:rFonts w:ascii="Arial" w:cs="Arial" w:eastAsia="Arial" w:hAnsi="Arial"/>
          <w:sz w:val="13"/>
          <w:szCs w:val="13"/>
          <w:color w:val="231F20"/>
        </w:rPr>
        <w:t xml:space="preserve">, including the “Management’s Discussion and Analysis of Financial Condition and Results of Operations” section </w:t>
      </w:r>
      <w:r>
        <w:rPr>
          <w:rFonts w:ascii="Arial" w:cs="Arial" w:eastAsia="Arial" w:hAnsi="Arial"/>
          <w:sz w:val="13"/>
          <w:szCs w:val="13"/>
          <w:i w:val="1"/>
          <w:iCs w:val="1"/>
          <w:color w:val="231F20"/>
        </w:rPr>
        <w:t>and our unaudited condensed consolidated financial statements</w:t>
      </w:r>
      <w:r>
        <w:rPr>
          <w:rFonts w:ascii="Arial" w:cs="Arial" w:eastAsia="Arial" w:hAnsi="Arial"/>
          <w:sz w:val="13"/>
          <w:szCs w:val="13"/>
          <w:color w:val="231F20"/>
        </w:rPr>
        <w:t xml:space="preserve"> </w:t>
      </w:r>
      <w:r>
        <w:rPr>
          <w:rFonts w:ascii="Arial" w:cs="Arial" w:eastAsia="Arial" w:hAnsi="Arial"/>
          <w:sz w:val="13"/>
          <w:szCs w:val="13"/>
          <w:i w:val="1"/>
          <w:iCs w:val="1"/>
          <w:color w:val="231F20"/>
        </w:rPr>
        <w:t>and related notes. If any of the events described in the following risk factors and the risks described elsewhere in this report occurs, our business, operating results and financial condition could be seriously harmed. This Quarterly Report also contains forward-looking statements that involve risks and uncertainties. Our actual results could differ materially from those anticipated in the forward-looking statements as a result of factors that are described below and elsewhere in this Quarterly Report.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 and the Development of Our Product Candidates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are a late clinical-stage biopharmaceutical company with a limited operating history.</w:t>
      </w:r>
    </w:p>
    <w:p>
      <w:pPr>
        <w:spacing w:after="0" w:line="229"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86" w:lineRule="exact"/>
        <w:rPr>
          <w:sz w:val="20"/>
          <w:szCs w:val="20"/>
          <w:color w:val="auto"/>
        </w:rPr>
      </w:pPr>
    </w:p>
    <w:p>
      <w:pPr>
        <w:jc w:val="both"/>
        <w:ind w:firstLine="511"/>
        <w:spacing w:after="0" w:line="249" w:lineRule="auto"/>
        <w:rPr>
          <w:sz w:val="20"/>
          <w:szCs w:val="20"/>
          <w:color w:val="auto"/>
        </w:rPr>
      </w:pPr>
      <w:r>
        <w:rPr>
          <w:rFonts w:ascii="Arial" w:cs="Arial" w:eastAsia="Arial" w:hAnsi="Arial"/>
          <w:sz w:val="16"/>
          <w:szCs w:val="16"/>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ability to generate revenue and achieve profitability depends significantly on our ability to achieve a number of objectives.</w:t>
      </w:r>
    </w:p>
    <w:p>
      <w:pPr>
        <w:spacing w:after="0" w:line="229"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73" w:lineRule="exact"/>
        <w:rPr>
          <w:sz w:val="20"/>
          <w:szCs w:val="20"/>
          <w:color w:val="auto"/>
        </w:rPr>
      </w:pPr>
    </w:p>
    <w:p>
      <w:pPr>
        <w:jc w:val="both"/>
        <w:ind w:left="1000" w:right="20" w:hanging="499"/>
        <w:spacing w:after="0" w:line="256"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the novel coronavirus disease, or COVID-19, pandemic or other causes;</w:t>
      </w:r>
    </w:p>
    <w:p>
      <w:pPr>
        <w:spacing w:after="0" w:line="71"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3" w:name="page34"/>
    <w:bookmarkEnd w:id="33"/>
    <w:p>
      <w:pPr>
        <w:ind w:left="1000" w:hanging="499"/>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timely receipt of marketing approvals from applicable regulatory authorities for any product candidates for which we successfully complete clinical development;</w:t>
      </w:r>
    </w:p>
    <w:p>
      <w:pPr>
        <w:spacing w:after="0" w:line="133" w:lineRule="exact"/>
        <w:rPr>
          <w:rFonts w:ascii="Arial" w:cs="Arial" w:eastAsia="Arial" w:hAnsi="Arial"/>
          <w:sz w:val="13"/>
          <w:szCs w:val="13"/>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making any required post-marketing approval commitments to applicable regulatory authorities;</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developing an efficient and scalable manufacturing process for our product candidates, including obtaining finished products that are appropriately packaged for sale;</w:t>
      </w:r>
    </w:p>
    <w:p>
      <w:pPr>
        <w:spacing w:after="0" w:line="63" w:lineRule="exact"/>
        <w:rPr>
          <w:rFonts w:ascii="Arial" w:cs="Arial" w:eastAsia="Arial" w:hAnsi="Arial"/>
          <w:sz w:val="16"/>
          <w:szCs w:val="16"/>
          <w:color w:val="auto"/>
        </w:rPr>
      </w:pPr>
    </w:p>
    <w:p>
      <w:pPr>
        <w:ind w:left="1000" w:hanging="499"/>
        <w:spacing w:after="0" w:line="300" w:lineRule="auto"/>
        <w:tabs>
          <w:tab w:leader="none" w:pos="10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40" w:lineRule="exact"/>
        <w:rPr>
          <w:rFonts w:ascii="Arial" w:cs="Arial" w:eastAsia="Arial" w:hAnsi="Arial"/>
          <w:sz w:val="15"/>
          <w:szCs w:val="15"/>
          <w:color w:val="auto"/>
        </w:rPr>
      </w:pPr>
    </w:p>
    <w:p>
      <w:pPr>
        <w:ind w:left="1000" w:right="20" w:hanging="499"/>
        <w:spacing w:after="0" w:line="266"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successful commercial launch following any marketing approval, including the development of a commercial infrastructure, whether inhouse or with one or more collaborators;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continued acceptable safety profile following any marketing approval of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commercial acceptance of our product candidates by patients, the medical community and third-party payors;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identifying, assessing and developing new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obtaining, maintaining and expanding patent protection, trade secret protection and regulatory exclusivity, both in the United States and internationally;</w:t>
      </w:r>
    </w:p>
    <w:p>
      <w:pPr>
        <w:spacing w:after="0" w:line="110" w:lineRule="exact"/>
        <w:rPr>
          <w:rFonts w:ascii="Arial" w:cs="Arial" w:eastAsia="Arial" w:hAnsi="Arial"/>
          <w:sz w:val="15"/>
          <w:szCs w:val="15"/>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protecting our rights in our intellectual property portfolio;</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defending against third-party interference or infringement claims, if any;</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negotiating favorable terms in any collaboration, licensing or other arrangements that may be necessary or desirable to develop, manufacture or commercialize our product candidates;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obtaining coverage and adequate reimbursement by hospitals, government and third-party payors for product candidates that we develop;</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addressing any competing therapies and technological and market developments;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attracting, hiring and retaining qualified personnel.</w:t>
      </w:r>
    </w:p>
    <w:p>
      <w:pPr>
        <w:spacing w:after="0" w:line="229"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191" w:lineRule="exact"/>
        <w:rPr>
          <w:sz w:val="20"/>
          <w:szCs w:val="20"/>
          <w:color w:val="auto"/>
        </w:rPr>
      </w:pPr>
    </w:p>
    <w:p>
      <w:pPr>
        <w:jc w:val="both"/>
        <w:ind w:right="20" w:firstLine="511"/>
        <w:spacing w:after="0" w:line="275" w:lineRule="auto"/>
        <w:rPr>
          <w:sz w:val="20"/>
          <w:szCs w:val="20"/>
          <w:color w:val="auto"/>
        </w:rPr>
      </w:pPr>
      <w:r>
        <w:rPr>
          <w:rFonts w:ascii="Arial" w:cs="Arial" w:eastAsia="Arial" w:hAnsi="Arial"/>
          <w:sz w:val="15"/>
          <w:szCs w:val="15"/>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188"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34" w:name="page35"/>
    <w:bookmarkEnd w:id="34"/>
    <w:p>
      <w:pPr>
        <w:ind w:left="500"/>
        <w:spacing w:after="0"/>
        <w:rPr>
          <w:sz w:val="20"/>
          <w:szCs w:val="20"/>
          <w:color w:val="auto"/>
        </w:rPr>
      </w:pPr>
      <w:r>
        <w:rPr>
          <w:rFonts w:ascii="Arial" w:cs="Arial" w:eastAsia="Arial" w:hAnsi="Arial"/>
          <w:sz w:val="16"/>
          <w:szCs w:val="16"/>
          <w:b w:val="1"/>
          <w:bCs w:val="1"/>
          <w:i w:val="1"/>
          <w:iCs w:val="1"/>
          <w:color w:val="auto"/>
        </w:rPr>
        <w:t>Our development of ATH-</w:t>
      </w:r>
      <w:r>
        <w:rPr>
          <w:rFonts w:ascii="Arial" w:cs="Arial" w:eastAsia="Arial" w:hAnsi="Arial"/>
          <w:sz w:val="16"/>
          <w:szCs w:val="16"/>
          <w:color w:val="auto"/>
        </w:rPr>
        <w:t>1017</w:t>
      </w:r>
      <w:r>
        <w:rPr>
          <w:rFonts w:ascii="Arial" w:cs="Arial" w:eastAsia="Arial" w:hAnsi="Arial"/>
          <w:sz w:val="16"/>
          <w:szCs w:val="16"/>
          <w:b w:val="1"/>
          <w:bCs w:val="1"/>
          <w:i w:val="1"/>
          <w:iCs w:val="1"/>
          <w:color w:val="auto"/>
        </w:rPr>
        <w:t xml:space="preserve"> may never lead to a marketable product.</w:t>
      </w:r>
    </w:p>
    <w:p>
      <w:pPr>
        <w:spacing w:after="0" w:line="217"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6"/>
          <w:szCs w:val="16"/>
          <w:color w:val="auto"/>
        </w:rPr>
        <w:t>We are developing ATH-1017 as a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Advancing ATH-1017 as a small molecule aimed at restoring neuronal health creates significant challenges for us, including:</w:t>
      </w:r>
    </w:p>
    <w:p>
      <w:pPr>
        <w:spacing w:after="0" w:line="99" w:lineRule="exact"/>
        <w:rPr>
          <w:sz w:val="20"/>
          <w:szCs w:val="20"/>
          <w:color w:val="auto"/>
        </w:rPr>
      </w:pPr>
    </w:p>
    <w:p>
      <w:pPr>
        <w:ind w:left="1000" w:hanging="499"/>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obtaining marketing approval;</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establishing the sales and marketing capabilities upon obtaining any marketing approvals to gain market acceptance.</w:t>
      </w:r>
    </w:p>
    <w:p>
      <w:pPr>
        <w:spacing w:after="0" w:line="229"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b w:val="1"/>
          <w:bCs w:val="1"/>
          <w:i w:val="1"/>
          <w:iCs w:val="1"/>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191" w:lineRule="exact"/>
        <w:rPr>
          <w:sz w:val="20"/>
          <w:szCs w:val="20"/>
          <w:color w:val="auto"/>
        </w:rPr>
      </w:pPr>
    </w:p>
    <w:p>
      <w:pPr>
        <w:jc w:val="both"/>
        <w:ind w:firstLine="511"/>
        <w:spacing w:after="0" w:line="319" w:lineRule="auto"/>
        <w:rPr>
          <w:sz w:val="20"/>
          <w:szCs w:val="20"/>
          <w:color w:val="auto"/>
        </w:rPr>
      </w:pPr>
      <w:r>
        <w:rPr>
          <w:rFonts w:ascii="Arial" w:cs="Arial" w:eastAsia="Arial" w:hAnsi="Arial"/>
          <w:sz w:val="13"/>
          <w:szCs w:val="13"/>
          <w:color w:val="auto"/>
        </w:rPr>
        <w:t>We have discovered and are developing a platform of small molecule product candidates from which we have selected our lead product candidate, ATH-1017, which is under development to treat Alzheimer’s disease, or AD, and other central nervous system, or CNS, disorders.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164" w:lineRule="exact"/>
        <w:rPr>
          <w:sz w:val="20"/>
          <w:szCs w:val="20"/>
          <w:color w:val="auto"/>
        </w:rPr>
      </w:pPr>
    </w:p>
    <w:p>
      <w:pPr>
        <w:jc w:val="both"/>
        <w:ind w:firstLine="511"/>
        <w:spacing w:after="0" w:line="310" w:lineRule="auto"/>
        <w:rPr>
          <w:sz w:val="20"/>
          <w:szCs w:val="20"/>
          <w:color w:val="auto"/>
        </w:rPr>
      </w:pPr>
      <w:r>
        <w:rPr>
          <w:rFonts w:ascii="Arial" w:cs="Arial" w:eastAsia="Arial" w:hAnsi="Arial"/>
          <w:sz w:val="13"/>
          <w:szCs w:val="13"/>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 and 1b clinical trials, which enrolled 88 subjects, including only 11 patients with mild to moderate AD, of whom seven patients were treated with ATH-1017 and the other four patients were randomized to the control. Data from our Phase 1a and 1b clinical trials, while promising, were obtained from a relatively small number of subjects and a single clinical site and we cannot be certain that future trials involving a larger number of subjects and clinical sites will yield similar data. Additionally, in our Phase 1a and 1b clinical trials,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 and 1b clinical trials,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these trials,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364"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182"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We have focused our research and development efforts on addressing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35" w:name="page36"/>
    <w:bookmarkEnd w:id="35"/>
    <w:p>
      <w:pPr>
        <w:jc w:val="both"/>
        <w:ind w:right="20" w:firstLine="511"/>
        <w:spacing w:after="0" w:line="343" w:lineRule="auto"/>
        <w:rPr>
          <w:sz w:val="20"/>
          <w:szCs w:val="20"/>
          <w:color w:val="auto"/>
        </w:rPr>
      </w:pPr>
      <w:r>
        <w:rPr>
          <w:rFonts w:ascii="Arial" w:cs="Arial" w:eastAsia="Arial" w:hAnsi="Arial"/>
          <w:sz w:val="13"/>
          <w:szCs w:val="13"/>
          <w:b w:val="1"/>
          <w:bCs w:val="1"/>
          <w:i w:val="1"/>
          <w:iCs w:val="1"/>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137"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Our lead product candidate, ATH-1017, is in clinical development for the potential treatment of AD and Parkinson’s disease dementia, or PDD. Our remaining product candidates, including ATH-1018 and ATH-1019, are in nonclinical development. It is impossible to predict when or if any of our product candidates will prove to be effective and safe in humans or will receive regulatory approval.</w:t>
      </w:r>
    </w:p>
    <w:p>
      <w:pPr>
        <w:spacing w:after="0" w:line="201" w:lineRule="exact"/>
        <w:rPr>
          <w:sz w:val="20"/>
          <w:szCs w:val="20"/>
          <w:color w:val="auto"/>
        </w:rPr>
      </w:pPr>
    </w:p>
    <w:p>
      <w:pPr>
        <w:jc w:val="both"/>
        <w:ind w:firstLine="511"/>
        <w:spacing w:after="0" w:line="307" w:lineRule="auto"/>
        <w:rPr>
          <w:sz w:val="20"/>
          <w:szCs w:val="20"/>
          <w:color w:val="auto"/>
        </w:rPr>
      </w:pPr>
      <w:r>
        <w:rPr>
          <w:rFonts w:ascii="Arial" w:cs="Arial" w:eastAsia="Arial" w:hAnsi="Arial"/>
          <w:sz w:val="13"/>
          <w:szCs w:val="13"/>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studies and clinical trials with a single or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By the end of 2020, we plan to initiate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ACT-AD P300 Phase 2 clinical trial and LIFT-AD,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00" w:lineRule="exact"/>
        <w:rPr>
          <w:sz w:val="20"/>
          <w:szCs w:val="20"/>
          <w:color w:val="auto"/>
        </w:rPr>
      </w:pPr>
    </w:p>
    <w:p>
      <w:pPr>
        <w:spacing w:after="0" w:line="355" w:lineRule="exact"/>
        <w:rPr>
          <w:sz w:val="20"/>
          <w:szCs w:val="20"/>
          <w:color w:val="auto"/>
        </w:rPr>
      </w:pPr>
    </w:p>
    <w:p>
      <w:pPr>
        <w:jc w:val="both"/>
        <w:ind w:firstLine="511"/>
        <w:spacing w:after="0" w:line="249"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196" w:lineRule="exact"/>
        <w:rPr>
          <w:sz w:val="20"/>
          <w:szCs w:val="20"/>
          <w:color w:val="auto"/>
        </w:rPr>
      </w:pPr>
    </w:p>
    <w:p>
      <w:pPr>
        <w:jc w:val="both"/>
        <w:ind w:firstLine="511"/>
        <w:spacing w:after="0" w:line="316" w:lineRule="auto"/>
        <w:rPr>
          <w:sz w:val="20"/>
          <w:szCs w:val="20"/>
          <w:color w:val="auto"/>
        </w:rPr>
      </w:pPr>
      <w:r>
        <w:rPr>
          <w:rFonts w:ascii="Arial" w:cs="Arial" w:eastAsia="Arial" w:hAnsi="Arial"/>
          <w:sz w:val="13"/>
          <w:szCs w:val="13"/>
          <w:color w:val="auto"/>
        </w:rPr>
        <w:t>Additionally, some of the clinical trials we conduct in the future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36" w:name="page37"/>
    <w:bookmarkEnd w:id="36"/>
    <w:p>
      <w:pPr>
        <w:jc w:val="both"/>
        <w:ind w:firstLine="511"/>
        <w:spacing w:after="0" w:line="256" w:lineRule="auto"/>
        <w:rPr>
          <w:sz w:val="20"/>
          <w:szCs w:val="20"/>
          <w:color w:val="auto"/>
        </w:rPr>
      </w:pPr>
      <w:r>
        <w:rPr>
          <w:rFonts w:ascii="Arial" w:cs="Arial" w:eastAsia="Arial" w:hAnsi="Arial"/>
          <w:sz w:val="16"/>
          <w:szCs w:val="16"/>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71" w:lineRule="exact"/>
        <w:rPr>
          <w:sz w:val="20"/>
          <w:szCs w:val="20"/>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disagreeing as to the design or implementation of our clinical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disagreeing with our ATH platform development strategy;</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governmental regulations or administrative actions;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in our ability to commence a clinical trial;</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obtaining IRB approval at each clinical trial site;</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recruiting an adequate number of suitable patients to participate in a clinical trial;</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having subjects complete a clinical trial or return for post-treatment follow-up;</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clinical trial sites deviating from clinical trial protocol or dropping out of a clinical trial;</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to demonstrate a benefit from using a product candidate;</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addressing subject safety concerns that arise during the course of a clinical trial;</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adding a sufficient number of clinical trial sites; or</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obtaining sufficient product supply of product candidate for use in nonclinical studies or clinical trials from third-party suppliers.</w:t>
      </w:r>
    </w:p>
    <w:p>
      <w:pPr>
        <w:spacing w:after="0" w:line="217" w:lineRule="exact"/>
        <w:rPr>
          <w:sz w:val="20"/>
          <w:szCs w:val="20"/>
          <w:color w:val="auto"/>
        </w:rPr>
      </w:pPr>
    </w:p>
    <w:p>
      <w:pPr>
        <w:jc w:val="both"/>
        <w:ind w:right="20" w:firstLine="511"/>
        <w:spacing w:after="0" w:line="343" w:lineRule="auto"/>
        <w:rPr>
          <w:sz w:val="20"/>
          <w:szCs w:val="20"/>
          <w:color w:val="auto"/>
        </w:rPr>
      </w:pPr>
      <w:r>
        <w:rPr>
          <w:rFonts w:ascii="Arial" w:cs="Arial" w:eastAsia="Arial" w:hAnsi="Arial"/>
          <w:sz w:val="13"/>
          <w:szCs w:val="13"/>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49" w:lineRule="exact"/>
        <w:rPr>
          <w:sz w:val="20"/>
          <w:szCs w:val="20"/>
          <w:color w:val="auto"/>
        </w:rPr>
      </w:pPr>
    </w:p>
    <w:p>
      <w:pPr>
        <w:jc w:val="both"/>
        <w:ind w:firstLine="511"/>
        <w:spacing w:after="0" w:line="314" w:lineRule="auto"/>
        <w:rPr>
          <w:sz w:val="20"/>
          <w:szCs w:val="20"/>
          <w:color w:val="auto"/>
        </w:rPr>
      </w:pPr>
      <w:r>
        <w:rPr>
          <w:rFonts w:ascii="Arial" w:cs="Arial" w:eastAsia="Arial" w:hAnsi="Arial"/>
          <w:sz w:val="13"/>
          <w:szCs w:val="13"/>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357"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If the results of our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64" w:lineRule="exact"/>
        <w:rPr>
          <w:sz w:val="20"/>
          <w:szCs w:val="20"/>
          <w:color w:val="auto"/>
        </w:rPr>
      </w:pPr>
    </w:p>
    <w:p>
      <w:pPr>
        <w:ind w:left="1000" w:hanging="499"/>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incur unplanned costs;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 delayed in or prevented from obtaining marketing approval for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or safety warnings including boxed warnings;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37" w:name="page38"/>
    <w:bookmarkEnd w:id="37"/>
    <w:p>
      <w:pPr>
        <w:ind w:left="1000" w:hanging="499"/>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 subject to changes in the way the product is administered;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 required to perform additional clinical trials to support approval or be subject to additional post-marketing testing requirements;</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have regulatory authorities withdraw their approval of the product or impose restrictions on its distribution in the form of a modified risk evaluation and mitigation strategy, or REMS;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 subject to the addition of labeling statements, such as warnings or contraindications;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 sued; or</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experience damage to our reputation.</w:t>
      </w:r>
    </w:p>
    <w:p>
      <w:pPr>
        <w:spacing w:after="0" w:line="229"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2" w:lineRule="exact"/>
        <w:rPr>
          <w:sz w:val="20"/>
          <w:szCs w:val="20"/>
          <w:color w:val="auto"/>
        </w:rPr>
      </w:pPr>
    </w:p>
    <w:p>
      <w:pPr>
        <w:jc w:val="both"/>
        <w:ind w:firstLine="511"/>
        <w:spacing w:after="0" w:line="249" w:lineRule="auto"/>
        <w:rPr>
          <w:sz w:val="20"/>
          <w:szCs w:val="20"/>
          <w:color w:val="auto"/>
        </w:rPr>
      </w:pPr>
      <w:r>
        <w:rPr>
          <w:rFonts w:ascii="Arial" w:cs="Arial" w:eastAsia="Arial" w:hAnsi="Arial"/>
          <w:sz w:val="16"/>
          <w:szCs w:val="16"/>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8" w:lineRule="exact"/>
        <w:rPr>
          <w:sz w:val="20"/>
          <w:szCs w:val="20"/>
          <w:color w:val="auto"/>
        </w:rPr>
      </w:pPr>
    </w:p>
    <w:p>
      <w:pPr>
        <w:jc w:val="both"/>
        <w:ind w:firstLine="516"/>
        <w:spacing w:after="0" w:line="275" w:lineRule="auto"/>
        <w:rPr>
          <w:sz w:val="20"/>
          <w:szCs w:val="20"/>
          <w:color w:val="auto"/>
        </w:rPr>
      </w:pPr>
      <w:r>
        <w:rPr>
          <w:rFonts w:ascii="Arial" w:cs="Arial" w:eastAsia="Arial" w:hAnsi="Arial"/>
          <w:sz w:val="15"/>
          <w:szCs w:val="15"/>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8" w:lineRule="exact"/>
        <w:rPr>
          <w:sz w:val="20"/>
          <w:szCs w:val="20"/>
          <w:color w:val="auto"/>
        </w:rPr>
      </w:pPr>
    </w:p>
    <w:p>
      <w:pPr>
        <w:jc w:val="both"/>
        <w:ind w:firstLine="516"/>
        <w:spacing w:after="0" w:line="319" w:lineRule="auto"/>
        <w:rPr>
          <w:sz w:val="20"/>
          <w:szCs w:val="20"/>
          <w:color w:val="auto"/>
        </w:rPr>
      </w:pPr>
      <w:r>
        <w:rPr>
          <w:rFonts w:ascii="Arial" w:cs="Arial" w:eastAsia="Arial" w:hAnsi="Arial"/>
          <w:sz w:val="13"/>
          <w:szCs w:val="13"/>
          <w:color w:val="auto"/>
        </w:rPr>
        <w:t>Additionally, we rely on data received from clinical trials, whether preliminary or final, to inform decisions on future clinical trials, including trial design, trial size, and whether or not to initiate additional clinical trials. For example, by the end of 2020, we plan to initiate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 comprehensive and full review of the data may result in different conclusions, which could have a negative impact on our decisions regarding any additional trials for ATH-1017.</w:t>
      </w:r>
    </w:p>
    <w:p>
      <w:pPr>
        <w:spacing w:after="0" w:line="152" w:lineRule="exact"/>
        <w:rPr>
          <w:sz w:val="20"/>
          <w:szCs w:val="20"/>
          <w:color w:val="auto"/>
        </w:rPr>
      </w:pPr>
    </w:p>
    <w:p>
      <w:pPr>
        <w:jc w:val="both"/>
        <w:ind w:firstLine="516"/>
        <w:spacing w:after="0" w:line="270" w:lineRule="auto"/>
        <w:rPr>
          <w:sz w:val="20"/>
          <w:szCs w:val="20"/>
          <w:color w:val="auto"/>
        </w:rPr>
      </w:pPr>
      <w:r>
        <w:rPr>
          <w:rFonts w:ascii="Arial" w:cs="Arial" w:eastAsia="Arial" w:hAnsi="Arial"/>
          <w:sz w:val="15"/>
          <w:szCs w:val="15"/>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92"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193" w:lineRule="exact"/>
        <w:rPr>
          <w:sz w:val="20"/>
          <w:szCs w:val="20"/>
          <w:color w:val="auto"/>
        </w:rPr>
      </w:pPr>
    </w:p>
    <w:p>
      <w:pPr>
        <w:jc w:val="both"/>
        <w:ind w:firstLine="511"/>
        <w:spacing w:after="0" w:line="250"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38" w:name="page39"/>
    <w:bookmarkEnd w:id="38"/>
    <w:p>
      <w:pPr>
        <w:jc w:val="both"/>
        <w:ind w:firstLine="511"/>
        <w:spacing w:after="0" w:line="250" w:lineRule="auto"/>
        <w:rPr>
          <w:sz w:val="20"/>
          <w:szCs w:val="20"/>
          <w:color w:val="auto"/>
        </w:rPr>
      </w:pPr>
      <w:r>
        <w:rPr>
          <w:rFonts w:ascii="Arial" w:cs="Arial" w:eastAsia="Arial" w:hAnsi="Arial"/>
          <w:sz w:val="16"/>
          <w:szCs w:val="16"/>
          <w:color w:val="auto"/>
        </w:rPr>
        <w:t>For example, we intend to enroll approximately 240 to 300 AD subjects with mild-to-moderate AD in LIFT-AD and 60 to 75 AD subjects with mild-to-moderate AD in our ACT-AD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Even if we are successful in enrolling the targeted number of subjects in these trials, the FDA and other regulators may request additional clinical trials with larger numbers of subjects as a condition to any regulatory approval.</w:t>
      </w:r>
    </w:p>
    <w:p>
      <w:pPr>
        <w:spacing w:after="0" w:line="194" w:lineRule="exact"/>
        <w:rPr>
          <w:sz w:val="20"/>
          <w:szCs w:val="20"/>
          <w:color w:val="auto"/>
        </w:rPr>
      </w:pPr>
    </w:p>
    <w:p>
      <w:pPr>
        <w:jc w:val="both"/>
        <w:ind w:firstLine="511"/>
        <w:spacing w:after="0" w:line="323" w:lineRule="auto"/>
        <w:rPr>
          <w:sz w:val="20"/>
          <w:szCs w:val="20"/>
          <w:color w:val="auto"/>
        </w:rPr>
      </w:pPr>
      <w:r>
        <w:rPr>
          <w:rFonts w:ascii="Arial" w:cs="Arial" w:eastAsia="Arial" w:hAnsi="Arial"/>
          <w:sz w:val="13"/>
          <w:szCs w:val="13"/>
          <w:color w:val="auto"/>
        </w:rPr>
        <w:t>Enrollment of patients in our clinical trials may be delayed or limited as our clinical trial sites limit their onsite staff or temporarily close as a result of the COVID-19 pandemic.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61"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03"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82" w:lineRule="exact"/>
        <w:rPr>
          <w:sz w:val="20"/>
          <w:szCs w:val="20"/>
          <w:color w:val="auto"/>
        </w:rPr>
      </w:pPr>
    </w:p>
    <w:p>
      <w:pPr>
        <w:jc w:val="both"/>
        <w:ind w:firstLine="511"/>
        <w:spacing w:after="0" w:line="270" w:lineRule="auto"/>
        <w:rPr>
          <w:sz w:val="20"/>
          <w:szCs w:val="20"/>
          <w:color w:val="auto"/>
        </w:rPr>
      </w:pPr>
      <w:r>
        <w:rPr>
          <w:rFonts w:ascii="Arial" w:cs="Arial" w:eastAsia="Arial" w:hAnsi="Arial"/>
          <w:sz w:val="15"/>
          <w:szCs w:val="15"/>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192" w:lineRule="exact"/>
        <w:rPr>
          <w:sz w:val="20"/>
          <w:szCs w:val="20"/>
          <w:color w:val="auto"/>
        </w:rPr>
      </w:pPr>
    </w:p>
    <w:p>
      <w:pPr>
        <w:jc w:val="both"/>
        <w:ind w:firstLine="511"/>
        <w:spacing w:after="0" w:line="249" w:lineRule="auto"/>
        <w:rPr>
          <w:sz w:val="20"/>
          <w:szCs w:val="20"/>
          <w:color w:val="auto"/>
        </w:rPr>
      </w:pPr>
      <w:r>
        <w:rPr>
          <w:rFonts w:ascii="Arial" w:cs="Arial" w:eastAsia="Arial" w:hAnsi="Arial"/>
          <w:sz w:val="16"/>
          <w:szCs w:val="16"/>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the final prospectus related to our initial public offering, or IPO, titled “Business— Competition.”</w:t>
      </w:r>
    </w:p>
    <w:p>
      <w:pPr>
        <w:spacing w:after="0" w:line="208"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2"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5"/>
          <w:szCs w:val="15"/>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39" w:name="page40"/>
    <w:bookmarkEnd w:id="39"/>
    <w:p>
      <w:pPr>
        <w:ind w:left="500"/>
        <w:spacing w:after="0"/>
        <w:rPr>
          <w:sz w:val="20"/>
          <w:szCs w:val="20"/>
          <w:color w:val="auto"/>
        </w:rPr>
      </w:pPr>
      <w:r>
        <w:rPr>
          <w:rFonts w:ascii="Arial" w:cs="Arial" w:eastAsia="Arial" w:hAnsi="Arial"/>
          <w:sz w:val="16"/>
          <w:szCs w:val="16"/>
          <w:b w:val="1"/>
          <w:bCs w:val="1"/>
          <w:i w:val="1"/>
          <w:iCs w:val="1"/>
          <w:color w:val="auto"/>
        </w:rPr>
        <w:t>We may develop product candidates in combination with other therapies, which exposes us to additional risks.</w:t>
      </w:r>
    </w:p>
    <w:p>
      <w:pPr>
        <w:spacing w:after="0" w:line="217" w:lineRule="exact"/>
        <w:rPr>
          <w:sz w:val="20"/>
          <w:szCs w:val="20"/>
          <w:color w:val="auto"/>
        </w:rPr>
      </w:pPr>
    </w:p>
    <w:p>
      <w:pPr>
        <w:jc w:val="both"/>
        <w:ind w:right="20" w:firstLine="511"/>
        <w:spacing w:after="0" w:line="319" w:lineRule="auto"/>
        <w:rPr>
          <w:sz w:val="20"/>
          <w:szCs w:val="20"/>
          <w:color w:val="auto"/>
        </w:rPr>
      </w:pPr>
      <w:r>
        <w:rPr>
          <w:rFonts w:ascii="Arial" w:cs="Arial" w:eastAsia="Arial" w:hAnsi="Arial"/>
          <w:sz w:val="13"/>
          <w:szCs w:val="13"/>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64" w:lineRule="exact"/>
        <w:rPr>
          <w:sz w:val="20"/>
          <w:szCs w:val="20"/>
          <w:color w:val="auto"/>
        </w:rPr>
      </w:pPr>
    </w:p>
    <w:p>
      <w:pPr>
        <w:jc w:val="both"/>
        <w:ind w:firstLine="511"/>
        <w:spacing w:after="0" w:line="249" w:lineRule="auto"/>
        <w:rPr>
          <w:sz w:val="20"/>
          <w:szCs w:val="20"/>
          <w:color w:val="auto"/>
        </w:rPr>
      </w:pPr>
      <w:r>
        <w:rPr>
          <w:rFonts w:ascii="Arial" w:cs="Arial" w:eastAsia="Arial" w:hAnsi="Arial"/>
          <w:sz w:val="16"/>
          <w:szCs w:val="16"/>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08"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182"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success of other future product candidates we may develop will depend on many factors, including the following:</w:t>
      </w:r>
    </w:p>
    <w:p>
      <w:pPr>
        <w:spacing w:after="0" w:line="99" w:lineRule="exact"/>
        <w:rPr>
          <w:sz w:val="20"/>
          <w:szCs w:val="20"/>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generating sufficient data to support the initiation or continuation of clinical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obtaining regulatory permission to initiate clinical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contracting with the necessary parties to conduct clinical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successful enrollment of patients in, and the completion of, clinical trials on a timely basis;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timely manufacture of sufficient quantities of the product candidate for use in clinical trials;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adverse events in the clinical trials.</w:t>
      </w:r>
    </w:p>
    <w:p>
      <w:pPr>
        <w:spacing w:after="0" w:line="229"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6"/>
          <w:szCs w:val="16"/>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189" w:lineRule="exact"/>
        <w:rPr>
          <w:sz w:val="20"/>
          <w:szCs w:val="20"/>
          <w:color w:val="auto"/>
        </w:rPr>
      </w:pPr>
    </w:p>
    <w:p>
      <w:pPr>
        <w:jc w:val="both"/>
        <w:ind w:right="20" w:firstLine="511"/>
        <w:spacing w:after="0" w:line="383" w:lineRule="auto"/>
        <w:rPr>
          <w:sz w:val="20"/>
          <w:szCs w:val="20"/>
          <w:color w:val="auto"/>
        </w:rPr>
      </w:pPr>
      <w:r>
        <w:rPr>
          <w:rFonts w:ascii="Arial" w:cs="Arial" w:eastAsia="Arial" w:hAnsi="Arial"/>
          <w:sz w:val="13"/>
          <w:szCs w:val="13"/>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124" w:lineRule="exact"/>
        <w:rPr>
          <w:sz w:val="20"/>
          <w:szCs w:val="20"/>
          <w:color w:val="auto"/>
        </w:rPr>
      </w:pPr>
    </w:p>
    <w:p>
      <w:pPr>
        <w:jc w:val="both"/>
        <w:ind w:right="20" w:firstLine="511"/>
        <w:spacing w:after="0" w:line="251" w:lineRule="auto"/>
        <w:rPr>
          <w:sz w:val="20"/>
          <w:szCs w:val="20"/>
          <w:color w:val="auto"/>
        </w:rPr>
      </w:pPr>
      <w:r>
        <w:rPr>
          <w:rFonts w:ascii="Arial" w:cs="Arial" w:eastAsia="Arial" w:hAnsi="Arial"/>
          <w:sz w:val="16"/>
          <w:szCs w:val="16"/>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40" w:name="page41"/>
    <w:bookmarkEnd w:id="40"/>
    <w:p>
      <w:pPr>
        <w:jc w:val="both"/>
        <w:ind w:right="20" w:firstLine="511"/>
        <w:spacing w:after="0" w:line="256"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Risks Relating to COVID-19 and Other Health Epidemics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The outbreak of the novel coronavirus disease, COVID-19, could adversely impact our business, including our nonclinical studies and clinical trials.</w:t>
      </w:r>
    </w:p>
    <w:p>
      <w:pPr>
        <w:spacing w:after="0" w:line="240"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5"/>
          <w:szCs w:val="15"/>
          <w:color w:val="auto"/>
        </w:rPr>
        <w:t>The world is in the midst of a pandemic. A novel strain of the coronavirus disease, COVID-19, has spread to a number of countries,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As a result of the COVID-19 pandemic, we may experience disruptions that could severely impact our business, nonclinical studies and clinical trials, including:</w:t>
      </w:r>
    </w:p>
    <w:p>
      <w:pPr>
        <w:spacing w:after="0" w:line="110" w:lineRule="exact"/>
        <w:rPr>
          <w:sz w:val="20"/>
          <w:szCs w:val="20"/>
          <w:color w:val="auto"/>
        </w:rPr>
      </w:pPr>
    </w:p>
    <w:p>
      <w:pPr>
        <w:ind w:left="1000" w:hanging="499"/>
        <w:spacing w:after="0" w:line="266"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63"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difficulties interpreting data from our clinical trials due to the possible effects of COVID-19 on cognition of the subjects enrolled in our clinical trials that contract COVID-19;</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clinical site investigators and clinical site staff;</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diversion of healthcare resources away from the conduct of clinical trials, including the diversion of hospitals serving as our clinical trial sites and hospital staff supporting the conduct of our clinical trials;</w:t>
      </w:r>
    </w:p>
    <w:p>
      <w:pPr>
        <w:spacing w:after="0" w:line="63" w:lineRule="exact"/>
        <w:rPr>
          <w:rFonts w:ascii="Arial" w:cs="Arial" w:eastAsia="Arial" w:hAnsi="Arial"/>
          <w:sz w:val="16"/>
          <w:szCs w:val="16"/>
          <w:color w:val="auto"/>
        </w:rPr>
      </w:pPr>
    </w:p>
    <w:p>
      <w:pPr>
        <w:jc w:val="both"/>
        <w:ind w:left="1000" w:hanging="499"/>
        <w:spacing w:after="0" w:line="256"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71" w:lineRule="exact"/>
        <w:rPr>
          <w:rFonts w:ascii="Arial" w:cs="Arial" w:eastAsia="Arial" w:hAnsi="Arial"/>
          <w:sz w:val="16"/>
          <w:szCs w:val="16"/>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interruption or delays in the operations of the FDA or other regulatory authorities, which may impact review and approval timelines;</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interruption of, or delays in receiving, supplies of our product candidates from our contract manufacturing organizations due to staffing shortages, production slowdowns or stoppages and disruptions in delivery systems;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interruptions in nonclinical studies due to restricted or limited operations at our laboratory facility;</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interruption or delays to our sourced discovery and clinical activities;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clinical site procedures and requirements as well as regulatory requirements for conducting clinical trials during the pandemic.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41" w:name="page42"/>
    <w:bookmarkEnd w:id="41"/>
    <w:p>
      <w:pPr>
        <w:jc w:val="both"/>
        <w:ind w:firstLine="511"/>
        <w:spacing w:after="0" w:line="314" w:lineRule="auto"/>
        <w:rPr>
          <w:sz w:val="20"/>
          <w:szCs w:val="20"/>
          <w:color w:val="auto"/>
        </w:rPr>
      </w:pPr>
      <w:r>
        <w:rPr>
          <w:rFonts w:ascii="Arial" w:cs="Arial" w:eastAsia="Arial" w:hAnsi="Arial"/>
          <w:sz w:val="13"/>
          <w:szCs w:val="13"/>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57"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The COVID-19 pandemic continues to develop rapidly, with the status of operations and government restrictions evolving weekly. The extent to which the outbreak impacts our business, nonclinical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03"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03"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93"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5"/>
          <w:szCs w:val="15"/>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Risks Relating to Our Financial Position and Capital Needs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have incurred significant losses since our inception and anticipate that we will continue to incur significant losses for the foreseeable future.</w:t>
      </w:r>
    </w:p>
    <w:p>
      <w:pPr>
        <w:spacing w:after="0" w:line="228"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6"/>
          <w:szCs w:val="16"/>
          <w:color w:val="auto"/>
        </w:rPr>
        <w:t xml:space="preserve">We have not generated any revenue from product sales and our product candidates will require substantial additional investment before they may provide us with any revenue. We had net losses of $12.3 million and $5.2 million for the nine months ended September </w:t>
      </w:r>
      <w:r>
        <w:rPr>
          <w:rFonts w:ascii="Arial" w:cs="Arial" w:eastAsia="Arial" w:hAnsi="Arial"/>
          <w:sz w:val="16"/>
          <w:szCs w:val="16"/>
          <w:color w:val="212529"/>
        </w:rPr>
        <w:t>30, 2020 and the year ended December 31, 2019, respectively, and an</w:t>
      </w:r>
      <w:r>
        <w:rPr>
          <w:rFonts w:ascii="Arial" w:cs="Arial" w:eastAsia="Arial" w:hAnsi="Arial"/>
          <w:sz w:val="16"/>
          <w:szCs w:val="16"/>
          <w:color w:val="auto"/>
        </w:rPr>
        <w:t xml:space="preserve"> </w:t>
      </w:r>
      <w:r>
        <w:rPr>
          <w:rFonts w:ascii="Arial" w:cs="Arial" w:eastAsia="Arial" w:hAnsi="Arial"/>
          <w:sz w:val="16"/>
          <w:szCs w:val="16"/>
          <w:color w:val="212529"/>
        </w:rPr>
        <w:t>accumulated deficit of $33.3 million as of September 30, 2020.</w:t>
      </w:r>
    </w:p>
    <w:p>
      <w:pPr>
        <w:spacing w:after="0" w:line="201"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6"/>
          <w:szCs w:val="16"/>
          <w:color w:val="212529"/>
        </w:rPr>
        <w:t xml:space="preserve">We have devoted most of our financial resources to research and development, including our clinical and nonclinical development </w:t>
      </w:r>
      <w:r>
        <w:rPr>
          <w:rFonts w:ascii="Arial" w:cs="Arial" w:eastAsia="Arial" w:hAnsi="Arial"/>
          <w:sz w:val="16"/>
          <w:szCs w:val="16"/>
          <w:color w:val="000000"/>
        </w:rPr>
        <w:t>activities. To date, we have financed</w:t>
      </w:r>
      <w:r>
        <w:rPr>
          <w:rFonts w:ascii="Arial" w:cs="Arial" w:eastAsia="Arial" w:hAnsi="Arial"/>
          <w:sz w:val="16"/>
          <w:szCs w:val="16"/>
          <w:color w:val="212529"/>
        </w:rPr>
        <w:t xml:space="preserve"> </w:t>
      </w:r>
      <w:r>
        <w:rPr>
          <w:rFonts w:ascii="Arial" w:cs="Arial" w:eastAsia="Arial" w:hAnsi="Arial"/>
          <w:sz w:val="16"/>
          <w:szCs w:val="16"/>
          <w:color w:val="000000"/>
        </w:rPr>
        <w:t>our operations primarily with proceeds from the sale and issuance of common stock, convertible preferred stock and convertible notes, and to a lesser extent from grant income and stock option exercises.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42" w:name="page43"/>
    <w:bookmarkEnd w:id="42"/>
    <w:p>
      <w:pPr>
        <w:ind w:left="500"/>
        <w:spacing w:after="0"/>
        <w:rPr>
          <w:sz w:val="20"/>
          <w:szCs w:val="20"/>
          <w:color w:val="auto"/>
        </w:rPr>
      </w:pPr>
      <w:r>
        <w:rPr>
          <w:rFonts w:ascii="Arial" w:cs="Arial" w:eastAsia="Arial" w:hAnsi="Arial"/>
          <w:sz w:val="16"/>
          <w:szCs w:val="16"/>
          <w:color w:val="auto"/>
        </w:rPr>
        <w:t>We expect to incur significant expenses and increasing operating losses for the foreseeable future as we:</w:t>
      </w:r>
    </w:p>
    <w:p>
      <w:pPr>
        <w:spacing w:after="0" w:line="99" w:lineRule="exact"/>
        <w:rPr>
          <w:sz w:val="20"/>
          <w:szCs w:val="20"/>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continue our research and nonclinical and clinical development of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expand the scope of our clinical studies for our current and prospective product candidates;</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initiate additional nonclinical, clinical or other studies for our product candidates, including any pivotal trials with respect to ATH-1017 for the treatment of mild-to-moderate AD in addition to LIFT-AD;</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 or add additional manufacturers or suppliers and manufacture drug supply and drug product for clinical trials and commercialization;</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seek regulatory and marketing approvals for any of our product candidates that successfully complete clinical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attract, hire and retain additional personnel;</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operate as a public company;</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relocate to our new facility and build out lab space;</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seek to identify and validate additional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acquire or in-license other product candidates and technologies;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make milestone or other payments under our in-license or other agreements;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maintain, protect and expand our intellectual property portfolio;</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create additional infrastructure to support our operations and our product development and planned future commercialization efforts;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experience any delays or encounter issues with any of the above.</w:t>
      </w:r>
    </w:p>
    <w:p>
      <w:pPr>
        <w:spacing w:after="0" w:line="217"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16"/>
          <w:szCs w:val="16"/>
          <w:color w:val="212529"/>
        </w:rPr>
        <w:t>studies</w:t>
      </w:r>
      <w:r>
        <w:rPr>
          <w:rFonts w:ascii="Arial" w:cs="Arial" w:eastAsia="Arial" w:hAnsi="Arial"/>
          <w:sz w:val="16"/>
          <w:szCs w:val="16"/>
          <w:color w:val="auto"/>
        </w:rPr>
        <w:t xml:space="preserve"> in addition to those that we currently anticipate. Our prior losses, combined with expected future losses, have had and will continue to have an adverse effect on our stockholders’ equity.</w:t>
      </w:r>
    </w:p>
    <w:p>
      <w:pPr>
        <w:spacing w:after="0" w:line="201"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b w:val="1"/>
          <w:bCs w:val="1"/>
          <w:i w:val="1"/>
          <w:iCs w:val="1"/>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201" w:lineRule="exact"/>
        <w:rPr>
          <w:sz w:val="20"/>
          <w:szCs w:val="20"/>
          <w:color w:val="auto"/>
        </w:rPr>
      </w:pPr>
    </w:p>
    <w:p>
      <w:pPr>
        <w:jc w:val="both"/>
        <w:ind w:firstLine="511"/>
        <w:spacing w:after="0" w:line="323" w:lineRule="auto"/>
        <w:rPr>
          <w:sz w:val="20"/>
          <w:szCs w:val="20"/>
          <w:color w:val="auto"/>
        </w:rPr>
      </w:pPr>
      <w:r>
        <w:rPr>
          <w:rFonts w:ascii="Arial" w:cs="Arial" w:eastAsia="Arial" w:hAnsi="Arial"/>
          <w:sz w:val="13"/>
          <w:szCs w:val="13"/>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AD, PDD, and any other indications that we may pursue in the future will require substantial amounts of capital. In addition, if we </w:t>
      </w:r>
      <w:r>
        <w:rPr>
          <w:rFonts w:ascii="Arial" w:cs="Arial" w:eastAsia="Arial" w:hAnsi="Arial"/>
          <w:sz w:val="13"/>
          <w:szCs w:val="13"/>
          <w:color w:val="212529"/>
        </w:rPr>
        <w:t>obtain marketing approval for ATH-1017 or any future product candidates, we expect to incur significant commercialization expenses related to sales,</w:t>
      </w:r>
      <w:r>
        <w:rPr>
          <w:rFonts w:ascii="Arial" w:cs="Arial" w:eastAsia="Arial" w:hAnsi="Arial"/>
          <w:sz w:val="13"/>
          <w:szCs w:val="13"/>
          <w:color w:val="auto"/>
        </w:rPr>
        <w:t xml:space="preserve"> </w:t>
      </w:r>
      <w:r>
        <w:rPr>
          <w:rFonts w:ascii="Arial" w:cs="Arial" w:eastAsia="Arial" w:hAnsi="Arial"/>
          <w:sz w:val="13"/>
          <w:szCs w:val="13"/>
          <w:color w:val="212529"/>
        </w:rPr>
        <w:t>marketing, manufacturing, and distribution. Furthermore, we expect to continue to incur additional costs associated with operating as a public company.</w:t>
      </w:r>
    </w:p>
    <w:p>
      <w:pPr>
        <w:spacing w:after="0" w:line="149" w:lineRule="exact"/>
        <w:rPr>
          <w:sz w:val="20"/>
          <w:szCs w:val="20"/>
          <w:color w:val="auto"/>
        </w:rPr>
      </w:pPr>
    </w:p>
    <w:p>
      <w:pPr>
        <w:jc w:val="both"/>
        <w:ind w:firstLine="511"/>
        <w:spacing w:after="0" w:line="272" w:lineRule="auto"/>
        <w:rPr>
          <w:sz w:val="20"/>
          <w:szCs w:val="20"/>
          <w:color w:val="auto"/>
        </w:rPr>
      </w:pPr>
      <w:r>
        <w:rPr>
          <w:rFonts w:ascii="Arial" w:cs="Arial" w:eastAsia="Arial" w:hAnsi="Arial"/>
          <w:sz w:val="15"/>
          <w:szCs w:val="15"/>
          <w:color w:val="212529"/>
        </w:rPr>
        <w:t>Accordingly, we will need to obtain substantial additional funding in connection with our continuing operations. As of September 30, 2020, we had cash, cash equivalents, and investments of $259.9 million. Based upon our current operating plan, we estimate that our existing cash and cash equivalents, including the net proceeds from our IPO,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43" w:name="page44"/>
    <w:bookmarkEnd w:id="43"/>
    <w:p>
      <w:pPr>
        <w:ind w:left="500"/>
        <w:spacing w:after="0"/>
        <w:rPr>
          <w:sz w:val="20"/>
          <w:szCs w:val="20"/>
          <w:color w:val="auto"/>
        </w:rPr>
      </w:pPr>
      <w:r>
        <w:rPr>
          <w:rFonts w:ascii="Arial" w:cs="Arial" w:eastAsia="Arial" w:hAnsi="Arial"/>
          <w:sz w:val="15"/>
          <w:szCs w:val="15"/>
          <w:color w:val="212529"/>
        </w:rPr>
        <w:t xml:space="preserve">The </w:t>
      </w:r>
      <w:r>
        <w:rPr>
          <w:rFonts w:ascii="Arial" w:cs="Arial" w:eastAsia="Arial" w:hAnsi="Arial"/>
          <w:sz w:val="15"/>
          <w:szCs w:val="15"/>
          <w:color w:val="000000"/>
        </w:rPr>
        <w:t>amount and timing of our future funding requirements depends on many factors, some of which are outside of our control, including but not limited to:</w:t>
      </w:r>
    </w:p>
    <w:p>
      <w:pPr>
        <w:spacing w:after="0" w:line="110" w:lineRule="exact"/>
        <w:rPr>
          <w:sz w:val="20"/>
          <w:szCs w:val="20"/>
          <w:color w:val="auto"/>
        </w:rPr>
      </w:pPr>
    </w:p>
    <w:p>
      <w:pPr>
        <w:ind w:left="1000" w:hanging="499"/>
        <w:spacing w:after="0" w:line="266"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progress, costs, clinical trial design, results of and timing of our LIFT-AD trial and other clinical trials of ATH-1017, including for potential additional indications that we are pursuing beyond AD, such as PDD;</w:t>
      </w:r>
    </w:p>
    <w:p>
      <w:pPr>
        <w:spacing w:after="0" w:line="63"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willingness of the FDA and EMA to accept our LIFT-AD trial, as well as data from our completed and planned clinical and nonclinical studies and other work, as the basis for review and approval of ATH-1017 for AD;</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outcome, costs and timing of seeking and obtaining FDA, EMA and any other regulatory approvals;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and characteristics of product candidates that we pursue;</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manufacture sufficient quantities of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need to expand our research and development activities;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associated with securing and establishing commercialization and manufacturing capabilities;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acquiring, licensing or investing in businesses, product candidates and technologies;</w:t>
      </w:r>
    </w:p>
    <w:p>
      <w:pPr>
        <w:spacing w:after="0" w:line="98" w:lineRule="exact"/>
        <w:rPr>
          <w:rFonts w:ascii="Arial" w:cs="Arial" w:eastAsia="Arial" w:hAnsi="Arial"/>
          <w:sz w:val="16"/>
          <w:szCs w:val="16"/>
          <w:color w:val="auto"/>
        </w:rPr>
      </w:pPr>
    </w:p>
    <w:p>
      <w:pPr>
        <w:ind w:left="1000" w:hanging="499"/>
        <w:spacing w:after="0" w:line="378"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need and ability to retain management and hire scientific, clinical and other personnel;</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 of competing drugs and product candidates and other market developments;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economic and other terms, timing of and success of any collaboration, licensing or other arrangements into which we may enter in the future.</w:t>
      </w:r>
    </w:p>
    <w:p>
      <w:pPr>
        <w:spacing w:after="0" w:line="217"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5"/>
          <w:szCs w:val="15"/>
          <w:color w:val="auto"/>
        </w:rPr>
        <w:t xml:space="preserve">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15"/>
          <w:szCs w:val="15"/>
          <w:color w:val="212529"/>
        </w:rPr>
        <w:t>unable</w:t>
      </w:r>
      <w:r>
        <w:rPr>
          <w:rFonts w:ascii="Arial" w:cs="Arial" w:eastAsia="Arial" w:hAnsi="Arial"/>
          <w:sz w:val="15"/>
          <w:szCs w:val="15"/>
          <w:color w:val="auto"/>
        </w:rPr>
        <w:t xml:space="preserv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212529"/>
        </w:rPr>
        <w:t xml:space="preserve">Our ability to use net operating </w:t>
      </w:r>
      <w:r>
        <w:rPr>
          <w:rFonts w:ascii="Arial" w:cs="Arial" w:eastAsia="Arial" w:hAnsi="Arial"/>
          <w:sz w:val="16"/>
          <w:szCs w:val="16"/>
          <w:b w:val="1"/>
          <w:bCs w:val="1"/>
          <w:i w:val="1"/>
          <w:iCs w:val="1"/>
          <w:color w:val="000000"/>
        </w:rPr>
        <w:t>losses</w:t>
      </w:r>
      <w:r>
        <w:rPr>
          <w:rFonts w:ascii="Arial" w:cs="Arial" w:eastAsia="Arial" w:hAnsi="Arial"/>
          <w:sz w:val="16"/>
          <w:szCs w:val="16"/>
          <w:b w:val="1"/>
          <w:bCs w:val="1"/>
          <w:i w:val="1"/>
          <w:iCs w:val="1"/>
          <w:color w:val="212529"/>
        </w:rPr>
        <w:t xml:space="preserve"> to offset future taxable income may be subject to certain limitations.</w:t>
      </w:r>
    </w:p>
    <w:p>
      <w:pPr>
        <w:spacing w:after="0" w:line="229"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5"/>
          <w:szCs w:val="15"/>
          <w:color w:val="212529"/>
        </w:rPr>
        <w:t xml:space="preserve">As of December 31, 2019, we had federal net operating loss carryforwards, or NOLs, to offset future taxable income of approximately $9.4 million and federal tax credit carryforwards of approximately $1.0 million. The federal NOLs generated during and after fiscal 2018 totaling $9.2 million are carried forward indefinitely, while all others, if not utilized, will expire in various </w:t>
      </w:r>
      <w:r>
        <w:rPr>
          <w:rFonts w:ascii="Arial" w:cs="Arial" w:eastAsia="Arial" w:hAnsi="Arial"/>
          <w:sz w:val="15"/>
          <w:szCs w:val="15"/>
          <w:color w:val="000000"/>
        </w:rPr>
        <w:t>years</w:t>
      </w:r>
      <w:r>
        <w:rPr>
          <w:rFonts w:ascii="Arial" w:cs="Arial" w:eastAsia="Arial" w:hAnsi="Arial"/>
          <w:sz w:val="15"/>
          <w:szCs w:val="15"/>
          <w:color w:val="212529"/>
        </w:rPr>
        <w:t xml:space="preserve">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We have recorded a full valuation allowance related to our NOLs and other deferred tax assets due to the uncertainty of the ultimate realization of the future benefits of those assets.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44" w:name="page45"/>
    <w:bookmarkEnd w:id="44"/>
    <w:p>
      <w:pPr>
        <w:ind w:left="500"/>
        <w:spacing w:after="0"/>
        <w:rPr>
          <w:sz w:val="20"/>
          <w:szCs w:val="20"/>
          <w:color w:val="auto"/>
        </w:rPr>
      </w:pPr>
      <w:r>
        <w:rPr>
          <w:rFonts w:ascii="Arial" w:cs="Arial" w:eastAsia="Arial" w:hAnsi="Arial"/>
          <w:sz w:val="16"/>
          <w:szCs w:val="16"/>
          <w:b w:val="1"/>
          <w:bCs w:val="1"/>
          <w:color w:val="auto"/>
        </w:rPr>
        <w:t>Risks Relating to Regulatory Approval and Other Legal Compliance Matters</w:t>
      </w:r>
    </w:p>
    <w:p>
      <w:pPr>
        <w:spacing w:after="0" w:line="221" w:lineRule="exact"/>
        <w:rPr>
          <w:sz w:val="20"/>
          <w:szCs w:val="20"/>
          <w:color w:val="auto"/>
        </w:rPr>
      </w:pPr>
    </w:p>
    <w:p>
      <w:pPr>
        <w:jc w:val="both"/>
        <w:ind w:right="20" w:firstLine="511"/>
        <w:spacing w:after="0" w:line="281" w:lineRule="auto"/>
        <w:rPr>
          <w:sz w:val="20"/>
          <w:szCs w:val="20"/>
          <w:color w:val="auto"/>
        </w:rPr>
      </w:pPr>
      <w:r>
        <w:rPr>
          <w:rFonts w:ascii="Arial" w:cs="Arial" w:eastAsia="Arial" w:hAnsi="Arial"/>
          <w:sz w:val="15"/>
          <w:szCs w:val="15"/>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84" w:lineRule="exact"/>
        <w:rPr>
          <w:sz w:val="20"/>
          <w:szCs w:val="20"/>
          <w:color w:val="auto"/>
        </w:rPr>
      </w:pPr>
    </w:p>
    <w:p>
      <w:pPr>
        <w:jc w:val="both"/>
        <w:ind w:right="20" w:firstLine="511"/>
        <w:spacing w:after="0" w:line="343" w:lineRule="auto"/>
        <w:rPr>
          <w:sz w:val="20"/>
          <w:szCs w:val="20"/>
          <w:color w:val="auto"/>
        </w:rPr>
      </w:pPr>
      <w:r>
        <w:rPr>
          <w:rFonts w:ascii="Arial" w:cs="Arial" w:eastAsia="Arial" w:hAnsi="Arial"/>
          <w:sz w:val="13"/>
          <w:szCs w:val="13"/>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149" w:lineRule="exact"/>
        <w:rPr>
          <w:sz w:val="20"/>
          <w:szCs w:val="20"/>
          <w:color w:val="auto"/>
        </w:rPr>
      </w:pPr>
    </w:p>
    <w:p>
      <w:pPr>
        <w:jc w:val="both"/>
        <w:ind w:firstLine="511"/>
        <w:spacing w:after="0" w:line="312" w:lineRule="auto"/>
        <w:rPr>
          <w:sz w:val="20"/>
          <w:szCs w:val="20"/>
          <w:color w:val="auto"/>
        </w:rPr>
      </w:pPr>
      <w:r>
        <w:rPr>
          <w:rFonts w:ascii="Arial" w:cs="Arial" w:eastAsia="Arial" w:hAnsi="Arial"/>
          <w:sz w:val="13"/>
          <w:szCs w:val="13"/>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3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Applications for our product candidates could fail to receive regulatory approval for many reasons, including the following:</w:t>
      </w:r>
    </w:p>
    <w:p>
      <w:pPr>
        <w:spacing w:after="0" w:line="99" w:lineRule="exact"/>
        <w:rPr>
          <w:sz w:val="20"/>
          <w:szCs w:val="20"/>
          <w:color w:val="auto"/>
        </w:rPr>
      </w:pPr>
    </w:p>
    <w:p>
      <w:pPr>
        <w:ind w:left="1000" w:hanging="499"/>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or other comparable foreign regulatory authorities may disagree with the design, implementation or results of our clinical trials;</w:t>
      </w:r>
    </w:p>
    <w:p>
      <w:pPr>
        <w:spacing w:after="0" w:line="98" w:lineRule="exact"/>
        <w:rPr>
          <w:rFonts w:ascii="Arial" w:cs="Arial" w:eastAsia="Arial" w:hAnsi="Arial"/>
          <w:sz w:val="16"/>
          <w:szCs w:val="16"/>
          <w:color w:val="auto"/>
        </w:rPr>
      </w:pPr>
    </w:p>
    <w:p>
      <w:pPr>
        <w:ind w:left="1000" w:right="20" w:hanging="499"/>
        <w:spacing w:after="0" w:line="300" w:lineRule="auto"/>
        <w:tabs>
          <w:tab w:leader="none" w:pos="10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40" w:lineRule="exact"/>
        <w:rPr>
          <w:rFonts w:ascii="Arial" w:cs="Arial" w:eastAsia="Arial" w:hAnsi="Arial"/>
          <w:sz w:val="15"/>
          <w:szCs w:val="15"/>
          <w:color w:val="auto"/>
        </w:rPr>
      </w:pPr>
    </w:p>
    <w:p>
      <w:pPr>
        <w:ind w:left="1000" w:hanging="499"/>
        <w:spacing w:after="0" w:line="266"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population studied in the clinical trial may not be sufficiently broad or representative to assure efficacy and safety in the full population for which we seek approval;</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or other comparable foreign regulatory authorities may disagree with our interpretation of data from nonclinical studies or clinical trials;</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unable to demonstrate to the FDA or other comparable foreign regulatory authorities that our product candidate’s risk-benefit ratio for its proposed indication is acceptable;</w:t>
      </w:r>
    </w:p>
    <w:p>
      <w:pPr>
        <w:spacing w:after="0" w:line="63"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63"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other comparable foreign regulatory authorities may significantly change in a manner rendering our clinical data insufficient for approval.</w:t>
      </w:r>
    </w:p>
    <w:p>
      <w:pPr>
        <w:spacing w:after="0" w:line="193" w:lineRule="exact"/>
        <w:rPr>
          <w:sz w:val="20"/>
          <w:szCs w:val="20"/>
          <w:color w:val="auto"/>
        </w:rPr>
      </w:pPr>
    </w:p>
    <w:p>
      <w:pPr>
        <w:jc w:val="both"/>
        <w:ind w:firstLine="511"/>
        <w:spacing w:after="0" w:line="319" w:lineRule="auto"/>
        <w:rPr>
          <w:sz w:val="20"/>
          <w:szCs w:val="20"/>
          <w:color w:val="auto"/>
        </w:rPr>
      </w:pPr>
      <w:r>
        <w:rPr>
          <w:rFonts w:ascii="Arial" w:cs="Arial" w:eastAsia="Arial" w:hAnsi="Arial"/>
          <w:sz w:val="13"/>
          <w:szCs w:val="13"/>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45" w:name="page46"/>
    <w:bookmarkEnd w:id="45"/>
    <w:p>
      <w:pPr>
        <w:jc w:val="both"/>
        <w:ind w:right="20" w:firstLine="511"/>
        <w:spacing w:after="0" w:line="256" w:lineRule="auto"/>
        <w:rPr>
          <w:sz w:val="20"/>
          <w:szCs w:val="20"/>
          <w:color w:val="auto"/>
        </w:rPr>
      </w:pPr>
      <w:r>
        <w:rPr>
          <w:rFonts w:ascii="Arial" w:cs="Arial" w:eastAsia="Arial" w:hAnsi="Arial"/>
          <w:sz w:val="16"/>
          <w:szCs w:val="16"/>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189"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01" w:lineRule="exact"/>
        <w:rPr>
          <w:sz w:val="20"/>
          <w:szCs w:val="20"/>
          <w:color w:val="auto"/>
        </w:rPr>
      </w:pPr>
    </w:p>
    <w:p>
      <w:pPr>
        <w:jc w:val="both"/>
        <w:ind w:firstLine="516"/>
        <w:spacing w:after="0" w:line="323" w:lineRule="auto"/>
        <w:rPr>
          <w:sz w:val="20"/>
          <w:szCs w:val="20"/>
          <w:color w:val="auto"/>
        </w:rPr>
      </w:pPr>
      <w:r>
        <w:rPr>
          <w:rFonts w:ascii="Arial" w:cs="Arial" w:eastAsia="Arial" w:hAnsi="Arial"/>
          <w:sz w:val="13"/>
          <w:szCs w:val="13"/>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61" w:lineRule="exact"/>
        <w:rPr>
          <w:sz w:val="20"/>
          <w:szCs w:val="20"/>
          <w:color w:val="auto"/>
        </w:rPr>
      </w:pPr>
    </w:p>
    <w:p>
      <w:pPr>
        <w:jc w:val="both"/>
        <w:ind w:firstLine="516"/>
        <w:spacing w:after="0" w:line="250" w:lineRule="auto"/>
        <w:rPr>
          <w:sz w:val="20"/>
          <w:szCs w:val="20"/>
          <w:color w:val="auto"/>
        </w:rPr>
      </w:pPr>
      <w:r>
        <w:rPr>
          <w:rFonts w:ascii="Arial" w:cs="Arial" w:eastAsia="Arial" w:hAnsi="Arial"/>
          <w:sz w:val="16"/>
          <w:szCs w:val="16"/>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94" w:lineRule="exact"/>
        <w:rPr>
          <w:sz w:val="20"/>
          <w:szCs w:val="20"/>
          <w:color w:val="auto"/>
        </w:rPr>
      </w:pPr>
    </w:p>
    <w:p>
      <w:pPr>
        <w:jc w:val="both"/>
        <w:ind w:firstLine="516"/>
        <w:spacing w:after="0" w:line="310" w:lineRule="auto"/>
        <w:rPr>
          <w:sz w:val="20"/>
          <w:szCs w:val="20"/>
          <w:color w:val="auto"/>
        </w:rPr>
      </w:pPr>
      <w:r>
        <w:rPr>
          <w:rFonts w:ascii="Arial" w:cs="Arial" w:eastAsia="Arial" w:hAnsi="Arial"/>
          <w:sz w:val="13"/>
          <w:szCs w:val="13"/>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364" w:lineRule="exact"/>
        <w:rPr>
          <w:sz w:val="20"/>
          <w:szCs w:val="20"/>
          <w:color w:val="auto"/>
        </w:rPr>
      </w:pPr>
    </w:p>
    <w:p>
      <w:pPr>
        <w:jc w:val="both"/>
        <w:ind w:firstLine="516"/>
        <w:spacing w:after="0" w:line="275" w:lineRule="auto"/>
        <w:rPr>
          <w:sz w:val="20"/>
          <w:szCs w:val="20"/>
          <w:color w:val="auto"/>
        </w:rPr>
      </w:pPr>
      <w:r>
        <w:rPr>
          <w:rFonts w:ascii="Arial" w:cs="Arial" w:eastAsia="Arial" w:hAnsi="Arial"/>
          <w:sz w:val="15"/>
          <w:szCs w:val="15"/>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188"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82" w:lineRule="exact"/>
        <w:rPr>
          <w:sz w:val="20"/>
          <w:szCs w:val="20"/>
          <w:color w:val="auto"/>
        </w:rPr>
      </w:pPr>
    </w:p>
    <w:p>
      <w:pPr>
        <w:jc w:val="both"/>
        <w:ind w:firstLine="511"/>
        <w:spacing w:after="0" w:line="316" w:lineRule="auto"/>
        <w:rPr>
          <w:sz w:val="20"/>
          <w:szCs w:val="20"/>
          <w:color w:val="auto"/>
        </w:rPr>
      </w:pPr>
      <w:r>
        <w:rPr>
          <w:rFonts w:ascii="Arial" w:cs="Arial" w:eastAsia="Arial" w:hAnsi="Arial"/>
          <w:sz w:val="13"/>
          <w:szCs w:val="13"/>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46" w:name="page47"/>
    <w:bookmarkEnd w:id="46"/>
    <w:p>
      <w:pPr>
        <w:jc w:val="both"/>
        <w:ind w:firstLine="511"/>
        <w:spacing w:after="0" w:line="272" w:lineRule="auto"/>
        <w:rPr>
          <w:sz w:val="20"/>
          <w:szCs w:val="20"/>
          <w:color w:val="auto"/>
        </w:rPr>
      </w:pPr>
      <w:r>
        <w:rPr>
          <w:rFonts w:ascii="Arial" w:cs="Arial" w:eastAsia="Arial" w:hAnsi="Arial"/>
          <w:sz w:val="15"/>
          <w:szCs w:val="15"/>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8"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01"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65" w:lineRule="exact"/>
        <w:rPr>
          <w:sz w:val="20"/>
          <w:szCs w:val="20"/>
          <w:color w:val="auto"/>
        </w:rPr>
      </w:pPr>
    </w:p>
    <w:p>
      <w:pPr>
        <w:ind w:left="1000" w:hanging="499"/>
        <w:spacing w:after="0"/>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restrictions on the marketing or manufacturing of our product candidates, withdrawal of the product from the market or voluntary or mandatory product recalls;</w:t>
      </w:r>
    </w:p>
    <w:p>
      <w:pPr>
        <w:spacing w:after="0" w:line="133" w:lineRule="exact"/>
        <w:rPr>
          <w:rFonts w:ascii="Arial" w:cs="Arial" w:eastAsia="Arial" w:hAnsi="Arial"/>
          <w:sz w:val="13"/>
          <w:szCs w:val="13"/>
          <w:color w:val="auto"/>
        </w:rPr>
      </w:pPr>
    </w:p>
    <w:p>
      <w:pPr>
        <w:ind w:left="1000" w:hanging="499"/>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manufacturing delays and supply disruptions where regulatory inspections identify observations of noncompliance requiring remediation;</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revisions to the labeling, including limitation on approved uses or the addition of additional warnings, contraindications or other safety information, including boxed warnings;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imposition of a REMS, which may include distribution or use restrictions;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requirements to conduct additional post-market clinical trials to assess the safety of the product;</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fines, warning letters or holds on clinical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refusal by the FDA to approve pending applications or supplements to approved applications filed by us or suspension or revocation of approvals;</w:t>
      </w:r>
    </w:p>
    <w:p>
      <w:pPr>
        <w:spacing w:after="0" w:line="110" w:lineRule="exact"/>
        <w:rPr>
          <w:rFonts w:ascii="Arial" w:cs="Arial" w:eastAsia="Arial" w:hAnsi="Arial"/>
          <w:sz w:val="15"/>
          <w:szCs w:val="15"/>
          <w:color w:val="auto"/>
        </w:rPr>
      </w:pPr>
    </w:p>
    <w:p>
      <w:pPr>
        <w:ind w:left="1000" w:hanging="499"/>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our product candidates;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229" w:lineRule="exact"/>
        <w:rPr>
          <w:sz w:val="20"/>
          <w:szCs w:val="20"/>
          <w:color w:val="auto"/>
        </w:rPr>
      </w:pPr>
    </w:p>
    <w:p>
      <w:pPr>
        <w:jc w:val="both"/>
        <w:ind w:firstLine="511"/>
        <w:spacing w:after="0" w:line="329" w:lineRule="auto"/>
        <w:rPr>
          <w:sz w:val="20"/>
          <w:szCs w:val="20"/>
          <w:color w:val="auto"/>
        </w:rPr>
      </w:pPr>
      <w:r>
        <w:rPr>
          <w:rFonts w:ascii="Arial" w:cs="Arial" w:eastAsia="Arial" w:hAnsi="Arial"/>
          <w:sz w:val="13"/>
          <w:szCs w:val="13"/>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7" w:lineRule="exact"/>
        <w:rPr>
          <w:sz w:val="20"/>
          <w:szCs w:val="20"/>
          <w:color w:val="auto"/>
        </w:rPr>
      </w:pPr>
    </w:p>
    <w:p>
      <w:pPr>
        <w:jc w:val="both"/>
        <w:ind w:right="20" w:firstLine="511"/>
        <w:spacing w:after="0" w:line="251" w:lineRule="auto"/>
        <w:rPr>
          <w:sz w:val="20"/>
          <w:szCs w:val="20"/>
          <w:color w:val="auto"/>
        </w:rPr>
      </w:pPr>
      <w:r>
        <w:rPr>
          <w:rFonts w:ascii="Arial" w:cs="Arial" w:eastAsia="Arial" w:hAnsi="Arial"/>
          <w:sz w:val="16"/>
          <w:szCs w:val="16"/>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47" w:name="page48"/>
    <w:bookmarkEnd w:id="47"/>
    <w:p>
      <w:pPr>
        <w:jc w:val="both"/>
        <w:ind w:firstLine="511"/>
        <w:spacing w:after="0" w:line="312" w:lineRule="auto"/>
        <w:rPr>
          <w:sz w:val="20"/>
          <w:szCs w:val="20"/>
          <w:color w:val="auto"/>
        </w:rPr>
      </w:pPr>
      <w:r>
        <w:rPr>
          <w:rFonts w:ascii="Arial" w:cs="Arial" w:eastAsia="Arial" w:hAnsi="Arial"/>
          <w:sz w:val="13"/>
          <w:szCs w:val="13"/>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1"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03"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05" w:lineRule="exact"/>
        <w:rPr>
          <w:sz w:val="20"/>
          <w:szCs w:val="20"/>
          <w:color w:val="auto"/>
        </w:rPr>
      </w:pPr>
    </w:p>
    <w:p>
      <w:pPr>
        <w:jc w:val="both"/>
        <w:ind w:firstLine="516"/>
        <w:spacing w:after="0" w:line="311" w:lineRule="auto"/>
        <w:rPr>
          <w:sz w:val="20"/>
          <w:szCs w:val="20"/>
          <w:color w:val="auto"/>
        </w:rPr>
      </w:pPr>
      <w:r>
        <w:rPr>
          <w:rFonts w:ascii="Arial" w:cs="Arial" w:eastAsia="Arial" w:hAnsi="Arial"/>
          <w:sz w:val="13"/>
          <w:szCs w:val="13"/>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161" w:lineRule="exact"/>
        <w:rPr>
          <w:sz w:val="20"/>
          <w:szCs w:val="20"/>
          <w:color w:val="auto"/>
        </w:rPr>
      </w:pPr>
    </w:p>
    <w:p>
      <w:pPr>
        <w:jc w:val="both"/>
        <w:ind w:right="20" w:firstLine="516"/>
        <w:spacing w:after="0" w:line="329" w:lineRule="auto"/>
        <w:rPr>
          <w:sz w:val="20"/>
          <w:szCs w:val="20"/>
          <w:color w:val="auto"/>
        </w:rPr>
      </w:pPr>
      <w:r>
        <w:rPr>
          <w:rFonts w:ascii="Arial" w:cs="Arial" w:eastAsia="Arial" w:hAnsi="Arial"/>
          <w:sz w:val="13"/>
          <w:szCs w:val="13"/>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59" w:lineRule="exact"/>
        <w:rPr>
          <w:sz w:val="20"/>
          <w:szCs w:val="20"/>
          <w:color w:val="auto"/>
        </w:rPr>
      </w:pPr>
    </w:p>
    <w:p>
      <w:pPr>
        <w:jc w:val="both"/>
        <w:ind w:firstLine="516"/>
        <w:spacing w:after="0" w:line="312" w:lineRule="auto"/>
        <w:rPr>
          <w:sz w:val="20"/>
          <w:szCs w:val="20"/>
          <w:color w:val="auto"/>
        </w:rPr>
      </w:pPr>
      <w:r>
        <w:rPr>
          <w:rFonts w:ascii="Arial" w:cs="Arial" w:eastAsia="Arial" w:hAnsi="Arial"/>
          <w:sz w:val="13"/>
          <w:szCs w:val="13"/>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48" w:name="page49"/>
    <w:bookmarkEnd w:id="48"/>
    <w:p>
      <w:pPr>
        <w:jc w:val="both"/>
        <w:ind w:firstLine="511"/>
        <w:spacing w:after="0" w:line="314" w:lineRule="auto"/>
        <w:rPr>
          <w:sz w:val="20"/>
          <w:szCs w:val="20"/>
          <w:color w:val="auto"/>
        </w:rPr>
      </w:pPr>
      <w:r>
        <w:rPr>
          <w:rFonts w:ascii="Arial" w:cs="Arial" w:eastAsia="Arial" w:hAnsi="Arial"/>
          <w:sz w:val="13"/>
          <w:szCs w:val="13"/>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345"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193"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73" w:lineRule="exact"/>
        <w:rPr>
          <w:sz w:val="20"/>
          <w:szCs w:val="20"/>
          <w:color w:val="auto"/>
        </w:rPr>
      </w:pPr>
    </w:p>
    <w:p>
      <w:pPr>
        <w:ind w:left="1000" w:hanging="499"/>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to our manufacturing arrangements;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additions or modifications to product labeling;</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recall or discontinuation of our products; or</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additional record-keeping requirements. If any such changes were to be imposed, they could adversely affect the operation of our business.</w:t>
      </w:r>
    </w:p>
    <w:p>
      <w:pPr>
        <w:spacing w:after="0" w:line="229" w:lineRule="exact"/>
        <w:rPr>
          <w:sz w:val="20"/>
          <w:szCs w:val="20"/>
          <w:color w:val="auto"/>
        </w:rPr>
      </w:pPr>
    </w:p>
    <w:p>
      <w:pPr>
        <w:jc w:val="both"/>
        <w:ind w:firstLine="516"/>
        <w:spacing w:after="0" w:line="310" w:lineRule="auto"/>
        <w:rPr>
          <w:sz w:val="20"/>
          <w:szCs w:val="20"/>
          <w:color w:val="auto"/>
        </w:rPr>
      </w:pPr>
      <w:r>
        <w:rPr>
          <w:rFonts w:ascii="Arial" w:cs="Arial" w:eastAsia="Arial" w:hAnsi="Arial"/>
          <w:sz w:val="13"/>
          <w:szCs w:val="13"/>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352" w:lineRule="exact"/>
        <w:rPr>
          <w:sz w:val="20"/>
          <w:szCs w:val="20"/>
          <w:color w:val="auto"/>
        </w:rPr>
      </w:pPr>
    </w:p>
    <w:p>
      <w:pPr>
        <w:jc w:val="both"/>
        <w:ind w:firstLine="516"/>
        <w:spacing w:after="0" w:line="311" w:lineRule="auto"/>
        <w:rPr>
          <w:sz w:val="20"/>
          <w:szCs w:val="20"/>
          <w:color w:val="auto"/>
        </w:rPr>
      </w:pPr>
      <w:r>
        <w:rPr>
          <w:rFonts w:ascii="Arial" w:cs="Arial" w:eastAsia="Arial" w:hAnsi="Arial"/>
          <w:sz w:val="13"/>
          <w:szCs w:val="13"/>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TCJA,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TCJA,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has allocated one hour for oral arguments, which are expected to occur in the fall. It is unclear how such litigation and other efforts to repeal and replace the ACA will be affected by the results of the U.S. general election in November 2020 and how such efforts will impact the ACA and our business. Litigation and legislation over the ACA are likely to continue, with unpredictable and uncertain results.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49" w:name="page50"/>
    <w:bookmarkEnd w:id="49"/>
    <w:p>
      <w:pPr>
        <w:jc w:val="both"/>
        <w:ind w:firstLine="511"/>
        <w:spacing w:after="0" w:line="312" w:lineRule="auto"/>
        <w:rPr>
          <w:sz w:val="20"/>
          <w:szCs w:val="20"/>
          <w:color w:val="auto"/>
        </w:rPr>
      </w:pPr>
      <w:r>
        <w:rPr>
          <w:rFonts w:ascii="Arial" w:cs="Arial" w:eastAsia="Arial" w:hAnsi="Arial"/>
          <w:sz w:val="13"/>
          <w:szCs w:val="13"/>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to third-party payors more than $12 billion in ACA risk corridor payments that they argued were owed to them. This was appealed to the U.S. Supreme Court, who reversed the Federal Circuit’s decision on April 27, 2020, and ruled that the government must make risk corridor payments.</w:t>
      </w:r>
    </w:p>
    <w:p>
      <w:pPr>
        <w:spacing w:after="0" w:line="350" w:lineRule="exact"/>
        <w:rPr>
          <w:sz w:val="20"/>
          <w:szCs w:val="20"/>
          <w:color w:val="auto"/>
        </w:rPr>
      </w:pPr>
    </w:p>
    <w:p>
      <w:pPr>
        <w:jc w:val="both"/>
        <w:ind w:firstLine="511"/>
        <w:spacing w:after="0" w:line="308" w:lineRule="auto"/>
        <w:rPr>
          <w:sz w:val="20"/>
          <w:szCs w:val="20"/>
          <w:color w:val="auto"/>
        </w:rPr>
      </w:pPr>
      <w:r>
        <w:rPr>
          <w:rFonts w:ascii="Arial" w:cs="Arial" w:eastAsia="Arial" w:hAnsi="Arial"/>
          <w:sz w:val="13"/>
          <w:szCs w:val="13"/>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repealed the Cadillac tax,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200" w:lineRule="exact"/>
        <w:rPr>
          <w:sz w:val="20"/>
          <w:szCs w:val="20"/>
          <w:color w:val="auto"/>
        </w:rPr>
      </w:pPr>
    </w:p>
    <w:p>
      <w:pPr>
        <w:spacing w:after="0" w:line="356"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5"/>
          <w:szCs w:val="15"/>
          <w:color w:val="auto"/>
        </w:rPr>
        <w:t>In addition, other legislative changes have been proposed and adopted since the ACA was enacted.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It is unclear to what extent the results of the U.S. general election in November 2020 will affect these policies and what the effects will be on our business.</w:t>
      </w:r>
    </w:p>
    <w:p>
      <w:pPr>
        <w:spacing w:after="0" w:line="199"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5"/>
          <w:szCs w:val="15"/>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50" w:name="page51"/>
    <w:bookmarkEnd w:id="50"/>
    <w:p>
      <w:pPr>
        <w:jc w:val="both"/>
        <w:ind w:firstLine="511"/>
        <w:spacing w:after="0" w:line="268" w:lineRule="auto"/>
        <w:rPr>
          <w:sz w:val="20"/>
          <w:szCs w:val="20"/>
          <w:color w:val="auto"/>
        </w:rPr>
      </w:pPr>
      <w:r>
        <w:rPr>
          <w:rFonts w:ascii="Arial" w:cs="Arial" w:eastAsia="Arial" w:hAnsi="Arial"/>
          <w:sz w:val="15"/>
          <w:szCs w:val="15"/>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4"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01"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3" w:lineRule="exact"/>
        <w:rPr>
          <w:sz w:val="20"/>
          <w:szCs w:val="20"/>
          <w:color w:val="auto"/>
        </w:rPr>
      </w:pPr>
    </w:p>
    <w:p>
      <w:pPr>
        <w:ind w:left="1000" w:hanging="49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demand for our product candidates, if we obtain regulatory approval;</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set a price that we believe is fair for our products;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obtain coverage and reimbursement approval for a product;</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generate revenue and achieve or maintain profitability;</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level of taxes that we are required to pay;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availability of capital.</w:t>
      </w:r>
    </w:p>
    <w:p>
      <w:pPr>
        <w:spacing w:after="0" w:line="229"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Any reduction in reimbursement from Medicare or other government programs may result in a similar reduction in payments from private payors, which may adversely affect our future profitability.</w:t>
      </w:r>
    </w:p>
    <w:p>
      <w:pPr>
        <w:spacing w:after="0" w:line="182"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affected by the results of the U.S. general election in November 2020,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95"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5"/>
          <w:szCs w:val="15"/>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88"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The laws that may affect our ability to operate include, but are not limited to:</w:t>
      </w:r>
    </w:p>
    <w:p>
      <w:pPr>
        <w:spacing w:after="0" w:line="99" w:lineRule="exact"/>
        <w:rPr>
          <w:sz w:val="20"/>
          <w:szCs w:val="20"/>
          <w:color w:val="auto"/>
        </w:rPr>
      </w:pPr>
    </w:p>
    <w:p>
      <w:pPr>
        <w:jc w:val="both"/>
        <w:ind w:left="500" w:hanging="499"/>
        <w:spacing w:after="0" w:line="267" w:lineRule="auto"/>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65" w:lineRule="exact"/>
        <w:rPr>
          <w:rFonts w:ascii="Arial" w:cs="Arial" w:eastAsia="Arial" w:hAnsi="Arial"/>
          <w:sz w:val="15"/>
          <w:szCs w:val="15"/>
          <w:color w:val="auto"/>
        </w:rPr>
      </w:pPr>
    </w:p>
    <w:p>
      <w:pPr>
        <w:jc w:val="both"/>
        <w:ind w:left="500" w:hanging="499"/>
        <w:spacing w:after="0" w:line="267" w:lineRule="auto"/>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65" w:lineRule="exact"/>
        <w:rPr>
          <w:rFonts w:ascii="Arial" w:cs="Arial" w:eastAsia="Arial" w:hAnsi="Arial"/>
          <w:sz w:val="15"/>
          <w:szCs w:val="15"/>
          <w:color w:val="auto"/>
        </w:rPr>
      </w:pPr>
    </w:p>
    <w:p>
      <w:pPr>
        <w:jc w:val="both"/>
        <w:ind w:left="500" w:hanging="499"/>
        <w:spacing w:after="0" w:line="319"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33" w:lineRule="exact"/>
        <w:rPr>
          <w:rFonts w:ascii="Arial" w:cs="Arial" w:eastAsia="Arial" w:hAnsi="Arial"/>
          <w:sz w:val="13"/>
          <w:szCs w:val="13"/>
          <w:color w:val="auto"/>
        </w:rPr>
      </w:pPr>
    </w:p>
    <w:p>
      <w:pPr>
        <w:jc w:val="both"/>
        <w:ind w:left="500" w:hanging="499"/>
        <w:spacing w:after="0" w:line="319"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33" w:lineRule="exact"/>
        <w:rPr>
          <w:rFonts w:ascii="Arial" w:cs="Arial" w:eastAsia="Arial" w:hAnsi="Arial"/>
          <w:sz w:val="13"/>
          <w:szCs w:val="13"/>
          <w:color w:val="auto"/>
        </w:rPr>
      </w:pPr>
    </w:p>
    <w:p>
      <w:pPr>
        <w:jc w:val="both"/>
        <w:ind w:left="500" w:hanging="499"/>
        <w:spacing w:after="0" w:line="270" w:lineRule="auto"/>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payments and transfers of value made and ownership interests held during the previous year to certain non-physician providers such as physician assistants and nurse practitioners.</w:t>
      </w:r>
    </w:p>
    <w:p>
      <w:pPr>
        <w:spacing w:after="0" w:line="61" w:lineRule="exact"/>
        <w:rPr>
          <w:rFonts w:ascii="Arial" w:cs="Arial" w:eastAsia="Arial" w:hAnsi="Arial"/>
          <w:sz w:val="15"/>
          <w:szCs w:val="15"/>
          <w:color w:val="auto"/>
        </w:rPr>
      </w:pPr>
    </w:p>
    <w:p>
      <w:pPr>
        <w:ind w:left="500" w:hanging="499"/>
        <w:spacing w:after="0"/>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federal consumer protection and unfair competition laws, which broadly regulate marketplace activities and activities that potentially harm consumers.</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71120</wp:posOffset>
            </wp:positionV>
            <wp:extent cx="716470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760"/>
          </w:cols>
          <w:pgMar w:left="820" w:top="540" w:right="319" w:bottom="1440" w:gutter="0" w:footer="0" w:header="0"/>
        </w:sectPr>
      </w:pPr>
    </w:p>
    <w:bookmarkStart w:id="52" w:name="page53"/>
    <w:bookmarkEnd w:id="52"/>
    <w:p>
      <w:pPr>
        <w:jc w:val="both"/>
        <w:ind w:left="1000" w:hanging="499"/>
        <w:spacing w:after="0" w:line="267" w:lineRule="auto"/>
        <w:tabs>
          <w:tab w:leader="none" w:pos="10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95" w:lineRule="exact"/>
        <w:rPr>
          <w:sz w:val="20"/>
          <w:szCs w:val="20"/>
          <w:color w:val="auto"/>
        </w:rPr>
      </w:pPr>
    </w:p>
    <w:p>
      <w:pPr>
        <w:jc w:val="both"/>
        <w:ind w:right="20" w:firstLine="511"/>
        <w:spacing w:after="0" w:line="316" w:lineRule="auto"/>
        <w:rPr>
          <w:sz w:val="20"/>
          <w:szCs w:val="20"/>
          <w:color w:val="auto"/>
        </w:rPr>
      </w:pPr>
      <w:r>
        <w:rPr>
          <w:rFonts w:ascii="Arial" w:cs="Arial" w:eastAsia="Arial" w:hAnsi="Arial"/>
          <w:sz w:val="13"/>
          <w:szCs w:val="13"/>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155"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93" w:lineRule="exact"/>
        <w:rPr>
          <w:sz w:val="20"/>
          <w:szCs w:val="20"/>
          <w:color w:val="auto"/>
        </w:rPr>
      </w:pPr>
    </w:p>
    <w:p>
      <w:pPr>
        <w:jc w:val="both"/>
        <w:ind w:firstLine="511"/>
        <w:spacing w:after="0" w:line="310" w:lineRule="auto"/>
        <w:rPr>
          <w:sz w:val="20"/>
          <w:szCs w:val="20"/>
          <w:color w:val="auto"/>
        </w:rPr>
      </w:pPr>
      <w:r>
        <w:rPr>
          <w:rFonts w:ascii="Arial" w:cs="Arial" w:eastAsia="Arial" w:hAnsi="Arial"/>
          <w:sz w:val="13"/>
          <w:szCs w:val="13"/>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64"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2"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53" w:name="page54"/>
    <w:bookmarkEnd w:id="53"/>
    <w:p>
      <w:pPr>
        <w:jc w:val="both"/>
        <w:ind w:firstLine="511"/>
        <w:spacing w:after="0" w:line="256"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9"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93" w:lineRule="exact"/>
        <w:rPr>
          <w:sz w:val="20"/>
          <w:szCs w:val="20"/>
          <w:color w:val="auto"/>
        </w:rPr>
      </w:pPr>
    </w:p>
    <w:p>
      <w:pPr>
        <w:jc w:val="both"/>
        <w:ind w:firstLine="511"/>
        <w:spacing w:after="0" w:line="315" w:lineRule="auto"/>
        <w:rPr>
          <w:sz w:val="20"/>
          <w:szCs w:val="20"/>
          <w:color w:val="auto"/>
        </w:rPr>
      </w:pPr>
      <w:r>
        <w:rPr>
          <w:rFonts w:ascii="Arial" w:cs="Arial" w:eastAsia="Arial" w:hAnsi="Arial"/>
          <w:sz w:val="13"/>
          <w:szCs w:val="13"/>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35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Risks Relating to Our Reliance on Third Parties</w:t>
      </w:r>
    </w:p>
    <w:p>
      <w:pPr>
        <w:spacing w:after="0" w:line="221" w:lineRule="exact"/>
        <w:rPr>
          <w:sz w:val="20"/>
          <w:szCs w:val="20"/>
          <w:color w:val="auto"/>
        </w:rPr>
      </w:pPr>
    </w:p>
    <w:p>
      <w:pPr>
        <w:jc w:val="both"/>
        <w:ind w:right="20" w:firstLine="511"/>
        <w:spacing w:after="0" w:line="300" w:lineRule="auto"/>
        <w:rPr>
          <w:sz w:val="20"/>
          <w:szCs w:val="20"/>
          <w:color w:val="auto"/>
        </w:rPr>
      </w:pPr>
      <w:r>
        <w:rPr>
          <w:rFonts w:ascii="Arial" w:cs="Arial" w:eastAsia="Arial" w:hAnsi="Arial"/>
          <w:sz w:val="15"/>
          <w:szCs w:val="15"/>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70"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193"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5"/>
          <w:szCs w:val="15"/>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7"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54" w:name="page55"/>
    <w:bookmarkEnd w:id="54"/>
    <w:p>
      <w:pPr>
        <w:jc w:val="both"/>
        <w:ind w:firstLine="511"/>
        <w:spacing w:after="0" w:line="256" w:lineRule="auto"/>
        <w:rPr>
          <w:sz w:val="20"/>
          <w:szCs w:val="20"/>
          <w:color w:val="auto"/>
        </w:rPr>
      </w:pPr>
      <w:r>
        <w:rPr>
          <w:rFonts w:ascii="Arial" w:cs="Arial" w:eastAsia="Arial" w:hAnsi="Arial"/>
          <w:sz w:val="16"/>
          <w:szCs w:val="16"/>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89" w:lineRule="exact"/>
        <w:rPr>
          <w:sz w:val="20"/>
          <w:szCs w:val="20"/>
          <w:color w:val="auto"/>
        </w:rPr>
      </w:pPr>
    </w:p>
    <w:p>
      <w:pPr>
        <w:jc w:val="both"/>
        <w:ind w:right="20" w:firstLine="511"/>
        <w:spacing w:after="0" w:line="343" w:lineRule="auto"/>
        <w:rPr>
          <w:sz w:val="20"/>
          <w:szCs w:val="20"/>
          <w:color w:val="auto"/>
        </w:rPr>
      </w:pPr>
      <w:r>
        <w:rPr>
          <w:rFonts w:ascii="Arial" w:cs="Arial" w:eastAsia="Arial" w:hAnsi="Arial"/>
          <w:sz w:val="13"/>
          <w:szCs w:val="13"/>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49"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5"/>
          <w:szCs w:val="15"/>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69" w:lineRule="exact"/>
        <w:rPr>
          <w:sz w:val="20"/>
          <w:szCs w:val="20"/>
          <w:color w:val="auto"/>
        </w:rPr>
      </w:pPr>
    </w:p>
    <w:p>
      <w:pPr>
        <w:jc w:val="both"/>
        <w:ind w:left="1000" w:hanging="499"/>
        <w:spacing w:after="0" w:line="256"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71" w:lineRule="exact"/>
        <w:rPr>
          <w:rFonts w:ascii="Arial" w:cs="Arial" w:eastAsia="Arial" w:hAnsi="Arial"/>
          <w:sz w:val="16"/>
          <w:szCs w:val="16"/>
          <w:color w:val="auto"/>
        </w:rPr>
      </w:pPr>
    </w:p>
    <w:p>
      <w:pPr>
        <w:ind w:left="1000" w:hanging="499"/>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reduction or termination of production or deliveries by suppliers, or the raising of prices or renegotiation of terms;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breach by the third-party contractors of our agreements with them;</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failure of third-party contractors to comply with applicable regulatory requirements;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failure of the third party to manufacture our product candidates according to our specifications;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mislabeling of clinical supplies, potentially resulting in the wrong dose amounts being supplied or active drug or placebo not being properly identified;</w:t>
      </w:r>
    </w:p>
    <w:p>
      <w:pPr>
        <w:spacing w:after="0" w:line="110" w:lineRule="exact"/>
        <w:rPr>
          <w:rFonts w:ascii="Arial" w:cs="Arial" w:eastAsia="Arial" w:hAnsi="Arial"/>
          <w:sz w:val="15"/>
          <w:szCs w:val="15"/>
          <w:color w:val="auto"/>
        </w:rPr>
      </w:pPr>
    </w:p>
    <w:p>
      <w:pPr>
        <w:ind w:left="1000" w:hanging="499"/>
        <w:spacing w:after="0" w:line="266"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clinical supplies not being delivered to clinical sites on time, leading to clinical trial interruptions, or of drug supplies not being distributed to commercial vendors in a timely manner, resulting in lost sales; and</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misappropriation of our proprietary information, including our trade secrets and know-how.</w:t>
      </w:r>
    </w:p>
    <w:p>
      <w:pPr>
        <w:spacing w:after="0" w:line="229"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5"/>
          <w:szCs w:val="15"/>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55" w:name="page56"/>
    <w:bookmarkEnd w:id="55"/>
    <w:p>
      <w:pPr>
        <w:jc w:val="both"/>
        <w:ind w:right="20" w:firstLine="511"/>
        <w:spacing w:after="0" w:line="300" w:lineRule="auto"/>
        <w:rPr>
          <w:sz w:val="20"/>
          <w:szCs w:val="20"/>
          <w:color w:val="auto"/>
        </w:rPr>
      </w:pPr>
      <w:r>
        <w:rPr>
          <w:rFonts w:ascii="Arial" w:cs="Arial" w:eastAsia="Arial" w:hAnsi="Arial"/>
          <w:sz w:val="15"/>
          <w:szCs w:val="15"/>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158"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5"/>
          <w:szCs w:val="15"/>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If our third-party manufacturers use hazardous materials in a manner that causes injury or violates applicable law, we may be liable for damages.</w:t>
      </w:r>
    </w:p>
    <w:p>
      <w:pPr>
        <w:spacing w:after="0" w:line="240" w:lineRule="exact"/>
        <w:rPr>
          <w:sz w:val="20"/>
          <w:szCs w:val="20"/>
          <w:color w:val="auto"/>
        </w:rPr>
      </w:pPr>
    </w:p>
    <w:p>
      <w:pPr>
        <w:jc w:val="both"/>
        <w:ind w:firstLine="511"/>
        <w:spacing w:after="0" w:line="315" w:lineRule="auto"/>
        <w:rPr>
          <w:sz w:val="20"/>
          <w:szCs w:val="20"/>
          <w:color w:val="auto"/>
        </w:rPr>
      </w:pPr>
      <w:r>
        <w:rPr>
          <w:rFonts w:ascii="Arial" w:cs="Arial" w:eastAsia="Arial" w:hAnsi="Arial"/>
          <w:sz w:val="13"/>
          <w:szCs w:val="13"/>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348"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193" w:lineRule="exact"/>
        <w:rPr>
          <w:sz w:val="20"/>
          <w:szCs w:val="20"/>
          <w:color w:val="auto"/>
        </w:rPr>
      </w:pPr>
    </w:p>
    <w:p>
      <w:pPr>
        <w:jc w:val="both"/>
        <w:ind w:firstLine="511"/>
        <w:spacing w:after="0" w:line="343" w:lineRule="auto"/>
        <w:rPr>
          <w:sz w:val="20"/>
          <w:szCs w:val="20"/>
          <w:color w:val="auto"/>
        </w:rPr>
      </w:pPr>
      <w:r>
        <w:rPr>
          <w:rFonts w:ascii="Arial" w:cs="Arial" w:eastAsia="Arial" w:hAnsi="Arial"/>
          <w:sz w:val="13"/>
          <w:szCs w:val="13"/>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149"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91" w:lineRule="exact"/>
        <w:rPr>
          <w:sz w:val="20"/>
          <w:szCs w:val="20"/>
          <w:color w:val="auto"/>
        </w:rPr>
      </w:pPr>
    </w:p>
    <w:p>
      <w:pPr>
        <w:jc w:val="both"/>
        <w:ind w:firstLine="511"/>
        <w:spacing w:after="0" w:line="250"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56" w:name="page57"/>
    <w:bookmarkEnd w:id="56"/>
    <w:p>
      <w:pPr>
        <w:ind w:right="20" w:firstLine="511"/>
        <w:spacing w:after="0" w:line="266" w:lineRule="auto"/>
        <w:rPr>
          <w:sz w:val="20"/>
          <w:szCs w:val="20"/>
          <w:color w:val="auto"/>
        </w:rPr>
      </w:pPr>
      <w:r>
        <w:rPr>
          <w:rFonts w:ascii="Arial" w:cs="Arial" w:eastAsia="Arial" w:hAnsi="Arial"/>
          <w:sz w:val="16"/>
          <w:szCs w:val="16"/>
          <w:color w:val="auto"/>
        </w:rPr>
        <w:t>Even if we are successful in entering into collaborations involving our product candidates, these relationships are subject to numerous risks, which may include the following:</w:t>
      </w:r>
    </w:p>
    <w:p>
      <w:pPr>
        <w:spacing w:after="0" w:line="64" w:lineRule="exact"/>
        <w:rPr>
          <w:sz w:val="20"/>
          <w:szCs w:val="20"/>
          <w:color w:val="auto"/>
        </w:rPr>
      </w:pPr>
    </w:p>
    <w:p>
      <w:pPr>
        <w:ind w:left="1000" w:hanging="499"/>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a collaboration;</w:t>
      </w:r>
    </w:p>
    <w:p>
      <w:pPr>
        <w:spacing w:after="0" w:line="98" w:lineRule="exact"/>
        <w:rPr>
          <w:rFonts w:ascii="Arial" w:cs="Arial" w:eastAsia="Arial" w:hAnsi="Arial"/>
          <w:sz w:val="16"/>
          <w:szCs w:val="16"/>
          <w:color w:val="auto"/>
        </w:rPr>
      </w:pPr>
    </w:p>
    <w:p>
      <w:pPr>
        <w:jc w:val="both"/>
        <w:ind w:left="1000" w:hanging="499"/>
        <w:spacing w:after="0" w:line="256"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one or more products may not commit sufficient resources to their marketing and distribution;</w:t>
      </w:r>
    </w:p>
    <w:p>
      <w:pPr>
        <w:spacing w:after="0" w:line="110" w:lineRule="exact"/>
        <w:rPr>
          <w:rFonts w:ascii="Arial" w:cs="Arial" w:eastAsia="Arial" w:hAnsi="Arial"/>
          <w:sz w:val="15"/>
          <w:szCs w:val="15"/>
          <w:color w:val="auto"/>
        </w:rPr>
      </w:pPr>
    </w:p>
    <w:p>
      <w:pPr>
        <w:jc w:val="both"/>
        <w:ind w:left="1000" w:right="20" w:hanging="499"/>
        <w:spacing w:after="0" w:line="378" w:lineRule="auto"/>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ind w:left="1000" w:hanging="499"/>
        <w:spacing w:after="0" w:line="266"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3"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product candidates; and</w:t>
      </w:r>
    </w:p>
    <w:p>
      <w:pPr>
        <w:spacing w:after="0" w:line="63"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82" w:lineRule="exact"/>
        <w:rPr>
          <w:sz w:val="20"/>
          <w:szCs w:val="20"/>
          <w:color w:val="auto"/>
        </w:rPr>
      </w:pPr>
    </w:p>
    <w:p>
      <w:pPr>
        <w:jc w:val="both"/>
        <w:ind w:right="20" w:firstLine="511"/>
        <w:spacing w:after="0" w:line="323" w:lineRule="auto"/>
        <w:rPr>
          <w:sz w:val="20"/>
          <w:szCs w:val="20"/>
          <w:color w:val="auto"/>
        </w:rPr>
      </w:pPr>
      <w:r>
        <w:rPr>
          <w:rFonts w:ascii="Arial" w:cs="Arial" w:eastAsia="Arial" w:hAnsi="Arial"/>
          <w:sz w:val="13"/>
          <w:szCs w:val="13"/>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61"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93"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64" w:lineRule="exact"/>
        <w:rPr>
          <w:sz w:val="20"/>
          <w:szCs w:val="20"/>
          <w:color w:val="auto"/>
        </w:rPr>
      </w:pPr>
    </w:p>
    <w:p>
      <w:pPr>
        <w:ind w:left="1000" w:hanging="499"/>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increased operating expenses and cash requirements;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assumption of additional indebtedness or contingent liabilities;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issuance of our equity securities;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assimilation of operations, intellectual property and products of an acquired company, including difficulties associated with integrating new personnel;</w:t>
      </w:r>
    </w:p>
    <w:p>
      <w:pPr>
        <w:spacing w:after="0" w:line="110" w:lineRule="exact"/>
        <w:rPr>
          <w:rFonts w:ascii="Arial" w:cs="Arial" w:eastAsia="Arial" w:hAnsi="Arial"/>
          <w:sz w:val="15"/>
          <w:szCs w:val="15"/>
          <w:color w:val="auto"/>
        </w:rPr>
      </w:pPr>
    </w:p>
    <w:p>
      <w:pPr>
        <w:ind w:left="1000" w:hanging="499"/>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programs and initiatives in pursuing such a strategic merger or acquisition;</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risks and uncertainties associated with the other party to such a transaction, including the prospects of that party and their existing products or product candidates and marketing approvals;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57" w:name="page58"/>
    <w:bookmarkEnd w:id="57"/>
    <w:p>
      <w:pPr>
        <w:ind w:left="1000" w:right="20" w:hanging="499"/>
        <w:spacing w:after="0" w:line="266"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93" w:lineRule="exact"/>
        <w:rPr>
          <w:sz w:val="20"/>
          <w:szCs w:val="20"/>
          <w:color w:val="auto"/>
        </w:rPr>
      </w:pPr>
    </w:p>
    <w:p>
      <w:pPr>
        <w:ind w:firstLine="511"/>
        <w:spacing w:after="0" w:line="266" w:lineRule="auto"/>
        <w:rPr>
          <w:sz w:val="20"/>
          <w:szCs w:val="20"/>
          <w:color w:val="auto"/>
        </w:rPr>
      </w:pPr>
      <w:r>
        <w:rPr>
          <w:rFonts w:ascii="Arial" w:cs="Arial" w:eastAsia="Arial" w:hAnsi="Arial"/>
          <w:sz w:val="16"/>
          <w:szCs w:val="16"/>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Risks Relating to Our Ability to Commercialize our Product</w:t>
      </w:r>
    </w:p>
    <w:p>
      <w:pPr>
        <w:spacing w:after="0" w:line="233" w:lineRule="exact"/>
        <w:rPr>
          <w:sz w:val="20"/>
          <w:szCs w:val="20"/>
          <w:color w:val="auto"/>
        </w:rPr>
      </w:pPr>
    </w:p>
    <w:p>
      <w:pPr>
        <w:ind w:firstLine="511"/>
        <w:spacing w:after="0" w:line="266" w:lineRule="auto"/>
        <w:rPr>
          <w:sz w:val="20"/>
          <w:szCs w:val="20"/>
          <w:color w:val="auto"/>
        </w:rPr>
      </w:pPr>
      <w:r>
        <w:rPr>
          <w:rFonts w:ascii="Arial" w:cs="Arial" w:eastAsia="Arial" w:hAnsi="Arial"/>
          <w:sz w:val="16"/>
          <w:szCs w:val="16"/>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93" w:lineRule="exact"/>
        <w:rPr>
          <w:sz w:val="20"/>
          <w:szCs w:val="20"/>
          <w:color w:val="auto"/>
        </w:rPr>
      </w:pPr>
    </w:p>
    <w:p>
      <w:pPr>
        <w:ind w:right="20" w:firstLine="511"/>
        <w:spacing w:after="0" w:line="300" w:lineRule="auto"/>
        <w:rPr>
          <w:sz w:val="20"/>
          <w:szCs w:val="20"/>
          <w:color w:val="auto"/>
        </w:rPr>
      </w:pPr>
      <w:r>
        <w:rPr>
          <w:rFonts w:ascii="Arial" w:cs="Arial" w:eastAsia="Arial" w:hAnsi="Arial"/>
          <w:sz w:val="15"/>
          <w:szCs w:val="15"/>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40" w:lineRule="exact"/>
        <w:rPr>
          <w:sz w:val="20"/>
          <w:szCs w:val="20"/>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efficacy and safety profile as demonstrated in clinical trials compared to alternative treatments;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timing of market introduction of the product candidate as well as competitive products;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clinical indications for which the product candidate is approved;</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restrictions on the use of our product candidates, such as boxed warnings or contraindications in labeling, or a REMS, if any, which may not be required of alternative treatments and competitor products;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potential and perceived advantages of product candidates over alternative treatments;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 of treatment in relation to alternative treatments;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pricing and the availability of coverage and adequate reimbursement by third-party payors, including government authorities;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availability of the approved product candidate for use as a combination therapy;</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relative convenience and ease of administration;</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effectiveness of sales and marketing efforts;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unfavorable publicity relating to our products or product candidates or similar approved products or product candidates in development by third parties; and</w:t>
      </w:r>
    </w:p>
    <w:p>
      <w:pPr>
        <w:spacing w:after="0" w:line="133" w:lineRule="exact"/>
        <w:rPr>
          <w:rFonts w:ascii="Arial" w:cs="Arial" w:eastAsia="Arial" w:hAnsi="Arial"/>
          <w:sz w:val="13"/>
          <w:szCs w:val="13"/>
          <w:color w:val="auto"/>
        </w:rPr>
      </w:pPr>
    </w:p>
    <w:p>
      <w:pPr>
        <w:ind w:left="1000" w:hanging="499"/>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approval of other new therapies for the same indications.</w:t>
      </w:r>
    </w:p>
    <w:p>
      <w:pPr>
        <w:spacing w:after="0" w:line="217"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 xml:space="preserve">If any of our product candidates is approved but does not achieve an adequate level of acceptance by physicians, hospitals, healthcare payors and patients, we may not generate or derive sufficient revenue from that product candidate and our financial </w:t>
      </w:r>
      <w:r>
        <w:rPr>
          <w:rFonts w:ascii="Arial" w:cs="Arial" w:eastAsia="Arial" w:hAnsi="Arial"/>
          <w:sz w:val="16"/>
          <w:szCs w:val="16"/>
          <w:color w:val="212529"/>
        </w:rPr>
        <w:t>results</w:t>
      </w:r>
      <w:r>
        <w:rPr>
          <w:rFonts w:ascii="Arial" w:cs="Arial" w:eastAsia="Arial" w:hAnsi="Arial"/>
          <w:sz w:val="16"/>
          <w:szCs w:val="16"/>
          <w:color w:val="auto"/>
        </w:rPr>
        <w:t xml:space="preserve"> could be negatively impacted.</w:t>
      </w:r>
    </w:p>
    <w:p>
      <w:pPr>
        <w:spacing w:after="0" w:line="193"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93"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6"/>
          <w:szCs w:val="16"/>
          <w:color w:val="auto"/>
        </w:rPr>
        <w:t xml:space="preserve">We have never commercialized a product candidate. We may license certain rights with respect to our product candidates to collaborators, and, if so, we will rely on the assistance and guidance of those collaborators. For product candidates for </w:t>
      </w:r>
      <w:r>
        <w:rPr>
          <w:rFonts w:ascii="Arial" w:cs="Arial" w:eastAsia="Arial" w:hAnsi="Arial"/>
          <w:sz w:val="16"/>
          <w:szCs w:val="16"/>
          <w:color w:val="212529"/>
        </w:rPr>
        <w:t>which we retain commercialization rights and marketing approval, we will have to develop our own</w:t>
      </w:r>
      <w:r>
        <w:rPr>
          <w:rFonts w:ascii="Arial" w:cs="Arial" w:eastAsia="Arial" w:hAnsi="Arial"/>
          <w:sz w:val="16"/>
          <w:szCs w:val="16"/>
          <w:color w:val="auto"/>
        </w:rPr>
        <w:t xml:space="preserve"> </w:t>
      </w:r>
      <w:r>
        <w:rPr>
          <w:rFonts w:ascii="Arial" w:cs="Arial" w:eastAsia="Arial" w:hAnsi="Arial"/>
          <w:sz w:val="16"/>
          <w:szCs w:val="16"/>
          <w:color w:val="212529"/>
        </w:rPr>
        <w:t>sales, marketing and supply organization or outsource these activities to a third party.</w:t>
      </w:r>
    </w:p>
    <w:p>
      <w:pPr>
        <w:spacing w:after="0" w:line="189" w:lineRule="exact"/>
        <w:rPr>
          <w:sz w:val="20"/>
          <w:szCs w:val="20"/>
          <w:color w:val="auto"/>
        </w:rPr>
      </w:pPr>
    </w:p>
    <w:p>
      <w:pPr>
        <w:jc w:val="both"/>
        <w:ind w:firstLine="511"/>
        <w:spacing w:after="0" w:line="319" w:lineRule="auto"/>
        <w:rPr>
          <w:sz w:val="20"/>
          <w:szCs w:val="20"/>
          <w:color w:val="auto"/>
        </w:rPr>
      </w:pPr>
      <w:r>
        <w:rPr>
          <w:rFonts w:ascii="Arial" w:cs="Arial" w:eastAsia="Arial" w:hAnsi="Arial"/>
          <w:sz w:val="13"/>
          <w:szCs w:val="13"/>
          <w:color w:val="212529"/>
        </w:rPr>
        <w:t xml:space="preserve">Factors that may affect our ability to commercialize our product candidates, if approved, on our own include recruiting and retaining </w:t>
      </w:r>
      <w:r>
        <w:rPr>
          <w:rFonts w:ascii="Arial" w:cs="Arial" w:eastAsia="Arial" w:hAnsi="Arial"/>
          <w:sz w:val="13"/>
          <w:szCs w:val="13"/>
          <w:color w:val="000000"/>
        </w:rPr>
        <w:t>adequate numbers of effective sales</w:t>
      </w:r>
      <w:r>
        <w:rPr>
          <w:rFonts w:ascii="Arial" w:cs="Arial" w:eastAsia="Arial" w:hAnsi="Arial"/>
          <w:sz w:val="13"/>
          <w:szCs w:val="13"/>
          <w:color w:val="212529"/>
        </w:rPr>
        <w:t xml:space="preserve"> </w:t>
      </w:r>
      <w:r>
        <w:rPr>
          <w:rFonts w:ascii="Arial" w:cs="Arial" w:eastAsia="Arial" w:hAnsi="Arial"/>
          <w:sz w:val="13"/>
          <w:szCs w:val="13"/>
          <w:color w:val="000000"/>
        </w:rPr>
        <w:t>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58" w:name="page59"/>
    <w:bookmarkEnd w:id="58"/>
    <w:p>
      <w:pPr>
        <w:ind w:left="500"/>
        <w:spacing w:after="0"/>
        <w:rPr>
          <w:sz w:val="20"/>
          <w:szCs w:val="20"/>
          <w:color w:val="auto"/>
        </w:rPr>
      </w:pPr>
      <w:r>
        <w:rPr>
          <w:rFonts w:ascii="Arial" w:cs="Arial" w:eastAsia="Arial" w:hAnsi="Arial"/>
          <w:sz w:val="13"/>
          <w:szCs w:val="13"/>
          <w:b w:val="1"/>
          <w:bCs w:val="1"/>
          <w:i w:val="1"/>
          <w:iCs w:val="1"/>
          <w:color w:val="auto"/>
        </w:rPr>
        <w:t>If the market opportunity for any product candidate that we develop is smaller than we believe, our revenue may be adversely affected and our business may suffer.</w:t>
      </w:r>
    </w:p>
    <w:p>
      <w:pPr>
        <w:spacing w:after="0" w:line="251" w:lineRule="exact"/>
        <w:rPr>
          <w:sz w:val="20"/>
          <w:szCs w:val="20"/>
          <w:color w:val="auto"/>
        </w:rPr>
      </w:pPr>
    </w:p>
    <w:p>
      <w:pPr>
        <w:jc w:val="both"/>
        <w:ind w:firstLine="511"/>
        <w:spacing w:after="0" w:line="314" w:lineRule="auto"/>
        <w:rPr>
          <w:sz w:val="20"/>
          <w:szCs w:val="20"/>
          <w:color w:val="auto"/>
        </w:rPr>
      </w:pPr>
      <w:r>
        <w:rPr>
          <w:rFonts w:ascii="Arial" w:cs="Arial" w:eastAsia="Arial" w:hAnsi="Arial"/>
          <w:sz w:val="13"/>
          <w:szCs w:val="13"/>
          <w:color w:val="auto"/>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Arial" w:cs="Arial" w:eastAsia="Arial" w:hAnsi="Arial"/>
          <w:sz w:val="13"/>
          <w:szCs w:val="13"/>
          <w:color w:val="212529"/>
        </w:rPr>
        <w:t>surveys</w:t>
      </w:r>
      <w:r>
        <w:rPr>
          <w:rFonts w:ascii="Arial" w:cs="Arial" w:eastAsia="Arial" w:hAnsi="Arial"/>
          <w:sz w:val="13"/>
          <w:szCs w:val="13"/>
          <w:color w:val="auto"/>
        </w:rPr>
        <w:t xml:space="preserve">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357"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If product liability lawsuits are brought against us, we may incur substantial liabilities and may be required to limit commercialization of our product candidates.</w:t>
      </w:r>
    </w:p>
    <w:p>
      <w:pPr>
        <w:spacing w:after="0" w:line="263" w:lineRule="exact"/>
        <w:rPr>
          <w:sz w:val="20"/>
          <w:szCs w:val="20"/>
          <w:color w:val="auto"/>
        </w:rPr>
      </w:pPr>
    </w:p>
    <w:p>
      <w:pPr>
        <w:jc w:val="both"/>
        <w:ind w:firstLine="511"/>
        <w:spacing w:after="0" w:line="319" w:lineRule="auto"/>
        <w:rPr>
          <w:sz w:val="20"/>
          <w:szCs w:val="20"/>
          <w:color w:val="auto"/>
        </w:rPr>
      </w:pPr>
      <w:r>
        <w:rPr>
          <w:rFonts w:ascii="Arial" w:cs="Arial" w:eastAsia="Arial" w:hAnsi="Arial"/>
          <w:sz w:val="13"/>
          <w:szCs w:val="13"/>
          <w:color w:val="auto"/>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Arial" w:cs="Arial" w:eastAsia="Arial" w:hAnsi="Arial"/>
          <w:sz w:val="13"/>
          <w:szCs w:val="13"/>
          <w:color w:val="212529"/>
        </w:rPr>
        <w:t>are</w:t>
      </w:r>
      <w:r>
        <w:rPr>
          <w:rFonts w:ascii="Arial" w:cs="Arial" w:eastAsia="Arial" w:hAnsi="Arial"/>
          <w:sz w:val="13"/>
          <w:szCs w:val="13"/>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34" w:lineRule="exact"/>
        <w:rPr>
          <w:sz w:val="20"/>
          <w:szCs w:val="20"/>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decreased demand for our product candidates or products that we may develop;</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injury to our reputation;</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initiation of investigations by regulators;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to defend the related litigation;</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diversion of management’s time and our resources;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substantial monetary awards to clinical trial participants or patients;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loss of revenue;</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exhaustion of any available insurance and our capital resources;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inability to commercialize any product candidate;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decline in our share price.</w:t>
      </w:r>
    </w:p>
    <w:p>
      <w:pPr>
        <w:spacing w:after="0" w:line="217" w:lineRule="exact"/>
        <w:rPr>
          <w:sz w:val="20"/>
          <w:szCs w:val="20"/>
          <w:color w:val="auto"/>
        </w:rPr>
      </w:pPr>
    </w:p>
    <w:p>
      <w:pPr>
        <w:jc w:val="both"/>
        <w:ind w:firstLine="511"/>
        <w:spacing w:after="0" w:line="323" w:lineRule="auto"/>
        <w:rPr>
          <w:sz w:val="20"/>
          <w:szCs w:val="20"/>
          <w:color w:val="auto"/>
        </w:rPr>
      </w:pPr>
      <w:r>
        <w:rPr>
          <w:rFonts w:ascii="Arial" w:cs="Arial" w:eastAsia="Arial" w:hAnsi="Arial"/>
          <w:sz w:val="13"/>
          <w:szCs w:val="13"/>
          <w:color w:val="auto"/>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Arial" w:cs="Arial" w:eastAsia="Arial" w:hAnsi="Arial"/>
          <w:sz w:val="13"/>
          <w:szCs w:val="13"/>
          <w:color w:val="212529"/>
        </w:rPr>
        <w:t>collaborators</w:t>
      </w:r>
      <w:r>
        <w:rPr>
          <w:rFonts w:ascii="Arial" w:cs="Arial" w:eastAsia="Arial" w:hAnsi="Arial"/>
          <w:sz w:val="13"/>
          <w:szCs w:val="13"/>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59" w:name="page60"/>
    <w:bookmarkEnd w:id="59"/>
    <w:p>
      <w:pPr>
        <w:jc w:val="both"/>
        <w:ind w:right="20" w:firstLine="511"/>
        <w:spacing w:after="0" w:line="343" w:lineRule="auto"/>
        <w:rPr>
          <w:sz w:val="20"/>
          <w:szCs w:val="20"/>
          <w:color w:val="auto"/>
        </w:rPr>
      </w:pPr>
      <w:r>
        <w:rPr>
          <w:rFonts w:ascii="Arial" w:cs="Arial" w:eastAsia="Arial" w:hAnsi="Arial"/>
          <w:sz w:val="13"/>
          <w:szCs w:val="13"/>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137"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5"/>
          <w:szCs w:val="15"/>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15"/>
          <w:szCs w:val="15"/>
          <w:color w:val="212529"/>
        </w:rPr>
        <w:t>product</w:t>
      </w:r>
      <w:r>
        <w:rPr>
          <w:rFonts w:ascii="Arial" w:cs="Arial" w:eastAsia="Arial" w:hAnsi="Arial"/>
          <w:sz w:val="15"/>
          <w:szCs w:val="15"/>
          <w:color w:val="auto"/>
        </w:rPr>
        <w:t xml:space="preserve">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96" w:lineRule="exact"/>
        <w:rPr>
          <w:sz w:val="20"/>
          <w:szCs w:val="20"/>
          <w:color w:val="auto"/>
        </w:rPr>
      </w:pPr>
    </w:p>
    <w:p>
      <w:pPr>
        <w:jc w:val="both"/>
        <w:ind w:firstLine="511"/>
        <w:spacing w:after="0" w:line="310" w:lineRule="auto"/>
        <w:rPr>
          <w:sz w:val="20"/>
          <w:szCs w:val="20"/>
          <w:color w:val="auto"/>
        </w:rPr>
      </w:pPr>
      <w:r>
        <w:rPr>
          <w:rFonts w:ascii="Arial" w:cs="Arial" w:eastAsia="Arial" w:hAnsi="Arial"/>
          <w:sz w:val="13"/>
          <w:szCs w:val="13"/>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Arial" w:cs="Arial" w:eastAsia="Arial" w:hAnsi="Arial"/>
          <w:sz w:val="13"/>
          <w:szCs w:val="13"/>
          <w:color w:val="212529"/>
        </w:rPr>
        <w:t>products</w:t>
      </w:r>
      <w:r>
        <w:rPr>
          <w:rFonts w:ascii="Arial" w:cs="Arial" w:eastAsia="Arial" w:hAnsi="Arial"/>
          <w:sz w:val="13"/>
          <w:szCs w:val="13"/>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234" w:lineRule="exact"/>
        <w:rPr>
          <w:sz w:val="20"/>
          <w:szCs w:val="20"/>
          <w:color w:val="auto"/>
        </w:rPr>
      </w:pPr>
    </w:p>
    <w:p>
      <w:pPr>
        <w:ind w:left="1000" w:hanging="499"/>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covered benefit under its health plan;</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safe, effective and medically necessary;</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appropriate for the specific patient;</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cost-effective;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neither experimental nor investigational.</w:t>
      </w:r>
    </w:p>
    <w:p>
      <w:pPr>
        <w:spacing w:after="0" w:line="229" w:lineRule="exact"/>
        <w:rPr>
          <w:sz w:val="20"/>
          <w:szCs w:val="20"/>
          <w:color w:val="auto"/>
        </w:rPr>
      </w:pPr>
    </w:p>
    <w:p>
      <w:pPr>
        <w:jc w:val="both"/>
        <w:ind w:firstLine="511"/>
        <w:spacing w:after="0" w:line="270" w:lineRule="auto"/>
        <w:rPr>
          <w:sz w:val="20"/>
          <w:szCs w:val="20"/>
          <w:color w:val="auto"/>
        </w:rPr>
      </w:pPr>
      <w:r>
        <w:rPr>
          <w:rFonts w:ascii="Arial" w:cs="Arial" w:eastAsia="Arial" w:hAnsi="Arial"/>
          <w:sz w:val="15"/>
          <w:szCs w:val="15"/>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cs="Arial" w:eastAsia="Arial" w:hAnsi="Arial"/>
          <w:sz w:val="15"/>
          <w:szCs w:val="15"/>
          <w:color w:val="212529"/>
        </w:rPr>
        <w:t>prices</w:t>
      </w:r>
      <w:r>
        <w:rPr>
          <w:rFonts w:ascii="Arial" w:cs="Arial" w:eastAsia="Arial" w:hAnsi="Arial"/>
          <w:sz w:val="15"/>
          <w:szCs w:val="15"/>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0"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60" w:name="page61"/>
    <w:bookmarkEnd w:id="60"/>
    <w:p>
      <w:pPr>
        <w:jc w:val="both"/>
        <w:spacing w:after="0" w:line="270" w:lineRule="auto"/>
        <w:rPr>
          <w:sz w:val="20"/>
          <w:szCs w:val="20"/>
          <w:color w:val="auto"/>
        </w:rPr>
      </w:pPr>
      <w:r>
        <w:rPr>
          <w:rFonts w:ascii="Arial" w:cs="Arial" w:eastAsia="Arial" w:hAnsi="Arial"/>
          <w:sz w:val="15"/>
          <w:szCs w:val="15"/>
          <w:color w:val="auto"/>
        </w:rPr>
        <w:t xml:space="preserve">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w:t>
      </w:r>
      <w:r>
        <w:rPr>
          <w:rFonts w:ascii="Arial" w:cs="Arial" w:eastAsia="Arial" w:hAnsi="Arial"/>
          <w:sz w:val="15"/>
          <w:szCs w:val="15"/>
          <w:color w:val="212529"/>
        </w:rPr>
        <w:t>results, our ability to raise capital needed to commercialize product candidates, and our overall financial condition.</w:t>
      </w:r>
    </w:p>
    <w:p>
      <w:pPr>
        <w:spacing w:after="0" w:line="180"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03" w:lineRule="exact"/>
        <w:rPr>
          <w:sz w:val="20"/>
          <w:szCs w:val="20"/>
          <w:color w:val="auto"/>
        </w:rPr>
      </w:pPr>
    </w:p>
    <w:p>
      <w:pPr>
        <w:jc w:val="both"/>
        <w:ind w:firstLine="511"/>
        <w:spacing w:after="0" w:line="316" w:lineRule="auto"/>
        <w:rPr>
          <w:sz w:val="20"/>
          <w:szCs w:val="20"/>
          <w:color w:val="auto"/>
        </w:rPr>
      </w:pPr>
      <w:r>
        <w:rPr>
          <w:rFonts w:ascii="Arial" w:cs="Arial" w:eastAsia="Arial" w:hAnsi="Arial"/>
          <w:sz w:val="13"/>
          <w:szCs w:val="13"/>
          <w:color w:val="21252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13"/>
          <w:szCs w:val="13"/>
          <w:color w:val="000000"/>
        </w:rPr>
        <w:t>product candidate that we commercialize and, if reimbursement is available, the level of</w:t>
      </w:r>
      <w:r>
        <w:rPr>
          <w:rFonts w:ascii="Arial" w:cs="Arial" w:eastAsia="Arial" w:hAnsi="Arial"/>
          <w:sz w:val="13"/>
          <w:szCs w:val="13"/>
          <w:color w:val="212529"/>
        </w:rPr>
        <w:t xml:space="preserve"> </w:t>
      </w:r>
      <w:r>
        <w:rPr>
          <w:rFonts w:ascii="Arial" w:cs="Arial" w:eastAsia="Arial" w:hAnsi="Arial"/>
          <w:sz w:val="13"/>
          <w:szCs w:val="13"/>
          <w:color w:val="000000"/>
        </w:rPr>
        <w:t>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 variety of risks associated with marketing our product candidates internationally may materially adversely affect our business.</w:t>
      </w:r>
    </w:p>
    <w:p>
      <w:pPr>
        <w:spacing w:after="0" w:line="217"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 xml:space="preserve">We plan to eventually seek regulatory approval of our product candidates outside of the United States and, accordingly, we </w:t>
      </w:r>
      <w:r>
        <w:rPr>
          <w:rFonts w:ascii="Arial" w:cs="Arial" w:eastAsia="Arial" w:hAnsi="Arial"/>
          <w:sz w:val="16"/>
          <w:szCs w:val="16"/>
          <w:color w:val="212529"/>
        </w:rPr>
        <w:t>expect</w:t>
      </w:r>
      <w:r>
        <w:rPr>
          <w:rFonts w:ascii="Arial" w:cs="Arial" w:eastAsia="Arial" w:hAnsi="Arial"/>
          <w:sz w:val="16"/>
          <w:szCs w:val="16"/>
          <w:color w:val="auto"/>
        </w:rPr>
        <w:t xml:space="preserve"> that we will be subject to additional risks related to operating in foreign countries if we obtain the necessary approvals, including:</w:t>
      </w:r>
    </w:p>
    <w:p>
      <w:pPr>
        <w:spacing w:after="0" w:line="64" w:lineRule="exact"/>
        <w:rPr>
          <w:sz w:val="20"/>
          <w:szCs w:val="20"/>
          <w:color w:val="auto"/>
        </w:rPr>
      </w:pPr>
    </w:p>
    <w:p>
      <w:pPr>
        <w:ind w:left="1000" w:right="20" w:hanging="499"/>
        <w:spacing w:after="0" w:line="266"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63"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foreign regulatory authorities may disagree with the design, implementation or results of our clinical trials or our interpretation of data from nonclinical studies or clinical trials;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approval policies or regulations of foreign regulatory authorities may significantly change in a manner rendering our clinical data insufficient for approval;</w:t>
      </w:r>
    </w:p>
    <w:p>
      <w:pPr>
        <w:spacing w:after="0" w:line="110" w:lineRule="exact"/>
        <w:rPr>
          <w:rFonts w:ascii="Arial" w:cs="Arial" w:eastAsia="Arial" w:hAnsi="Arial"/>
          <w:sz w:val="15"/>
          <w:szCs w:val="15"/>
          <w:color w:val="auto"/>
        </w:rPr>
      </w:pPr>
    </w:p>
    <w:p>
      <w:pPr>
        <w:ind w:left="1000" w:hanging="499"/>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impact of the COVID-19 pandemic on our ability to produce our product candidates and conduct clinical trials in foreign countries;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compliance with legal requirements applicable to privacy, data protection, information security and other matters;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 and other obligations incident to doing business in another country;</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difficulties staffing and managing foreign operations;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payor reimbursement regimes and government payors in foreign countries;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 liability under the Foreign Corrupt Practices Act of 1977 or comparable foreign regulations;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61" w:name="page62"/>
    <w:bookmarkEnd w:id="61"/>
    <w:p>
      <w:pPr>
        <w:ind w:left="1000" w:right="20" w:hanging="499"/>
        <w:spacing w:after="0" w:line="266"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These and other risks associated with international operations may materially adversely affect our ability to attain or maintain </w:t>
      </w:r>
      <w:r>
        <w:rPr>
          <w:rFonts w:ascii="Arial" w:cs="Arial" w:eastAsia="Arial" w:hAnsi="Arial"/>
          <w:sz w:val="16"/>
          <w:szCs w:val="16"/>
          <w:color w:val="212529"/>
        </w:rPr>
        <w:t>profitable</w:t>
      </w:r>
      <w:r>
        <w:rPr>
          <w:rFonts w:ascii="Arial" w:cs="Arial" w:eastAsia="Arial" w:hAnsi="Arial"/>
          <w:sz w:val="16"/>
          <w:szCs w:val="16"/>
          <w:color w:val="auto"/>
        </w:rPr>
        <w:t xml:space="preserve"> operations.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Risks Relating to Our Intellectual Property</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success depends on our ability to protect our intellectual property and our proprietary technologies.</w:t>
      </w:r>
    </w:p>
    <w:p>
      <w:pPr>
        <w:spacing w:after="0" w:line="229" w:lineRule="exact"/>
        <w:rPr>
          <w:sz w:val="20"/>
          <w:szCs w:val="20"/>
          <w:color w:val="auto"/>
        </w:rPr>
      </w:pPr>
    </w:p>
    <w:p>
      <w:pPr>
        <w:jc w:val="both"/>
        <w:ind w:right="20" w:firstLine="511"/>
        <w:spacing w:after="0" w:line="275" w:lineRule="auto"/>
        <w:rPr>
          <w:sz w:val="20"/>
          <w:szCs w:val="20"/>
          <w:color w:val="auto"/>
        </w:rPr>
      </w:pPr>
      <w:r>
        <w:rPr>
          <w:rFonts w:ascii="Arial" w:cs="Arial" w:eastAsia="Arial" w:hAnsi="Arial"/>
          <w:sz w:val="15"/>
          <w:szCs w:val="15"/>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176"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3"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5"/>
          <w:szCs w:val="15"/>
          <w:color w:val="auto"/>
        </w:rPr>
        <w:t>Even issued patents may later be found invalid or unenforceable or may be modified or revoked in proceedings instituted by third parties before various patent offices or in courts. Thus, the degree of future protection for our and any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188" w:lineRule="exact"/>
        <w:rPr>
          <w:sz w:val="20"/>
          <w:szCs w:val="20"/>
          <w:color w:val="auto"/>
        </w:rPr>
      </w:pPr>
    </w:p>
    <w:p>
      <w:pPr>
        <w:jc w:val="both"/>
        <w:ind w:right="20" w:firstLine="511"/>
        <w:spacing w:after="0" w:line="251" w:lineRule="auto"/>
        <w:rPr>
          <w:sz w:val="20"/>
          <w:szCs w:val="20"/>
          <w:color w:val="auto"/>
        </w:rPr>
      </w:pPr>
      <w:r>
        <w:rPr>
          <w:rFonts w:ascii="Arial" w:cs="Arial" w:eastAsia="Arial" w:hAnsi="Arial"/>
          <w:sz w:val="16"/>
          <w:szCs w:val="16"/>
          <w:color w:val="auto"/>
        </w:rPr>
        <w:t>We own or in-license nine U.S. issued patents, own or in-license one U.S. pending patent application, own or in-license 12 patents issued in jurisdictions outside of the United States, and own or in-license nine pending patent applications in jurisdictions outside of the United States. However, we cannot be certain that the claims in our U.S. pending patent applications, corresponding international patent applications, or those of any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193"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64" w:lineRule="exact"/>
        <w:rPr>
          <w:sz w:val="20"/>
          <w:szCs w:val="20"/>
          <w:color w:val="auto"/>
        </w:rPr>
      </w:pPr>
    </w:p>
    <w:p>
      <w:pPr>
        <w:jc w:val="both"/>
        <w:ind w:left="1000" w:hanging="499"/>
        <w:spacing w:after="0" w:line="256"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1" w:lineRule="exact"/>
        <w:rPr>
          <w:rFonts w:ascii="Arial" w:cs="Arial" w:eastAsia="Arial" w:hAnsi="Arial"/>
          <w:sz w:val="16"/>
          <w:szCs w:val="16"/>
          <w:color w:val="auto"/>
        </w:rPr>
      </w:pPr>
    </w:p>
    <w:p>
      <w:pPr>
        <w:ind w:left="1000" w:hanging="499"/>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patent applications may not result in any patents being issued;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patents may be challenged, invalidated, modified, revoked, circumvented, found to be unenforceable or otherwise may not provide any competitive advantage;</w:t>
      </w:r>
    </w:p>
    <w:p>
      <w:pPr>
        <w:spacing w:after="0" w:line="133" w:lineRule="exact"/>
        <w:rPr>
          <w:rFonts w:ascii="Arial" w:cs="Arial" w:eastAsia="Arial" w:hAnsi="Arial"/>
          <w:sz w:val="13"/>
          <w:szCs w:val="13"/>
          <w:color w:val="auto"/>
        </w:rPr>
      </w:pPr>
    </w:p>
    <w:p>
      <w:pPr>
        <w:ind w:left="1000" w:right="20" w:hanging="499"/>
        <w:spacing w:after="0" w:line="383"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62" w:name="page63"/>
    <w:bookmarkEnd w:id="62"/>
    <w:p>
      <w:pPr>
        <w:ind w:left="1000" w:hanging="499"/>
        <w:spacing w:after="0" w:line="300" w:lineRule="auto"/>
        <w:tabs>
          <w:tab w:leader="none" w:pos="10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40" w:lineRule="exact"/>
        <w:rPr>
          <w:rFonts w:ascii="Arial" w:cs="Arial" w:eastAsia="Arial" w:hAnsi="Arial"/>
          <w:sz w:val="15"/>
          <w:szCs w:val="15"/>
          <w:color w:val="auto"/>
        </w:rPr>
      </w:pPr>
    </w:p>
    <w:p>
      <w:pPr>
        <w:ind w:left="1000" w:right="20" w:hanging="499"/>
        <w:spacing w:after="0" w:line="266"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93"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5"/>
          <w:szCs w:val="15"/>
          <w:color w:val="auto"/>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 advantageous. It is also possible that we or any future licensors will fail to identify patentable aspects of our research and development output before it is too late to obtain patent protection.</w:t>
      </w:r>
    </w:p>
    <w:p>
      <w:pPr>
        <w:spacing w:after="0" w:line="172"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5"/>
          <w:szCs w:val="15"/>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84"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01"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82"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future licensors may not result in patents being issued which protect our product candidates or which effectively prevent others from commercializing competitive product candidates.</w:t>
      </w:r>
    </w:p>
    <w:p>
      <w:pPr>
        <w:spacing w:after="0" w:line="203" w:lineRule="exact"/>
        <w:rPr>
          <w:sz w:val="20"/>
          <w:szCs w:val="20"/>
          <w:color w:val="auto"/>
        </w:rPr>
      </w:pPr>
    </w:p>
    <w:p>
      <w:pPr>
        <w:jc w:val="both"/>
        <w:ind w:firstLine="511"/>
        <w:spacing w:after="0" w:line="249"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any future licensors by developing similar or alternative technologies or products in a non-infringing manner which could materially adversely affect our business, financial condition, results of operations and prospects.</w:t>
      </w:r>
    </w:p>
    <w:p>
      <w:pPr>
        <w:spacing w:after="0" w:line="208" w:lineRule="exact"/>
        <w:rPr>
          <w:sz w:val="20"/>
          <w:szCs w:val="20"/>
          <w:color w:val="auto"/>
        </w:rPr>
      </w:pPr>
    </w:p>
    <w:p>
      <w:pPr>
        <w:jc w:val="both"/>
        <w:ind w:firstLine="511"/>
        <w:spacing w:after="0" w:line="310" w:lineRule="auto"/>
        <w:rPr>
          <w:sz w:val="20"/>
          <w:szCs w:val="20"/>
          <w:color w:val="auto"/>
        </w:rPr>
      </w:pPr>
      <w:r>
        <w:rPr>
          <w:rFonts w:ascii="Arial" w:cs="Arial" w:eastAsia="Arial" w:hAnsi="Arial"/>
          <w:sz w:val="13"/>
          <w:szCs w:val="13"/>
          <w:color w:val="auto"/>
        </w:rPr>
        <w:t xml:space="preserve">The issuance of a patent is not conclusive as to its inventorship, scope, validity, or enforceability, and our patents or the patents of any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any future licensors may become subject to post-grant challenge proceedings, such as oppositions in a foreign patent office, that challenge our claim of priority of invention or other features of patentability with respect to our patents and patent applications and those of any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any future licensors is threatened, regardless of the outcome, it could dissuade companies from collaborating with us to license, develop, or commercialize current or future product candidates.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63" w:name="page64"/>
    <w:bookmarkEnd w:id="63"/>
    <w:p>
      <w:pPr>
        <w:ind w:left="50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threats to our competitive advantage.</w:t>
      </w:r>
    </w:p>
    <w:p>
      <w:pPr>
        <w:spacing w:after="0" w:line="217" w:lineRule="exact"/>
        <w:rPr>
          <w:sz w:val="20"/>
          <w:szCs w:val="20"/>
          <w:color w:val="auto"/>
        </w:rPr>
      </w:pPr>
    </w:p>
    <w:p>
      <w:pPr>
        <w:ind w:right="20" w:firstLine="511"/>
        <w:spacing w:after="0" w:line="266"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4" w:lineRule="exact"/>
        <w:rPr>
          <w:sz w:val="20"/>
          <w:szCs w:val="20"/>
          <w:color w:val="auto"/>
        </w:rPr>
      </w:pPr>
    </w:p>
    <w:p>
      <w:pPr>
        <w:ind w:left="1000" w:hanging="499"/>
        <w:spacing w:after="0"/>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others may be able to develop products that are similar to our product candidates but that are not covered by the claims of the patents that we own or license;</w:t>
      </w:r>
    </w:p>
    <w:p>
      <w:pPr>
        <w:spacing w:after="0" w:line="133" w:lineRule="exact"/>
        <w:rPr>
          <w:rFonts w:ascii="Arial" w:cs="Arial" w:eastAsia="Arial" w:hAnsi="Arial"/>
          <w:sz w:val="13"/>
          <w:szCs w:val="13"/>
          <w:color w:val="auto"/>
        </w:rPr>
      </w:pPr>
    </w:p>
    <w:p>
      <w:pPr>
        <w:ind w:left="1000" w:right="20" w:hanging="499"/>
        <w:spacing w:after="0" w:line="26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or any future licensors or collaborators might not have been the first to make the inventions covered by the issued patents or patent application that we own or license;</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or any future licensors or collaborators might not have been the first to file patent applications covering certain of our inventions;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110" w:lineRule="exact"/>
        <w:rPr>
          <w:rFonts w:ascii="Arial" w:cs="Arial" w:eastAsia="Arial" w:hAnsi="Arial"/>
          <w:sz w:val="15"/>
          <w:szCs w:val="15"/>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it is possible that the pending patent applications we own or license will not lead to issued patents;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issued patents that we own or license may be held invalid or unenforceable, as a result of legal challenges by our competitors;</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and</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choose not to file a patent in order to maintain certain trade secrets or know-how, and a third party may subsequently file a patent covering such intellectual property.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Should any of these events occur, it could significantly harm our business, results of operations and prospects.</w:t>
      </w:r>
    </w:p>
    <w:p>
      <w:pPr>
        <w:spacing w:after="0" w:line="229" w:lineRule="exact"/>
        <w:rPr>
          <w:sz w:val="20"/>
          <w:szCs w:val="20"/>
          <w:color w:val="auto"/>
        </w:rPr>
      </w:pPr>
    </w:p>
    <w:p>
      <w:pPr>
        <w:jc w:val="both"/>
        <w:ind w:right="20" w:firstLine="511"/>
        <w:spacing w:after="0" w:line="383" w:lineRule="auto"/>
        <w:rPr>
          <w:sz w:val="20"/>
          <w:szCs w:val="20"/>
          <w:color w:val="auto"/>
        </w:rPr>
      </w:pPr>
      <w:r>
        <w:rPr>
          <w:rFonts w:ascii="Arial" w:cs="Arial" w:eastAsia="Arial" w:hAnsi="Arial"/>
          <w:sz w:val="13"/>
          <w:szCs w:val="13"/>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112"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98" w:lineRule="exact"/>
        <w:rPr>
          <w:sz w:val="20"/>
          <w:szCs w:val="20"/>
          <w:color w:val="auto"/>
        </w:rPr>
      </w:pPr>
    </w:p>
    <w:p>
      <w:pPr>
        <w:jc w:val="both"/>
        <w:ind w:firstLine="511"/>
        <w:spacing w:after="0" w:line="312" w:lineRule="auto"/>
        <w:rPr>
          <w:sz w:val="20"/>
          <w:szCs w:val="20"/>
          <w:color w:val="auto"/>
        </w:rPr>
      </w:pPr>
      <w:r>
        <w:rPr>
          <w:rFonts w:ascii="Arial" w:cs="Arial" w:eastAsia="Arial" w:hAnsi="Arial"/>
          <w:sz w:val="13"/>
          <w:szCs w:val="13"/>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43" w:lineRule="exact"/>
        <w:rPr>
          <w:sz w:val="20"/>
          <w:szCs w:val="20"/>
          <w:color w:val="auto"/>
        </w:rPr>
      </w:pPr>
    </w:p>
    <w:p>
      <w:pPr>
        <w:ind w:left="1000" w:hanging="499"/>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result in costly litigation that may cause negative publicity;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64" w:name="page65"/>
    <w:bookmarkEnd w:id="64"/>
    <w:p>
      <w:pPr>
        <w:ind w:left="1000" w:hanging="499"/>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divert the time and attention of our technical personnel and management;</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cause development delays;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prevent us from commercializing any of our product candidates until the asserted patent expires or is held finally invalid or not infringed in a court of law;</w:t>
      </w:r>
    </w:p>
    <w:p>
      <w:pPr>
        <w:spacing w:after="0" w:line="110" w:lineRule="exact"/>
        <w:rPr>
          <w:rFonts w:ascii="Arial" w:cs="Arial" w:eastAsia="Arial" w:hAnsi="Arial"/>
          <w:sz w:val="15"/>
          <w:szCs w:val="15"/>
          <w:color w:val="auto"/>
        </w:rPr>
      </w:pPr>
    </w:p>
    <w:p>
      <w:pPr>
        <w:ind w:left="1000" w:hanging="499"/>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require us to develop non-infringing technology, which may not be possible on a cost-effective basis;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subject us to significant liability to third parties; or</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93"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5"/>
          <w:szCs w:val="15"/>
          <w:color w:val="auto"/>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84"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our product candidates through acquisitions and in-licenses.</w:t>
      </w:r>
    </w:p>
    <w:p>
      <w:pPr>
        <w:spacing w:after="0" w:line="229" w:lineRule="exact"/>
        <w:rPr>
          <w:sz w:val="20"/>
          <w:szCs w:val="20"/>
          <w:color w:val="auto"/>
        </w:rPr>
      </w:pPr>
    </w:p>
    <w:p>
      <w:pPr>
        <w:jc w:val="both"/>
        <w:ind w:firstLine="511"/>
        <w:spacing w:after="0" w:line="314" w:lineRule="auto"/>
        <w:rPr>
          <w:sz w:val="20"/>
          <w:szCs w:val="20"/>
          <w:color w:val="auto"/>
        </w:rPr>
      </w:pPr>
      <w:r>
        <w:rPr>
          <w:rFonts w:ascii="Arial" w:cs="Arial" w:eastAsia="Arial" w:hAnsi="Arial"/>
          <w:sz w:val="13"/>
          <w:szCs w:val="13"/>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65" w:name="page66"/>
    <w:bookmarkEnd w:id="65"/>
    <w:p>
      <w:pPr>
        <w:ind w:left="500"/>
        <w:spacing w:after="0"/>
        <w:rPr>
          <w:sz w:val="20"/>
          <w:szCs w:val="20"/>
          <w:color w:val="auto"/>
        </w:rPr>
      </w:pPr>
      <w:r>
        <w:rPr>
          <w:rFonts w:ascii="Arial" w:cs="Arial" w:eastAsia="Arial" w:hAnsi="Arial"/>
          <w:sz w:val="13"/>
          <w:szCs w:val="13"/>
          <w:b w:val="1"/>
          <w:bCs w:val="1"/>
          <w:i w:val="1"/>
          <w:iCs w:val="1"/>
          <w:color w:val="auto"/>
        </w:rPr>
        <w:t>We may be involved in lawsuits to protect or enforce our patents or any future licensors’ patents, which could be expensive, time consuming and unsuccessful.</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Further, our issued patents or any future licensors’ patents could be found invalid or unenforceable if challenged in court.</w:t>
      </w:r>
    </w:p>
    <w:p>
      <w:pPr>
        <w:spacing w:after="0" w:line="205" w:lineRule="exact"/>
        <w:rPr>
          <w:sz w:val="20"/>
          <w:szCs w:val="20"/>
          <w:color w:val="auto"/>
        </w:rPr>
      </w:pPr>
    </w:p>
    <w:p>
      <w:pPr>
        <w:jc w:val="both"/>
        <w:ind w:right="20" w:firstLine="511"/>
        <w:spacing w:after="0" w:line="316" w:lineRule="auto"/>
        <w:rPr>
          <w:sz w:val="20"/>
          <w:szCs w:val="20"/>
          <w:color w:val="auto"/>
        </w:rPr>
      </w:pPr>
      <w:r>
        <w:rPr>
          <w:rFonts w:ascii="Arial" w:cs="Arial" w:eastAsia="Arial" w:hAnsi="Arial"/>
          <w:sz w:val="13"/>
          <w:szCs w:val="13"/>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67" w:lineRule="exact"/>
        <w:rPr>
          <w:sz w:val="20"/>
          <w:szCs w:val="20"/>
          <w:color w:val="auto"/>
        </w:rPr>
      </w:pPr>
    </w:p>
    <w:p>
      <w:pPr>
        <w:jc w:val="both"/>
        <w:ind w:firstLine="511"/>
        <w:spacing w:after="0" w:line="316" w:lineRule="auto"/>
        <w:rPr>
          <w:sz w:val="20"/>
          <w:szCs w:val="20"/>
          <w:color w:val="auto"/>
        </w:rPr>
      </w:pPr>
      <w:r>
        <w:rPr>
          <w:rFonts w:ascii="Arial" w:cs="Arial" w:eastAsia="Arial" w:hAnsi="Arial"/>
          <w:sz w:val="13"/>
          <w:szCs w:val="13"/>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167" w:lineRule="exact"/>
        <w:rPr>
          <w:sz w:val="20"/>
          <w:szCs w:val="20"/>
          <w:color w:val="auto"/>
        </w:rPr>
      </w:pPr>
    </w:p>
    <w:p>
      <w:pPr>
        <w:jc w:val="both"/>
        <w:ind w:firstLine="511"/>
        <w:spacing w:after="0" w:line="329" w:lineRule="auto"/>
        <w:rPr>
          <w:sz w:val="20"/>
          <w:szCs w:val="20"/>
          <w:color w:val="auto"/>
        </w:rPr>
      </w:pPr>
      <w:r>
        <w:rPr>
          <w:rFonts w:ascii="Arial" w:cs="Arial" w:eastAsia="Arial" w:hAnsi="Arial"/>
          <w:sz w:val="13"/>
          <w:szCs w:val="13"/>
          <w:color w:val="auto"/>
        </w:rPr>
        <w:t>The outcome following legal assertions of invalidity and/or unenforceability is unpredictable, and prior art could render our patent or any future licensors’ patent invalid. There is no assurance that all potentially relevant prior art relating to our patent and patent applications or the patent and patent applications of any future licensors has been found. There is also no assurance that there is not prior art of which we are aware, but which we do not believe affects the validity or enforceability of a claim in our patent and patent applications or the patent and patent applications of any future licensors, which may, nonetheless, ultimately be found to affect the validity or enforceability of a claim.</w:t>
      </w:r>
    </w:p>
    <w:p>
      <w:pPr>
        <w:spacing w:after="0" w:line="147"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03"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5"/>
          <w:szCs w:val="15"/>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96"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1"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66" w:name="page67"/>
    <w:bookmarkEnd w:id="66"/>
    <w:p>
      <w:pPr>
        <w:ind w:left="500"/>
        <w:spacing w:after="0"/>
        <w:rPr>
          <w:sz w:val="20"/>
          <w:szCs w:val="20"/>
          <w:color w:val="auto"/>
        </w:rPr>
      </w:pPr>
      <w:r>
        <w:rPr>
          <w:rFonts w:ascii="Arial" w:cs="Arial" w:eastAsia="Arial" w:hAnsi="Arial"/>
          <w:sz w:val="13"/>
          <w:szCs w:val="13"/>
          <w:b w:val="1"/>
          <w:bCs w:val="1"/>
          <w:i w:val="1"/>
          <w:iCs w:val="1"/>
          <w:color w:val="auto"/>
        </w:rPr>
        <w:t>Intellectual property litigation may lead to unfavorable publicity that harms our reputation and causes the market price of our common shares to decline.</w:t>
      </w:r>
    </w:p>
    <w:p>
      <w:pPr>
        <w:spacing w:after="0" w:line="251"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5"/>
          <w:szCs w:val="15"/>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8"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93" w:lineRule="exact"/>
        <w:rPr>
          <w:sz w:val="20"/>
          <w:szCs w:val="20"/>
          <w:color w:val="auto"/>
        </w:rPr>
      </w:pPr>
    </w:p>
    <w:p>
      <w:pPr>
        <w:jc w:val="both"/>
        <w:ind w:firstLine="511"/>
        <w:spacing w:after="0" w:line="319" w:lineRule="auto"/>
        <w:rPr>
          <w:sz w:val="20"/>
          <w:szCs w:val="20"/>
          <w:color w:val="auto"/>
        </w:rPr>
      </w:pPr>
      <w:r>
        <w:rPr>
          <w:rFonts w:ascii="Arial" w:cs="Arial" w:eastAsia="Arial" w:hAnsi="Arial"/>
          <w:sz w:val="13"/>
          <w:szCs w:val="13"/>
          <w:color w:val="auto"/>
        </w:rPr>
        <w:t>Derivation proceedings provoked by third parties or brought by us or declared by the USPTO may be necessary to determine the priority of inventions with respect to our patents or patent applications or those of any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52"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b w:val="1"/>
          <w:bCs w:val="1"/>
          <w:i w:val="1"/>
          <w:iCs w:val="1"/>
          <w:color w:val="auto"/>
        </w:rPr>
        <w:t>Recent patent reform legislation could increase the uncertainties and costs surrounding the prosecution of our patent applications or those of any future licensors and the enforcement or defense of our issued patents or those of any future licensors.</w:t>
      </w:r>
    </w:p>
    <w:p>
      <w:pPr>
        <w:spacing w:after="0" w:line="193" w:lineRule="exact"/>
        <w:rPr>
          <w:sz w:val="20"/>
          <w:szCs w:val="20"/>
          <w:color w:val="auto"/>
        </w:rPr>
      </w:pPr>
    </w:p>
    <w:p>
      <w:pPr>
        <w:jc w:val="both"/>
        <w:ind w:firstLine="511"/>
        <w:spacing w:after="0" w:line="312" w:lineRule="auto"/>
        <w:rPr>
          <w:sz w:val="20"/>
          <w:szCs w:val="20"/>
          <w:color w:val="auto"/>
        </w:rPr>
      </w:pPr>
      <w:r>
        <w:rPr>
          <w:rFonts w:ascii="Arial" w:cs="Arial" w:eastAsia="Arial" w:hAnsi="Arial"/>
          <w:sz w:val="13"/>
          <w:szCs w:val="13"/>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future licensors are the first to either (1) file any patent application related to our product candidates or (2) invent any of the inventions claimed in the patents or patent applications.</w:t>
      </w:r>
    </w:p>
    <w:p>
      <w:pPr>
        <w:spacing w:after="0" w:line="173"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91" w:lineRule="exact"/>
        <w:rPr>
          <w:sz w:val="20"/>
          <w:szCs w:val="20"/>
          <w:color w:val="auto"/>
        </w:rPr>
      </w:pPr>
    </w:p>
    <w:p>
      <w:pPr>
        <w:jc w:val="both"/>
        <w:ind w:right="20" w:firstLine="511"/>
        <w:spacing w:after="0" w:line="319" w:lineRule="auto"/>
        <w:rPr>
          <w:sz w:val="20"/>
          <w:szCs w:val="20"/>
          <w:color w:val="auto"/>
        </w:rPr>
      </w:pPr>
      <w:r>
        <w:rPr>
          <w:rFonts w:ascii="Arial" w:cs="Arial" w:eastAsia="Arial" w:hAnsi="Arial"/>
          <w:sz w:val="13"/>
          <w:szCs w:val="13"/>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future licensors and the enforcement or defense of our issued patents or those of any future licensors, all of which could have a material adverse effect on our business, financial condition, results of operations and prospects.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67" w:name="page68"/>
    <w:bookmarkEnd w:id="67"/>
    <w:p>
      <w:pPr>
        <w:ind w:left="500"/>
        <w:spacing w:after="0"/>
        <w:rPr>
          <w:sz w:val="20"/>
          <w:szCs w:val="20"/>
          <w:color w:val="auto"/>
        </w:rPr>
      </w:pPr>
      <w:r>
        <w:rPr>
          <w:rFonts w:ascii="Arial" w:cs="Arial" w:eastAsia="Arial" w:hAnsi="Arial"/>
          <w:sz w:val="13"/>
          <w:szCs w:val="13"/>
          <w:b w:val="1"/>
          <w:bCs w:val="1"/>
          <w:i w:val="1"/>
          <w:iCs w:val="1"/>
          <w:color w:val="auto"/>
        </w:rPr>
        <w:t>Changes in U.S. patent law, or laws in other countries, could diminish the value of patents in general, thereby impairing our ability to protect our product candidates.</w:t>
      </w:r>
    </w:p>
    <w:p>
      <w:pPr>
        <w:spacing w:after="0" w:line="251" w:lineRule="exact"/>
        <w:rPr>
          <w:sz w:val="20"/>
          <w:szCs w:val="20"/>
          <w:color w:val="auto"/>
        </w:rPr>
      </w:pPr>
    </w:p>
    <w:p>
      <w:pPr>
        <w:jc w:val="both"/>
        <w:ind w:firstLine="511"/>
        <w:spacing w:after="0" w:line="250"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6" w:lineRule="exact"/>
        <w:rPr>
          <w:sz w:val="20"/>
          <w:szCs w:val="20"/>
          <w:color w:val="auto"/>
        </w:rPr>
      </w:pPr>
    </w:p>
    <w:p>
      <w:pPr>
        <w:jc w:val="both"/>
        <w:ind w:firstLine="511"/>
        <w:spacing w:after="0" w:line="272" w:lineRule="auto"/>
        <w:rPr>
          <w:sz w:val="20"/>
          <w:szCs w:val="20"/>
          <w:color w:val="auto"/>
        </w:rPr>
      </w:pPr>
      <w:r>
        <w:rPr>
          <w:rFonts w:ascii="Arial" w:cs="Arial" w:eastAsia="Arial" w:hAnsi="Arial"/>
          <w:sz w:val="15"/>
          <w:szCs w:val="15"/>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our patents and other intellectual property.</w:t>
      </w:r>
    </w:p>
    <w:p>
      <w:pPr>
        <w:spacing w:after="0" w:line="217"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jc w:val="both"/>
        <w:ind w:firstLine="511"/>
        <w:spacing w:after="0" w:line="272"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If we do not obtain patent term extension for our product candidates, our business may be materially harmed.</w:t>
      </w:r>
    </w:p>
    <w:p>
      <w:pPr>
        <w:spacing w:after="0" w:line="229" w:lineRule="exact"/>
        <w:rPr>
          <w:sz w:val="20"/>
          <w:szCs w:val="20"/>
          <w:color w:val="auto"/>
        </w:rPr>
      </w:pPr>
    </w:p>
    <w:p>
      <w:pPr>
        <w:jc w:val="both"/>
        <w:ind w:firstLine="511"/>
        <w:spacing w:after="0" w:line="311" w:lineRule="auto"/>
        <w:rPr>
          <w:sz w:val="20"/>
          <w:szCs w:val="20"/>
          <w:color w:val="auto"/>
        </w:rPr>
      </w:pPr>
      <w:r>
        <w:rPr>
          <w:rFonts w:ascii="Arial" w:cs="Arial" w:eastAsia="Arial" w:hAnsi="Arial"/>
          <w:sz w:val="13"/>
          <w:szCs w:val="13"/>
          <w:color w:val="auto"/>
        </w:rPr>
        <w:t>Depending upon the timing, duration and specifics of FDA marketing approval of our product candidates, one or more of our U.S. patents or those of any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68" w:name="page69"/>
    <w:bookmarkEnd w:id="68"/>
    <w:p>
      <w:pPr>
        <w:ind w:left="500"/>
        <w:spacing w:after="0"/>
        <w:rPr>
          <w:sz w:val="20"/>
          <w:szCs w:val="20"/>
          <w:color w:val="auto"/>
        </w:rPr>
      </w:pPr>
      <w:r>
        <w:rPr>
          <w:rFonts w:ascii="Arial" w:cs="Arial" w:eastAsia="Arial" w:hAnsi="Arial"/>
          <w:sz w:val="16"/>
          <w:szCs w:val="16"/>
          <w:b w:val="1"/>
          <w:bCs w:val="1"/>
          <w:i w:val="1"/>
          <w:iCs w:val="1"/>
          <w:color w:val="auto"/>
        </w:rPr>
        <w:t>We will not be able to protect our intellectual property rights throughout the world.</w:t>
      </w:r>
    </w:p>
    <w:p>
      <w:pPr>
        <w:spacing w:after="0" w:line="217" w:lineRule="exact"/>
        <w:rPr>
          <w:sz w:val="20"/>
          <w:szCs w:val="20"/>
          <w:color w:val="auto"/>
        </w:rPr>
      </w:pPr>
    </w:p>
    <w:p>
      <w:pPr>
        <w:jc w:val="both"/>
        <w:ind w:firstLine="511"/>
        <w:spacing w:after="0" w:line="314" w:lineRule="auto"/>
        <w:rPr>
          <w:sz w:val="20"/>
          <w:szCs w:val="20"/>
          <w:color w:val="auto"/>
        </w:rPr>
      </w:pPr>
      <w:r>
        <w:rPr>
          <w:rFonts w:ascii="Arial" w:cs="Arial" w:eastAsia="Arial" w:hAnsi="Arial"/>
          <w:sz w:val="13"/>
          <w:szCs w:val="13"/>
          <w:color w:val="auto"/>
        </w:rPr>
        <w:t>We own or in-license nine U.S. issued patents and own one U.S. pending patent application, as well as 12 in-licensed patents issued in jurisdictions outside of the United States, two in-licensed pending patent applications in jurisdictions outside of the United States, and seven owned patent applications pending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future licensors, or other intellectual property rights may not be effective or sufficient to prevent them from competing.</w:t>
      </w:r>
    </w:p>
    <w:p>
      <w:pPr>
        <w:spacing w:after="0" w:line="357" w:lineRule="exact"/>
        <w:rPr>
          <w:sz w:val="20"/>
          <w:szCs w:val="20"/>
          <w:color w:val="auto"/>
        </w:rPr>
      </w:pPr>
    </w:p>
    <w:p>
      <w:pPr>
        <w:jc w:val="both"/>
        <w:ind w:firstLine="511"/>
        <w:spacing w:after="0" w:line="316" w:lineRule="auto"/>
        <w:rPr>
          <w:sz w:val="20"/>
          <w:szCs w:val="20"/>
          <w:color w:val="auto"/>
        </w:rPr>
      </w:pPr>
      <w:r>
        <w:rPr>
          <w:rFonts w:ascii="Arial" w:cs="Arial" w:eastAsia="Arial" w:hAnsi="Arial"/>
          <w:sz w:val="13"/>
          <w:szCs w:val="13"/>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future licensors at risk of being invalidated or interpreted narrowly and our patent applications or the patent applications of any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91" w:lineRule="exact"/>
        <w:rPr>
          <w:sz w:val="20"/>
          <w:szCs w:val="20"/>
          <w:color w:val="auto"/>
        </w:rPr>
      </w:pPr>
    </w:p>
    <w:p>
      <w:pPr>
        <w:jc w:val="both"/>
        <w:ind w:right="20" w:firstLine="516"/>
        <w:spacing w:after="0" w:line="383" w:lineRule="auto"/>
        <w:rPr>
          <w:sz w:val="20"/>
          <w:szCs w:val="20"/>
          <w:color w:val="auto"/>
        </w:rPr>
      </w:pPr>
      <w:r>
        <w:rPr>
          <w:rFonts w:ascii="Arial" w:cs="Arial" w:eastAsia="Arial" w:hAnsi="Arial"/>
          <w:sz w:val="13"/>
          <w:szCs w:val="13"/>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24" w:lineRule="exact"/>
        <w:rPr>
          <w:sz w:val="20"/>
          <w:szCs w:val="20"/>
          <w:color w:val="auto"/>
        </w:rPr>
      </w:pPr>
    </w:p>
    <w:p>
      <w:pPr>
        <w:jc w:val="both"/>
        <w:ind w:firstLine="516"/>
        <w:spacing w:after="0" w:line="268"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96" w:lineRule="exact"/>
        <w:rPr>
          <w:sz w:val="20"/>
          <w:szCs w:val="20"/>
          <w:color w:val="auto"/>
        </w:rPr>
      </w:pPr>
    </w:p>
    <w:p>
      <w:pPr>
        <w:jc w:val="both"/>
        <w:ind w:firstLine="516"/>
        <w:spacing w:after="0" w:line="26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82" w:lineRule="exact"/>
        <w:rPr>
          <w:sz w:val="20"/>
          <w:szCs w:val="20"/>
          <w:color w:val="auto"/>
        </w:rPr>
      </w:pPr>
    </w:p>
    <w:p>
      <w:pPr>
        <w:jc w:val="both"/>
        <w:ind w:firstLine="516"/>
        <w:spacing w:after="0" w:line="314" w:lineRule="auto"/>
        <w:rPr>
          <w:sz w:val="20"/>
          <w:szCs w:val="20"/>
          <w:color w:val="auto"/>
        </w:rPr>
      </w:pPr>
      <w:r>
        <w:rPr>
          <w:rFonts w:ascii="Arial" w:cs="Arial" w:eastAsia="Arial" w:hAnsi="Arial"/>
          <w:sz w:val="13"/>
          <w:szCs w:val="13"/>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69" w:name="page70"/>
    <w:bookmarkEnd w:id="69"/>
    <w:p>
      <w:pPr>
        <w:ind w:left="50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would be harmed.</w:t>
      </w:r>
    </w:p>
    <w:p>
      <w:pPr>
        <w:spacing w:after="0" w:line="217" w:lineRule="exact"/>
        <w:rPr>
          <w:sz w:val="20"/>
          <w:szCs w:val="20"/>
          <w:color w:val="auto"/>
        </w:rPr>
      </w:pPr>
    </w:p>
    <w:p>
      <w:pPr>
        <w:jc w:val="both"/>
        <w:ind w:firstLine="511"/>
        <w:spacing w:after="0" w:line="270" w:lineRule="auto"/>
        <w:rPr>
          <w:sz w:val="20"/>
          <w:szCs w:val="20"/>
          <w:color w:val="auto"/>
        </w:rPr>
      </w:pPr>
      <w:r>
        <w:rPr>
          <w:rFonts w:ascii="Arial" w:cs="Arial" w:eastAsia="Arial" w:hAnsi="Arial"/>
          <w:sz w:val="15"/>
          <w:szCs w:val="15"/>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92"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may be subject to claims that we or our employees have wrongfully used or disclosed alleged confidential information or trade secrets.</w:t>
      </w:r>
    </w:p>
    <w:p>
      <w:pPr>
        <w:spacing w:after="0" w:line="217" w:lineRule="exact"/>
        <w:rPr>
          <w:sz w:val="20"/>
          <w:szCs w:val="20"/>
          <w:color w:val="auto"/>
        </w:rPr>
      </w:pPr>
    </w:p>
    <w:p>
      <w:pPr>
        <w:jc w:val="both"/>
        <w:ind w:firstLine="511"/>
        <w:spacing w:after="0" w:line="314" w:lineRule="auto"/>
        <w:rPr>
          <w:sz w:val="20"/>
          <w:szCs w:val="20"/>
          <w:color w:val="auto"/>
        </w:rPr>
      </w:pPr>
      <w:r>
        <w:rPr>
          <w:rFonts w:ascii="Arial" w:cs="Arial" w:eastAsia="Arial" w:hAnsi="Arial"/>
          <w:sz w:val="13"/>
          <w:szCs w:val="13"/>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68" w:lineRule="exact"/>
        <w:rPr>
          <w:sz w:val="20"/>
          <w:szCs w:val="20"/>
          <w:color w:val="auto"/>
        </w:rPr>
      </w:pPr>
    </w:p>
    <w:p>
      <w:pPr>
        <w:jc w:val="both"/>
        <w:ind w:right="20" w:firstLine="511"/>
        <w:spacing w:after="0" w:line="329" w:lineRule="auto"/>
        <w:rPr>
          <w:sz w:val="20"/>
          <w:szCs w:val="20"/>
          <w:color w:val="auto"/>
        </w:rPr>
      </w:pPr>
      <w:r>
        <w:rPr>
          <w:rFonts w:ascii="Arial" w:cs="Arial" w:eastAsia="Arial" w:hAnsi="Arial"/>
          <w:sz w:val="13"/>
          <w:szCs w:val="13"/>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159"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82" w:lineRule="exact"/>
        <w:rPr>
          <w:sz w:val="20"/>
          <w:szCs w:val="20"/>
          <w:color w:val="auto"/>
        </w:rPr>
      </w:pPr>
    </w:p>
    <w:p>
      <w:pPr>
        <w:jc w:val="both"/>
        <w:ind w:firstLine="511"/>
        <w:spacing w:after="0" w:line="249" w:lineRule="auto"/>
        <w:rPr>
          <w:sz w:val="20"/>
          <w:szCs w:val="20"/>
          <w:color w:val="auto"/>
        </w:rPr>
      </w:pPr>
      <w:r>
        <w:rPr>
          <w:rFonts w:ascii="Arial" w:cs="Arial" w:eastAsia="Arial" w:hAnsi="Arial"/>
          <w:sz w:val="16"/>
          <w:szCs w:val="16"/>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70" w:name="page71"/>
    <w:bookmarkEnd w:id="70"/>
    <w:p>
      <w:pPr>
        <w:ind w:left="500"/>
        <w:spacing w:after="0"/>
        <w:rPr>
          <w:sz w:val="20"/>
          <w:szCs w:val="20"/>
          <w:color w:val="auto"/>
        </w:rPr>
      </w:pPr>
      <w:r>
        <w:rPr>
          <w:rFonts w:ascii="Arial" w:cs="Arial" w:eastAsia="Arial" w:hAnsi="Arial"/>
          <w:sz w:val="13"/>
          <w:szCs w:val="13"/>
          <w:b w:val="1"/>
          <w:bCs w:val="1"/>
          <w:i w:val="1"/>
          <w:iCs w:val="1"/>
          <w:color w:val="auto"/>
        </w:rPr>
        <w:t>Our rights to develop and commercialize our technology and product candidates may be subject, in part, to the terms and conditions of licenses granted to us by</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others.</w:t>
      </w:r>
    </w:p>
    <w:p>
      <w:pPr>
        <w:spacing w:after="0" w:line="205"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201" w:lineRule="exact"/>
        <w:rPr>
          <w:sz w:val="20"/>
          <w:szCs w:val="20"/>
          <w:color w:val="auto"/>
        </w:rPr>
      </w:pPr>
    </w:p>
    <w:p>
      <w:pPr>
        <w:jc w:val="both"/>
        <w:ind w:firstLine="511"/>
        <w:spacing w:after="0" w:line="272" w:lineRule="auto"/>
        <w:rPr>
          <w:sz w:val="20"/>
          <w:szCs w:val="20"/>
          <w:color w:val="auto"/>
        </w:rPr>
      </w:pPr>
      <w:r>
        <w:rPr>
          <w:rFonts w:ascii="Arial" w:cs="Arial" w:eastAsia="Arial" w:hAnsi="Arial"/>
          <w:sz w:val="15"/>
          <w:szCs w:val="15"/>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90"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91" w:lineRule="exact"/>
        <w:rPr>
          <w:sz w:val="20"/>
          <w:szCs w:val="20"/>
          <w:color w:val="auto"/>
        </w:rPr>
      </w:pPr>
    </w:p>
    <w:p>
      <w:pPr>
        <w:jc w:val="both"/>
        <w:ind w:firstLine="511"/>
        <w:spacing w:after="0" w:line="316" w:lineRule="auto"/>
        <w:rPr>
          <w:sz w:val="20"/>
          <w:szCs w:val="20"/>
          <w:color w:val="auto"/>
        </w:rPr>
      </w:pPr>
      <w:r>
        <w:rPr>
          <w:rFonts w:ascii="Arial" w:cs="Arial" w:eastAsia="Arial" w:hAnsi="Arial"/>
          <w:sz w:val="13"/>
          <w:szCs w:val="13"/>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7"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Disputes may arise between us and our current or future licensors regarding intellectual property subject to a license agreement, including:</w:t>
      </w:r>
    </w:p>
    <w:p>
      <w:pPr>
        <w:spacing w:after="0" w:line="99" w:lineRule="exact"/>
        <w:rPr>
          <w:sz w:val="20"/>
          <w:szCs w:val="20"/>
          <w:color w:val="auto"/>
        </w:rPr>
      </w:pPr>
    </w:p>
    <w:p>
      <w:pPr>
        <w:ind w:left="1000" w:hanging="499"/>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scope of rights granted under the license agreement and other interpretation-related issues;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whether and the extent to which our technology and processes infringe on intellectual property of the licensor that is not subject to the licensing agreement;</w:t>
      </w:r>
    </w:p>
    <w:p>
      <w:pPr>
        <w:spacing w:after="0" w:line="133" w:lineRule="exact"/>
        <w:rPr>
          <w:rFonts w:ascii="Arial" w:cs="Arial" w:eastAsia="Arial" w:hAnsi="Arial"/>
          <w:sz w:val="13"/>
          <w:szCs w:val="13"/>
          <w:color w:val="auto"/>
        </w:rPr>
      </w:pPr>
    </w:p>
    <w:p>
      <w:pPr>
        <w:ind w:left="1000" w:hanging="499"/>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right to sublicense patents and other rights to third parties;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right to transfer or assign the license;</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 us and our partners; and</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priority of invention of patented technology.</w:t>
      </w:r>
    </w:p>
    <w:p>
      <w:pPr>
        <w:spacing w:after="0" w:line="217" w:lineRule="exact"/>
        <w:rPr>
          <w:sz w:val="20"/>
          <w:szCs w:val="20"/>
          <w:color w:val="auto"/>
        </w:rPr>
      </w:pPr>
    </w:p>
    <w:p>
      <w:pPr>
        <w:jc w:val="both"/>
        <w:ind w:right="20" w:firstLine="511"/>
        <w:spacing w:after="0" w:line="319" w:lineRule="auto"/>
        <w:rPr>
          <w:sz w:val="20"/>
          <w:szCs w:val="20"/>
          <w:color w:val="auto"/>
        </w:rPr>
      </w:pPr>
      <w:r>
        <w:rPr>
          <w:rFonts w:ascii="Arial" w:cs="Arial" w:eastAsia="Arial" w:hAnsi="Arial"/>
          <w:sz w:val="13"/>
          <w:szCs w:val="13"/>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39" w:right="319" w:bottom="1440" w:gutter="0" w:footer="0" w:header="0"/>
        </w:sectPr>
      </w:pPr>
    </w:p>
    <w:bookmarkStart w:id="71" w:name="page72"/>
    <w:bookmarkEnd w:id="71"/>
    <w:p>
      <w:pPr>
        <w:jc w:val="both"/>
        <w:ind w:right="20" w:firstLine="511"/>
        <w:spacing w:after="0" w:line="275" w:lineRule="auto"/>
        <w:rPr>
          <w:sz w:val="20"/>
          <w:szCs w:val="20"/>
          <w:color w:val="auto"/>
        </w:rPr>
      </w:pPr>
      <w:r>
        <w:rPr>
          <w:rFonts w:ascii="Arial" w:cs="Arial" w:eastAsia="Arial" w:hAnsi="Arial"/>
          <w:sz w:val="15"/>
          <w:szCs w:val="15"/>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patent protection and patent prosecution for some of our product candidates may be dependent on third parties.</w:t>
      </w:r>
    </w:p>
    <w:p>
      <w:pPr>
        <w:spacing w:after="0" w:line="229" w:lineRule="exact"/>
        <w:rPr>
          <w:sz w:val="20"/>
          <w:szCs w:val="20"/>
          <w:color w:val="auto"/>
        </w:rPr>
      </w:pPr>
    </w:p>
    <w:p>
      <w:pPr>
        <w:jc w:val="both"/>
        <w:ind w:firstLine="511"/>
        <w:spacing w:after="0" w:line="249" w:lineRule="auto"/>
        <w:rPr>
          <w:sz w:val="20"/>
          <w:szCs w:val="20"/>
          <w:color w:val="auto"/>
        </w:rPr>
      </w:pPr>
      <w:r>
        <w:rPr>
          <w:rFonts w:ascii="Arial" w:cs="Arial" w:eastAsia="Arial" w:hAnsi="Arial"/>
          <w:sz w:val="16"/>
          <w:szCs w:val="16"/>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06"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89" w:lineRule="exact"/>
        <w:rPr>
          <w:sz w:val="20"/>
          <w:szCs w:val="20"/>
          <w:color w:val="auto"/>
        </w:rPr>
      </w:pPr>
    </w:p>
    <w:p>
      <w:pPr>
        <w:jc w:val="both"/>
        <w:ind w:firstLine="511"/>
        <w:spacing w:after="0" w:line="308" w:lineRule="auto"/>
        <w:rPr>
          <w:sz w:val="20"/>
          <w:szCs w:val="20"/>
          <w:color w:val="auto"/>
        </w:rPr>
      </w:pPr>
      <w:r>
        <w:rPr>
          <w:rFonts w:ascii="Arial" w:cs="Arial" w:eastAsia="Arial" w:hAnsi="Arial"/>
          <w:sz w:val="13"/>
          <w:szCs w:val="13"/>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72" w:name="page73"/>
    <w:bookmarkEnd w:id="72"/>
    <w:p>
      <w:pPr>
        <w:ind w:left="500"/>
        <w:spacing w:after="0"/>
        <w:rPr>
          <w:sz w:val="20"/>
          <w:szCs w:val="20"/>
          <w:color w:val="auto"/>
        </w:rPr>
      </w:pPr>
      <w:r>
        <w:rPr>
          <w:rFonts w:ascii="Arial" w:cs="Arial" w:eastAsia="Arial" w:hAnsi="Arial"/>
          <w:sz w:val="16"/>
          <w:szCs w:val="16"/>
          <w:b w:val="1"/>
          <w:bCs w:val="1"/>
          <w:color w:val="auto"/>
        </w:rPr>
        <w:t>Risks Relating to Cybersecurity</w:t>
      </w:r>
    </w:p>
    <w:p>
      <w:pPr>
        <w:spacing w:after="0" w:line="221" w:lineRule="exact"/>
        <w:rPr>
          <w:sz w:val="20"/>
          <w:szCs w:val="20"/>
          <w:color w:val="auto"/>
        </w:rPr>
      </w:pPr>
    </w:p>
    <w:p>
      <w:pPr>
        <w:jc w:val="both"/>
        <w:ind w:firstLine="511"/>
        <w:spacing w:after="0" w:line="343" w:lineRule="auto"/>
        <w:rPr>
          <w:sz w:val="20"/>
          <w:szCs w:val="20"/>
          <w:color w:val="auto"/>
        </w:rPr>
      </w:pPr>
      <w:r>
        <w:rPr>
          <w:rFonts w:ascii="Arial" w:cs="Arial" w:eastAsia="Arial" w:hAnsi="Arial"/>
          <w:sz w:val="13"/>
          <w:szCs w:val="13"/>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149" w:lineRule="exact"/>
        <w:rPr>
          <w:sz w:val="20"/>
          <w:szCs w:val="20"/>
          <w:color w:val="auto"/>
        </w:rPr>
      </w:pPr>
    </w:p>
    <w:p>
      <w:pPr>
        <w:jc w:val="both"/>
        <w:ind w:firstLine="511"/>
        <w:spacing w:after="0" w:line="308" w:lineRule="auto"/>
        <w:rPr>
          <w:sz w:val="20"/>
          <w:szCs w:val="20"/>
          <w:color w:val="auto"/>
        </w:rPr>
      </w:pPr>
      <w:r>
        <w:rPr>
          <w:rFonts w:ascii="Arial" w:cs="Arial" w:eastAsia="Arial" w:hAnsi="Arial"/>
          <w:sz w:val="13"/>
          <w:szCs w:val="13"/>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368"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5"/>
          <w:szCs w:val="15"/>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Data collection is governed by restrictive regulations governing the use, processing and cross-border transfer of personal information.</w:t>
      </w:r>
    </w:p>
    <w:p>
      <w:pPr>
        <w:spacing w:after="0" w:line="229" w:lineRule="exact"/>
        <w:rPr>
          <w:sz w:val="20"/>
          <w:szCs w:val="20"/>
          <w:color w:val="auto"/>
        </w:rPr>
      </w:pPr>
    </w:p>
    <w:p>
      <w:pPr>
        <w:jc w:val="both"/>
        <w:ind w:firstLine="511"/>
        <w:spacing w:after="0" w:line="311" w:lineRule="auto"/>
        <w:rPr>
          <w:sz w:val="20"/>
          <w:szCs w:val="20"/>
          <w:color w:val="auto"/>
        </w:rPr>
      </w:pPr>
      <w:r>
        <w:rPr>
          <w:rFonts w:ascii="Arial" w:cs="Arial" w:eastAsia="Arial" w:hAnsi="Arial"/>
          <w:sz w:val="13"/>
          <w:szCs w:val="13"/>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recent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73" w:name="page74"/>
    <w:bookmarkEnd w:id="73"/>
    <w:p>
      <w:pPr>
        <w:jc w:val="both"/>
        <w:spacing w:after="0" w:line="272" w:lineRule="auto"/>
        <w:rPr>
          <w:sz w:val="20"/>
          <w:szCs w:val="20"/>
          <w:color w:val="auto"/>
        </w:rPr>
      </w:pPr>
      <w:r>
        <w:rPr>
          <w:rFonts w:ascii="Arial" w:cs="Arial" w:eastAsia="Arial" w:hAnsi="Arial"/>
          <w:sz w:val="15"/>
          <w:szCs w:val="15"/>
          <w:color w:val="auto"/>
        </w:rPr>
        <w:t>decision by the Court of Justice for the European Union that invalidated the EU-U.S. Privacy Shield. This may increase the complexity of transferring personal data across borders.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78" w:lineRule="exact"/>
        <w:rPr>
          <w:sz w:val="20"/>
          <w:szCs w:val="20"/>
          <w:color w:val="auto"/>
        </w:rPr>
      </w:pPr>
    </w:p>
    <w:p>
      <w:pPr>
        <w:jc w:val="both"/>
        <w:ind w:firstLine="511"/>
        <w:spacing w:after="0" w:line="250" w:lineRule="auto"/>
        <w:rPr>
          <w:sz w:val="20"/>
          <w:szCs w:val="20"/>
          <w:color w:val="auto"/>
        </w:rPr>
      </w:pPr>
      <w:r>
        <w:rPr>
          <w:rFonts w:ascii="Arial" w:cs="Arial" w:eastAsia="Arial" w:hAnsi="Arial"/>
          <w:sz w:val="16"/>
          <w:szCs w:val="16"/>
          <w:color w:val="auto"/>
        </w:rPr>
        <w:t>Further, the vote in the United Kingdom, or UK, in favor of exiting the EU, referred to as Brexit, has created uncertainty with regard to data protection regulation in the UK. Specifically, while the Data Protection Act of 2018, that “implements” and complements the GDPR achieved Royal Assent on May 23, 2018 and is now effective in the UK, aspects of data protection in the UK, such as the transfer of data from the EEA to the UK, remain uncertain. During the period of “transition” (i.e., until December 31, 2020), EU law will continue to apply in the UK, including the GDPR, after which the GDPR will be converted into UK law. Beginning in 2021, the UK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206" w:lineRule="exact"/>
        <w:rPr>
          <w:sz w:val="20"/>
          <w:szCs w:val="20"/>
          <w:color w:val="auto"/>
        </w:rPr>
      </w:pPr>
    </w:p>
    <w:p>
      <w:pPr>
        <w:jc w:val="both"/>
        <w:ind w:firstLine="511"/>
        <w:spacing w:after="0" w:line="314" w:lineRule="auto"/>
        <w:rPr>
          <w:sz w:val="20"/>
          <w:szCs w:val="20"/>
          <w:color w:val="auto"/>
        </w:rPr>
      </w:pPr>
      <w:r>
        <w:rPr>
          <w:rFonts w:ascii="Arial" w:cs="Arial" w:eastAsia="Arial" w:hAnsi="Arial"/>
          <w:sz w:val="13"/>
          <w:szCs w:val="13"/>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Moreover, a new privacy law, the California Privacy Rights Act, or CPRA, was recently certified by the California Secretary of State to appear on the ballot for the November 3, 2020 election. If this initiative is approved by California voters, the CPRA would significantly modify the CCPA, potentially resulting in further uncertainty and requiring us to incur additional costs and expenses in an effort to comply. The CCPA and, if it goes into effect, the CPRA, may impact our business activities and exemplifies the vulnerability of our business to the evolving regulatory environment related to personal data and protected health information.</w:t>
      </w:r>
    </w:p>
    <w:p>
      <w:pPr>
        <w:spacing w:after="0" w:line="168"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Risks Relating to Ownership of Our Common Stock</w:t>
      </w:r>
    </w:p>
    <w:p>
      <w:pPr>
        <w:spacing w:after="0" w:line="233"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We do not know whether an active market will develop for our common stock or will be sustained, and, as a result, it may be difficult for you to sell your shares of our common stock.</w:t>
      </w:r>
    </w:p>
    <w:p>
      <w:pPr>
        <w:spacing w:after="0" w:line="193" w:lineRule="exact"/>
        <w:rPr>
          <w:sz w:val="20"/>
          <w:szCs w:val="20"/>
          <w:color w:val="auto"/>
        </w:rPr>
      </w:pPr>
    </w:p>
    <w:p>
      <w:pPr>
        <w:jc w:val="both"/>
        <w:ind w:right="20" w:firstLine="511"/>
        <w:spacing w:after="0" w:line="343" w:lineRule="auto"/>
        <w:rPr>
          <w:sz w:val="20"/>
          <w:szCs w:val="20"/>
          <w:color w:val="auto"/>
        </w:rPr>
      </w:pPr>
      <w:r>
        <w:rPr>
          <w:rFonts w:ascii="Arial" w:cs="Arial" w:eastAsia="Arial" w:hAnsi="Arial"/>
          <w:sz w:val="13"/>
          <w:szCs w:val="13"/>
          <w:color w:val="auto"/>
        </w:rPr>
        <w:t>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result in substantial losses for investors.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market price of our common stock may be volatile. As a result, you may not be able to sell your common stock at or above the price that you paid for such shares.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Some of the factors that may cause the market price of our common stock to fluctuate include:</w:t>
      </w:r>
    </w:p>
    <w:p>
      <w:pPr>
        <w:spacing w:after="0" w:line="88" w:lineRule="exact"/>
        <w:rPr>
          <w:sz w:val="20"/>
          <w:szCs w:val="20"/>
          <w:color w:val="auto"/>
        </w:rPr>
      </w:pPr>
    </w:p>
    <w:p>
      <w:pPr>
        <w:ind w:left="1000" w:hanging="499"/>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results of nonclinical studies and clinical trials and, in particular, our LIFT-AD and ACT-AD P300 clinical trials;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impact of the ongoing COVID-19 pandemic on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74" w:name="page75"/>
    <w:bookmarkEnd w:id="74"/>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success of existing or new competitive products or technologies;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timing and results of clinical trials for our current product candidates and any future product candidates that we may develop;</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commencement or termination of collaborations for our product candidates;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failure or discontinuation of any of our product candidates;</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results of nonclinical studies, clinical trials or regulatory approvals of product candidates of our competitors, or announcements about new research programs or product candidates of our competitors;</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investor reactions to other companies’ drug development results, including product failures or negative responses from regulatory authorities;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commencement of litigation;</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level of expenses related to any of our research programs, product candidates that we may develop;</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results of our efforts to develop additional product candidates or products;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announcement or expectation of additional financing efforts;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sales of our common stock by us, our insiders, or other stockholders;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expiration of market standoff or lock-up agreements;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variations in our financial results or those of companies that are perceived to be similar to us;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changes in estimates or recommendations by securities analysts, if any, that cover our stock;</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general economic, industry, and market conditions; and</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other factors described in this “Part II, Item 1A—Risk Factors” section.</w:t>
      </w:r>
    </w:p>
    <w:p>
      <w:pPr>
        <w:spacing w:after="0" w:line="229" w:lineRule="exact"/>
        <w:rPr>
          <w:sz w:val="20"/>
          <w:szCs w:val="20"/>
          <w:color w:val="auto"/>
        </w:rPr>
      </w:pPr>
    </w:p>
    <w:p>
      <w:pPr>
        <w:jc w:val="both"/>
        <w:ind w:firstLine="511"/>
        <w:spacing w:after="0" w:line="250"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94"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193" w:lineRule="exact"/>
        <w:rPr>
          <w:sz w:val="20"/>
          <w:szCs w:val="20"/>
          <w:color w:val="auto"/>
        </w:rPr>
      </w:pPr>
    </w:p>
    <w:p>
      <w:pPr>
        <w:jc w:val="both"/>
        <w:ind w:firstLine="511"/>
        <w:spacing w:after="0" w:line="249"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The 13,397,712 shares we sold in connection with our IPO and partial exercise of the underwriters’ overallotment option may be resold in the public market immediately, except for any shares purchased by our directors, executive officers and employees in our directed share program. The remaining 19,087,472 shares, or 58.8% of our outstanding shares after our IPO as of November 9, 2020, are currently prohibited or otherwise restricted under securities laws, market standoff agreements entered into by our stockholders with us or lock-up agreements entered into by our stockholders with the underwriters; however, subject to applicable securities law restrictions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75" w:name="page76"/>
    <w:bookmarkEnd w:id="75"/>
    <w:p>
      <w:pPr>
        <w:jc w:val="both"/>
        <w:spacing w:after="0" w:line="251" w:lineRule="auto"/>
        <w:rPr>
          <w:sz w:val="20"/>
          <w:szCs w:val="20"/>
          <w:color w:val="auto"/>
        </w:rPr>
      </w:pPr>
      <w:r>
        <w:rPr>
          <w:rFonts w:ascii="Arial" w:cs="Arial" w:eastAsia="Arial" w:hAnsi="Arial"/>
          <w:sz w:val="16"/>
          <w:szCs w:val="16"/>
          <w:color w:val="auto"/>
        </w:rPr>
        <w:t>excluding shares of restricted stock that will remain unvested, these shares will be able to be sold in the public market beginning 180 days after the date of the final prospectus related to our IPO.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93" w:lineRule="exact"/>
        <w:rPr>
          <w:sz w:val="20"/>
          <w:szCs w:val="20"/>
          <w:color w:val="auto"/>
        </w:rPr>
      </w:pPr>
    </w:p>
    <w:p>
      <w:pPr>
        <w:jc w:val="both"/>
        <w:ind w:firstLine="511"/>
        <w:spacing w:after="0" w:line="323" w:lineRule="auto"/>
        <w:rPr>
          <w:sz w:val="20"/>
          <w:szCs w:val="20"/>
          <w:color w:val="auto"/>
        </w:rPr>
      </w:pPr>
      <w:r>
        <w:rPr>
          <w:rFonts w:ascii="Arial" w:cs="Arial" w:eastAsia="Arial" w:hAnsi="Arial"/>
          <w:sz w:val="13"/>
          <w:szCs w:val="13"/>
          <w:color w:val="auto"/>
        </w:rPr>
        <w:t>Moreover, the holders of approximately 18,104,343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our final prospectus related to our IPO titled “Underwriting.” If any of these additional shares are sold, or if it is perceived that they will be sold, in the public market, the market price of our common stock could decline.</w:t>
      </w:r>
    </w:p>
    <w:p>
      <w:pPr>
        <w:spacing w:after="0" w:line="161"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b w:val="1"/>
          <w:bCs w:val="1"/>
          <w:i w:val="1"/>
          <w:iCs w:val="1"/>
          <w:color w:val="auto"/>
        </w:rPr>
        <w:t>Our directors, executive officers and 5% stockholders own a significant percentage of our common stock, which could limit your ability to affect the outcome of key transactions, including a change of control.</w:t>
      </w:r>
    </w:p>
    <w:p>
      <w:pPr>
        <w:spacing w:after="0" w:line="193"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5"/>
          <w:szCs w:val="15"/>
          <w:color w:val="auto"/>
        </w:rPr>
        <w:t>Our directors, executive officers, holders of more than 5% of our outstanding common stock and their respective affiliates beneficially own shares representing approximately 34.7% of our outstanding common stock as of November 9, 2020.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76"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We are an “emerging growth company,” and the reduced disclosure requirements applicable to emerging growth companies may make our common stock less attractive to investors.</w:t>
      </w:r>
    </w:p>
    <w:p>
      <w:pPr>
        <w:spacing w:after="0" w:line="193"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95" w:lineRule="exact"/>
        <w:rPr>
          <w:sz w:val="20"/>
          <w:szCs w:val="20"/>
          <w:color w:val="auto"/>
        </w:rPr>
      </w:pPr>
    </w:p>
    <w:p>
      <w:pPr>
        <w:jc w:val="both"/>
        <w:ind w:firstLine="511"/>
        <w:spacing w:after="0" w:line="266" w:lineRule="auto"/>
        <w:rPr>
          <w:sz w:val="20"/>
          <w:szCs w:val="20"/>
          <w:color w:val="auto"/>
        </w:rPr>
      </w:pPr>
      <w:r>
        <w:rPr>
          <w:rFonts w:ascii="Arial" w:cs="Arial" w:eastAsia="Arial" w:hAnsi="Arial"/>
          <w:sz w:val="16"/>
          <w:szCs w:val="16"/>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82" w:lineRule="exact"/>
        <w:rPr>
          <w:sz w:val="20"/>
          <w:szCs w:val="20"/>
          <w:color w:val="auto"/>
        </w:rPr>
      </w:pPr>
    </w:p>
    <w:p>
      <w:pPr>
        <w:jc w:val="both"/>
        <w:ind w:firstLine="511"/>
        <w:spacing w:after="0" w:line="267" w:lineRule="auto"/>
        <w:rPr>
          <w:sz w:val="20"/>
          <w:szCs w:val="20"/>
          <w:color w:val="auto"/>
        </w:rPr>
      </w:pPr>
      <w:r>
        <w:rPr>
          <w:rFonts w:ascii="Arial" w:cs="Arial" w:eastAsia="Arial" w:hAnsi="Arial"/>
          <w:sz w:val="15"/>
          <w:szCs w:val="15"/>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We have never been required to test our internal controls within a specified period and, as a result, we may experience difficulty in meeting these reporting requirements in a timely manner.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76" w:name="page77"/>
    <w:bookmarkEnd w:id="76"/>
    <w:p>
      <w:pPr>
        <w:jc w:val="both"/>
        <w:ind w:firstLine="511"/>
        <w:spacing w:after="0" w:line="267" w:lineRule="auto"/>
        <w:rPr>
          <w:sz w:val="20"/>
          <w:szCs w:val="20"/>
          <w:color w:val="auto"/>
        </w:rPr>
      </w:pPr>
      <w:r>
        <w:rPr>
          <w:rFonts w:ascii="Arial" w:cs="Arial" w:eastAsia="Arial" w:hAnsi="Arial"/>
          <w:sz w:val="15"/>
          <w:szCs w:val="15"/>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have broad discretion in the use of the net proceeds from our initial public offering and may not use them effectively.</w:t>
      </w:r>
    </w:p>
    <w:p>
      <w:pPr>
        <w:spacing w:after="0" w:line="229" w:lineRule="exact"/>
        <w:rPr>
          <w:sz w:val="20"/>
          <w:szCs w:val="20"/>
          <w:color w:val="auto"/>
        </w:rPr>
      </w:pPr>
    </w:p>
    <w:p>
      <w:pPr>
        <w:jc w:val="both"/>
        <w:ind w:firstLine="511"/>
        <w:spacing w:after="0" w:line="343" w:lineRule="auto"/>
        <w:rPr>
          <w:sz w:val="20"/>
          <w:szCs w:val="20"/>
          <w:color w:val="auto"/>
        </w:rPr>
      </w:pPr>
      <w:r>
        <w:rPr>
          <w:rFonts w:ascii="Arial" w:cs="Arial" w:eastAsia="Arial" w:hAnsi="Arial"/>
          <w:sz w:val="13"/>
          <w:szCs w:val="13"/>
          <w:color w:val="auto"/>
        </w:rPr>
        <w:t>We have broad discretion in the application of the net proceeds received from our IPO. We may spend a portion or all of the net proceeds from our IPO in ways that our stockholders may not desire or that may not yield a favorable return. Any failure by us to apply these funds effectively could harm our business, financial condition, results of operations and prospects. Pending their use, we may invest the net proceeds from our IPO in a manner that does not produce income or that loses value.</w:t>
      </w:r>
    </w:p>
    <w:p>
      <w:pPr>
        <w:spacing w:after="0" w:line="137"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193"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Provisions of our certificate of incorporation and bylaws that became effective immediately prior to the closing of our IPO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73" w:lineRule="exact"/>
        <w:rPr>
          <w:sz w:val="20"/>
          <w:szCs w:val="20"/>
          <w:color w:val="auto"/>
        </w:rPr>
      </w:pPr>
    </w:p>
    <w:p>
      <w:pPr>
        <w:ind w:left="1000" w:hanging="499"/>
        <w:spacing w:after="0"/>
        <w:tabs>
          <w:tab w:leader="none" w:pos="10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permit the board of directors to issue up to 100,000,000 shares of preferred stock, with any rights, preferences and privileges as they may designate;</w:t>
      </w:r>
    </w:p>
    <w:p>
      <w:pPr>
        <w:spacing w:after="0" w:line="110" w:lineRule="exact"/>
        <w:rPr>
          <w:rFonts w:ascii="Arial" w:cs="Arial" w:eastAsia="Arial" w:hAnsi="Arial"/>
          <w:sz w:val="15"/>
          <w:szCs w:val="15"/>
          <w:color w:val="auto"/>
        </w:rPr>
      </w:pPr>
    </w:p>
    <w:p>
      <w:pPr>
        <w:ind w:left="1000" w:hanging="499"/>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provide that the authorized number of directors may be changed only by resolution of the board of directors;</w:t>
      </w:r>
    </w:p>
    <w:p>
      <w:pPr>
        <w:spacing w:after="0" w:line="98" w:lineRule="exact"/>
        <w:rPr>
          <w:rFonts w:ascii="Arial" w:cs="Arial" w:eastAsia="Arial" w:hAnsi="Arial"/>
          <w:sz w:val="16"/>
          <w:szCs w:val="16"/>
          <w:color w:val="auto"/>
        </w:rPr>
      </w:pPr>
    </w:p>
    <w:p>
      <w:pPr>
        <w:ind w:left="1000" w:hanging="499"/>
        <w:spacing w:after="0" w:line="266"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provide that all vacancies, including newly-created directorships, may, except as otherwise required by law, be filled by the affirmative vote of a majority of directors then in office, even if less than a quorum;</w:t>
      </w:r>
    </w:p>
    <w:p>
      <w:pPr>
        <w:spacing w:after="0" w:line="63" w:lineRule="exact"/>
        <w:rPr>
          <w:rFonts w:ascii="Arial" w:cs="Arial" w:eastAsia="Arial" w:hAnsi="Arial"/>
          <w:sz w:val="16"/>
          <w:szCs w:val="16"/>
          <w:color w:val="auto"/>
        </w:rPr>
      </w:pPr>
    </w:p>
    <w:p>
      <w:pPr>
        <w:ind w:left="1000" w:hanging="499"/>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divide the board of directors into three classes;</w:t>
      </w:r>
    </w:p>
    <w:p>
      <w:pPr>
        <w:spacing w:after="0" w:line="98" w:lineRule="exact"/>
        <w:rPr>
          <w:rFonts w:ascii="Arial" w:cs="Arial" w:eastAsia="Arial" w:hAnsi="Arial"/>
          <w:sz w:val="16"/>
          <w:szCs w:val="16"/>
          <w:color w:val="auto"/>
        </w:rPr>
      </w:pPr>
    </w:p>
    <w:p>
      <w:pPr>
        <w:ind w:left="1000" w:hanging="499"/>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provide that a director may only be removed from the board of directors by the stockholders for cause;</w:t>
      </w:r>
    </w:p>
    <w:p>
      <w:pPr>
        <w:spacing w:after="0" w:line="98" w:lineRule="exact"/>
        <w:rPr>
          <w:rFonts w:ascii="Arial" w:cs="Arial" w:eastAsia="Arial" w:hAnsi="Arial"/>
          <w:sz w:val="16"/>
          <w:szCs w:val="16"/>
          <w:color w:val="auto"/>
        </w:rPr>
      </w:pPr>
    </w:p>
    <w:p>
      <w:pPr>
        <w:ind w:left="1000" w:right="20" w:hanging="499"/>
        <w:spacing w:after="0" w:line="266"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must be effected at a duly called annual or special meeting of stockholders and may not be taken by written consent;</w:t>
      </w:r>
    </w:p>
    <w:p>
      <w:pPr>
        <w:spacing w:after="0" w:line="63" w:lineRule="exact"/>
        <w:rPr>
          <w:rFonts w:ascii="Arial" w:cs="Arial" w:eastAsia="Arial" w:hAnsi="Arial"/>
          <w:sz w:val="16"/>
          <w:szCs w:val="16"/>
          <w:color w:val="auto"/>
        </w:rPr>
      </w:pPr>
    </w:p>
    <w:p>
      <w:pPr>
        <w:ind w:left="1000" w:right="20" w:hanging="499"/>
        <w:spacing w:after="0" w:line="300" w:lineRule="auto"/>
        <w:tabs>
          <w:tab w:leader="none" w:pos="10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40" w:lineRule="exact"/>
        <w:rPr>
          <w:rFonts w:ascii="Arial" w:cs="Arial" w:eastAsia="Arial" w:hAnsi="Arial"/>
          <w:sz w:val="15"/>
          <w:szCs w:val="15"/>
          <w:color w:val="auto"/>
        </w:rPr>
      </w:pPr>
    </w:p>
    <w:p>
      <w:pPr>
        <w:ind w:left="1000" w:right="20" w:hanging="499"/>
        <w:spacing w:after="0" w:line="266"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39" w:right="319" w:bottom="1440" w:gutter="0" w:footer="0" w:header="0"/>
        </w:sectPr>
      </w:pPr>
    </w:p>
    <w:bookmarkStart w:id="77" w:name="page78"/>
    <w:bookmarkEnd w:id="77"/>
    <w:p>
      <w:pPr>
        <w:ind w:left="1000" w:hanging="499"/>
        <w:spacing w:after="0"/>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provide that special meetings of our stockholders may be called only by the chairman of the board, our chief executive officer or by the board of directors; and</w:t>
      </w:r>
    </w:p>
    <w:p>
      <w:pPr>
        <w:spacing w:after="0" w:line="133" w:lineRule="exact"/>
        <w:rPr>
          <w:rFonts w:ascii="Arial" w:cs="Arial" w:eastAsia="Arial" w:hAnsi="Arial"/>
          <w:sz w:val="13"/>
          <w:szCs w:val="13"/>
          <w:color w:val="auto"/>
        </w:rPr>
      </w:pPr>
    </w:p>
    <w:p>
      <w:pPr>
        <w:ind w:left="1000" w:right="20" w:hanging="499"/>
        <w:spacing w:after="0" w:line="266"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93" w:lineRule="exact"/>
        <w:rPr>
          <w:sz w:val="20"/>
          <w:szCs w:val="20"/>
          <w:color w:val="auto"/>
        </w:rPr>
      </w:pPr>
    </w:p>
    <w:p>
      <w:pPr>
        <w:jc w:val="both"/>
        <w:ind w:right="20" w:firstLine="511"/>
        <w:spacing w:after="0" w:line="250"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194" w:lineRule="exact"/>
        <w:rPr>
          <w:sz w:val="20"/>
          <w:szCs w:val="20"/>
          <w:color w:val="auto"/>
        </w:rPr>
      </w:pPr>
    </w:p>
    <w:p>
      <w:pPr>
        <w:jc w:val="both"/>
        <w:ind w:right="20" w:firstLine="511"/>
        <w:spacing w:after="0" w:line="256" w:lineRule="auto"/>
        <w:rPr>
          <w:sz w:val="20"/>
          <w:szCs w:val="20"/>
          <w:color w:val="auto"/>
        </w:rPr>
      </w:pPr>
      <w:r>
        <w:rPr>
          <w:rFonts w:ascii="Arial" w:cs="Arial" w:eastAsia="Arial" w:hAnsi="Arial"/>
          <w:sz w:val="16"/>
          <w:szCs w:val="16"/>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201"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05" w:lineRule="exact"/>
        <w:rPr>
          <w:sz w:val="20"/>
          <w:szCs w:val="20"/>
          <w:color w:val="auto"/>
        </w:rPr>
      </w:pPr>
    </w:p>
    <w:p>
      <w:pPr>
        <w:jc w:val="both"/>
        <w:ind w:firstLine="511"/>
        <w:spacing w:after="0" w:line="329" w:lineRule="auto"/>
        <w:rPr>
          <w:sz w:val="20"/>
          <w:szCs w:val="20"/>
          <w:color w:val="auto"/>
        </w:rPr>
      </w:pPr>
      <w:r>
        <w:rPr>
          <w:rFonts w:ascii="Arial" w:cs="Arial" w:eastAsia="Arial" w:hAnsi="Arial"/>
          <w:sz w:val="13"/>
          <w:szCs w:val="13"/>
          <w:color w:val="auto"/>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47"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5"/>
          <w:szCs w:val="15"/>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General Risk Factors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212529"/>
        </w:rPr>
        <w:t>Our advisors and consultants are classified as independent contractors, and we can face consequences if it is determined that they are misclassified as such.</w:t>
      </w:r>
    </w:p>
    <w:p>
      <w:pPr>
        <w:spacing w:after="0" w:line="251" w:lineRule="exact"/>
        <w:rPr>
          <w:sz w:val="20"/>
          <w:szCs w:val="20"/>
          <w:color w:val="auto"/>
        </w:rPr>
      </w:pPr>
    </w:p>
    <w:p>
      <w:pPr>
        <w:jc w:val="both"/>
        <w:ind w:firstLine="511"/>
        <w:spacing w:after="0" w:line="311" w:lineRule="auto"/>
        <w:rPr>
          <w:sz w:val="20"/>
          <w:szCs w:val="20"/>
          <w:color w:val="auto"/>
        </w:rPr>
      </w:pPr>
      <w:r>
        <w:rPr>
          <w:rFonts w:ascii="Arial" w:cs="Arial" w:eastAsia="Arial" w:hAnsi="Arial"/>
          <w:sz w:val="13"/>
          <w:szCs w:val="13"/>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13"/>
          <w:szCs w:val="13"/>
          <w:color w:val="000000"/>
        </w:rPr>
        <w:t>divergent</w:t>
      </w:r>
      <w:r>
        <w:rPr>
          <w:rFonts w:ascii="Arial" w:cs="Arial" w:eastAsia="Arial" w:hAnsi="Arial"/>
          <w:sz w:val="13"/>
          <w:szCs w:val="13"/>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78" w:name="page79"/>
    <w:bookmarkEnd w:id="78"/>
    <w:p>
      <w:pPr>
        <w:ind w:left="500"/>
        <w:spacing w:after="0"/>
        <w:rPr>
          <w:sz w:val="20"/>
          <w:szCs w:val="20"/>
          <w:color w:val="auto"/>
        </w:rPr>
      </w:pPr>
      <w:r>
        <w:rPr>
          <w:rFonts w:ascii="Arial" w:cs="Arial" w:eastAsia="Arial" w:hAnsi="Arial"/>
          <w:sz w:val="13"/>
          <w:szCs w:val="13"/>
          <w:b w:val="1"/>
          <w:bCs w:val="1"/>
          <w:i w:val="1"/>
          <w:iCs w:val="1"/>
          <w:color w:val="auto"/>
        </w:rPr>
        <w:t xml:space="preserve">If </w:t>
      </w:r>
      <w:r>
        <w:rPr>
          <w:rFonts w:ascii="Arial" w:cs="Arial" w:eastAsia="Arial" w:hAnsi="Arial"/>
          <w:sz w:val="13"/>
          <w:szCs w:val="13"/>
          <w:b w:val="1"/>
          <w:bCs w:val="1"/>
          <w:i w:val="1"/>
          <w:iCs w:val="1"/>
          <w:color w:val="212529"/>
        </w:rPr>
        <w:t>securities</w:t>
      </w:r>
      <w:r>
        <w:rPr>
          <w:rFonts w:ascii="Arial" w:cs="Arial" w:eastAsia="Arial" w:hAnsi="Arial"/>
          <w:sz w:val="13"/>
          <w:szCs w:val="13"/>
          <w:b w:val="1"/>
          <w:bCs w:val="1"/>
          <w:i w:val="1"/>
          <w:iCs w:val="1"/>
          <w:color w:val="auto"/>
        </w:rPr>
        <w:t xml:space="preserve"> analysts do not publish research or reports about our business or if they publish negative evaluations of our stock, the price of our stock could decline.</w:t>
      </w:r>
    </w:p>
    <w:p>
      <w:pPr>
        <w:spacing w:after="0" w:line="251"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03"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193"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If we are unable to maintain effective internal controls, our business, financial position and results of operations could be adversely affected.</w:t>
      </w:r>
    </w:p>
    <w:p>
      <w:pPr>
        <w:spacing w:after="0" w:line="229" w:lineRule="exact"/>
        <w:rPr>
          <w:sz w:val="20"/>
          <w:szCs w:val="20"/>
          <w:color w:val="auto"/>
        </w:rPr>
      </w:pPr>
    </w:p>
    <w:p>
      <w:pPr>
        <w:jc w:val="both"/>
        <w:ind w:firstLine="511"/>
        <w:spacing w:after="0" w:line="300" w:lineRule="auto"/>
        <w:rPr>
          <w:sz w:val="20"/>
          <w:szCs w:val="20"/>
          <w:color w:val="auto"/>
        </w:rPr>
      </w:pPr>
      <w:r>
        <w:rPr>
          <w:rFonts w:ascii="Arial" w:cs="Arial" w:eastAsia="Arial" w:hAnsi="Arial"/>
          <w:sz w:val="15"/>
          <w:szCs w:val="15"/>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170"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5"/>
          <w:szCs w:val="15"/>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176" w:lineRule="exact"/>
        <w:rPr>
          <w:sz w:val="20"/>
          <w:szCs w:val="20"/>
          <w:color w:val="auto"/>
        </w:rPr>
      </w:pPr>
    </w:p>
    <w:p>
      <w:pPr>
        <w:jc w:val="both"/>
        <w:ind w:right="20" w:firstLine="511"/>
        <w:spacing w:after="0" w:line="25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Sales of Unregistered Equity Securities</w:t>
      </w:r>
    </w:p>
    <w:p>
      <w:pPr>
        <w:spacing w:after="0" w:line="229" w:lineRule="exact"/>
        <w:rPr>
          <w:sz w:val="20"/>
          <w:szCs w:val="20"/>
          <w:color w:val="auto"/>
        </w:rPr>
      </w:pPr>
    </w:p>
    <w:p>
      <w:pPr>
        <w:jc w:val="both"/>
        <w:ind w:firstLine="511"/>
        <w:spacing w:after="0" w:line="272" w:lineRule="auto"/>
        <w:rPr>
          <w:sz w:val="20"/>
          <w:szCs w:val="20"/>
          <w:color w:val="auto"/>
        </w:rPr>
      </w:pPr>
      <w:r>
        <w:rPr>
          <w:rFonts w:ascii="Arial" w:cs="Arial" w:eastAsia="Arial" w:hAnsi="Arial"/>
          <w:sz w:val="15"/>
          <w:szCs w:val="15"/>
          <w:color w:val="auto"/>
        </w:rPr>
        <w:t>On September 22, 2020, upon the closing of the IPO, all convertible preferred shares then outstanding automatically converted into 12,503,009 shares of common stock. In addition, warrants to purchase 127,481 shares of convertible preferred stock automatically converted into warrants to purchase 127,481 shares of our common stock. Such warrants were then automatically net exercised into 59,093 shares of common stock. In addition, warrants to purchase 1,095,159 shares of our common stock were cash exercised or automatically net exercised into an aggregate of 1,085,334 shares of our common stock. The issuance of such common stock upon conversion of the convertible preferred stock, the issuance of such common stock warrants upon conversion of the convertible preferred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39" w:right="319" w:bottom="1440" w:gutter="0" w:footer="0" w:header="0"/>
        </w:sectPr>
      </w:pPr>
    </w:p>
    <w:bookmarkStart w:id="79" w:name="page80"/>
    <w:bookmarkEnd w:id="79"/>
    <w:p>
      <w:pPr>
        <w:jc w:val="both"/>
        <w:spacing w:after="0" w:line="251" w:lineRule="auto"/>
        <w:rPr>
          <w:sz w:val="20"/>
          <w:szCs w:val="20"/>
          <w:color w:val="auto"/>
        </w:rPr>
      </w:pPr>
      <w:r>
        <w:rPr>
          <w:rFonts w:ascii="Arial" w:cs="Arial" w:eastAsia="Arial" w:hAnsi="Arial"/>
          <w:sz w:val="16"/>
          <w:szCs w:val="16"/>
          <w:color w:val="auto"/>
        </w:rPr>
        <w:t>stock warrants and the issuance of such common stock on the net exercise of common stock warrants were exempt from the registration requirements of the Securities Act, pursuant to Section 3(a)(9) thereof, involving an exchange of securities exchanged by the issuer with its existing security holders exclusively where no commission or other remuneration is paid or given directly or indirectly for soliciting such exchange. The issuance of the common stock upon the cash exercise of common stock warrants was exempt from registration under the Securities Act pursuant to Section 4(a)(2) thereof as a transaction by an issuer not involving a public offering. No underwriters were involved in the issuance of the shares of common stock or common stock warrants.</w:t>
      </w:r>
    </w:p>
    <w:p>
      <w:pPr>
        <w:spacing w:after="0" w:line="193" w:lineRule="exact"/>
        <w:rPr>
          <w:sz w:val="20"/>
          <w:szCs w:val="20"/>
          <w:color w:val="auto"/>
        </w:rPr>
      </w:pPr>
    </w:p>
    <w:p>
      <w:pPr>
        <w:jc w:val="both"/>
        <w:ind w:firstLine="511"/>
        <w:spacing w:after="0" w:line="194" w:lineRule="exact"/>
        <w:rPr>
          <w:sz w:val="20"/>
          <w:szCs w:val="20"/>
          <w:color w:val="auto"/>
        </w:rPr>
      </w:pPr>
      <w:r>
        <w:rPr>
          <w:rFonts w:ascii="Arial" w:cs="Arial" w:eastAsia="Arial" w:hAnsi="Arial"/>
          <w:sz w:val="13"/>
          <w:szCs w:val="13"/>
          <w:color w:val="auto"/>
        </w:rPr>
        <w:t>During the period between July 1, 2020 and September 11, 2020, we issued 570,186 shares of our common stock pursuant to the cash exercise of outstanding warrants to purchase shares of our common stock at an exercise price of $0.08 per share. During the period between July 1, 2020 and September 17, 2020, we issued to certain of our employees, consultants and directors, options to purchase an aggregate of 943,223 shares of our common stock at an exercise price of $17.00 per share pursuant to our 2020 Equity Incentive Plan. During this period we also issued and sold an aggregate of 262,285 shares of our common stock to our employees, directors and consultants at a weighted-average exercise price of $1.17 per share pursuant to exercises of options granted under our 2014 Equity Incentive Plan. We deemed the issuances of common stock on the exercise of common stock warrants to be exempt from registration under the Securities Act pursuant to Section 4(a)(2), as transactions by an issuer not involving a public offering. The issuances of options to purchase shares of our common stock and the issuances of common stock on the exercise of options were exempt from registration under the Securities Act either in reliance on Rule 701 of the Securities Act as sales and offers under compensatory benefit plans and contracts relating to compensation in compliance with Rule 701, or in reliance on Section 4(a)(2), as transactions by an issuer not involving a public offering. All recipients either received adequate information about our company or had access, through employment or other relationships, to such information. No underwriters were involved in the foregoing issuances of securities. We filed a registration statement on Form S</w:t>
      </w:r>
      <w:r>
        <w:rPr>
          <w:rFonts w:ascii="MS PGothic" w:cs="MS PGothic" w:eastAsia="MS PGothic" w:hAnsi="MS PGothic"/>
          <w:sz w:val="13"/>
          <w:szCs w:val="13"/>
          <w:color w:val="auto"/>
        </w:rPr>
        <w:t>‑</w:t>
      </w:r>
      <w:r>
        <w:rPr>
          <w:rFonts w:ascii="Arial" w:cs="Arial" w:eastAsia="Arial" w:hAnsi="Arial"/>
          <w:sz w:val="13"/>
          <w:szCs w:val="13"/>
          <w:color w:val="auto"/>
        </w:rPr>
        <w:t>8 under the Securities Act on September 18, 2020 to register all of the shares of our common stock subject to outstanding options and all shares of our common stock otherwise issuable pursuant to our 2014 Equity Incentive Plan, 2020 Equity Incentive Plan and 2020 Employee Stock Purchase Plan.</w:t>
      </w:r>
    </w:p>
    <w:p>
      <w:pPr>
        <w:spacing w:after="0" w:line="3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Use of Proceeds from Initial Public Offering</w:t>
      </w:r>
    </w:p>
    <w:p>
      <w:pPr>
        <w:spacing w:after="0" w:line="229"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6"/>
          <w:szCs w:val="16"/>
          <w:color w:val="auto"/>
        </w:rPr>
        <w:t>On September 22, 2020, we closed our IPO, in which we sold and issued 12,000,000 shares of our common stock at a price to the public of $17.00 per share. On October 16, 2020, we sold and issued an additional 1,397,712 shares of common stock at $17.00 per share, less underwriting discounts and commissions, to the underwriters of our IPO following the partial exercise of their option to purchase additional shares of common stock.</w:t>
      </w:r>
    </w:p>
    <w:p>
      <w:pPr>
        <w:spacing w:after="0" w:line="189"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5"/>
          <w:szCs w:val="15"/>
          <w:color w:val="auto"/>
        </w:rPr>
        <w:t>The offer and sale of all of the shares of our common stock in our IPO were registered under the Securities Act pursuant to a registration statement on Form S-1 (File No. 333-248428), which was declared effective by the SEC on September 17, 2020. Following the sale of the above shares, the offering terminated. Goldman Sachs &amp; Co. LLC, Jefferies LLC and Stifel, Nicolaus &amp; Company, Incorporated acted as joint book-running managers and JMP Securities acted as co-manager.</w:t>
      </w:r>
    </w:p>
    <w:p>
      <w:pPr>
        <w:spacing w:after="0" w:line="184" w:lineRule="exact"/>
        <w:rPr>
          <w:sz w:val="20"/>
          <w:szCs w:val="20"/>
          <w:color w:val="auto"/>
        </w:rPr>
      </w:pPr>
    </w:p>
    <w:p>
      <w:pPr>
        <w:jc w:val="both"/>
        <w:ind w:firstLine="511"/>
        <w:spacing w:after="0" w:line="253" w:lineRule="auto"/>
        <w:rPr>
          <w:sz w:val="20"/>
          <w:szCs w:val="20"/>
          <w:color w:val="auto"/>
        </w:rPr>
      </w:pPr>
      <w:r>
        <w:rPr>
          <w:rFonts w:ascii="Arial" w:cs="Arial" w:eastAsia="Arial" w:hAnsi="Arial"/>
          <w:sz w:val="16"/>
          <w:szCs w:val="16"/>
          <w:color w:val="auto"/>
        </w:rPr>
        <w:t>We received aggregate gross proceeds from our IPO of $227.8 million, or aggregate net proceeds of $208.5 million, inclusive of the partial exercise of the underwriters’ option to purchase additional shares, after deducting underwriting discounts and commissions of $15.9 million and offering costs payable by us, which are estimated to be $3.3 million. None of the underwriting discounts and commissions or offering expenses were incurred or paid, directly or indirectly, to (i) our directors or officers or their associates, (ii) persons owning 10% or more of our common stock or (iii) any of our affiliates.</w:t>
      </w:r>
    </w:p>
    <w:p>
      <w:pPr>
        <w:spacing w:after="0" w:line="203" w:lineRule="exact"/>
        <w:rPr>
          <w:sz w:val="20"/>
          <w:szCs w:val="20"/>
          <w:color w:val="auto"/>
        </w:rPr>
      </w:pPr>
    </w:p>
    <w:p>
      <w:pPr>
        <w:jc w:val="both"/>
        <w:ind w:right="20" w:firstLine="511"/>
        <w:spacing w:after="0" w:line="266" w:lineRule="auto"/>
        <w:rPr>
          <w:sz w:val="20"/>
          <w:szCs w:val="20"/>
          <w:color w:val="auto"/>
        </w:rPr>
      </w:pPr>
      <w:r>
        <w:rPr>
          <w:rFonts w:ascii="Arial" w:cs="Arial" w:eastAsia="Arial" w:hAnsi="Arial"/>
          <w:sz w:val="16"/>
          <w:szCs w:val="16"/>
          <w:color w:val="auto"/>
        </w:rPr>
        <w:t>There has been no material change in our planned use of the net proceeds from our IPO as described in our final prospectus filed pursuant to Rule 424(b)(4) under the Securities Act with the SEC on September 18, 2020</w:t>
      </w:r>
      <w:r>
        <w:rPr>
          <w:rFonts w:ascii="Arial" w:cs="Arial" w:eastAsia="Arial" w:hAnsi="Arial"/>
          <w:sz w:val="16"/>
          <w:szCs w:val="16"/>
          <w:color w:val="231F20"/>
        </w:rPr>
        <w: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470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39" w:right="31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Item 6.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Exhibit</w:t>
            </w: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b w:val="1"/>
                <w:bCs w:val="1"/>
                <w:color w:val="auto"/>
              </w:rPr>
              <w:t>Incorporated by Reference</w:t>
            </w:r>
          </w:p>
        </w:tc>
        <w:tc>
          <w:tcPr>
            <w:tcW w:w="1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8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Number</w:t>
            </w: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4"/>
          </w:tcPr>
          <w:p>
            <w:pPr>
              <w:ind w:left="1420"/>
              <w:spacing w:after="0"/>
              <w:rPr>
                <w:sz w:val="20"/>
                <w:szCs w:val="20"/>
                <w:color w:val="auto"/>
              </w:rPr>
            </w:pPr>
            <w:r>
              <w:rPr>
                <w:rFonts w:ascii="Arial" w:cs="Arial" w:eastAsia="Arial" w:hAnsi="Arial"/>
                <w:sz w:val="13"/>
                <w:szCs w:val="13"/>
                <w:b w:val="1"/>
                <w:bCs w:val="1"/>
                <w:color w:val="auto"/>
              </w:rPr>
              <w:t>Description</w:t>
            </w:r>
          </w:p>
        </w:tc>
        <w:tc>
          <w:tcPr>
            <w:tcW w:w="920" w:type="dxa"/>
            <w:vAlign w:val="bottom"/>
          </w:tcPr>
          <w:p>
            <w:pPr>
              <w:ind w:left="420"/>
              <w:spacing w:after="0"/>
              <w:rPr>
                <w:sz w:val="20"/>
                <w:szCs w:val="20"/>
                <w:color w:val="auto"/>
              </w:rPr>
            </w:pPr>
            <w:r>
              <w:rPr>
                <w:rFonts w:ascii="Arial" w:cs="Arial" w:eastAsia="Arial" w:hAnsi="Arial"/>
                <w:sz w:val="13"/>
                <w:szCs w:val="13"/>
                <w:b w:val="1"/>
                <w:bCs w:val="1"/>
                <w:color w:val="auto"/>
              </w:rPr>
              <w:t>Form</w:t>
            </w:r>
          </w:p>
        </w:tc>
        <w:tc>
          <w:tcPr>
            <w:tcW w:w="1160" w:type="dxa"/>
            <w:vAlign w:val="bottom"/>
          </w:tcPr>
          <w:p>
            <w:pPr>
              <w:jc w:val="right"/>
              <w:ind w:right="103"/>
              <w:spacing w:after="0"/>
              <w:rPr>
                <w:sz w:val="20"/>
                <w:szCs w:val="20"/>
                <w:color w:val="auto"/>
              </w:rPr>
            </w:pPr>
            <w:r>
              <w:rPr>
                <w:rFonts w:ascii="Arial" w:cs="Arial" w:eastAsia="Arial" w:hAnsi="Arial"/>
                <w:sz w:val="13"/>
                <w:szCs w:val="13"/>
                <w:b w:val="1"/>
                <w:bCs w:val="1"/>
                <w:color w:val="auto"/>
              </w:rPr>
              <w:t>File No.</w:t>
            </w:r>
          </w:p>
        </w:tc>
        <w:tc>
          <w:tcPr>
            <w:tcW w:w="1120" w:type="dxa"/>
            <w:vAlign w:val="bottom"/>
          </w:tcPr>
          <w:p>
            <w:pPr>
              <w:ind w:left="540"/>
              <w:spacing w:after="0"/>
              <w:rPr>
                <w:sz w:val="20"/>
                <w:szCs w:val="20"/>
                <w:color w:val="auto"/>
              </w:rPr>
            </w:pPr>
            <w:r>
              <w:rPr>
                <w:rFonts w:ascii="Arial" w:cs="Arial" w:eastAsia="Arial" w:hAnsi="Arial"/>
                <w:sz w:val="13"/>
                <w:szCs w:val="13"/>
                <w:b w:val="1"/>
                <w:bCs w:val="1"/>
                <w:color w:val="auto"/>
              </w:rPr>
              <w:t>Exhibit</w:t>
            </w:r>
          </w:p>
        </w:tc>
        <w:tc>
          <w:tcPr>
            <w:tcW w:w="1300" w:type="dxa"/>
            <w:vAlign w:val="bottom"/>
          </w:tcPr>
          <w:p>
            <w:pPr>
              <w:ind w:left="440"/>
              <w:spacing w:after="0"/>
              <w:rPr>
                <w:sz w:val="20"/>
                <w:szCs w:val="20"/>
                <w:color w:val="auto"/>
              </w:rPr>
            </w:pPr>
            <w:r>
              <w:rPr>
                <w:rFonts w:ascii="Arial" w:cs="Arial" w:eastAsia="Arial" w:hAnsi="Arial"/>
                <w:sz w:val="13"/>
                <w:szCs w:val="13"/>
                <w:b w:val="1"/>
                <w:bCs w:val="1"/>
                <w:color w:val="auto"/>
              </w:rPr>
              <w:t>Filing 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5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6080" w:type="dxa"/>
            <w:vAlign w:val="bottom"/>
            <w:tcBorders>
              <w:top w:val="single" w:sz="8" w:color="auto"/>
            </w:tcBorders>
            <w:gridSpan w:val="6"/>
          </w:tcPr>
          <w:p>
            <w:pPr>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Amended and Restated Certificate of Incorporation of the Company</w:t>
              </w:r>
            </w:hyperlink>
          </w:p>
        </w:tc>
        <w:tc>
          <w:tcPr>
            <w:tcW w:w="9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60" w:type="dxa"/>
            <w:vAlign w:val="bottom"/>
          </w:tcPr>
          <w:p>
            <w:pPr>
              <w:ind w:left="8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Amended and Restated Bylaws of the Company</w:t>
              </w:r>
            </w:hyperlink>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60" w:type="dxa"/>
            <w:vAlign w:val="bottom"/>
          </w:tcPr>
          <w:p>
            <w:pPr>
              <w:ind w:left="8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97">
              <w:r>
                <w:rPr>
                  <w:rFonts w:ascii="Arial" w:cs="Arial" w:eastAsia="Arial" w:hAnsi="Arial"/>
                  <w:sz w:val="16"/>
                  <w:szCs w:val="16"/>
                  <w:u w:val="single" w:color="auto"/>
                  <w:color w:val="0000EE"/>
                </w:rPr>
                <w:t>Warrant to Purchase Common Stock of the Registrant, dated August 26, 2020</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4.6</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60" w:type="dxa"/>
            <w:vAlign w:val="bottom"/>
          </w:tcPr>
          <w:p>
            <w:pP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98">
              <w:r>
                <w:rPr>
                  <w:rFonts w:ascii="Arial" w:cs="Arial" w:eastAsia="Arial" w:hAnsi="Arial"/>
                  <w:sz w:val="16"/>
                  <w:szCs w:val="16"/>
                  <w:u w:val="single" w:color="auto"/>
                  <w:color w:val="0000EE"/>
                </w:rPr>
                <w:t>Form of Director and Executive Officer Indemnification Agreement</w:t>
              </w:r>
            </w:hyperlink>
          </w:p>
        </w:tc>
        <w:tc>
          <w:tcPr>
            <w:tcW w:w="920" w:type="dxa"/>
            <w:vAlign w:val="bottom"/>
          </w:tcPr>
          <w:p>
            <w:pPr>
              <w:spacing w:after="0"/>
              <w:rPr>
                <w:sz w:val="20"/>
                <w:szCs w:val="20"/>
                <w:color w:val="auto"/>
              </w:rPr>
            </w:pPr>
            <w:r>
              <w:rPr>
                <w:rFonts w:ascii="Arial" w:cs="Arial" w:eastAsia="Arial" w:hAnsi="Arial"/>
                <w:sz w:val="16"/>
                <w:szCs w:val="16"/>
                <w:color w:val="auto"/>
              </w:rPr>
              <w:t>S-1</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10.1</w:t>
            </w:r>
          </w:p>
        </w:tc>
        <w:tc>
          <w:tcPr>
            <w:tcW w:w="1300" w:type="dxa"/>
            <w:vAlign w:val="bottom"/>
          </w:tcPr>
          <w:p>
            <w:pPr>
              <w:ind w:left="180"/>
              <w:spacing w:after="0"/>
              <w:rPr>
                <w:sz w:val="20"/>
                <w:szCs w:val="20"/>
                <w:color w:val="auto"/>
              </w:rPr>
            </w:pPr>
            <w:r>
              <w:rPr>
                <w:rFonts w:ascii="Arial" w:cs="Arial" w:eastAsia="Arial" w:hAnsi="Arial"/>
                <w:sz w:val="16"/>
                <w:szCs w:val="16"/>
                <w:color w:val="auto"/>
                <w:w w:val="94"/>
              </w:rPr>
              <w:t>August 26,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99">
              <w:r>
                <w:rPr>
                  <w:rFonts w:ascii="Arial" w:cs="Arial" w:eastAsia="Arial" w:hAnsi="Arial"/>
                  <w:sz w:val="16"/>
                  <w:szCs w:val="16"/>
                  <w:u w:val="single" w:color="auto"/>
                  <w:color w:val="0000EE"/>
                </w:rPr>
                <w:t>2014 Equity Incentive Plan, as amended</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10.2</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100">
              <w:r>
                <w:rPr>
                  <w:rFonts w:ascii="Arial" w:cs="Arial" w:eastAsia="Arial" w:hAnsi="Arial"/>
                  <w:sz w:val="16"/>
                  <w:szCs w:val="16"/>
                  <w:u w:val="single" w:color="auto"/>
                  <w:color w:val="0000EE"/>
                </w:rPr>
                <w:t>2020 Equity Incentive Plan</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10.5</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101">
              <w:r>
                <w:rPr>
                  <w:rFonts w:ascii="Arial" w:cs="Arial" w:eastAsia="Arial" w:hAnsi="Arial"/>
                  <w:sz w:val="16"/>
                  <w:szCs w:val="16"/>
                  <w:u w:val="single" w:color="auto"/>
                  <w:color w:val="0000EE"/>
                </w:rPr>
                <w:t>Form of Stock Option Agreement under the 2020 Equity Incentive Plan</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10.6</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102">
              <w:r>
                <w:rPr>
                  <w:rFonts w:ascii="Arial" w:cs="Arial" w:eastAsia="Arial" w:hAnsi="Arial"/>
                  <w:sz w:val="16"/>
                  <w:szCs w:val="16"/>
                  <w:u w:val="single" w:color="auto"/>
                  <w:color w:val="0000EE"/>
                </w:rPr>
                <w:t>Form of Restricted Stock Award Agreement under the 2020 Equity Incentive Plan</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10.7</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103">
              <w:r>
                <w:rPr>
                  <w:rFonts w:ascii="Arial" w:cs="Arial" w:eastAsia="Arial" w:hAnsi="Arial"/>
                  <w:sz w:val="16"/>
                  <w:szCs w:val="16"/>
                  <w:u w:val="single" w:color="auto"/>
                  <w:color w:val="0000EE"/>
                </w:rPr>
                <w:t>Form of RSU Agreement under the 2020 Equity Incentive Plan</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10.8</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80" w:type="dxa"/>
            <w:vAlign w:val="bottom"/>
            <w:gridSpan w:val="2"/>
          </w:tcPr>
          <w:p>
            <w:pPr>
              <w:spacing w:after="0"/>
              <w:rPr>
                <w:sz w:val="20"/>
                <w:szCs w:val="20"/>
                <w:color w:val="auto"/>
              </w:rPr>
            </w:pPr>
            <w:r>
              <w:rPr>
                <w:rFonts w:ascii="Arial" w:cs="Arial" w:eastAsia="Arial" w:hAnsi="Arial"/>
                <w:sz w:val="16"/>
                <w:szCs w:val="16"/>
                <w:color w:val="auto"/>
              </w:rPr>
              <w:t>10.7</w:t>
            </w:r>
            <w:r>
              <w:rPr>
                <w:rFonts w:ascii="Arial" w:cs="Arial" w:eastAsia="Arial" w:hAnsi="Arial"/>
                <w:sz w:val="12"/>
                <w:szCs w:val="12"/>
                <w:color w:val="auto"/>
              </w:rPr>
              <w:t>†</w:t>
            </w:r>
          </w:p>
        </w:tc>
        <w:tc>
          <w:tcPr>
            <w:tcW w:w="5760" w:type="dxa"/>
            <w:vAlign w:val="bottom"/>
            <w:tcBorders>
              <w:bottom w:val="single" w:sz="8" w:color="0000EE"/>
            </w:tcBorders>
            <w:gridSpan w:val="3"/>
          </w:tcPr>
          <w:p>
            <w:pPr>
              <w:spacing w:after="0"/>
              <w:rPr>
                <w:rFonts w:ascii="Arial" w:cs="Arial" w:eastAsia="Arial" w:hAnsi="Arial"/>
                <w:sz w:val="16"/>
                <w:szCs w:val="16"/>
                <w:color w:val="0000EE"/>
                <w:w w:val="88"/>
              </w:rPr>
            </w:pPr>
            <w:hyperlink r:id="rId104">
              <w:r>
                <w:rPr>
                  <w:rFonts w:ascii="Arial" w:cs="Arial" w:eastAsia="Arial" w:hAnsi="Arial"/>
                  <w:sz w:val="16"/>
                  <w:szCs w:val="16"/>
                  <w:color w:val="0000EE"/>
                  <w:w w:val="88"/>
                </w:rPr>
                <w:t>Amended and Restated Standard Exclusive Licensing Agreement with Sublicensing Terms,</w:t>
              </w:r>
            </w:hyperlink>
          </w:p>
        </w:tc>
        <w:tc>
          <w:tcPr>
            <w:tcW w:w="320" w:type="dxa"/>
            <w:vAlign w:val="bottom"/>
            <w:gridSpan w:val="3"/>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6"/>
                <w:szCs w:val="16"/>
                <w:color w:val="auto"/>
              </w:rPr>
              <w:t>S-1</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10.9</w:t>
            </w:r>
          </w:p>
        </w:tc>
        <w:tc>
          <w:tcPr>
            <w:tcW w:w="1300" w:type="dxa"/>
            <w:vAlign w:val="bottom"/>
          </w:tcPr>
          <w:p>
            <w:pPr>
              <w:ind w:left="180"/>
              <w:spacing w:after="0"/>
              <w:rPr>
                <w:sz w:val="20"/>
                <w:szCs w:val="20"/>
                <w:color w:val="auto"/>
              </w:rPr>
            </w:pPr>
            <w:r>
              <w:rPr>
                <w:rFonts w:ascii="Arial" w:cs="Arial" w:eastAsia="Arial" w:hAnsi="Arial"/>
                <w:sz w:val="16"/>
                <w:szCs w:val="16"/>
                <w:color w:val="auto"/>
                <w:w w:val="94"/>
              </w:rPr>
              <w:t>August 26,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80" w:type="dxa"/>
            <w:vAlign w:val="bottom"/>
            <w:gridSpan w:val="6"/>
          </w:tcPr>
          <w:p>
            <w:pPr>
              <w:spacing w:after="0" w:line="168" w:lineRule="exact"/>
              <w:rPr>
                <w:rFonts w:ascii="Arial" w:cs="Arial" w:eastAsia="Arial" w:hAnsi="Arial"/>
                <w:sz w:val="16"/>
                <w:szCs w:val="16"/>
                <w:color w:val="0000EE"/>
                <w:w w:val="90"/>
              </w:rPr>
            </w:pPr>
            <w:hyperlink r:id="rId104">
              <w:r>
                <w:rPr>
                  <w:rFonts w:ascii="Arial" w:cs="Arial" w:eastAsia="Arial" w:hAnsi="Arial"/>
                  <w:sz w:val="16"/>
                  <w:szCs w:val="16"/>
                  <w:color w:val="0000EE"/>
                  <w:w w:val="90"/>
                </w:rPr>
                <w:t>dated October 28, 2015, by and between the Registrant and Washington State University, and</w:t>
              </w:r>
            </w:hyperlink>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top w:val="single" w:sz="8" w:color="0000EE"/>
              <w:bottom w:val="single" w:sz="8" w:color="0000EE"/>
            </w:tcBorders>
          </w:tcPr>
          <w:p>
            <w:pPr>
              <w:spacing w:after="0" w:line="168" w:lineRule="exact"/>
              <w:rPr>
                <w:rFonts w:ascii="Arial" w:cs="Arial" w:eastAsia="Arial" w:hAnsi="Arial"/>
                <w:sz w:val="16"/>
                <w:szCs w:val="16"/>
                <w:color w:val="0000EE"/>
                <w:w w:val="85"/>
              </w:rPr>
            </w:pPr>
            <w:hyperlink r:id="rId104">
              <w:r>
                <w:rPr>
                  <w:rFonts w:ascii="Arial" w:cs="Arial" w:eastAsia="Arial" w:hAnsi="Arial"/>
                  <w:sz w:val="16"/>
                  <w:szCs w:val="16"/>
                  <w:color w:val="0000EE"/>
                  <w:w w:val="85"/>
                </w:rPr>
                <w:t>amendments thereto</w:t>
              </w:r>
            </w:hyperlink>
          </w:p>
        </w:tc>
        <w:tc>
          <w:tcPr>
            <w:tcW w:w="4580" w:type="dxa"/>
            <w:vAlign w:val="bottom"/>
            <w:tcBorders>
              <w:top w:val="single" w:sz="8" w:color="0000EE"/>
            </w:tcBorders>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60" w:type="dxa"/>
            <w:vAlign w:val="bottom"/>
          </w:tcPr>
          <w:p>
            <w:pPr>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w w:val="98"/>
              </w:rPr>
            </w:pPr>
            <w:hyperlink r:id="rId105">
              <w:r>
                <w:rPr>
                  <w:rFonts w:ascii="Arial" w:cs="Arial" w:eastAsia="Arial" w:hAnsi="Arial"/>
                  <w:sz w:val="16"/>
                  <w:szCs w:val="16"/>
                  <w:u w:val="single" w:color="auto"/>
                  <w:color w:val="0000EE"/>
                  <w:w w:val="98"/>
                </w:rPr>
                <w:t>2020 Employee Stock Purchase Plan and Form of Subscription Agreement Thereunder</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10.10</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60" w:type="dxa"/>
            <w:vAlign w:val="bottom"/>
          </w:tcPr>
          <w:p>
            <w:pPr>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7000" w:type="dxa"/>
            <w:vAlign w:val="bottom"/>
            <w:gridSpan w:val="7"/>
          </w:tcPr>
          <w:p>
            <w:pPr>
              <w:spacing w:after="0"/>
              <w:rPr>
                <w:rFonts w:ascii="Arial" w:cs="Arial" w:eastAsia="Arial" w:hAnsi="Arial"/>
                <w:sz w:val="16"/>
                <w:szCs w:val="16"/>
                <w:color w:val="0000EE"/>
                <w:w w:val="95"/>
              </w:rPr>
            </w:pPr>
            <w:hyperlink r:id="rId106">
              <w:r>
                <w:rPr>
                  <w:rFonts w:ascii="Arial" w:cs="Arial" w:eastAsia="Arial" w:hAnsi="Arial"/>
                  <w:sz w:val="16"/>
                  <w:szCs w:val="16"/>
                  <w:color w:val="0000EE"/>
                  <w:w w:val="95"/>
                </w:rPr>
                <w:t xml:space="preserve">Lease agreement, dated July 20, 2020, by and between the Registrant and North Creek Parkway </w:t>
              </w:r>
            </w:hyperlink>
            <w:r>
              <w:rPr>
                <w:rFonts w:ascii="Arial" w:cs="Arial" w:eastAsia="Arial" w:hAnsi="Arial"/>
                <w:sz w:val="16"/>
                <w:szCs w:val="16"/>
                <w:color w:val="000000"/>
                <w:w w:val="95"/>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10.11</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2"/>
          </w:tcPr>
          <w:p>
            <w:pPr>
              <w:spacing w:after="0" w:line="168" w:lineRule="exact"/>
              <w:rPr>
                <w:rFonts w:ascii="Arial" w:cs="Arial" w:eastAsia="Arial" w:hAnsi="Arial"/>
                <w:sz w:val="16"/>
                <w:szCs w:val="16"/>
                <w:color w:val="0000EE"/>
                <w:w w:val="87"/>
              </w:rPr>
            </w:pPr>
            <w:hyperlink r:id="rId106">
              <w:r>
                <w:rPr>
                  <w:rFonts w:ascii="Arial" w:cs="Arial" w:eastAsia="Arial" w:hAnsi="Arial"/>
                  <w:sz w:val="16"/>
                  <w:szCs w:val="16"/>
                  <w:color w:val="0000EE"/>
                  <w:w w:val="87"/>
                </w:rPr>
                <w:t>Center Investors, LP</w:t>
              </w:r>
            </w:hyperlink>
          </w:p>
        </w:tc>
        <w:tc>
          <w:tcPr>
            <w:tcW w:w="4720" w:type="dxa"/>
            <w:vAlign w:val="bottom"/>
            <w:tcBorders>
              <w:top w:val="single" w:sz="8" w:color="0000EE"/>
            </w:tcBorders>
            <w:gridSpan w:val="3"/>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ind w:left="180"/>
              <w:spacing w:after="0" w:line="168" w:lineRule="exact"/>
              <w:rPr>
                <w:sz w:val="20"/>
                <w:szCs w:val="20"/>
                <w:color w:val="auto"/>
              </w:rPr>
            </w:pPr>
            <w:r>
              <w:rPr>
                <w:rFonts w:ascii="Arial" w:cs="Arial" w:eastAsia="Arial" w:hAnsi="Arial"/>
                <w:sz w:val="16"/>
                <w:szCs w:val="16"/>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60" w:type="dxa"/>
            <w:vAlign w:val="bottom"/>
          </w:tcPr>
          <w:p>
            <w:pPr>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107">
              <w:r>
                <w:rPr>
                  <w:rFonts w:ascii="Arial" w:cs="Arial" w:eastAsia="Arial" w:hAnsi="Arial"/>
                  <w:sz w:val="16"/>
                  <w:szCs w:val="16"/>
                  <w:u w:val="single" w:color="auto"/>
                  <w:color w:val="0000EE"/>
                </w:rPr>
                <w:t>Outside Director Compensation Policy</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10.12</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108">
              <w:r>
                <w:rPr>
                  <w:rFonts w:ascii="Arial" w:cs="Arial" w:eastAsia="Arial" w:hAnsi="Arial"/>
                  <w:sz w:val="16"/>
                  <w:szCs w:val="16"/>
                  <w:u w:val="single" w:color="auto"/>
                  <w:color w:val="0000EE"/>
                </w:rPr>
                <w:t>Executive Incentive Compensation Plan</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10.13</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109">
              <w:r>
                <w:rPr>
                  <w:rFonts w:ascii="Arial" w:cs="Arial" w:eastAsia="Arial" w:hAnsi="Arial"/>
                  <w:sz w:val="16"/>
                  <w:szCs w:val="16"/>
                  <w:u w:val="single" w:color="auto"/>
                  <w:color w:val="0000EE"/>
                </w:rPr>
                <w:t>Confirmatory Employment Letter between the Registrant and Leen Kawas, Ph.D.</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10.14</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color w:val="0000EE"/>
              </w:rPr>
            </w:pPr>
            <w:hyperlink r:id="rId110">
              <w:r>
                <w:rPr>
                  <w:rFonts w:ascii="Arial" w:cs="Arial" w:eastAsia="Arial" w:hAnsi="Arial"/>
                  <w:sz w:val="16"/>
                  <w:szCs w:val="16"/>
                  <w:u w:val="single" w:color="auto"/>
                  <w:color w:val="0000EE"/>
                </w:rPr>
                <w:t>Confirmatory Employment Letter between the Registrant and Mark Litton, Ph.D</w:t>
              </w:r>
              <w:r>
                <w:rPr>
                  <w:rFonts w:ascii="Arial" w:cs="Arial" w:eastAsia="Arial" w:hAnsi="Arial"/>
                  <w:sz w:val="16"/>
                  <w:szCs w:val="16"/>
                  <w:color w:val="0000EE"/>
                </w:rPr>
                <w:t>.</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10.15</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111">
              <w:r>
                <w:rPr>
                  <w:rFonts w:ascii="Arial" w:cs="Arial" w:eastAsia="Arial" w:hAnsi="Arial"/>
                  <w:sz w:val="16"/>
                  <w:szCs w:val="16"/>
                  <w:u w:val="single" w:color="auto"/>
                  <w:color w:val="0000EE"/>
                </w:rPr>
                <w:t>Confirmatory Employment Letter between the Registrant and Kevin Church, Ph.D.</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10.16</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rPr>
            </w:pPr>
            <w:hyperlink r:id="rId112">
              <w:r>
                <w:rPr>
                  <w:rFonts w:ascii="Arial" w:cs="Arial" w:eastAsia="Arial" w:hAnsi="Arial"/>
                  <w:sz w:val="16"/>
                  <w:szCs w:val="16"/>
                  <w:u w:val="single" w:color="auto"/>
                  <w:color w:val="0000EE"/>
                </w:rPr>
                <w:t>Confirmatory Employment Letter between the Registrant and Glenna Mileson</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10.17</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4"/>
                <w:szCs w:val="24"/>
                <w:color w:val="auto"/>
              </w:rPr>
            </w:pPr>
          </w:p>
        </w:tc>
        <w:tc>
          <w:tcPr>
            <w:tcW w:w="6080" w:type="dxa"/>
            <w:vAlign w:val="bottom"/>
            <w:gridSpan w:val="6"/>
          </w:tcPr>
          <w:p>
            <w:pPr>
              <w:spacing w:after="0"/>
              <w:rPr>
                <w:rFonts w:ascii="Arial" w:cs="Arial" w:eastAsia="Arial" w:hAnsi="Arial"/>
                <w:sz w:val="16"/>
                <w:szCs w:val="16"/>
                <w:u w:val="single" w:color="auto"/>
                <w:color w:val="0000EE"/>
                <w:w w:val="91"/>
              </w:rPr>
            </w:pPr>
            <w:hyperlink r:id="rId113">
              <w:r>
                <w:rPr>
                  <w:rFonts w:ascii="Arial" w:cs="Arial" w:eastAsia="Arial" w:hAnsi="Arial"/>
                  <w:sz w:val="16"/>
                  <w:szCs w:val="16"/>
                  <w:u w:val="single" w:color="auto"/>
                  <w:color w:val="0000EE"/>
                  <w:w w:val="91"/>
                </w:rPr>
                <w:t>Change in Control and Severance Agreement between the Registrant and Leen Kawas, Ph.D.</w:t>
              </w:r>
            </w:hyperlink>
          </w:p>
        </w:tc>
        <w:tc>
          <w:tcPr>
            <w:tcW w:w="920" w:type="dxa"/>
            <w:vAlign w:val="bottom"/>
          </w:tcPr>
          <w:p>
            <w:pPr>
              <w:spacing w:after="0"/>
              <w:rPr>
                <w:sz w:val="20"/>
                <w:szCs w:val="20"/>
                <w:color w:val="auto"/>
              </w:rPr>
            </w:pPr>
            <w:r>
              <w:rPr>
                <w:rFonts w:ascii="Arial" w:cs="Arial" w:eastAsia="Arial" w:hAnsi="Arial"/>
                <w:sz w:val="16"/>
                <w:szCs w:val="16"/>
                <w:color w:val="auto"/>
              </w:rPr>
              <w:t>S-1/A</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333-248428</w:t>
            </w:r>
          </w:p>
        </w:tc>
        <w:tc>
          <w:tcPr>
            <w:tcW w:w="1120" w:type="dxa"/>
            <w:vAlign w:val="bottom"/>
          </w:tcPr>
          <w:p>
            <w:pPr>
              <w:ind w:left="180"/>
              <w:spacing w:after="0"/>
              <w:rPr>
                <w:sz w:val="20"/>
                <w:szCs w:val="20"/>
                <w:color w:val="auto"/>
              </w:rPr>
            </w:pPr>
            <w:r>
              <w:rPr>
                <w:rFonts w:ascii="Arial" w:cs="Arial" w:eastAsia="Arial" w:hAnsi="Arial"/>
                <w:sz w:val="16"/>
                <w:szCs w:val="16"/>
                <w:color w:val="auto"/>
              </w:rPr>
              <w:t>10.18</w:t>
            </w:r>
          </w:p>
        </w:tc>
        <w:tc>
          <w:tcPr>
            <w:tcW w:w="1300" w:type="dxa"/>
            <w:vAlign w:val="bottom"/>
          </w:tcPr>
          <w:p>
            <w:pPr>
              <w:ind w:left="180"/>
              <w:spacing w:after="0"/>
              <w:rPr>
                <w:sz w:val="20"/>
                <w:szCs w:val="20"/>
                <w:color w:val="auto"/>
              </w:rPr>
            </w:pPr>
            <w:r>
              <w:rPr>
                <w:rFonts w:ascii="Arial" w:cs="Arial" w:eastAsia="Arial" w:hAnsi="Arial"/>
                <w:sz w:val="16"/>
                <w:szCs w:val="16"/>
                <w:color w:val="auto"/>
              </w:rPr>
              <w:t>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3"/>
          </w:tcPr>
          <w:p>
            <w:pPr>
              <w:ind w:left="486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81" w:name="page82"/>
    <w:bookmarkEnd w:id="81"/>
    <w:tbl>
      <w:tblPr>
        <w:tblLayout w:type="fixed"/>
        <w:tblInd w:w="6" w:type="dxa"/>
        <w:tblCellMar>
          <w:top w:w="0" w:type="dxa"/>
          <w:left w:w="0" w:type="dxa"/>
          <w:bottom w:w="0" w:type="dxa"/>
          <w:right w:w="0" w:type="dxa"/>
        </w:tblCellMar>
      </w:tblPr>
      <w:tr>
        <w:trPr>
          <w:trHeight w:val="189"/>
        </w:trPr>
        <w:tc>
          <w:tcPr>
            <w:tcW w:w="700" w:type="dxa"/>
            <w:vAlign w:val="bottom"/>
          </w:tcPr>
          <w:p>
            <w:pPr>
              <w:spacing w:after="0"/>
              <w:rPr>
                <w:sz w:val="20"/>
                <w:szCs w:val="20"/>
                <w:color w:val="auto"/>
              </w:rPr>
            </w:pPr>
            <w:r>
              <w:rPr>
                <w:rFonts w:ascii="Arial" w:cs="Arial" w:eastAsia="Arial" w:hAnsi="Arial"/>
                <w:sz w:val="16"/>
                <w:szCs w:val="16"/>
                <w:color w:val="auto"/>
              </w:rPr>
              <w:t>10.17**</w:t>
            </w:r>
          </w:p>
        </w:tc>
        <w:tc>
          <w:tcPr>
            <w:tcW w:w="6060" w:type="dxa"/>
            <w:vAlign w:val="bottom"/>
            <w:gridSpan w:val="9"/>
          </w:tcPr>
          <w:p>
            <w:pPr>
              <w:spacing w:after="0"/>
              <w:rPr>
                <w:rFonts w:ascii="Arial" w:cs="Arial" w:eastAsia="Arial" w:hAnsi="Arial"/>
                <w:sz w:val="16"/>
                <w:szCs w:val="16"/>
                <w:u w:val="single" w:color="auto"/>
                <w:color w:val="0000EE"/>
                <w:w w:val="92"/>
              </w:rPr>
            </w:pPr>
            <w:hyperlink r:id="rId116">
              <w:r>
                <w:rPr>
                  <w:rFonts w:ascii="Arial" w:cs="Arial" w:eastAsia="Arial" w:hAnsi="Arial"/>
                  <w:sz w:val="16"/>
                  <w:szCs w:val="16"/>
                  <w:u w:val="single" w:color="auto"/>
                  <w:color w:val="0000EE"/>
                  <w:w w:val="92"/>
                </w:rPr>
                <w:t>Change in Control and Severance Agreement between the Registrant and Mark Litton, Ph.D.</w:t>
              </w:r>
            </w:hyperlink>
          </w:p>
        </w:tc>
        <w:tc>
          <w:tcPr>
            <w:tcW w:w="760" w:type="dxa"/>
            <w:vAlign w:val="bottom"/>
          </w:tcPr>
          <w:p>
            <w:pPr>
              <w:ind w:left="20"/>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333-248428</w:t>
            </w:r>
          </w:p>
        </w:tc>
        <w:tc>
          <w:tcPr>
            <w:tcW w:w="920" w:type="dxa"/>
            <w:vAlign w:val="bottom"/>
          </w:tcPr>
          <w:p>
            <w:pPr>
              <w:jc w:val="right"/>
              <w:ind w:right="301"/>
              <w:spacing w:after="0"/>
              <w:rPr>
                <w:sz w:val="20"/>
                <w:szCs w:val="20"/>
                <w:color w:val="auto"/>
              </w:rPr>
            </w:pPr>
            <w:r>
              <w:rPr>
                <w:rFonts w:ascii="Arial" w:cs="Arial" w:eastAsia="Arial" w:hAnsi="Arial"/>
                <w:sz w:val="16"/>
                <w:szCs w:val="16"/>
                <w:color w:val="auto"/>
              </w:rPr>
              <w:t>10.19</w:t>
            </w:r>
          </w:p>
        </w:tc>
        <w:tc>
          <w:tcPr>
            <w:tcW w:w="1280" w:type="dxa"/>
            <w:vAlign w:val="bottom"/>
          </w:tcPr>
          <w:p>
            <w:pPr>
              <w:ind w:left="380"/>
              <w:spacing w:after="0"/>
              <w:rPr>
                <w:sz w:val="20"/>
                <w:szCs w:val="20"/>
                <w:color w:val="auto"/>
              </w:rPr>
            </w:pPr>
            <w:r>
              <w:rPr>
                <w:rFonts w:ascii="Arial" w:cs="Arial" w:eastAsia="Arial" w:hAnsi="Arial"/>
                <w:sz w:val="16"/>
                <w:szCs w:val="16"/>
                <w:color w:val="auto"/>
                <w:w w:val="91"/>
              </w:rPr>
              <w:t>September 9,</w:t>
            </w:r>
          </w:p>
        </w:tc>
      </w:tr>
      <w:tr>
        <w:trPr>
          <w:trHeight w:val="200"/>
        </w:trPr>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ind w:left="380"/>
              <w:spacing w:after="0"/>
              <w:rPr>
                <w:sz w:val="20"/>
                <w:szCs w:val="20"/>
                <w:color w:val="auto"/>
              </w:rPr>
            </w:pPr>
            <w:r>
              <w:rPr>
                <w:rFonts w:ascii="Arial" w:cs="Arial" w:eastAsia="Arial" w:hAnsi="Arial"/>
                <w:sz w:val="16"/>
                <w:szCs w:val="16"/>
                <w:color w:val="auto"/>
              </w:rPr>
              <w:t>2020</w:t>
            </w:r>
          </w:p>
        </w:tc>
      </w:tr>
      <w:tr>
        <w:trPr>
          <w:trHeight w:val="295"/>
        </w:trPr>
        <w:tc>
          <w:tcPr>
            <w:tcW w:w="700" w:type="dxa"/>
            <w:vAlign w:val="bottom"/>
          </w:tcPr>
          <w:p>
            <w:pPr>
              <w:spacing w:after="0"/>
              <w:rPr>
                <w:sz w:val="20"/>
                <w:szCs w:val="20"/>
                <w:color w:val="auto"/>
              </w:rPr>
            </w:pPr>
            <w:r>
              <w:rPr>
                <w:rFonts w:ascii="Arial" w:cs="Arial" w:eastAsia="Arial" w:hAnsi="Arial"/>
                <w:sz w:val="16"/>
                <w:szCs w:val="16"/>
                <w:color w:val="auto"/>
              </w:rPr>
              <w:t>10.18**</w:t>
            </w:r>
          </w:p>
        </w:tc>
        <w:tc>
          <w:tcPr>
            <w:tcW w:w="6060" w:type="dxa"/>
            <w:vAlign w:val="bottom"/>
            <w:gridSpan w:val="9"/>
          </w:tcPr>
          <w:p>
            <w:pPr>
              <w:spacing w:after="0"/>
              <w:rPr>
                <w:rFonts w:ascii="Arial" w:cs="Arial" w:eastAsia="Arial" w:hAnsi="Arial"/>
                <w:sz w:val="16"/>
                <w:szCs w:val="16"/>
                <w:u w:val="single" w:color="auto"/>
                <w:color w:val="0000EE"/>
                <w:w w:val="94"/>
              </w:rPr>
            </w:pPr>
            <w:hyperlink r:id="rId117">
              <w:r>
                <w:rPr>
                  <w:rFonts w:ascii="Arial" w:cs="Arial" w:eastAsia="Arial" w:hAnsi="Arial"/>
                  <w:sz w:val="16"/>
                  <w:szCs w:val="16"/>
                  <w:u w:val="single" w:color="auto"/>
                  <w:color w:val="0000EE"/>
                  <w:w w:val="94"/>
                </w:rPr>
                <w:t>Change in Control and Severance Agreement between the Registrant and Glenna Mileson</w:t>
              </w:r>
            </w:hyperlink>
          </w:p>
        </w:tc>
        <w:tc>
          <w:tcPr>
            <w:tcW w:w="760" w:type="dxa"/>
            <w:vAlign w:val="bottom"/>
          </w:tcPr>
          <w:p>
            <w:pPr>
              <w:ind w:left="20"/>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333-248428</w:t>
            </w:r>
          </w:p>
        </w:tc>
        <w:tc>
          <w:tcPr>
            <w:tcW w:w="920" w:type="dxa"/>
            <w:vAlign w:val="bottom"/>
          </w:tcPr>
          <w:p>
            <w:pPr>
              <w:jc w:val="right"/>
              <w:ind w:right="301"/>
              <w:spacing w:after="0"/>
              <w:rPr>
                <w:sz w:val="20"/>
                <w:szCs w:val="20"/>
                <w:color w:val="auto"/>
              </w:rPr>
            </w:pPr>
            <w:r>
              <w:rPr>
                <w:rFonts w:ascii="Arial" w:cs="Arial" w:eastAsia="Arial" w:hAnsi="Arial"/>
                <w:sz w:val="16"/>
                <w:szCs w:val="16"/>
                <w:color w:val="auto"/>
              </w:rPr>
              <w:t>10.20</w:t>
            </w:r>
          </w:p>
        </w:tc>
        <w:tc>
          <w:tcPr>
            <w:tcW w:w="1280" w:type="dxa"/>
            <w:vAlign w:val="bottom"/>
          </w:tcPr>
          <w:p>
            <w:pPr>
              <w:ind w:left="380"/>
              <w:spacing w:after="0"/>
              <w:rPr>
                <w:sz w:val="20"/>
                <w:szCs w:val="20"/>
                <w:color w:val="auto"/>
              </w:rPr>
            </w:pPr>
            <w:r>
              <w:rPr>
                <w:rFonts w:ascii="Arial" w:cs="Arial" w:eastAsia="Arial" w:hAnsi="Arial"/>
                <w:sz w:val="16"/>
                <w:szCs w:val="16"/>
                <w:color w:val="auto"/>
                <w:w w:val="91"/>
              </w:rPr>
              <w:t>September 9,</w:t>
            </w:r>
          </w:p>
        </w:tc>
      </w:tr>
      <w:tr>
        <w:trPr>
          <w:trHeight w:val="200"/>
        </w:trPr>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ind w:left="380"/>
              <w:spacing w:after="0"/>
              <w:rPr>
                <w:sz w:val="20"/>
                <w:szCs w:val="20"/>
                <w:color w:val="auto"/>
              </w:rPr>
            </w:pPr>
            <w:r>
              <w:rPr>
                <w:rFonts w:ascii="Arial" w:cs="Arial" w:eastAsia="Arial" w:hAnsi="Arial"/>
                <w:sz w:val="16"/>
                <w:szCs w:val="16"/>
                <w:color w:val="auto"/>
              </w:rPr>
              <w:t>2020</w:t>
            </w:r>
          </w:p>
        </w:tc>
      </w:tr>
      <w:tr>
        <w:trPr>
          <w:trHeight w:val="295"/>
        </w:trPr>
        <w:tc>
          <w:tcPr>
            <w:tcW w:w="700" w:type="dxa"/>
            <w:vAlign w:val="bottom"/>
          </w:tcPr>
          <w:p>
            <w:pPr>
              <w:spacing w:after="0"/>
              <w:rPr>
                <w:sz w:val="20"/>
                <w:szCs w:val="20"/>
                <w:color w:val="auto"/>
              </w:rPr>
            </w:pPr>
            <w:r>
              <w:rPr>
                <w:rFonts w:ascii="Arial" w:cs="Arial" w:eastAsia="Arial" w:hAnsi="Arial"/>
                <w:sz w:val="16"/>
                <w:szCs w:val="16"/>
                <w:color w:val="auto"/>
              </w:rPr>
              <w:t>10.19**</w:t>
            </w:r>
          </w:p>
        </w:tc>
        <w:tc>
          <w:tcPr>
            <w:tcW w:w="6060" w:type="dxa"/>
            <w:vAlign w:val="bottom"/>
            <w:gridSpan w:val="9"/>
          </w:tcPr>
          <w:p>
            <w:pPr>
              <w:spacing w:after="0"/>
              <w:rPr>
                <w:rFonts w:ascii="Arial" w:cs="Arial" w:eastAsia="Arial" w:hAnsi="Arial"/>
                <w:sz w:val="16"/>
                <w:szCs w:val="16"/>
                <w:u w:val="single" w:color="auto"/>
                <w:color w:val="0000EE"/>
              </w:rPr>
            </w:pPr>
            <w:hyperlink r:id="rId118">
              <w:r>
                <w:rPr>
                  <w:rFonts w:ascii="Arial" w:cs="Arial" w:eastAsia="Arial" w:hAnsi="Arial"/>
                  <w:sz w:val="16"/>
                  <w:szCs w:val="16"/>
                  <w:u w:val="single" w:color="auto"/>
                  <w:color w:val="0000EE"/>
                </w:rPr>
                <w:t>Employment Offer Letter between the Registrant and Hans Moebius, Ph.D.</w:t>
              </w:r>
            </w:hyperlink>
          </w:p>
        </w:tc>
        <w:tc>
          <w:tcPr>
            <w:tcW w:w="760" w:type="dxa"/>
            <w:vAlign w:val="bottom"/>
          </w:tcPr>
          <w:p>
            <w:pPr>
              <w:ind w:left="20"/>
              <w:spacing w:after="0"/>
              <w:rPr>
                <w:sz w:val="20"/>
                <w:szCs w:val="20"/>
                <w:color w:val="auto"/>
              </w:rPr>
            </w:pPr>
            <w:r>
              <w:rPr>
                <w:rFonts w:ascii="Arial" w:cs="Arial" w:eastAsia="Arial" w:hAnsi="Arial"/>
                <w:sz w:val="16"/>
                <w:szCs w:val="16"/>
                <w:color w:val="auto"/>
              </w:rPr>
              <w:t>S-1/A</w:t>
            </w: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333-248428</w:t>
            </w:r>
          </w:p>
        </w:tc>
        <w:tc>
          <w:tcPr>
            <w:tcW w:w="920" w:type="dxa"/>
            <w:vAlign w:val="bottom"/>
          </w:tcPr>
          <w:p>
            <w:pPr>
              <w:jc w:val="right"/>
              <w:ind w:right="301"/>
              <w:spacing w:after="0"/>
              <w:rPr>
                <w:sz w:val="20"/>
                <w:szCs w:val="20"/>
                <w:color w:val="auto"/>
              </w:rPr>
            </w:pPr>
            <w:r>
              <w:rPr>
                <w:rFonts w:ascii="Arial" w:cs="Arial" w:eastAsia="Arial" w:hAnsi="Arial"/>
                <w:sz w:val="16"/>
                <w:szCs w:val="16"/>
                <w:color w:val="auto"/>
              </w:rPr>
              <w:t>10.21</w:t>
            </w:r>
          </w:p>
        </w:tc>
        <w:tc>
          <w:tcPr>
            <w:tcW w:w="1280" w:type="dxa"/>
            <w:vAlign w:val="bottom"/>
          </w:tcPr>
          <w:p>
            <w:pPr>
              <w:ind w:left="380"/>
              <w:spacing w:after="0"/>
              <w:rPr>
                <w:sz w:val="20"/>
                <w:szCs w:val="20"/>
                <w:color w:val="auto"/>
              </w:rPr>
            </w:pPr>
            <w:r>
              <w:rPr>
                <w:rFonts w:ascii="Arial" w:cs="Arial" w:eastAsia="Arial" w:hAnsi="Arial"/>
                <w:sz w:val="16"/>
                <w:szCs w:val="16"/>
                <w:color w:val="auto"/>
                <w:w w:val="83"/>
              </w:rPr>
              <w:t>September 14,</w:t>
            </w:r>
          </w:p>
        </w:tc>
      </w:tr>
      <w:tr>
        <w:trPr>
          <w:trHeight w:val="200"/>
        </w:trPr>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ind w:left="380"/>
              <w:spacing w:after="0"/>
              <w:rPr>
                <w:sz w:val="20"/>
                <w:szCs w:val="20"/>
                <w:color w:val="auto"/>
              </w:rPr>
            </w:pPr>
            <w:r>
              <w:rPr>
                <w:rFonts w:ascii="Arial" w:cs="Arial" w:eastAsia="Arial" w:hAnsi="Arial"/>
                <w:sz w:val="16"/>
                <w:szCs w:val="16"/>
                <w:color w:val="auto"/>
              </w:rPr>
              <w:t>2020</w:t>
            </w:r>
          </w:p>
        </w:tc>
      </w:tr>
      <w:tr>
        <w:trPr>
          <w:trHeight w:val="295"/>
        </w:trPr>
        <w:tc>
          <w:tcPr>
            <w:tcW w:w="700" w:type="dxa"/>
            <w:vAlign w:val="bottom"/>
          </w:tcPr>
          <w:p>
            <w:pPr>
              <w:spacing w:after="0"/>
              <w:rPr>
                <w:sz w:val="20"/>
                <w:szCs w:val="20"/>
                <w:color w:val="auto"/>
              </w:rPr>
            </w:pPr>
            <w:r>
              <w:rPr>
                <w:rFonts w:ascii="Arial" w:cs="Arial" w:eastAsia="Arial" w:hAnsi="Arial"/>
                <w:sz w:val="16"/>
                <w:szCs w:val="16"/>
                <w:color w:val="auto"/>
              </w:rPr>
              <w:t>10.20**</w:t>
            </w:r>
          </w:p>
        </w:tc>
        <w:tc>
          <w:tcPr>
            <w:tcW w:w="6820" w:type="dxa"/>
            <w:vAlign w:val="bottom"/>
            <w:gridSpan w:val="10"/>
          </w:tcPr>
          <w:p>
            <w:pPr>
              <w:spacing w:after="0"/>
              <w:rPr>
                <w:rFonts w:ascii="Arial" w:cs="Arial" w:eastAsia="Arial" w:hAnsi="Arial"/>
                <w:sz w:val="16"/>
                <w:szCs w:val="16"/>
                <w:color w:val="0000EE"/>
                <w:w w:val="93"/>
              </w:rPr>
            </w:pPr>
            <w:hyperlink r:id="rId119">
              <w:r>
                <w:rPr>
                  <w:rFonts w:ascii="Arial" w:cs="Arial" w:eastAsia="Arial" w:hAnsi="Arial"/>
                  <w:sz w:val="16"/>
                  <w:szCs w:val="16"/>
                  <w:u w:val="single" w:color="auto"/>
                  <w:color w:val="0000EE"/>
                  <w:w w:val="93"/>
                </w:rPr>
                <w:t>Change in Control and Severance Agreement between the Registrant and Hans Moebius, Ph.D.</w:t>
              </w:r>
              <w:r>
                <w:rPr>
                  <w:rFonts w:ascii="Arial" w:cs="Arial" w:eastAsia="Arial" w:hAnsi="Arial"/>
                  <w:sz w:val="16"/>
                  <w:szCs w:val="16"/>
                  <w:color w:val="0000EE"/>
                  <w:w w:val="93"/>
                </w:rPr>
                <w:t xml:space="preserve"> </w:t>
              </w:r>
            </w:hyperlink>
            <w:r>
              <w:rPr>
                <w:rFonts w:ascii="Arial" w:cs="Arial" w:eastAsia="Arial" w:hAnsi="Arial"/>
                <w:sz w:val="16"/>
                <w:szCs w:val="16"/>
                <w:color w:val="000000"/>
                <w:w w:val="93"/>
              </w:rPr>
              <w:t>S-1/A</w:t>
            </w: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333-248428</w:t>
            </w:r>
          </w:p>
        </w:tc>
        <w:tc>
          <w:tcPr>
            <w:tcW w:w="920" w:type="dxa"/>
            <w:vAlign w:val="bottom"/>
          </w:tcPr>
          <w:p>
            <w:pPr>
              <w:jc w:val="right"/>
              <w:ind w:right="301"/>
              <w:spacing w:after="0"/>
              <w:rPr>
                <w:sz w:val="20"/>
                <w:szCs w:val="20"/>
                <w:color w:val="auto"/>
              </w:rPr>
            </w:pPr>
            <w:r>
              <w:rPr>
                <w:rFonts w:ascii="Arial" w:cs="Arial" w:eastAsia="Arial" w:hAnsi="Arial"/>
                <w:sz w:val="16"/>
                <w:szCs w:val="16"/>
                <w:color w:val="auto"/>
              </w:rPr>
              <w:t>10.22</w:t>
            </w:r>
          </w:p>
        </w:tc>
        <w:tc>
          <w:tcPr>
            <w:tcW w:w="1280" w:type="dxa"/>
            <w:vAlign w:val="bottom"/>
          </w:tcPr>
          <w:p>
            <w:pPr>
              <w:ind w:left="380"/>
              <w:spacing w:after="0"/>
              <w:rPr>
                <w:sz w:val="20"/>
                <w:szCs w:val="20"/>
                <w:color w:val="auto"/>
              </w:rPr>
            </w:pPr>
            <w:r>
              <w:rPr>
                <w:rFonts w:ascii="Arial" w:cs="Arial" w:eastAsia="Arial" w:hAnsi="Arial"/>
                <w:sz w:val="16"/>
                <w:szCs w:val="16"/>
                <w:color w:val="auto"/>
                <w:w w:val="83"/>
              </w:rPr>
              <w:t>September 14,</w:t>
            </w:r>
          </w:p>
        </w:tc>
      </w:tr>
      <w:tr>
        <w:trPr>
          <w:trHeight w:val="200"/>
        </w:trPr>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ind w:left="380"/>
              <w:spacing w:after="0"/>
              <w:rPr>
                <w:sz w:val="20"/>
                <w:szCs w:val="20"/>
                <w:color w:val="auto"/>
              </w:rPr>
            </w:pPr>
            <w:r>
              <w:rPr>
                <w:rFonts w:ascii="Arial" w:cs="Arial" w:eastAsia="Arial" w:hAnsi="Arial"/>
                <w:sz w:val="16"/>
                <w:szCs w:val="16"/>
                <w:color w:val="auto"/>
              </w:rPr>
              <w:t>2020</w:t>
            </w:r>
          </w:p>
        </w:tc>
      </w:tr>
      <w:tr>
        <w:trPr>
          <w:trHeight w:val="284"/>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5860" w:type="dxa"/>
            <w:vAlign w:val="bottom"/>
            <w:tcBorders>
              <w:bottom w:val="single" w:sz="8" w:color="0000EE"/>
            </w:tcBorders>
            <w:gridSpan w:val="7"/>
          </w:tcPr>
          <w:p>
            <w:pPr>
              <w:spacing w:after="0"/>
              <w:rPr>
                <w:rFonts w:ascii="Arial" w:cs="Arial" w:eastAsia="Arial" w:hAnsi="Arial"/>
                <w:sz w:val="16"/>
                <w:szCs w:val="16"/>
                <w:color w:val="0000EE"/>
                <w:w w:val="89"/>
              </w:rPr>
            </w:pPr>
            <w:hyperlink w:anchor="page119">
              <w:r>
                <w:rPr>
                  <w:rFonts w:ascii="Arial" w:cs="Arial" w:eastAsia="Arial" w:hAnsi="Arial"/>
                  <w:sz w:val="16"/>
                  <w:szCs w:val="16"/>
                  <w:color w:val="0000EE"/>
                  <w:w w:val="89"/>
                </w:rPr>
                <w:t>Certification of Principal Executive Officer Pursuant to Rules 13a-14(a) and 15d-14(a) under</w:t>
              </w:r>
            </w:hyperlink>
          </w:p>
        </w:tc>
        <w:tc>
          <w:tcPr>
            <w:tcW w:w="20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9"/>
        </w:trPr>
        <w:tc>
          <w:tcPr>
            <w:tcW w:w="700" w:type="dxa"/>
            <w:vAlign w:val="bottom"/>
          </w:tcPr>
          <w:p>
            <w:pPr>
              <w:spacing w:after="0"/>
              <w:rPr>
                <w:sz w:val="14"/>
                <w:szCs w:val="14"/>
                <w:color w:val="auto"/>
              </w:rPr>
            </w:pPr>
          </w:p>
        </w:tc>
        <w:tc>
          <w:tcPr>
            <w:tcW w:w="5700" w:type="dxa"/>
            <w:vAlign w:val="bottom"/>
            <w:tcBorders>
              <w:bottom w:val="single" w:sz="8" w:color="0000EE"/>
            </w:tcBorders>
            <w:gridSpan w:val="5"/>
          </w:tcPr>
          <w:p>
            <w:pPr>
              <w:spacing w:after="0" w:line="168" w:lineRule="exact"/>
              <w:rPr>
                <w:rFonts w:ascii="Arial" w:cs="Arial" w:eastAsia="Arial" w:hAnsi="Arial"/>
                <w:sz w:val="16"/>
                <w:szCs w:val="16"/>
                <w:color w:val="0000EE"/>
                <w:w w:val="87"/>
              </w:rPr>
            </w:pPr>
            <w:hyperlink w:anchor="page119">
              <w:r>
                <w:rPr>
                  <w:rFonts w:ascii="Arial" w:cs="Arial" w:eastAsia="Arial" w:hAnsi="Arial"/>
                  <w:sz w:val="16"/>
                  <w:szCs w:val="16"/>
                  <w:color w:val="0000EE"/>
                  <w:w w:val="87"/>
                </w:rPr>
                <w:t>the Securities Exchange Act of 1934, as Adopted Pursuant to Section 302 of the Sarbanes-</w:t>
              </w:r>
            </w:hyperlink>
          </w:p>
        </w:tc>
        <w:tc>
          <w:tcPr>
            <w:tcW w:w="36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9"/>
        </w:trPr>
        <w:tc>
          <w:tcPr>
            <w:tcW w:w="700" w:type="dxa"/>
            <w:vAlign w:val="bottom"/>
          </w:tcPr>
          <w:p>
            <w:pPr>
              <w:spacing w:after="0"/>
              <w:rPr>
                <w:sz w:val="14"/>
                <w:szCs w:val="14"/>
                <w:color w:val="auto"/>
              </w:rPr>
            </w:pPr>
          </w:p>
        </w:tc>
        <w:tc>
          <w:tcPr>
            <w:tcW w:w="1220" w:type="dxa"/>
            <w:vAlign w:val="bottom"/>
            <w:tcBorders>
              <w:bottom w:val="single" w:sz="8" w:color="0000EE"/>
            </w:tcBorders>
          </w:tcPr>
          <w:p>
            <w:pPr>
              <w:spacing w:after="0" w:line="168" w:lineRule="exact"/>
              <w:rPr>
                <w:rFonts w:ascii="Arial" w:cs="Arial" w:eastAsia="Arial" w:hAnsi="Arial"/>
                <w:sz w:val="16"/>
                <w:szCs w:val="16"/>
                <w:color w:val="0000EE"/>
                <w:w w:val="91"/>
              </w:rPr>
            </w:pPr>
            <w:hyperlink w:anchor="page119">
              <w:r>
                <w:rPr>
                  <w:rFonts w:ascii="Arial" w:cs="Arial" w:eastAsia="Arial" w:hAnsi="Arial"/>
                  <w:sz w:val="16"/>
                  <w:szCs w:val="16"/>
                  <w:color w:val="0000EE"/>
                  <w:w w:val="91"/>
                </w:rPr>
                <w:t>Oxley Act of 2002.</w:t>
              </w:r>
            </w:hyperlink>
          </w:p>
        </w:tc>
        <w:tc>
          <w:tcPr>
            <w:tcW w:w="4840" w:type="dxa"/>
            <w:vAlign w:val="bottom"/>
            <w:gridSpan w:val="8"/>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98"/>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580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120">
              <w:r>
                <w:rPr>
                  <w:rFonts w:ascii="Arial" w:cs="Arial" w:eastAsia="Arial" w:hAnsi="Arial"/>
                  <w:sz w:val="16"/>
                  <w:szCs w:val="16"/>
                  <w:color w:val="0000EE"/>
                  <w:w w:val="90"/>
                </w:rPr>
                <w:t>Certification of Principal Accounting and Financial Officer Pursuant to Rules 13a-14(a) and</w:t>
              </w:r>
            </w:hyperlink>
          </w:p>
        </w:tc>
        <w:tc>
          <w:tcPr>
            <w:tcW w:w="26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9"/>
        </w:trPr>
        <w:tc>
          <w:tcPr>
            <w:tcW w:w="700" w:type="dxa"/>
            <w:vAlign w:val="bottom"/>
          </w:tcPr>
          <w:p>
            <w:pPr>
              <w:spacing w:after="0"/>
              <w:rPr>
                <w:sz w:val="14"/>
                <w:szCs w:val="14"/>
                <w:color w:val="auto"/>
              </w:rPr>
            </w:pPr>
          </w:p>
        </w:tc>
        <w:tc>
          <w:tcPr>
            <w:tcW w:w="5860" w:type="dxa"/>
            <w:vAlign w:val="bottom"/>
            <w:tcBorders>
              <w:bottom w:val="single" w:sz="8" w:color="0000EE"/>
            </w:tcBorders>
            <w:gridSpan w:val="7"/>
          </w:tcPr>
          <w:p>
            <w:pPr>
              <w:spacing w:after="0" w:line="168" w:lineRule="exact"/>
              <w:rPr>
                <w:rFonts w:ascii="Arial" w:cs="Arial" w:eastAsia="Arial" w:hAnsi="Arial"/>
                <w:sz w:val="16"/>
                <w:szCs w:val="16"/>
                <w:color w:val="0000EE"/>
                <w:w w:val="88"/>
              </w:rPr>
            </w:pPr>
            <w:hyperlink w:anchor="page120">
              <w:r>
                <w:rPr>
                  <w:rFonts w:ascii="Arial" w:cs="Arial" w:eastAsia="Arial" w:hAnsi="Arial"/>
                  <w:sz w:val="16"/>
                  <w:szCs w:val="16"/>
                  <w:color w:val="0000EE"/>
                  <w:w w:val="88"/>
                </w:rPr>
                <w:t>15d-14(a) under the Securities Exchange Act of 1934, as Adopted Pursuant to Section 302 of</w:t>
              </w:r>
            </w:hyperlink>
          </w:p>
        </w:tc>
        <w:tc>
          <w:tcPr>
            <w:tcW w:w="20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9"/>
        </w:trPr>
        <w:tc>
          <w:tcPr>
            <w:tcW w:w="700" w:type="dxa"/>
            <w:vAlign w:val="bottom"/>
          </w:tcPr>
          <w:p>
            <w:pPr>
              <w:spacing w:after="0"/>
              <w:rPr>
                <w:sz w:val="14"/>
                <w:szCs w:val="14"/>
                <w:color w:val="auto"/>
              </w:rPr>
            </w:pPr>
          </w:p>
        </w:tc>
        <w:tc>
          <w:tcPr>
            <w:tcW w:w="6060" w:type="dxa"/>
            <w:vAlign w:val="bottom"/>
            <w:gridSpan w:val="9"/>
          </w:tcPr>
          <w:p>
            <w:pPr>
              <w:spacing w:after="0" w:line="168" w:lineRule="exact"/>
              <w:rPr>
                <w:rFonts w:ascii="Arial" w:cs="Arial" w:eastAsia="Arial" w:hAnsi="Arial"/>
                <w:sz w:val="16"/>
                <w:szCs w:val="16"/>
                <w:color w:val="0000EE"/>
              </w:rPr>
            </w:pPr>
            <w:hyperlink w:anchor="page120">
              <w:r>
                <w:rPr>
                  <w:rFonts w:ascii="Arial" w:cs="Arial" w:eastAsia="Arial" w:hAnsi="Arial"/>
                  <w:sz w:val="16"/>
                  <w:szCs w:val="16"/>
                  <w:color w:val="0000EE"/>
                </w:rPr>
                <w:t>the Sarbanes-Oxley Act of 2002.</w:t>
              </w:r>
            </w:hyperlink>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8"/>
        </w:trPr>
        <w:tc>
          <w:tcPr>
            <w:tcW w:w="700" w:type="dxa"/>
            <w:vAlign w:val="bottom"/>
          </w:tcPr>
          <w:p>
            <w:pPr>
              <w:spacing w:after="0"/>
              <w:rPr>
                <w:sz w:val="20"/>
                <w:szCs w:val="20"/>
                <w:color w:val="auto"/>
              </w:rPr>
            </w:pPr>
            <w:r>
              <w:rPr>
                <w:rFonts w:ascii="Arial" w:cs="Arial" w:eastAsia="Arial" w:hAnsi="Arial"/>
                <w:sz w:val="16"/>
                <w:szCs w:val="16"/>
                <w:color w:val="auto"/>
              </w:rPr>
              <w:t>32.1*</w:t>
            </w:r>
          </w:p>
        </w:tc>
        <w:tc>
          <w:tcPr>
            <w:tcW w:w="580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121">
              <w:r>
                <w:rPr>
                  <w:rFonts w:ascii="Arial" w:cs="Arial" w:eastAsia="Arial" w:hAnsi="Arial"/>
                  <w:sz w:val="16"/>
                  <w:szCs w:val="16"/>
                  <w:color w:val="0000EE"/>
                  <w:w w:val="90"/>
                </w:rPr>
                <w:t>Certification of Principal Executive Officer Pursuant to 18 U.S.C. Section 1350, as Adopted</w:t>
              </w:r>
            </w:hyperlink>
          </w:p>
        </w:tc>
        <w:tc>
          <w:tcPr>
            <w:tcW w:w="26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9"/>
        </w:trPr>
        <w:tc>
          <w:tcPr>
            <w:tcW w:w="700" w:type="dxa"/>
            <w:vAlign w:val="bottom"/>
          </w:tcPr>
          <w:p>
            <w:pPr>
              <w:spacing w:after="0"/>
              <w:rPr>
                <w:sz w:val="14"/>
                <w:szCs w:val="14"/>
                <w:color w:val="auto"/>
              </w:rPr>
            </w:pPr>
          </w:p>
        </w:tc>
        <w:tc>
          <w:tcPr>
            <w:tcW w:w="3780" w:type="dxa"/>
            <w:vAlign w:val="bottom"/>
            <w:tcBorders>
              <w:bottom w:val="single" w:sz="8" w:color="0000EE"/>
            </w:tcBorders>
            <w:gridSpan w:val="3"/>
          </w:tcPr>
          <w:p>
            <w:pPr>
              <w:spacing w:after="0" w:line="168" w:lineRule="exact"/>
              <w:rPr>
                <w:rFonts w:ascii="Arial" w:cs="Arial" w:eastAsia="Arial" w:hAnsi="Arial"/>
                <w:sz w:val="16"/>
                <w:szCs w:val="16"/>
                <w:color w:val="0000EE"/>
                <w:w w:val="88"/>
              </w:rPr>
            </w:pPr>
            <w:hyperlink w:anchor="page121">
              <w:r>
                <w:rPr>
                  <w:rFonts w:ascii="Arial" w:cs="Arial" w:eastAsia="Arial" w:hAnsi="Arial"/>
                  <w:sz w:val="16"/>
                  <w:szCs w:val="16"/>
                  <w:color w:val="0000EE"/>
                  <w:w w:val="88"/>
                </w:rPr>
                <w:t>Pursuant to Section 906 of the Sarbanes-Oxley Act of 2002.</w:t>
              </w:r>
            </w:hyperlink>
          </w:p>
        </w:tc>
        <w:tc>
          <w:tcPr>
            <w:tcW w:w="2280" w:type="dxa"/>
            <w:vAlign w:val="bottom"/>
            <w:gridSpan w:val="6"/>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98"/>
        </w:trPr>
        <w:tc>
          <w:tcPr>
            <w:tcW w:w="700" w:type="dxa"/>
            <w:vAlign w:val="bottom"/>
          </w:tcPr>
          <w:p>
            <w:pPr>
              <w:spacing w:after="0"/>
              <w:rPr>
                <w:sz w:val="20"/>
                <w:szCs w:val="20"/>
                <w:color w:val="auto"/>
              </w:rPr>
            </w:pPr>
            <w:r>
              <w:rPr>
                <w:rFonts w:ascii="Arial" w:cs="Arial" w:eastAsia="Arial" w:hAnsi="Arial"/>
                <w:sz w:val="16"/>
                <w:szCs w:val="16"/>
                <w:color w:val="auto"/>
              </w:rPr>
              <w:t>32.2*</w:t>
            </w:r>
          </w:p>
        </w:tc>
        <w:tc>
          <w:tcPr>
            <w:tcW w:w="6060" w:type="dxa"/>
            <w:vAlign w:val="bottom"/>
            <w:gridSpan w:val="9"/>
          </w:tcPr>
          <w:p>
            <w:pPr>
              <w:spacing w:after="0"/>
              <w:rPr>
                <w:rFonts w:ascii="Arial" w:cs="Arial" w:eastAsia="Arial" w:hAnsi="Arial"/>
                <w:sz w:val="16"/>
                <w:szCs w:val="16"/>
                <w:color w:val="0000EE"/>
                <w:w w:val="90"/>
              </w:rPr>
            </w:pPr>
            <w:hyperlink w:anchor="page122">
              <w:r>
                <w:rPr>
                  <w:rFonts w:ascii="Arial" w:cs="Arial" w:eastAsia="Arial" w:hAnsi="Arial"/>
                  <w:sz w:val="16"/>
                  <w:szCs w:val="16"/>
                  <w:color w:val="0000EE"/>
                  <w:w w:val="90"/>
                </w:rPr>
                <w:t>Certification of Principal Accounting and Financial Officer Pursuant to 18 U.S.C. Section 1350,</w:t>
              </w:r>
            </w:hyperlink>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9"/>
        </w:trPr>
        <w:tc>
          <w:tcPr>
            <w:tcW w:w="700" w:type="dxa"/>
            <w:vAlign w:val="bottom"/>
          </w:tcPr>
          <w:p>
            <w:pPr>
              <w:spacing w:after="0"/>
              <w:rPr>
                <w:sz w:val="14"/>
                <w:szCs w:val="14"/>
                <w:color w:val="auto"/>
              </w:rPr>
            </w:pPr>
          </w:p>
        </w:tc>
        <w:tc>
          <w:tcPr>
            <w:tcW w:w="6040" w:type="dxa"/>
            <w:vAlign w:val="bottom"/>
            <w:tcBorders>
              <w:top w:val="single" w:sz="8" w:color="0000EE"/>
            </w:tcBorders>
            <w:gridSpan w:val="8"/>
          </w:tcPr>
          <w:p>
            <w:pPr>
              <w:spacing w:after="0" w:line="168" w:lineRule="exact"/>
              <w:rPr>
                <w:rFonts w:ascii="Arial" w:cs="Arial" w:eastAsia="Arial" w:hAnsi="Arial"/>
                <w:sz w:val="16"/>
                <w:szCs w:val="16"/>
                <w:color w:val="0000EE"/>
              </w:rPr>
            </w:pPr>
            <w:hyperlink w:anchor="page122">
              <w:r>
                <w:rPr>
                  <w:rFonts w:ascii="Arial" w:cs="Arial" w:eastAsia="Arial" w:hAnsi="Arial"/>
                  <w:sz w:val="16"/>
                  <w:szCs w:val="16"/>
                  <w:color w:val="0000EE"/>
                </w:rPr>
                <w:t>as Adopted Pursuant to Section 906 of the Sarbanes-Oxley Act of 2002.</w:t>
              </w:r>
            </w:hyperlink>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3"/>
        </w:trPr>
        <w:tc>
          <w:tcPr>
            <w:tcW w:w="700" w:type="dxa"/>
            <w:vAlign w:val="bottom"/>
          </w:tcPr>
          <w:p>
            <w:pPr>
              <w:spacing w:after="0"/>
              <w:rPr>
                <w:sz w:val="20"/>
                <w:szCs w:val="20"/>
                <w:color w:val="auto"/>
              </w:rPr>
            </w:pPr>
            <w:r>
              <w:rPr>
                <w:rFonts w:ascii="Arial" w:cs="Arial" w:eastAsia="Arial" w:hAnsi="Arial"/>
                <w:sz w:val="16"/>
                <w:szCs w:val="16"/>
                <w:color w:val="auto"/>
              </w:rPr>
              <w:t>101.INS</w:t>
            </w:r>
          </w:p>
        </w:tc>
        <w:tc>
          <w:tcPr>
            <w:tcW w:w="452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auto"/>
              </w:rPr>
              <w:t>XBRL Instance Document</w:t>
            </w:r>
          </w:p>
        </w:tc>
        <w:tc>
          <w:tcPr>
            <w:tcW w:w="154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6"/>
                <w:szCs w:val="16"/>
                <w:color w:val="auto"/>
              </w:rPr>
              <w:t>101.SCH</w:t>
            </w:r>
          </w:p>
        </w:tc>
        <w:tc>
          <w:tcPr>
            <w:tcW w:w="606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6"/>
                <w:szCs w:val="16"/>
                <w:color w:val="auto"/>
              </w:rPr>
              <w:t>101.CAL</w:t>
            </w:r>
          </w:p>
        </w:tc>
        <w:tc>
          <w:tcPr>
            <w:tcW w:w="606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6"/>
                <w:szCs w:val="16"/>
                <w:color w:val="auto"/>
              </w:rPr>
              <w:t>101.DEF</w:t>
            </w:r>
          </w:p>
        </w:tc>
        <w:tc>
          <w:tcPr>
            <w:tcW w:w="606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6"/>
                <w:szCs w:val="16"/>
                <w:color w:val="auto"/>
              </w:rPr>
              <w:t>101.LAB</w:t>
            </w:r>
          </w:p>
        </w:tc>
        <w:tc>
          <w:tcPr>
            <w:tcW w:w="606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6"/>
                <w:szCs w:val="16"/>
                <w:color w:val="auto"/>
              </w:rPr>
              <w:t>101.PRE</w:t>
            </w:r>
          </w:p>
        </w:tc>
        <w:tc>
          <w:tcPr>
            <w:tcW w:w="606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95059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950595" cy="7620"/>
                    </a:xfrm>
                    <a:prstGeom prst="rect">
                      <a:avLst/>
                    </a:prstGeom>
                    <a:noFill/>
                  </pic:spPr>
                </pic:pic>
              </a:graphicData>
            </a:graphic>
          </wp:anchor>
        </w:drawing>
      </w:r>
    </w:p>
    <w:p>
      <w:pPr>
        <w:spacing w:after="0" w:line="134" w:lineRule="exact"/>
        <w:rPr>
          <w:sz w:val="20"/>
          <w:szCs w:val="20"/>
          <w:color w:val="auto"/>
        </w:rPr>
      </w:pPr>
    </w:p>
    <w:p>
      <w:pPr>
        <w:jc w:val="both"/>
        <w:ind w:left="506" w:hanging="506"/>
        <w:spacing w:after="0" w:line="253" w:lineRule="auto"/>
        <w:tabs>
          <w:tab w:leader="none" w:pos="50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73" w:lineRule="exact"/>
        <w:rPr>
          <w:sz w:val="20"/>
          <w:szCs w:val="20"/>
          <w:color w:val="auto"/>
        </w:rPr>
      </w:pPr>
    </w:p>
    <w:p>
      <w:pPr>
        <w:ind w:left="506" w:hanging="506"/>
        <w:spacing w:after="0"/>
        <w:tabs>
          <w:tab w:leader="none" w:pos="506"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99" w:lineRule="exact"/>
        <w:rPr>
          <w:sz w:val="20"/>
          <w:szCs w:val="20"/>
          <w:color w:val="auto"/>
        </w:rPr>
      </w:pPr>
    </w:p>
    <w:p>
      <w:pPr>
        <w:ind w:left="506" w:hanging="506"/>
        <w:spacing w:after="0" w:line="300" w:lineRule="auto"/>
        <w:tabs>
          <w:tab w:leader="none" w:pos="506" w:val="left"/>
        </w:tabs>
        <w:numPr>
          <w:ilvl w:val="0"/>
          <w:numId w:val="51"/>
        </w:numPr>
        <w:rPr>
          <w:rFonts w:ascii="Arial" w:cs="Arial" w:eastAsia="Arial" w:hAnsi="Arial"/>
          <w:sz w:val="15"/>
          <w:szCs w:val="15"/>
          <w:color w:val="auto"/>
        </w:rPr>
      </w:pPr>
      <w:r>
        <w:rPr>
          <w:rFonts w:ascii="Arial" w:cs="Arial" w:eastAsia="Arial" w:hAnsi="Arial"/>
          <w:sz w:val="15"/>
          <w:szCs w:val="15"/>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6470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6"/>
          </w:cols>
          <w:pgMar w:left="314" w:top="316"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b w:val="1"/>
          <w:bCs w:val="1"/>
          <w:color w:val="auto"/>
        </w:rPr>
        <w:t>SIGNATURES</w:t>
      </w:r>
    </w:p>
    <w:p>
      <w:pPr>
        <w:spacing w:after="0" w:line="197" w:lineRule="exact"/>
        <w:rPr>
          <w:sz w:val="20"/>
          <w:szCs w:val="20"/>
          <w:color w:val="auto"/>
        </w:rPr>
      </w:pPr>
    </w:p>
    <w:p>
      <w:pPr>
        <w:ind w:right="20" w:firstLine="511"/>
        <w:spacing w:after="0" w:line="26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7680" w:type="dxa"/>
            <w:vAlign w:val="bottom"/>
            <w:gridSpan w:val="2"/>
          </w:tcPr>
          <w:p>
            <w:pPr>
              <w:ind w:left="2100"/>
              <w:spacing w:after="0"/>
              <w:rPr>
                <w:sz w:val="20"/>
                <w:szCs w:val="20"/>
                <w:color w:val="auto"/>
              </w:rPr>
            </w:pPr>
            <w:r>
              <w:rPr>
                <w:rFonts w:ascii="Arial" w:cs="Arial" w:eastAsia="Arial" w:hAnsi="Arial"/>
                <w:sz w:val="16"/>
                <w:szCs w:val="16"/>
                <w:b w:val="1"/>
                <w:bCs w:val="1"/>
                <w:color w:val="auto"/>
              </w:rPr>
              <w:t>Athira Pharma, Inc.</w:t>
            </w:r>
          </w:p>
        </w:tc>
      </w:tr>
      <w:tr>
        <w:trPr>
          <w:trHeight w:val="401"/>
        </w:trPr>
        <w:tc>
          <w:tcPr>
            <w:tcW w:w="3580" w:type="dxa"/>
            <w:vAlign w:val="bottom"/>
          </w:tcPr>
          <w:p>
            <w:pPr>
              <w:spacing w:after="0"/>
              <w:rPr>
                <w:sz w:val="20"/>
                <w:szCs w:val="20"/>
                <w:color w:val="auto"/>
              </w:rPr>
            </w:pPr>
            <w:r>
              <w:rPr>
                <w:rFonts w:ascii="Arial" w:cs="Arial" w:eastAsia="Arial" w:hAnsi="Arial"/>
                <w:sz w:val="16"/>
                <w:szCs w:val="16"/>
                <w:color w:val="auto"/>
              </w:rPr>
              <w:t>Date: November 12, 2020</w:t>
            </w:r>
          </w:p>
        </w:tc>
        <w:tc>
          <w:tcPr>
            <w:tcW w:w="2460" w:type="dxa"/>
            <w:vAlign w:val="bottom"/>
          </w:tcPr>
          <w:p>
            <w:pPr>
              <w:ind w:left="2100"/>
              <w:spacing w:after="0"/>
              <w:rPr>
                <w:sz w:val="20"/>
                <w:szCs w:val="20"/>
                <w:color w:val="auto"/>
              </w:rPr>
            </w:pPr>
            <w:r>
              <w:rPr>
                <w:rFonts w:ascii="Arial" w:cs="Arial" w:eastAsia="Arial" w:hAnsi="Arial"/>
                <w:sz w:val="16"/>
                <w:szCs w:val="16"/>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Leen Kawas</w:t>
            </w:r>
          </w:p>
        </w:tc>
      </w:tr>
      <w:tr>
        <w:trPr>
          <w:trHeight w:val="192"/>
        </w:trPr>
        <w:tc>
          <w:tcPr>
            <w:tcW w:w="35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Leen Kawas</w:t>
            </w:r>
          </w:p>
        </w:tc>
      </w:tr>
      <w:tr>
        <w:trPr>
          <w:trHeight w:val="200"/>
        </w:trPr>
        <w:tc>
          <w:tcPr>
            <w:tcW w:w="35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President and Chief Executive Officer (</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tc>
      </w:tr>
      <w:tr>
        <w:trPr>
          <w:trHeight w:val="401"/>
        </w:trPr>
        <w:tc>
          <w:tcPr>
            <w:tcW w:w="3580" w:type="dxa"/>
            <w:vAlign w:val="bottom"/>
          </w:tcPr>
          <w:p>
            <w:pPr>
              <w:spacing w:after="0"/>
              <w:rPr>
                <w:sz w:val="20"/>
                <w:szCs w:val="20"/>
                <w:color w:val="auto"/>
              </w:rPr>
            </w:pPr>
            <w:r>
              <w:rPr>
                <w:rFonts w:ascii="Arial" w:cs="Arial" w:eastAsia="Arial" w:hAnsi="Arial"/>
                <w:sz w:val="16"/>
                <w:szCs w:val="16"/>
                <w:color w:val="auto"/>
              </w:rPr>
              <w:t>Date: November 12, 2020</w:t>
            </w:r>
          </w:p>
        </w:tc>
        <w:tc>
          <w:tcPr>
            <w:tcW w:w="2460" w:type="dxa"/>
            <w:vAlign w:val="bottom"/>
          </w:tcPr>
          <w:p>
            <w:pPr>
              <w:ind w:left="2100"/>
              <w:spacing w:after="0"/>
              <w:rPr>
                <w:sz w:val="20"/>
                <w:szCs w:val="20"/>
                <w:color w:val="auto"/>
              </w:rPr>
            </w:pPr>
            <w:r>
              <w:rPr>
                <w:rFonts w:ascii="Arial" w:cs="Arial" w:eastAsia="Arial" w:hAnsi="Arial"/>
                <w:sz w:val="16"/>
                <w:szCs w:val="16"/>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Glenna Mileson</w:t>
            </w:r>
          </w:p>
        </w:tc>
      </w:tr>
      <w:tr>
        <w:trPr>
          <w:trHeight w:val="192"/>
        </w:trPr>
        <w:tc>
          <w:tcPr>
            <w:tcW w:w="35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Glenna Mileson</w:t>
            </w:r>
          </w:p>
        </w:tc>
      </w:tr>
      <w:tr>
        <w:trPr>
          <w:trHeight w:val="200"/>
        </w:trPr>
        <w:tc>
          <w:tcPr>
            <w:tcW w:w="35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Chief Financial Officer (</w:t>
            </w:r>
            <w:r>
              <w:rPr>
                <w:rFonts w:ascii="Arial" w:cs="Arial" w:eastAsia="Arial" w:hAnsi="Arial"/>
                <w:sz w:val="16"/>
                <w:szCs w:val="16"/>
                <w:i w:val="1"/>
                <w:iCs w:val="1"/>
                <w:color w:val="auto"/>
              </w:rPr>
              <w:t>Principal Financial and Accounting Officer</w:t>
            </w:r>
            <w:r>
              <w:rPr>
                <w:rFonts w:ascii="Arial" w:cs="Arial" w:eastAsia="Arial" w:hAnsi="Arial"/>
                <w:sz w:val="16"/>
                <w:szCs w:val="16"/>
                <w:color w:val="auto"/>
              </w:rPr>
              <w:t>)</w:t>
            </w:r>
          </w:p>
        </w:tc>
      </w:tr>
      <w:tr>
        <w:trPr>
          <w:trHeight w:val="566"/>
        </w:trPr>
        <w:tc>
          <w:tcPr>
            <w:tcW w:w="3580" w:type="dxa"/>
            <w:vAlign w:val="bottom"/>
          </w:tcPr>
          <w:p>
            <w:pPr>
              <w:spacing w:after="0"/>
              <w:rPr>
                <w:sz w:val="24"/>
                <w:szCs w:val="24"/>
                <w:color w:val="auto"/>
              </w:rPr>
            </w:pPr>
          </w:p>
        </w:tc>
        <w:tc>
          <w:tcPr>
            <w:tcW w:w="2460" w:type="dxa"/>
            <w:vAlign w:val="bottom"/>
          </w:tcPr>
          <w:p>
            <w:pPr>
              <w:jc w:val="right"/>
              <w:ind w:right="261"/>
              <w:spacing w:after="0"/>
              <w:rPr>
                <w:sz w:val="20"/>
                <w:szCs w:val="20"/>
                <w:color w:val="auto"/>
              </w:rPr>
            </w:pPr>
            <w:r>
              <w:rPr>
                <w:rFonts w:ascii="Arial" w:cs="Arial" w:eastAsia="Arial" w:hAnsi="Arial"/>
                <w:sz w:val="16"/>
                <w:szCs w:val="16"/>
                <w:color w:val="auto"/>
              </w:rPr>
              <w:t>83</w:t>
            </w:r>
          </w:p>
        </w:tc>
        <w:tc>
          <w:tcPr>
            <w:tcW w:w="5220" w:type="dxa"/>
            <w:vAlign w:val="bottom"/>
          </w:tcPr>
          <w:p>
            <w:pPr>
              <w:spacing w:after="0"/>
              <w:rPr>
                <w:sz w:val="24"/>
                <w:szCs w:val="24"/>
                <w:color w:val="auto"/>
              </w:rPr>
            </w:pPr>
          </w:p>
        </w:tc>
      </w:tr>
    </w:tbl>
    <w:p>
      <w:pPr>
        <w:sectPr>
          <w:pgSz w:w="11900" w:h="16838" w:orient="portrait"/>
          <w:cols w:equalWidth="0" w:num="1">
            <w:col w:w="11260"/>
          </w:cols>
          <w:pgMar w:left="320" w:top="312" w:right="319" w:bottom="1440" w:gutter="0" w:footer="0" w:header="0"/>
        </w:sectPr>
      </w:pPr>
    </w:p>
    <w:bookmarkStart w:id="83" w:name="page84"/>
    <w:bookmarkEnd w:id="83"/>
    <w:p>
      <w:pPr>
        <w:jc w:val="right"/>
        <w:spacing w:after="0"/>
        <w:rPr>
          <w:sz w:val="20"/>
          <w:szCs w:val="20"/>
          <w:color w:val="auto"/>
        </w:rPr>
      </w:pPr>
      <w:r>
        <w:rPr>
          <w:rFonts w:ascii="Arial" w:cs="Arial" w:eastAsia="Arial" w:hAnsi="Arial"/>
          <w:sz w:val="19"/>
          <w:szCs w:val="19"/>
          <w:b w:val="1"/>
          <w:bCs w:val="1"/>
          <w:color w:val="auto"/>
        </w:rPr>
        <w:t>Exhibit 3.1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CERTIFICATE OF INCORPORATION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ATHIRA PHARMA,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Delaware corporation</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Athira Pharma, Inc., a corporation organized and existing under the laws of the State of Delaware (the “</w:t>
      </w:r>
      <w:r>
        <w:rPr>
          <w:rFonts w:ascii="Arial" w:cs="Arial" w:eastAsia="Arial" w:hAnsi="Arial"/>
          <w:sz w:val="16"/>
          <w:szCs w:val="16"/>
          <w:b w:val="1"/>
          <w:bCs w:val="1"/>
          <w:color w:val="auto"/>
        </w:rPr>
        <w:t>Company</w:t>
      </w:r>
      <w:r>
        <w:rPr>
          <w:rFonts w:ascii="Arial" w:cs="Arial" w:eastAsia="Arial" w:hAnsi="Arial"/>
          <w:sz w:val="16"/>
          <w:szCs w:val="16"/>
          <w:color w:val="auto"/>
        </w:rPr>
        <w:t>”), does hereby certify as follows:</w:t>
      </w:r>
    </w:p>
    <w:p>
      <w:pPr>
        <w:spacing w:after="0" w:line="211" w:lineRule="exact"/>
        <w:rPr>
          <w:sz w:val="20"/>
          <w:szCs w:val="20"/>
          <w:color w:val="auto"/>
        </w:rPr>
      </w:pPr>
    </w:p>
    <w:p>
      <w:pPr>
        <w:ind w:right="200" w:firstLine="860"/>
        <w:spacing w:after="0" w:line="276" w:lineRule="auto"/>
        <w:tabs>
          <w:tab w:leader="none" w:pos="1599"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was originally incorporated under the name of M3 Biotechnology, Inc., and the original Certificate of Incorporation of the Company was filed with the Secretary of State of the State of Delaware on October 27, 2015.</w:t>
      </w:r>
    </w:p>
    <w:p>
      <w:pPr>
        <w:spacing w:after="0" w:line="139" w:lineRule="exact"/>
        <w:rPr>
          <w:rFonts w:ascii="Arial" w:cs="Arial" w:eastAsia="Arial" w:hAnsi="Arial"/>
          <w:sz w:val="17"/>
          <w:szCs w:val="17"/>
          <w:color w:val="auto"/>
        </w:rPr>
      </w:pPr>
    </w:p>
    <w:p>
      <w:pPr>
        <w:jc w:val="both"/>
        <w:ind w:firstLine="860"/>
        <w:spacing w:after="0" w:line="261" w:lineRule="auto"/>
        <w:tabs>
          <w:tab w:leader="none" w:pos="159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This Amended and Restated Certificate of Incorporation was duly adopted in accordance with Sections 242 and 245 of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by the Board of Directors of the Company (the “</w:t>
      </w:r>
      <w:r>
        <w:rPr>
          <w:rFonts w:ascii="Arial" w:cs="Arial" w:eastAsia="Arial" w:hAnsi="Arial"/>
          <w:sz w:val="17"/>
          <w:szCs w:val="17"/>
          <w:b w:val="1"/>
          <w:bCs w:val="1"/>
          <w:color w:val="auto"/>
        </w:rPr>
        <w:t>Board of Directors</w:t>
      </w:r>
      <w:r>
        <w:rPr>
          <w:rFonts w:ascii="Arial" w:cs="Arial" w:eastAsia="Arial" w:hAnsi="Arial"/>
          <w:sz w:val="17"/>
          <w:szCs w:val="17"/>
          <w:color w:val="auto"/>
        </w:rPr>
        <w:t>”) and has been duly approved by the written consent of the stockholders of the Company in accordance with Section 228 of the DGCL.</w:t>
      </w:r>
    </w:p>
    <w:p>
      <w:pPr>
        <w:spacing w:after="0" w:line="152" w:lineRule="exact"/>
        <w:rPr>
          <w:rFonts w:ascii="Arial" w:cs="Arial" w:eastAsia="Arial" w:hAnsi="Arial"/>
          <w:sz w:val="17"/>
          <w:szCs w:val="17"/>
          <w:color w:val="auto"/>
        </w:rPr>
      </w:pPr>
    </w:p>
    <w:p>
      <w:pPr>
        <w:ind w:left="1580" w:hanging="720"/>
        <w:spacing w:after="0"/>
        <w:tabs>
          <w:tab w:leader="none" w:pos="1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text of the Amended and Restated Certificate of Incorporation is hereby amended and restated in its entirety to read as follows:</w:t>
      </w:r>
    </w:p>
    <w:p>
      <w:pPr>
        <w:spacing w:after="0" w:line="199" w:lineRule="exact"/>
        <w:rPr>
          <w:rFonts w:ascii="Arial" w:cs="Arial" w:eastAsia="Arial" w:hAnsi="Arial"/>
          <w:sz w:val="16"/>
          <w:szCs w:val="16"/>
          <w:color w:val="auto"/>
        </w:rPr>
      </w:pPr>
    </w:p>
    <w:p>
      <w:pPr>
        <w:ind w:left="5180"/>
        <w:spacing w:after="0"/>
        <w:rPr>
          <w:rFonts w:ascii="Arial" w:cs="Arial" w:eastAsia="Arial" w:hAnsi="Arial"/>
          <w:sz w:val="16"/>
          <w:szCs w:val="16"/>
          <w:color w:val="auto"/>
        </w:rPr>
      </w:pPr>
      <w:r>
        <w:rPr>
          <w:rFonts w:ascii="Arial" w:cs="Arial" w:eastAsia="Arial" w:hAnsi="Arial"/>
          <w:sz w:val="17"/>
          <w:szCs w:val="17"/>
          <w:b w:val="1"/>
          <w:bCs w:val="1"/>
          <w:color w:val="auto"/>
        </w:rPr>
        <w:t>ARTICLE I</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name of the Company is Athira Pharma,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00" w:lineRule="exact"/>
        <w:rPr>
          <w:sz w:val="20"/>
          <w:szCs w:val="20"/>
          <w:color w:val="auto"/>
        </w:rPr>
      </w:pPr>
    </w:p>
    <w:p>
      <w:pPr>
        <w:jc w:val="both"/>
        <w:ind w:firstLine="866"/>
        <w:spacing w:after="0" w:line="276" w:lineRule="auto"/>
        <w:rPr>
          <w:sz w:val="20"/>
          <w:szCs w:val="20"/>
          <w:color w:val="auto"/>
        </w:rPr>
      </w:pPr>
      <w:r>
        <w:rPr>
          <w:rFonts w:ascii="Arial" w:cs="Arial" w:eastAsia="Arial" w:hAnsi="Arial"/>
          <w:sz w:val="17"/>
          <w:szCs w:val="17"/>
          <w:color w:val="auto"/>
        </w:rPr>
        <w:t>The address of the Company’s registered office in the State of Delaware is 251 Little Falls Drive, Wilmington, County of New Castle, Delaware 19808. The name of its registered agent at such address is Corporation Service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00" w:lineRule="exact"/>
        <w:rPr>
          <w:sz w:val="20"/>
          <w:szCs w:val="20"/>
          <w:color w:val="auto"/>
        </w:rPr>
      </w:pPr>
    </w:p>
    <w:p>
      <w:pPr>
        <w:jc w:val="both"/>
        <w:ind w:firstLine="866"/>
        <w:spacing w:after="0" w:line="276" w:lineRule="auto"/>
        <w:rPr>
          <w:sz w:val="20"/>
          <w:szCs w:val="20"/>
          <w:color w:val="auto"/>
        </w:rPr>
      </w:pPr>
      <w:r>
        <w:rPr>
          <w:rFonts w:ascii="Arial" w:cs="Arial" w:eastAsia="Arial" w:hAnsi="Arial"/>
          <w:sz w:val="17"/>
          <w:szCs w:val="17"/>
          <w:color w:val="auto"/>
        </w:rPr>
        <w:t>The nature of the business or purposes to be conducted or promoted by the Company is to engage in any lawful act or activity for which corporations may be organized under the DGCL.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00" w:lineRule="exact"/>
        <w:rPr>
          <w:sz w:val="20"/>
          <w:szCs w:val="20"/>
          <w:color w:val="auto"/>
        </w:rPr>
      </w:pPr>
    </w:p>
    <w:p>
      <w:pPr>
        <w:jc w:val="both"/>
        <w:ind w:firstLine="866"/>
        <w:spacing w:after="0" w:line="261" w:lineRule="auto"/>
        <w:rPr>
          <w:sz w:val="20"/>
          <w:szCs w:val="20"/>
          <w:color w:val="auto"/>
        </w:rPr>
      </w:pPr>
      <w:r>
        <w:rPr>
          <w:rFonts w:ascii="Arial" w:cs="Arial" w:eastAsia="Arial" w:hAnsi="Arial"/>
          <w:sz w:val="17"/>
          <w:szCs w:val="17"/>
          <w:color w:val="auto"/>
        </w:rPr>
        <w:t>Section 1. This Company is authorized to issue two classes of stock, to be designated, respectively, Common Stock and Preferred Stock. The total number of shares of stock that the Company shall have authority to issue is 1,000,000,000 shares, of which 900,000,000 shares are Common Stock, $0.0001 par value per share, and 100,000,000 shares are Preferred Stock, $0.0001 par value per share.</w:t>
      </w:r>
    </w:p>
    <w:p>
      <w:pPr>
        <w:spacing w:after="0" w:line="152" w:lineRule="exact"/>
        <w:rPr>
          <w:sz w:val="20"/>
          <w:szCs w:val="20"/>
          <w:color w:val="auto"/>
        </w:rPr>
      </w:pPr>
    </w:p>
    <w:p>
      <w:pPr>
        <w:jc w:val="both"/>
        <w:ind w:right="20" w:firstLine="866"/>
        <w:spacing w:after="0" w:line="276" w:lineRule="auto"/>
        <w:rPr>
          <w:sz w:val="20"/>
          <w:szCs w:val="20"/>
          <w:color w:val="auto"/>
        </w:rPr>
      </w:pPr>
      <w:r>
        <w:rPr>
          <w:rFonts w:ascii="Arial" w:cs="Arial" w:eastAsia="Arial" w:hAnsi="Arial"/>
          <w:sz w:val="17"/>
          <w:szCs w:val="17"/>
          <w:color w:val="auto"/>
        </w:rPr>
        <w:t>Section 2. Each share of Common Stock outstanding as of the applicable record date shall entitle the holder thereof to one (1) vote on any matter submitted to a vote at a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16470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4" w:name="page85"/>
    <w:bookmarkEnd w:id="84"/>
    <w:p>
      <w:pPr>
        <w:jc w:val="both"/>
        <w:ind w:firstLine="866"/>
        <w:spacing w:after="0" w:line="265" w:lineRule="auto"/>
        <w:rPr>
          <w:sz w:val="20"/>
          <w:szCs w:val="20"/>
          <w:color w:val="auto"/>
        </w:rPr>
      </w:pPr>
      <w:r>
        <w:rPr>
          <w:rFonts w:ascii="Arial" w:cs="Arial" w:eastAsia="Arial" w:hAnsi="Arial"/>
          <w:sz w:val="16"/>
          <w:szCs w:val="16"/>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56" w:lineRule="exact"/>
        <w:rPr>
          <w:sz w:val="20"/>
          <w:szCs w:val="20"/>
          <w:color w:val="auto"/>
        </w:rPr>
      </w:pPr>
    </w:p>
    <w:p>
      <w:pPr>
        <w:jc w:val="both"/>
        <w:ind w:right="20" w:firstLine="866"/>
        <w:spacing w:after="0" w:line="273" w:lineRule="auto"/>
        <w:rPr>
          <w:sz w:val="20"/>
          <w:szCs w:val="20"/>
          <w:color w:val="auto"/>
        </w:rPr>
      </w:pPr>
      <w:r>
        <w:rPr>
          <w:rFonts w:ascii="Arial" w:cs="Arial" w:eastAsia="Arial" w:hAnsi="Arial"/>
          <w:sz w:val="16"/>
          <w:szCs w:val="16"/>
          <w:color w:val="auto"/>
        </w:rPr>
        <w:t>Section 4. 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144" w:lineRule="exact"/>
        <w:rPr>
          <w:sz w:val="20"/>
          <w:szCs w:val="20"/>
          <w:color w:val="auto"/>
        </w:rPr>
      </w:pPr>
    </w:p>
    <w:p>
      <w:pPr>
        <w:jc w:val="both"/>
        <w:ind w:firstLine="866"/>
        <w:spacing w:after="0" w:line="253" w:lineRule="auto"/>
        <w:rPr>
          <w:sz w:val="20"/>
          <w:szCs w:val="20"/>
          <w:color w:val="auto"/>
        </w:rPr>
      </w:pPr>
      <w:r>
        <w:rPr>
          <w:rFonts w:ascii="Arial" w:cs="Arial" w:eastAsia="Arial" w:hAnsi="Arial"/>
          <w:sz w:val="17"/>
          <w:szCs w:val="17"/>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00" w:lineRule="exact"/>
        <w:rPr>
          <w:sz w:val="20"/>
          <w:szCs w:val="20"/>
          <w:color w:val="auto"/>
        </w:rPr>
      </w:pPr>
    </w:p>
    <w:p>
      <w:pPr>
        <w:jc w:val="both"/>
        <w:ind w:firstLine="866"/>
        <w:spacing w:after="0" w:line="251" w:lineRule="auto"/>
        <w:rPr>
          <w:sz w:val="20"/>
          <w:szCs w:val="20"/>
          <w:color w:val="auto"/>
        </w:rPr>
      </w:pPr>
      <w:r>
        <w:rPr>
          <w:rFonts w:ascii="Arial" w:cs="Arial" w:eastAsia="Arial" w:hAnsi="Arial"/>
          <w:sz w:val="17"/>
          <w:szCs w:val="17"/>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Amended and Restated Certificate of Incorporation, the term “</w:t>
      </w:r>
      <w:r>
        <w:rPr>
          <w:rFonts w:ascii="Arial" w:cs="Arial" w:eastAsia="Arial" w:hAnsi="Arial"/>
          <w:sz w:val="17"/>
          <w:szCs w:val="17"/>
          <w:b w:val="1"/>
          <w:bCs w:val="1"/>
          <w:color w:val="auto"/>
        </w:rPr>
        <w:t>Whole Board</w:t>
      </w:r>
      <w:r>
        <w:rPr>
          <w:rFonts w:ascii="Arial" w:cs="Arial" w:eastAsia="Arial" w:hAnsi="Arial"/>
          <w:sz w:val="17"/>
          <w:szCs w:val="17"/>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85" w:name="page86"/>
    <w:bookmarkEnd w:id="85"/>
    <w:p>
      <w:pPr>
        <w:jc w:val="both"/>
        <w:ind w:firstLine="866"/>
        <w:spacing w:after="0" w:line="266" w:lineRule="auto"/>
        <w:rPr>
          <w:sz w:val="20"/>
          <w:szCs w:val="20"/>
          <w:color w:val="auto"/>
        </w:rPr>
      </w:pPr>
      <w:r>
        <w:rPr>
          <w:rFonts w:ascii="Arial" w:cs="Arial" w:eastAsia="Arial" w:hAnsi="Arial"/>
          <w:sz w:val="16"/>
          <w:szCs w:val="16"/>
          <w:color w:val="auto"/>
        </w:rPr>
        <w:t xml:space="preserve">Section 2. From and after the effectiveness of this Amended and Restated Certificate of Incorporation,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decrease in the number of directors constituting the Board of Directors shall shorten the term of any incumbent director.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00" w:lineRule="exact"/>
        <w:rPr>
          <w:sz w:val="20"/>
          <w:szCs w:val="20"/>
          <w:color w:val="auto"/>
        </w:rPr>
      </w:pPr>
    </w:p>
    <w:p>
      <w:pPr>
        <w:jc w:val="both"/>
        <w:ind w:firstLine="866"/>
        <w:spacing w:after="0" w:line="256" w:lineRule="auto"/>
        <w:rPr>
          <w:sz w:val="20"/>
          <w:szCs w:val="20"/>
          <w:color w:val="auto"/>
        </w:rPr>
      </w:pPr>
      <w:r>
        <w:rPr>
          <w:rFonts w:ascii="Arial" w:cs="Arial" w:eastAsia="Arial" w:hAnsi="Arial"/>
          <w:sz w:val="17"/>
          <w:szCs w:val="17"/>
          <w:color w:val="auto"/>
        </w:rPr>
        <w:t>Section 1. 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66 2/3% of the voting power of the issued and outstanding capital stock of the Company entitled to vote in the election of directors.</w:t>
      </w:r>
    </w:p>
    <w:p>
      <w:pPr>
        <w:spacing w:after="0" w:line="156" w:lineRule="exact"/>
        <w:rPr>
          <w:sz w:val="20"/>
          <w:szCs w:val="20"/>
          <w:color w:val="auto"/>
        </w:rPr>
      </w:pPr>
    </w:p>
    <w:p>
      <w:pPr>
        <w:jc w:val="both"/>
        <w:ind w:firstLine="866"/>
        <w:spacing w:after="0" w:line="268" w:lineRule="auto"/>
        <w:rPr>
          <w:sz w:val="20"/>
          <w:szCs w:val="20"/>
          <w:color w:val="auto"/>
        </w:rPr>
      </w:pPr>
      <w:r>
        <w:rPr>
          <w:rFonts w:ascii="Arial" w:cs="Arial" w:eastAsia="Arial" w:hAnsi="Arial"/>
          <w:sz w:val="16"/>
          <w:szCs w:val="16"/>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ARTICLE VII</w:t>
      </w:r>
    </w:p>
    <w:p>
      <w:pPr>
        <w:spacing w:after="0" w:line="200" w:lineRule="exact"/>
        <w:rPr>
          <w:sz w:val="20"/>
          <w:szCs w:val="20"/>
          <w:color w:val="auto"/>
        </w:rPr>
      </w:pPr>
    </w:p>
    <w:p>
      <w:pPr>
        <w:ind w:left="860"/>
        <w:spacing w:after="0"/>
        <w:tabs>
          <w:tab w:leader="none" w:pos="210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5"/>
          <w:szCs w:val="15"/>
          <w:color w:val="auto"/>
        </w:rPr>
        <w:t>The Company is to have perpetual existence.</w:t>
      </w:r>
    </w:p>
    <w:p>
      <w:pPr>
        <w:spacing w:after="0" w:line="194" w:lineRule="exact"/>
        <w:rPr>
          <w:sz w:val="20"/>
          <w:szCs w:val="20"/>
          <w:color w:val="auto"/>
        </w:rPr>
      </w:pPr>
    </w:p>
    <w:p>
      <w:pPr>
        <w:jc w:val="both"/>
        <w:ind w:firstLine="866"/>
        <w:spacing w:after="0" w:line="284" w:lineRule="auto"/>
        <w:rPr>
          <w:sz w:val="20"/>
          <w:szCs w:val="20"/>
          <w:color w:val="auto"/>
        </w:rPr>
      </w:pPr>
      <w:r>
        <w:rPr>
          <w:rFonts w:ascii="Arial" w:cs="Arial" w:eastAsia="Arial" w:hAnsi="Arial"/>
          <w:sz w:val="16"/>
          <w:szCs w:val="16"/>
          <w:color w:val="auto"/>
        </w:rPr>
        <w:t>Section 2. The business and affairs of the Company shall be managed by or under the direction of the Board of Directors. In addition to the powers and authority expressly conferred upon them by statute or by this Amended and Restated Certificate of Incorporation or the Bylaws of the Company, the directors are hereby empowered to exercise all such powers and do all such acts and things as may be exercised or done by the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86" w:name="page87"/>
    <w:bookmarkEnd w:id="86"/>
    <w:p>
      <w:pPr>
        <w:jc w:val="both"/>
        <w:ind w:firstLine="866"/>
        <w:spacing w:after="0" w:line="288" w:lineRule="auto"/>
        <w:rPr>
          <w:sz w:val="20"/>
          <w:szCs w:val="20"/>
          <w:color w:val="auto"/>
        </w:rPr>
      </w:pPr>
      <w:r>
        <w:rPr>
          <w:rFonts w:ascii="Arial" w:cs="Arial" w:eastAsia="Arial" w:hAnsi="Arial"/>
          <w:sz w:val="15"/>
          <w:szCs w:val="15"/>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provided that the affirmative vote of the holders of at least 66 2/3% of the total voting power of outstanding voting securities, voting together as a single class, shall be required for the stockholders of the Company to alter, amend or repeal, or adopt any bylaw inconsistent with, Article II, Sections 3.1, 3.2, 3.4 and 3.11 of Article III, Article VIII, Section 9.5 of Article IX or Article X of the Bylaws (including, without limitation, any such Article or Section as renumbered as a result of any amendment, alteration, change, repeal, or adoption of any other Bylaw). No Bylaw hereafter legally adopted, amended, altered or repealed shall invalidate any prior act of the directors or officers of the Company that would have been valid if such Bylaw had not been adopted, amended, altered or repealed.</w:t>
      </w:r>
    </w:p>
    <w:p>
      <w:pPr>
        <w:spacing w:after="0" w:line="136" w:lineRule="exact"/>
        <w:rPr>
          <w:sz w:val="20"/>
          <w:szCs w:val="20"/>
          <w:color w:val="auto"/>
        </w:rPr>
      </w:pPr>
    </w:p>
    <w:p>
      <w:pPr>
        <w:ind w:left="860"/>
        <w:spacing w:after="0"/>
        <w:tabs>
          <w:tab w:leader="none" w:pos="210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5"/>
          <w:szCs w:val="15"/>
          <w:color w:val="auto"/>
        </w:rPr>
        <w:t>The election of directors need not be by written ballot unless the Bylaws of the Company shall so provide.</w:t>
      </w:r>
    </w:p>
    <w:p>
      <w:pPr>
        <w:spacing w:after="0" w:line="194" w:lineRule="exact"/>
        <w:rPr>
          <w:sz w:val="20"/>
          <w:szCs w:val="20"/>
          <w:color w:val="auto"/>
        </w:rPr>
      </w:pPr>
    </w:p>
    <w:p>
      <w:pPr>
        <w:ind w:left="860"/>
        <w:spacing w:after="0"/>
        <w:tabs>
          <w:tab w:leader="none" w:pos="210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5"/>
          <w:szCs w:val="15"/>
          <w:color w:val="auto"/>
        </w:rPr>
        <w:t>No stockholder will be permitted to cumulate votes at any election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00" w:lineRule="exact"/>
        <w:rPr>
          <w:sz w:val="20"/>
          <w:szCs w:val="20"/>
          <w:color w:val="auto"/>
        </w:rPr>
      </w:pPr>
    </w:p>
    <w:p>
      <w:pPr>
        <w:jc w:val="both"/>
        <w:ind w:right="20" w:firstLine="866"/>
        <w:spacing w:after="0" w:line="256" w:lineRule="auto"/>
        <w:rPr>
          <w:sz w:val="20"/>
          <w:szCs w:val="20"/>
          <w:color w:val="auto"/>
        </w:rPr>
      </w:pPr>
      <w:r>
        <w:rPr>
          <w:rFonts w:ascii="Arial" w:cs="Arial" w:eastAsia="Arial" w:hAnsi="Arial"/>
          <w:sz w:val="17"/>
          <w:szCs w:val="17"/>
          <w:color w:val="auto"/>
        </w:rPr>
        <w:t>Section 1. From and after the closing of a firm commitment underwritten initial public offering of securities of the Company pursuant to an effective registration statement filed under the Securities Act of 1933, as amended,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56" w:lineRule="exact"/>
        <w:rPr>
          <w:sz w:val="20"/>
          <w:szCs w:val="20"/>
          <w:color w:val="auto"/>
        </w:rPr>
      </w:pPr>
    </w:p>
    <w:p>
      <w:pPr>
        <w:jc w:val="both"/>
        <w:ind w:firstLine="866"/>
        <w:spacing w:after="0" w:line="300" w:lineRule="auto"/>
        <w:rPr>
          <w:sz w:val="20"/>
          <w:szCs w:val="20"/>
          <w:color w:val="auto"/>
        </w:rPr>
      </w:pPr>
      <w:r>
        <w:rPr>
          <w:rFonts w:ascii="Arial" w:cs="Arial" w:eastAsia="Arial" w:hAnsi="Arial"/>
          <w:sz w:val="15"/>
          <w:szCs w:val="15"/>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28" w:lineRule="exact"/>
        <w:rPr>
          <w:sz w:val="20"/>
          <w:szCs w:val="20"/>
          <w:color w:val="auto"/>
        </w:rPr>
      </w:pPr>
    </w:p>
    <w:p>
      <w:pPr>
        <w:jc w:val="both"/>
        <w:ind w:right="20" w:firstLine="866"/>
        <w:spacing w:after="0" w:line="276" w:lineRule="auto"/>
        <w:rPr>
          <w:sz w:val="20"/>
          <w:szCs w:val="20"/>
          <w:color w:val="auto"/>
        </w:rPr>
      </w:pPr>
      <w:r>
        <w:rPr>
          <w:rFonts w:ascii="Arial" w:cs="Arial" w:eastAsia="Arial" w:hAnsi="Arial"/>
          <w:sz w:val="17"/>
          <w:szCs w:val="17"/>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00" w:lineRule="exact"/>
        <w:rPr>
          <w:sz w:val="20"/>
          <w:szCs w:val="20"/>
          <w:color w:val="auto"/>
        </w:rPr>
      </w:pPr>
    </w:p>
    <w:p>
      <w:pPr>
        <w:jc w:val="both"/>
        <w:ind w:firstLine="866"/>
        <w:spacing w:after="0" w:line="256" w:lineRule="auto"/>
        <w:rPr>
          <w:sz w:val="20"/>
          <w:szCs w:val="20"/>
          <w:color w:val="auto"/>
        </w:rPr>
      </w:pPr>
      <w:r>
        <w:rPr>
          <w:rFonts w:ascii="Arial" w:cs="Arial" w:eastAsia="Arial" w:hAnsi="Arial"/>
          <w:sz w:val="17"/>
          <w:szCs w:val="17"/>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87" w:name="page88"/>
    <w:bookmarkEnd w:id="87"/>
    <w:p>
      <w:pPr>
        <w:jc w:val="both"/>
        <w:ind w:firstLine="866"/>
        <w:spacing w:after="0" w:line="250" w:lineRule="auto"/>
        <w:rPr>
          <w:sz w:val="20"/>
          <w:szCs w:val="20"/>
          <w:color w:val="auto"/>
        </w:rPr>
      </w:pPr>
      <w:r>
        <w:rPr>
          <w:rFonts w:ascii="Arial" w:cs="Arial" w:eastAsia="Arial" w:hAnsi="Arial"/>
          <w:sz w:val="17"/>
          <w:szCs w:val="17"/>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63" w:lineRule="exact"/>
        <w:rPr>
          <w:sz w:val="20"/>
          <w:szCs w:val="20"/>
          <w:color w:val="auto"/>
        </w:rPr>
      </w:pPr>
    </w:p>
    <w:p>
      <w:pPr>
        <w:jc w:val="both"/>
        <w:ind w:firstLine="866"/>
        <w:spacing w:after="0" w:line="273" w:lineRule="auto"/>
        <w:rPr>
          <w:sz w:val="20"/>
          <w:szCs w:val="20"/>
          <w:color w:val="auto"/>
        </w:rPr>
      </w:pPr>
      <w:r>
        <w:rPr>
          <w:rFonts w:ascii="Arial" w:cs="Arial" w:eastAsia="Arial" w:hAnsi="Arial"/>
          <w:sz w:val="16"/>
          <w:szCs w:val="16"/>
          <w:color w:val="auto"/>
        </w:rPr>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44" w:lineRule="exact"/>
        <w:rPr>
          <w:sz w:val="20"/>
          <w:szCs w:val="20"/>
          <w:color w:val="auto"/>
        </w:rPr>
      </w:pPr>
    </w:p>
    <w:p>
      <w:pPr>
        <w:jc w:val="both"/>
        <w:ind w:right="20" w:firstLine="866"/>
        <w:spacing w:after="0" w:line="256" w:lineRule="auto"/>
        <w:rPr>
          <w:sz w:val="20"/>
          <w:szCs w:val="20"/>
          <w:color w:val="auto"/>
        </w:rPr>
      </w:pPr>
      <w:r>
        <w:rPr>
          <w:rFonts w:ascii="Arial" w:cs="Arial" w:eastAsia="Arial" w:hAnsi="Arial"/>
          <w:sz w:val="17"/>
          <w:szCs w:val="17"/>
          <w:color w:val="auto"/>
        </w:rPr>
        <w:t>Section 4. Neither any amendment nor repeal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200" w:lineRule="exact"/>
        <w:rPr>
          <w:sz w:val="20"/>
          <w:szCs w:val="20"/>
          <w:color w:val="auto"/>
        </w:rPr>
      </w:pPr>
    </w:p>
    <w:p>
      <w:pPr>
        <w:jc w:val="both"/>
        <w:ind w:right="20" w:firstLine="866"/>
        <w:spacing w:after="0" w:line="261" w:lineRule="auto"/>
        <w:rPr>
          <w:sz w:val="20"/>
          <w:szCs w:val="20"/>
          <w:color w:val="auto"/>
        </w:rPr>
      </w:pPr>
      <w:r>
        <w:rPr>
          <w:rFonts w:ascii="Arial" w:cs="Arial" w:eastAsia="Arial" w:hAnsi="Arial"/>
          <w:sz w:val="17"/>
          <w:szCs w:val="17"/>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00" w:lineRule="exact"/>
        <w:rPr>
          <w:sz w:val="20"/>
          <w:szCs w:val="20"/>
          <w:color w:val="auto"/>
        </w:rPr>
      </w:pPr>
    </w:p>
    <w:p>
      <w:pPr>
        <w:jc w:val="both"/>
        <w:ind w:firstLine="866"/>
        <w:spacing w:after="0" w:line="269" w:lineRule="auto"/>
        <w:rPr>
          <w:sz w:val="20"/>
          <w:szCs w:val="20"/>
          <w:color w:val="auto"/>
        </w:rPr>
      </w:pPr>
      <w:r>
        <w:rPr>
          <w:rFonts w:ascii="Arial" w:cs="Arial" w:eastAsia="Arial" w:hAnsi="Arial"/>
          <w:sz w:val="16"/>
          <w:szCs w:val="16"/>
          <w:color w:val="auto"/>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other provision of this Amended and Restated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88" w:name="page89"/>
    <w:bookmarkEnd w:id="88"/>
    <w:p>
      <w:pPr>
        <w:ind w:firstLine="866"/>
        <w:spacing w:after="0" w:line="276" w:lineRule="auto"/>
        <w:rPr>
          <w:sz w:val="20"/>
          <w:szCs w:val="20"/>
          <w:color w:val="auto"/>
        </w:rPr>
      </w:pPr>
      <w:r>
        <w:rPr>
          <w:rFonts w:ascii="Arial" w:cs="Arial" w:eastAsia="Arial" w:hAnsi="Arial"/>
          <w:sz w:val="17"/>
          <w:szCs w:val="17"/>
          <w:color w:val="auto"/>
        </w:rPr>
        <w:t>IN WITNESS WHEREOF, Athira Pharma, Inc. has caused this Amended and Restated Certificate of Incorporation to be signed by the President and Chief Executive Officer of the Company on this 22nd day of September 2020.</w:t>
      </w:r>
    </w:p>
    <w:p>
      <w:pPr>
        <w:spacing w:after="0" w:line="200" w:lineRule="exact"/>
        <w:rPr>
          <w:sz w:val="20"/>
          <w:szCs w:val="20"/>
          <w:color w:val="auto"/>
        </w:rPr>
      </w:pPr>
    </w:p>
    <w:p>
      <w:pPr>
        <w:spacing w:after="0" w:line="31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12700</wp:posOffset>
            </wp:positionV>
            <wp:extent cx="333883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3338830" cy="7620"/>
                    </a:xfrm>
                    <a:prstGeom prst="rect">
                      <a:avLst/>
                    </a:prstGeom>
                    <a:noFill/>
                  </pic:spPr>
                </pic:pic>
              </a:graphicData>
            </a:graphic>
          </wp:anchor>
        </w:drawing>
      </w:r>
    </w:p>
    <w:p>
      <w:pPr>
        <w:spacing w:after="0" w:line="18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Leen Kawas</w:t>
      </w:r>
    </w:p>
    <w:p>
      <w:pPr>
        <w:spacing w:after="0" w:line="194"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President and Chief Executive Officer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320" w:top="313" w:right="31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3.2</w:t>
      </w:r>
    </w:p>
    <w:p>
      <w:pPr>
        <w:spacing w:after="0" w:line="381" w:lineRule="exact"/>
        <w:rPr>
          <w:sz w:val="20"/>
          <w:szCs w:val="20"/>
          <w:color w:val="auto"/>
        </w:rPr>
      </w:pPr>
    </w:p>
    <w:p>
      <w:pPr>
        <w:jc w:val="center"/>
        <w:ind w:right="1140"/>
        <w:spacing w:after="0"/>
        <w:rPr>
          <w:sz w:val="20"/>
          <w:szCs w:val="20"/>
          <w:color w:val="auto"/>
        </w:rPr>
      </w:pPr>
      <w:r>
        <w:rPr>
          <w:rFonts w:ascii="Arial" w:cs="Arial" w:eastAsia="Arial" w:hAnsi="Arial"/>
          <w:sz w:val="17"/>
          <w:szCs w:val="17"/>
          <w:b w:val="1"/>
          <w:bCs w:val="1"/>
          <w:color w:val="auto"/>
        </w:rPr>
        <w:t>AMENDED AND RESTATED BYLAWS OF</w:t>
      </w:r>
    </w:p>
    <w:p>
      <w:pPr>
        <w:spacing w:after="0" w:line="194" w:lineRule="exact"/>
        <w:rPr>
          <w:sz w:val="20"/>
          <w:szCs w:val="20"/>
          <w:color w:val="auto"/>
        </w:rPr>
      </w:pPr>
    </w:p>
    <w:p>
      <w:pPr>
        <w:jc w:val="center"/>
        <w:ind w:right="1140"/>
        <w:spacing w:after="0"/>
        <w:rPr>
          <w:sz w:val="20"/>
          <w:szCs w:val="20"/>
          <w:color w:val="auto"/>
        </w:rPr>
      </w:pPr>
      <w:r>
        <w:rPr>
          <w:rFonts w:ascii="Arial" w:cs="Arial" w:eastAsia="Arial" w:hAnsi="Arial"/>
          <w:sz w:val="17"/>
          <w:szCs w:val="17"/>
          <w:b w:val="1"/>
          <w:bCs w:val="1"/>
          <w:color w:val="auto"/>
        </w:rPr>
        <w:t>ATHIRA PHARMA, INC.</w:t>
      </w:r>
    </w:p>
    <w:p>
      <w:pPr>
        <w:spacing w:after="0" w:line="200" w:lineRule="exact"/>
        <w:rPr>
          <w:sz w:val="20"/>
          <w:szCs w:val="20"/>
          <w:color w:val="auto"/>
        </w:rPr>
      </w:pPr>
    </w:p>
    <w:p>
      <w:pPr>
        <w:jc w:val="center"/>
        <w:ind w:right="1140"/>
        <w:spacing w:after="0"/>
        <w:rPr>
          <w:sz w:val="20"/>
          <w:szCs w:val="20"/>
          <w:color w:val="auto"/>
        </w:rPr>
      </w:pPr>
      <w:r>
        <w:rPr>
          <w:rFonts w:ascii="Arial" w:cs="Arial" w:eastAsia="Arial" w:hAnsi="Arial"/>
          <w:sz w:val="17"/>
          <w:szCs w:val="17"/>
          <w:color w:val="auto"/>
        </w:rPr>
        <w:t>(initially adopted on October 27, 2015)</w:t>
      </w:r>
    </w:p>
    <w:p>
      <w:pPr>
        <w:spacing w:after="0" w:line="194"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(as amended on September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431800</wp:posOffset>
            </wp:positionV>
            <wp:extent cx="716470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140"/>
          </w:cols>
          <w:pgMar w:left="1440" w:top="120"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6"/>
        </w:trPr>
        <w:tc>
          <w:tcPr>
            <w:tcW w:w="2120" w:type="dxa"/>
            <w:vAlign w:val="bottom"/>
          </w:tcPr>
          <w:p>
            <w:pPr>
              <w:spacing w:after="0"/>
              <w:rPr>
                <w:sz w:val="19"/>
                <w:szCs w:val="19"/>
                <w:color w:val="auto"/>
              </w:rPr>
            </w:pPr>
          </w:p>
        </w:tc>
        <w:tc>
          <w:tcPr>
            <w:tcW w:w="7300" w:type="dxa"/>
            <w:vAlign w:val="bottom"/>
          </w:tcPr>
          <w:p>
            <w:pPr>
              <w:ind w:left="2580"/>
              <w:spacing w:after="0"/>
              <w:rPr>
                <w:sz w:val="20"/>
                <w:szCs w:val="20"/>
                <w:color w:val="auto"/>
              </w:rPr>
            </w:pPr>
            <w:r>
              <w:rPr>
                <w:rFonts w:ascii="Arial" w:cs="Arial" w:eastAsia="Arial" w:hAnsi="Arial"/>
                <w:sz w:val="17"/>
                <w:szCs w:val="17"/>
                <w:b w:val="1"/>
                <w:bCs w:val="1"/>
                <w:color w:val="auto"/>
              </w:rPr>
              <w:t>TABLE OF CONTENTS</w:t>
            </w:r>
          </w:p>
        </w:tc>
        <w:tc>
          <w:tcPr>
            <w:tcW w:w="1860" w:type="dxa"/>
            <w:vAlign w:val="bottom"/>
          </w:tcPr>
          <w:p>
            <w:pPr>
              <w:spacing w:after="0"/>
              <w:rPr>
                <w:sz w:val="19"/>
                <w:szCs w:val="19"/>
                <w:color w:val="auto"/>
              </w:rPr>
            </w:pPr>
          </w:p>
        </w:tc>
      </w:tr>
      <w:tr>
        <w:trPr>
          <w:trHeight w:val="389"/>
        </w:trPr>
        <w:tc>
          <w:tcPr>
            <w:tcW w:w="21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7"/>
                <w:szCs w:val="17"/>
                <w:b w:val="1"/>
                <w:bCs w:val="1"/>
                <w:i w:val="1"/>
                <w:iCs w:val="1"/>
                <w:color w:val="auto"/>
              </w:rPr>
              <w:t>Page</w:t>
            </w:r>
          </w:p>
        </w:tc>
      </w:tr>
      <w:tr>
        <w:trPr>
          <w:trHeight w:val="389"/>
        </w:trPr>
        <w:tc>
          <w:tcPr>
            <w:tcW w:w="9420" w:type="dxa"/>
            <w:vAlign w:val="bottom"/>
            <w:gridSpan w:val="2"/>
          </w:tcPr>
          <w:p>
            <w:pPr>
              <w:spacing w:after="0"/>
              <w:rPr>
                <w:sz w:val="20"/>
                <w:szCs w:val="20"/>
                <w:color w:val="auto"/>
              </w:rPr>
            </w:pPr>
            <w:r>
              <w:rPr>
                <w:rFonts w:ascii="Arial" w:cs="Arial" w:eastAsia="Arial" w:hAnsi="Arial"/>
                <w:sz w:val="17"/>
                <w:szCs w:val="17"/>
                <w:color w:val="auto"/>
              </w:rPr>
              <w:t>ARTICLE I - CORPORATE OFFICES</w:t>
            </w:r>
          </w:p>
        </w:tc>
        <w:tc>
          <w:tcPr>
            <w:tcW w:w="18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87"/>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1.1</w:t>
            </w:r>
          </w:p>
        </w:tc>
        <w:tc>
          <w:tcPr>
            <w:tcW w:w="7300" w:type="dxa"/>
            <w:vAlign w:val="bottom"/>
          </w:tcPr>
          <w:p>
            <w:pPr>
              <w:ind w:left="80"/>
              <w:spacing w:after="0"/>
              <w:rPr>
                <w:sz w:val="20"/>
                <w:szCs w:val="20"/>
                <w:color w:val="auto"/>
              </w:rPr>
            </w:pPr>
            <w:r>
              <w:rPr>
                <w:rFonts w:ascii="Arial" w:cs="Arial" w:eastAsia="Arial" w:hAnsi="Arial"/>
                <w:sz w:val="17"/>
                <w:szCs w:val="17"/>
                <w:color w:val="auto"/>
              </w:rPr>
              <w:t>REGISTERED OFFICE</w:t>
            </w:r>
          </w:p>
        </w:tc>
        <w:tc>
          <w:tcPr>
            <w:tcW w:w="18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1.2</w:t>
            </w:r>
          </w:p>
        </w:tc>
        <w:tc>
          <w:tcPr>
            <w:tcW w:w="7300" w:type="dxa"/>
            <w:vAlign w:val="bottom"/>
          </w:tcPr>
          <w:p>
            <w:pPr>
              <w:ind w:left="80"/>
              <w:spacing w:after="0"/>
              <w:rPr>
                <w:sz w:val="20"/>
                <w:szCs w:val="20"/>
                <w:color w:val="auto"/>
              </w:rPr>
            </w:pPr>
            <w:r>
              <w:rPr>
                <w:rFonts w:ascii="Arial" w:cs="Arial" w:eastAsia="Arial" w:hAnsi="Arial"/>
                <w:sz w:val="17"/>
                <w:szCs w:val="17"/>
                <w:color w:val="auto"/>
              </w:rPr>
              <w:t>OTHER OFFICES</w:t>
            </w:r>
          </w:p>
        </w:tc>
        <w:tc>
          <w:tcPr>
            <w:tcW w:w="18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7"/>
        </w:trPr>
        <w:tc>
          <w:tcPr>
            <w:tcW w:w="9420" w:type="dxa"/>
            <w:vAlign w:val="bottom"/>
            <w:gridSpan w:val="2"/>
          </w:tcPr>
          <w:p>
            <w:pPr>
              <w:spacing w:after="0"/>
              <w:rPr>
                <w:sz w:val="20"/>
                <w:szCs w:val="20"/>
                <w:color w:val="auto"/>
              </w:rPr>
            </w:pPr>
            <w:r>
              <w:rPr>
                <w:rFonts w:ascii="Arial" w:cs="Arial" w:eastAsia="Arial" w:hAnsi="Arial"/>
                <w:sz w:val="17"/>
                <w:szCs w:val="17"/>
                <w:color w:val="auto"/>
              </w:rPr>
              <w:t>ARTICLE II - MEETINGS OF STOCKHOLDERS</w:t>
            </w:r>
          </w:p>
        </w:tc>
        <w:tc>
          <w:tcPr>
            <w:tcW w:w="18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87"/>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2.1</w:t>
            </w:r>
          </w:p>
        </w:tc>
        <w:tc>
          <w:tcPr>
            <w:tcW w:w="7300" w:type="dxa"/>
            <w:vAlign w:val="bottom"/>
          </w:tcPr>
          <w:p>
            <w:pPr>
              <w:ind w:left="80"/>
              <w:spacing w:after="0"/>
              <w:rPr>
                <w:sz w:val="20"/>
                <w:szCs w:val="20"/>
                <w:color w:val="auto"/>
              </w:rPr>
            </w:pPr>
            <w:r>
              <w:rPr>
                <w:rFonts w:ascii="Arial" w:cs="Arial" w:eastAsia="Arial" w:hAnsi="Arial"/>
                <w:sz w:val="17"/>
                <w:szCs w:val="17"/>
                <w:color w:val="auto"/>
              </w:rPr>
              <w:t>PLACE OF MEETINGS</w:t>
            </w:r>
          </w:p>
        </w:tc>
        <w:tc>
          <w:tcPr>
            <w:tcW w:w="18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2.2</w:t>
            </w:r>
          </w:p>
        </w:tc>
        <w:tc>
          <w:tcPr>
            <w:tcW w:w="7300" w:type="dxa"/>
            <w:vAlign w:val="bottom"/>
          </w:tcPr>
          <w:p>
            <w:pPr>
              <w:ind w:left="80"/>
              <w:spacing w:after="0"/>
              <w:rPr>
                <w:sz w:val="20"/>
                <w:szCs w:val="20"/>
                <w:color w:val="auto"/>
              </w:rPr>
            </w:pPr>
            <w:r>
              <w:rPr>
                <w:rFonts w:ascii="Arial" w:cs="Arial" w:eastAsia="Arial" w:hAnsi="Arial"/>
                <w:sz w:val="17"/>
                <w:szCs w:val="17"/>
                <w:color w:val="auto"/>
              </w:rPr>
              <w:t>ANNUAL MEETING</w:t>
            </w:r>
          </w:p>
        </w:tc>
        <w:tc>
          <w:tcPr>
            <w:tcW w:w="18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2.3</w:t>
            </w:r>
          </w:p>
        </w:tc>
        <w:tc>
          <w:tcPr>
            <w:tcW w:w="7300" w:type="dxa"/>
            <w:vAlign w:val="bottom"/>
          </w:tcPr>
          <w:p>
            <w:pPr>
              <w:ind w:left="80"/>
              <w:spacing w:after="0"/>
              <w:rPr>
                <w:sz w:val="20"/>
                <w:szCs w:val="20"/>
                <w:color w:val="auto"/>
              </w:rPr>
            </w:pPr>
            <w:r>
              <w:rPr>
                <w:rFonts w:ascii="Arial" w:cs="Arial" w:eastAsia="Arial" w:hAnsi="Arial"/>
                <w:sz w:val="17"/>
                <w:szCs w:val="17"/>
                <w:color w:val="auto"/>
              </w:rPr>
              <w:t>SPECIAL MEETING</w:t>
            </w:r>
          </w:p>
        </w:tc>
        <w:tc>
          <w:tcPr>
            <w:tcW w:w="18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2.4</w:t>
            </w:r>
          </w:p>
        </w:tc>
        <w:tc>
          <w:tcPr>
            <w:tcW w:w="7300" w:type="dxa"/>
            <w:vAlign w:val="bottom"/>
          </w:tcPr>
          <w:p>
            <w:pPr>
              <w:ind w:left="80"/>
              <w:spacing w:after="0"/>
              <w:rPr>
                <w:sz w:val="20"/>
                <w:szCs w:val="20"/>
                <w:color w:val="auto"/>
              </w:rPr>
            </w:pPr>
            <w:r>
              <w:rPr>
                <w:rFonts w:ascii="Arial" w:cs="Arial" w:eastAsia="Arial" w:hAnsi="Arial"/>
                <w:sz w:val="17"/>
                <w:szCs w:val="17"/>
                <w:color w:val="auto"/>
              </w:rPr>
              <w:t>ADVANCE NOTICE PROCEDURES</w:t>
            </w:r>
          </w:p>
        </w:tc>
        <w:tc>
          <w:tcPr>
            <w:tcW w:w="18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2.5</w:t>
            </w:r>
          </w:p>
        </w:tc>
        <w:tc>
          <w:tcPr>
            <w:tcW w:w="7300" w:type="dxa"/>
            <w:vAlign w:val="bottom"/>
          </w:tcPr>
          <w:p>
            <w:pPr>
              <w:ind w:left="80"/>
              <w:spacing w:after="0"/>
              <w:rPr>
                <w:sz w:val="20"/>
                <w:szCs w:val="20"/>
                <w:color w:val="auto"/>
              </w:rPr>
            </w:pPr>
            <w:r>
              <w:rPr>
                <w:rFonts w:ascii="Arial" w:cs="Arial" w:eastAsia="Arial" w:hAnsi="Arial"/>
                <w:sz w:val="17"/>
                <w:szCs w:val="17"/>
                <w:color w:val="auto"/>
              </w:rPr>
              <w:t>NOTICE OF STOCKHOLDERS’ MEETINGS</w:t>
            </w:r>
          </w:p>
        </w:tc>
        <w:tc>
          <w:tcPr>
            <w:tcW w:w="18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2.6</w:t>
            </w:r>
          </w:p>
        </w:tc>
        <w:tc>
          <w:tcPr>
            <w:tcW w:w="7300" w:type="dxa"/>
            <w:vAlign w:val="bottom"/>
          </w:tcPr>
          <w:p>
            <w:pPr>
              <w:ind w:left="80"/>
              <w:spacing w:after="0"/>
              <w:rPr>
                <w:sz w:val="20"/>
                <w:szCs w:val="20"/>
                <w:color w:val="auto"/>
              </w:rPr>
            </w:pPr>
            <w:r>
              <w:rPr>
                <w:rFonts w:ascii="Arial" w:cs="Arial" w:eastAsia="Arial" w:hAnsi="Arial"/>
                <w:sz w:val="17"/>
                <w:szCs w:val="17"/>
                <w:color w:val="auto"/>
              </w:rPr>
              <w:t>QUORUM</w:t>
            </w:r>
          </w:p>
        </w:tc>
        <w:tc>
          <w:tcPr>
            <w:tcW w:w="18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2.7</w:t>
            </w:r>
          </w:p>
        </w:tc>
        <w:tc>
          <w:tcPr>
            <w:tcW w:w="7300" w:type="dxa"/>
            <w:vAlign w:val="bottom"/>
          </w:tcPr>
          <w:p>
            <w:pPr>
              <w:ind w:left="80"/>
              <w:spacing w:after="0"/>
              <w:rPr>
                <w:sz w:val="20"/>
                <w:szCs w:val="20"/>
                <w:color w:val="auto"/>
              </w:rPr>
            </w:pPr>
            <w:r>
              <w:rPr>
                <w:rFonts w:ascii="Arial" w:cs="Arial" w:eastAsia="Arial" w:hAnsi="Arial"/>
                <w:sz w:val="17"/>
                <w:szCs w:val="17"/>
                <w:color w:val="auto"/>
              </w:rPr>
              <w:t>ADJOURNED MEETING; NOTICE</w:t>
            </w:r>
          </w:p>
        </w:tc>
        <w:tc>
          <w:tcPr>
            <w:tcW w:w="18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2.8</w:t>
            </w:r>
          </w:p>
        </w:tc>
        <w:tc>
          <w:tcPr>
            <w:tcW w:w="7300" w:type="dxa"/>
            <w:vAlign w:val="bottom"/>
          </w:tcPr>
          <w:p>
            <w:pPr>
              <w:ind w:left="80"/>
              <w:spacing w:after="0"/>
              <w:rPr>
                <w:sz w:val="20"/>
                <w:szCs w:val="20"/>
                <w:color w:val="auto"/>
              </w:rPr>
            </w:pPr>
            <w:r>
              <w:rPr>
                <w:rFonts w:ascii="Arial" w:cs="Arial" w:eastAsia="Arial" w:hAnsi="Arial"/>
                <w:sz w:val="17"/>
                <w:szCs w:val="17"/>
                <w:color w:val="auto"/>
              </w:rPr>
              <w:t>CONDUCT OF BUSINESS</w:t>
            </w:r>
          </w:p>
        </w:tc>
        <w:tc>
          <w:tcPr>
            <w:tcW w:w="18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2.9</w:t>
            </w:r>
          </w:p>
        </w:tc>
        <w:tc>
          <w:tcPr>
            <w:tcW w:w="7300" w:type="dxa"/>
            <w:vAlign w:val="bottom"/>
          </w:tcPr>
          <w:p>
            <w:pPr>
              <w:ind w:left="80"/>
              <w:spacing w:after="0"/>
              <w:rPr>
                <w:sz w:val="20"/>
                <w:szCs w:val="20"/>
                <w:color w:val="auto"/>
              </w:rPr>
            </w:pPr>
            <w:r>
              <w:rPr>
                <w:rFonts w:ascii="Arial" w:cs="Arial" w:eastAsia="Arial" w:hAnsi="Arial"/>
                <w:sz w:val="17"/>
                <w:szCs w:val="17"/>
                <w:color w:val="auto"/>
              </w:rPr>
              <w:t>VOTING</w:t>
            </w:r>
          </w:p>
        </w:tc>
        <w:tc>
          <w:tcPr>
            <w:tcW w:w="18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2.10</w:t>
            </w:r>
          </w:p>
        </w:tc>
        <w:tc>
          <w:tcPr>
            <w:tcW w:w="7300" w:type="dxa"/>
            <w:vAlign w:val="bottom"/>
          </w:tcPr>
          <w:p>
            <w:pPr>
              <w:ind w:left="80"/>
              <w:spacing w:after="0"/>
              <w:rPr>
                <w:sz w:val="20"/>
                <w:szCs w:val="20"/>
                <w:color w:val="auto"/>
              </w:rPr>
            </w:pPr>
            <w:r>
              <w:rPr>
                <w:rFonts w:ascii="Arial" w:cs="Arial" w:eastAsia="Arial" w:hAnsi="Arial"/>
                <w:sz w:val="17"/>
                <w:szCs w:val="17"/>
                <w:color w:val="auto"/>
              </w:rPr>
              <w:t>STOCKHOLDER ACTION BY WRITTEN CONSENT WITHOUT A MEETING</w:t>
            </w:r>
          </w:p>
        </w:tc>
        <w:tc>
          <w:tcPr>
            <w:tcW w:w="18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2.11</w:t>
            </w:r>
          </w:p>
        </w:tc>
        <w:tc>
          <w:tcPr>
            <w:tcW w:w="7300" w:type="dxa"/>
            <w:vAlign w:val="bottom"/>
          </w:tcPr>
          <w:p>
            <w:pPr>
              <w:ind w:left="80"/>
              <w:spacing w:after="0"/>
              <w:rPr>
                <w:sz w:val="20"/>
                <w:szCs w:val="20"/>
                <w:color w:val="auto"/>
              </w:rPr>
            </w:pPr>
            <w:r>
              <w:rPr>
                <w:rFonts w:ascii="Arial" w:cs="Arial" w:eastAsia="Arial" w:hAnsi="Arial"/>
                <w:sz w:val="17"/>
                <w:szCs w:val="17"/>
                <w:color w:val="auto"/>
              </w:rPr>
              <w:t>RECORD DATES</w:t>
            </w:r>
          </w:p>
        </w:tc>
        <w:tc>
          <w:tcPr>
            <w:tcW w:w="18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2.12</w:t>
            </w:r>
          </w:p>
        </w:tc>
        <w:tc>
          <w:tcPr>
            <w:tcW w:w="7300" w:type="dxa"/>
            <w:vAlign w:val="bottom"/>
          </w:tcPr>
          <w:p>
            <w:pPr>
              <w:ind w:left="80"/>
              <w:spacing w:after="0"/>
              <w:rPr>
                <w:sz w:val="20"/>
                <w:szCs w:val="20"/>
                <w:color w:val="auto"/>
              </w:rPr>
            </w:pPr>
            <w:r>
              <w:rPr>
                <w:rFonts w:ascii="Arial" w:cs="Arial" w:eastAsia="Arial" w:hAnsi="Arial"/>
                <w:sz w:val="17"/>
                <w:szCs w:val="17"/>
                <w:color w:val="auto"/>
              </w:rPr>
              <w:t>PROXIES</w:t>
            </w:r>
          </w:p>
        </w:tc>
        <w:tc>
          <w:tcPr>
            <w:tcW w:w="18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2.13</w:t>
            </w:r>
          </w:p>
        </w:tc>
        <w:tc>
          <w:tcPr>
            <w:tcW w:w="7300" w:type="dxa"/>
            <w:vAlign w:val="bottom"/>
          </w:tcPr>
          <w:p>
            <w:pPr>
              <w:ind w:left="80"/>
              <w:spacing w:after="0"/>
              <w:rPr>
                <w:sz w:val="20"/>
                <w:szCs w:val="20"/>
                <w:color w:val="auto"/>
              </w:rPr>
            </w:pPr>
            <w:r>
              <w:rPr>
                <w:rFonts w:ascii="Arial" w:cs="Arial" w:eastAsia="Arial" w:hAnsi="Arial"/>
                <w:sz w:val="17"/>
                <w:szCs w:val="17"/>
                <w:color w:val="auto"/>
              </w:rPr>
              <w:t>LIST OF STOCKHOLDERS ENTITLED TO VOTE</w:t>
            </w:r>
          </w:p>
        </w:tc>
        <w:tc>
          <w:tcPr>
            <w:tcW w:w="18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2.14</w:t>
            </w:r>
          </w:p>
        </w:tc>
        <w:tc>
          <w:tcPr>
            <w:tcW w:w="7300" w:type="dxa"/>
            <w:vAlign w:val="bottom"/>
          </w:tcPr>
          <w:p>
            <w:pPr>
              <w:ind w:left="80"/>
              <w:spacing w:after="0"/>
              <w:rPr>
                <w:sz w:val="20"/>
                <w:szCs w:val="20"/>
                <w:color w:val="auto"/>
              </w:rPr>
            </w:pPr>
            <w:r>
              <w:rPr>
                <w:rFonts w:ascii="Arial" w:cs="Arial" w:eastAsia="Arial" w:hAnsi="Arial"/>
                <w:sz w:val="17"/>
                <w:szCs w:val="17"/>
                <w:color w:val="auto"/>
              </w:rPr>
              <w:t>INSPECTORS OF ELECTION</w:t>
            </w:r>
          </w:p>
        </w:tc>
        <w:tc>
          <w:tcPr>
            <w:tcW w:w="18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07"/>
        </w:trPr>
        <w:tc>
          <w:tcPr>
            <w:tcW w:w="2120" w:type="dxa"/>
            <w:vAlign w:val="bottom"/>
          </w:tcPr>
          <w:p>
            <w:pPr>
              <w:spacing w:after="0"/>
              <w:rPr>
                <w:sz w:val="20"/>
                <w:szCs w:val="20"/>
                <w:color w:val="auto"/>
              </w:rPr>
            </w:pPr>
            <w:r>
              <w:rPr>
                <w:rFonts w:ascii="Arial" w:cs="Arial" w:eastAsia="Arial" w:hAnsi="Arial"/>
                <w:sz w:val="17"/>
                <w:szCs w:val="17"/>
                <w:color w:val="auto"/>
              </w:rPr>
              <w:t>ARTICLE III - DIRECTORS</w:t>
            </w:r>
          </w:p>
        </w:tc>
        <w:tc>
          <w:tcPr>
            <w:tcW w:w="73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87"/>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3.1</w:t>
            </w:r>
          </w:p>
        </w:tc>
        <w:tc>
          <w:tcPr>
            <w:tcW w:w="7300" w:type="dxa"/>
            <w:vAlign w:val="bottom"/>
          </w:tcPr>
          <w:p>
            <w:pPr>
              <w:ind w:left="80"/>
              <w:spacing w:after="0"/>
              <w:rPr>
                <w:sz w:val="20"/>
                <w:szCs w:val="20"/>
                <w:color w:val="auto"/>
              </w:rPr>
            </w:pPr>
            <w:r>
              <w:rPr>
                <w:rFonts w:ascii="Arial" w:cs="Arial" w:eastAsia="Arial" w:hAnsi="Arial"/>
                <w:sz w:val="17"/>
                <w:szCs w:val="17"/>
                <w:color w:val="auto"/>
              </w:rPr>
              <w:t>POWERS</w:t>
            </w:r>
          </w:p>
        </w:tc>
        <w:tc>
          <w:tcPr>
            <w:tcW w:w="18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3.2</w:t>
            </w:r>
          </w:p>
        </w:tc>
        <w:tc>
          <w:tcPr>
            <w:tcW w:w="7300" w:type="dxa"/>
            <w:vAlign w:val="bottom"/>
          </w:tcPr>
          <w:p>
            <w:pPr>
              <w:ind w:left="80"/>
              <w:spacing w:after="0"/>
              <w:rPr>
                <w:sz w:val="20"/>
                <w:szCs w:val="20"/>
                <w:color w:val="auto"/>
              </w:rPr>
            </w:pPr>
            <w:r>
              <w:rPr>
                <w:rFonts w:ascii="Arial" w:cs="Arial" w:eastAsia="Arial" w:hAnsi="Arial"/>
                <w:sz w:val="17"/>
                <w:szCs w:val="17"/>
                <w:color w:val="auto"/>
              </w:rPr>
              <w:t>NUMBER OF DIRECTORS</w:t>
            </w:r>
          </w:p>
        </w:tc>
        <w:tc>
          <w:tcPr>
            <w:tcW w:w="18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3.3</w:t>
            </w:r>
          </w:p>
        </w:tc>
        <w:tc>
          <w:tcPr>
            <w:tcW w:w="7300" w:type="dxa"/>
            <w:vAlign w:val="bottom"/>
          </w:tcPr>
          <w:p>
            <w:pPr>
              <w:ind w:left="80"/>
              <w:spacing w:after="0"/>
              <w:rPr>
                <w:sz w:val="20"/>
                <w:szCs w:val="20"/>
                <w:color w:val="auto"/>
              </w:rPr>
            </w:pPr>
            <w:r>
              <w:rPr>
                <w:rFonts w:ascii="Arial" w:cs="Arial" w:eastAsia="Arial" w:hAnsi="Arial"/>
                <w:sz w:val="17"/>
                <w:szCs w:val="17"/>
                <w:color w:val="auto"/>
              </w:rPr>
              <w:t>ELECTION, QUALIFICATION AND TERM OF OFFICE OF DIRECTORS</w:t>
            </w:r>
          </w:p>
        </w:tc>
        <w:tc>
          <w:tcPr>
            <w:tcW w:w="18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3.4</w:t>
            </w:r>
          </w:p>
        </w:tc>
        <w:tc>
          <w:tcPr>
            <w:tcW w:w="7300" w:type="dxa"/>
            <w:vAlign w:val="bottom"/>
          </w:tcPr>
          <w:p>
            <w:pPr>
              <w:ind w:left="80"/>
              <w:spacing w:after="0"/>
              <w:rPr>
                <w:sz w:val="20"/>
                <w:szCs w:val="20"/>
                <w:color w:val="auto"/>
              </w:rPr>
            </w:pPr>
            <w:r>
              <w:rPr>
                <w:rFonts w:ascii="Arial" w:cs="Arial" w:eastAsia="Arial" w:hAnsi="Arial"/>
                <w:sz w:val="17"/>
                <w:szCs w:val="17"/>
                <w:color w:val="auto"/>
              </w:rPr>
              <w:t>RESIGNATION AND VACANCIES</w:t>
            </w:r>
          </w:p>
        </w:tc>
        <w:tc>
          <w:tcPr>
            <w:tcW w:w="18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3.5</w:t>
            </w:r>
          </w:p>
        </w:tc>
        <w:tc>
          <w:tcPr>
            <w:tcW w:w="7300" w:type="dxa"/>
            <w:vAlign w:val="bottom"/>
          </w:tcPr>
          <w:p>
            <w:pPr>
              <w:ind w:left="80"/>
              <w:spacing w:after="0"/>
              <w:rPr>
                <w:sz w:val="20"/>
                <w:szCs w:val="20"/>
                <w:color w:val="auto"/>
              </w:rPr>
            </w:pPr>
            <w:r>
              <w:rPr>
                <w:rFonts w:ascii="Arial" w:cs="Arial" w:eastAsia="Arial" w:hAnsi="Arial"/>
                <w:sz w:val="17"/>
                <w:szCs w:val="17"/>
                <w:color w:val="auto"/>
              </w:rPr>
              <w:t>PLACE OF MEETINGS; MEETINGS BY TELEPHONE</w:t>
            </w:r>
          </w:p>
        </w:tc>
        <w:tc>
          <w:tcPr>
            <w:tcW w:w="18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3.6</w:t>
            </w:r>
          </w:p>
        </w:tc>
        <w:tc>
          <w:tcPr>
            <w:tcW w:w="7300" w:type="dxa"/>
            <w:vAlign w:val="bottom"/>
          </w:tcPr>
          <w:p>
            <w:pPr>
              <w:ind w:left="80"/>
              <w:spacing w:after="0"/>
              <w:rPr>
                <w:sz w:val="20"/>
                <w:szCs w:val="20"/>
                <w:color w:val="auto"/>
              </w:rPr>
            </w:pPr>
            <w:r>
              <w:rPr>
                <w:rFonts w:ascii="Arial" w:cs="Arial" w:eastAsia="Arial" w:hAnsi="Arial"/>
                <w:sz w:val="17"/>
                <w:szCs w:val="17"/>
                <w:color w:val="auto"/>
              </w:rPr>
              <w:t>REGULAR MEETINGS</w:t>
            </w:r>
          </w:p>
        </w:tc>
        <w:tc>
          <w:tcPr>
            <w:tcW w:w="18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3.7</w:t>
            </w:r>
          </w:p>
        </w:tc>
        <w:tc>
          <w:tcPr>
            <w:tcW w:w="7300" w:type="dxa"/>
            <w:vAlign w:val="bottom"/>
          </w:tcPr>
          <w:p>
            <w:pPr>
              <w:ind w:left="80"/>
              <w:spacing w:after="0"/>
              <w:rPr>
                <w:sz w:val="20"/>
                <w:szCs w:val="20"/>
                <w:color w:val="auto"/>
              </w:rPr>
            </w:pPr>
            <w:r>
              <w:rPr>
                <w:rFonts w:ascii="Arial" w:cs="Arial" w:eastAsia="Arial" w:hAnsi="Arial"/>
                <w:sz w:val="17"/>
                <w:szCs w:val="17"/>
                <w:color w:val="auto"/>
              </w:rPr>
              <w:t>SPECIAL MEETINGS; NOTICE</w:t>
            </w:r>
          </w:p>
        </w:tc>
        <w:tc>
          <w:tcPr>
            <w:tcW w:w="18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3.8</w:t>
            </w:r>
          </w:p>
        </w:tc>
        <w:tc>
          <w:tcPr>
            <w:tcW w:w="7300" w:type="dxa"/>
            <w:vAlign w:val="bottom"/>
          </w:tcPr>
          <w:p>
            <w:pPr>
              <w:ind w:left="80"/>
              <w:spacing w:after="0"/>
              <w:rPr>
                <w:sz w:val="20"/>
                <w:szCs w:val="20"/>
                <w:color w:val="auto"/>
              </w:rPr>
            </w:pPr>
            <w:r>
              <w:rPr>
                <w:rFonts w:ascii="Arial" w:cs="Arial" w:eastAsia="Arial" w:hAnsi="Arial"/>
                <w:sz w:val="17"/>
                <w:szCs w:val="17"/>
                <w:color w:val="auto"/>
              </w:rPr>
              <w:t>QUORUM; VOTING</w:t>
            </w:r>
          </w:p>
        </w:tc>
        <w:tc>
          <w:tcPr>
            <w:tcW w:w="18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3.9</w:t>
            </w:r>
          </w:p>
        </w:tc>
        <w:tc>
          <w:tcPr>
            <w:tcW w:w="7300" w:type="dxa"/>
            <w:vAlign w:val="bottom"/>
          </w:tcPr>
          <w:p>
            <w:pPr>
              <w:ind w:left="80"/>
              <w:spacing w:after="0"/>
              <w:rPr>
                <w:sz w:val="20"/>
                <w:szCs w:val="20"/>
                <w:color w:val="auto"/>
              </w:rPr>
            </w:pPr>
            <w:r>
              <w:rPr>
                <w:rFonts w:ascii="Arial" w:cs="Arial" w:eastAsia="Arial" w:hAnsi="Arial"/>
                <w:sz w:val="17"/>
                <w:szCs w:val="17"/>
                <w:color w:val="auto"/>
              </w:rPr>
              <w:t>BOARD ACTION BY WRITTEN CONSENT WITHOUT A MEETING</w:t>
            </w:r>
          </w:p>
        </w:tc>
        <w:tc>
          <w:tcPr>
            <w:tcW w:w="18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3.10</w:t>
            </w:r>
          </w:p>
        </w:tc>
        <w:tc>
          <w:tcPr>
            <w:tcW w:w="7300" w:type="dxa"/>
            <w:vAlign w:val="bottom"/>
          </w:tcPr>
          <w:p>
            <w:pPr>
              <w:ind w:left="80"/>
              <w:spacing w:after="0"/>
              <w:rPr>
                <w:sz w:val="20"/>
                <w:szCs w:val="20"/>
                <w:color w:val="auto"/>
              </w:rPr>
            </w:pPr>
            <w:r>
              <w:rPr>
                <w:rFonts w:ascii="Arial" w:cs="Arial" w:eastAsia="Arial" w:hAnsi="Arial"/>
                <w:sz w:val="17"/>
                <w:szCs w:val="17"/>
                <w:color w:val="auto"/>
              </w:rPr>
              <w:t>FEES AND COMPENSATION OF DIRECTORS</w:t>
            </w:r>
          </w:p>
        </w:tc>
        <w:tc>
          <w:tcPr>
            <w:tcW w:w="18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3.11</w:t>
            </w:r>
          </w:p>
        </w:tc>
        <w:tc>
          <w:tcPr>
            <w:tcW w:w="7300" w:type="dxa"/>
            <w:vAlign w:val="bottom"/>
          </w:tcPr>
          <w:p>
            <w:pPr>
              <w:ind w:left="80"/>
              <w:spacing w:after="0"/>
              <w:rPr>
                <w:sz w:val="20"/>
                <w:szCs w:val="20"/>
                <w:color w:val="auto"/>
              </w:rPr>
            </w:pPr>
            <w:r>
              <w:rPr>
                <w:rFonts w:ascii="Arial" w:cs="Arial" w:eastAsia="Arial" w:hAnsi="Arial"/>
                <w:sz w:val="17"/>
                <w:szCs w:val="17"/>
                <w:color w:val="auto"/>
              </w:rPr>
              <w:t>REMOVAL OF DIRECTORS</w:t>
            </w:r>
          </w:p>
        </w:tc>
        <w:tc>
          <w:tcPr>
            <w:tcW w:w="18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7"/>
        </w:trPr>
        <w:tc>
          <w:tcPr>
            <w:tcW w:w="9420" w:type="dxa"/>
            <w:vAlign w:val="bottom"/>
            <w:gridSpan w:val="2"/>
          </w:tcPr>
          <w:p>
            <w:pPr>
              <w:spacing w:after="0"/>
              <w:rPr>
                <w:sz w:val="20"/>
                <w:szCs w:val="20"/>
                <w:color w:val="auto"/>
              </w:rPr>
            </w:pPr>
            <w:r>
              <w:rPr>
                <w:rFonts w:ascii="Arial" w:cs="Arial" w:eastAsia="Arial" w:hAnsi="Arial"/>
                <w:sz w:val="17"/>
                <w:szCs w:val="17"/>
                <w:color w:val="auto"/>
              </w:rPr>
              <w:t>ARTICLE IV - COMMITTEES</w:t>
            </w:r>
          </w:p>
        </w:tc>
        <w:tc>
          <w:tcPr>
            <w:tcW w:w="18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87"/>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4.1</w:t>
            </w:r>
          </w:p>
        </w:tc>
        <w:tc>
          <w:tcPr>
            <w:tcW w:w="7300" w:type="dxa"/>
            <w:vAlign w:val="bottom"/>
          </w:tcPr>
          <w:p>
            <w:pPr>
              <w:ind w:left="80"/>
              <w:spacing w:after="0"/>
              <w:rPr>
                <w:sz w:val="20"/>
                <w:szCs w:val="20"/>
                <w:color w:val="auto"/>
              </w:rPr>
            </w:pPr>
            <w:r>
              <w:rPr>
                <w:rFonts w:ascii="Arial" w:cs="Arial" w:eastAsia="Arial" w:hAnsi="Arial"/>
                <w:sz w:val="17"/>
                <w:szCs w:val="17"/>
                <w:color w:val="auto"/>
              </w:rPr>
              <w:t>COMMITTEES OF DIRECTORS</w:t>
            </w:r>
          </w:p>
        </w:tc>
        <w:tc>
          <w:tcPr>
            <w:tcW w:w="18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4.2</w:t>
            </w:r>
          </w:p>
        </w:tc>
        <w:tc>
          <w:tcPr>
            <w:tcW w:w="7300" w:type="dxa"/>
            <w:vAlign w:val="bottom"/>
          </w:tcPr>
          <w:p>
            <w:pPr>
              <w:ind w:left="80"/>
              <w:spacing w:after="0"/>
              <w:rPr>
                <w:sz w:val="20"/>
                <w:szCs w:val="20"/>
                <w:color w:val="auto"/>
              </w:rPr>
            </w:pPr>
            <w:r>
              <w:rPr>
                <w:rFonts w:ascii="Arial" w:cs="Arial" w:eastAsia="Arial" w:hAnsi="Arial"/>
                <w:sz w:val="17"/>
                <w:szCs w:val="17"/>
                <w:color w:val="auto"/>
              </w:rPr>
              <w:t>COMMITTEE MINUTES</w:t>
            </w:r>
          </w:p>
        </w:tc>
        <w:tc>
          <w:tcPr>
            <w:tcW w:w="18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4.3</w:t>
            </w:r>
          </w:p>
        </w:tc>
        <w:tc>
          <w:tcPr>
            <w:tcW w:w="7300" w:type="dxa"/>
            <w:vAlign w:val="bottom"/>
          </w:tcPr>
          <w:p>
            <w:pPr>
              <w:ind w:left="80"/>
              <w:spacing w:after="0"/>
              <w:rPr>
                <w:sz w:val="20"/>
                <w:szCs w:val="20"/>
                <w:color w:val="auto"/>
              </w:rPr>
            </w:pPr>
            <w:r>
              <w:rPr>
                <w:rFonts w:ascii="Arial" w:cs="Arial" w:eastAsia="Arial" w:hAnsi="Arial"/>
                <w:sz w:val="17"/>
                <w:szCs w:val="17"/>
                <w:color w:val="auto"/>
              </w:rPr>
              <w:t>MEETINGS AND ACTION OF COMMITTEES</w:t>
            </w:r>
          </w:p>
        </w:tc>
        <w:tc>
          <w:tcPr>
            <w:tcW w:w="18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0"/>
        </w:trPr>
        <w:tc>
          <w:tcPr>
            <w:tcW w:w="2120" w:type="dxa"/>
            <w:vAlign w:val="bottom"/>
          </w:tcPr>
          <w:p>
            <w:pPr>
              <w:jc w:val="right"/>
              <w:ind w:right="114"/>
              <w:spacing w:after="0"/>
              <w:rPr>
                <w:sz w:val="20"/>
                <w:szCs w:val="20"/>
                <w:color w:val="auto"/>
              </w:rPr>
            </w:pPr>
            <w:r>
              <w:rPr>
                <w:rFonts w:ascii="Arial" w:cs="Arial" w:eastAsia="Arial" w:hAnsi="Arial"/>
                <w:sz w:val="17"/>
                <w:szCs w:val="17"/>
                <w:color w:val="auto"/>
              </w:rPr>
              <w:t>4.4</w:t>
            </w:r>
          </w:p>
        </w:tc>
        <w:tc>
          <w:tcPr>
            <w:tcW w:w="7300" w:type="dxa"/>
            <w:vAlign w:val="bottom"/>
          </w:tcPr>
          <w:p>
            <w:pPr>
              <w:ind w:left="80"/>
              <w:spacing w:after="0"/>
              <w:rPr>
                <w:sz w:val="20"/>
                <w:szCs w:val="20"/>
                <w:color w:val="auto"/>
              </w:rPr>
            </w:pPr>
            <w:r>
              <w:rPr>
                <w:rFonts w:ascii="Arial" w:cs="Arial" w:eastAsia="Arial" w:hAnsi="Arial"/>
                <w:sz w:val="17"/>
                <w:szCs w:val="17"/>
                <w:color w:val="auto"/>
              </w:rPr>
              <w:t>SUBCOMMITTEES</w:t>
            </w:r>
          </w:p>
        </w:tc>
        <w:tc>
          <w:tcPr>
            <w:tcW w:w="18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2120" w:type="dxa"/>
            <w:vAlign w:val="bottom"/>
          </w:tcPr>
          <w:p>
            <w:pPr>
              <w:spacing w:after="0"/>
              <w:rPr>
                <w:sz w:val="19"/>
                <w:szCs w:val="19"/>
                <w:color w:val="auto"/>
              </w:rPr>
            </w:pPr>
          </w:p>
        </w:tc>
        <w:tc>
          <w:tcPr>
            <w:tcW w:w="7300" w:type="dxa"/>
            <w:vAlign w:val="bottom"/>
          </w:tcPr>
          <w:p>
            <w:pPr>
              <w:ind w:left="3420"/>
              <w:spacing w:after="0"/>
              <w:rPr>
                <w:sz w:val="20"/>
                <w:szCs w:val="20"/>
                <w:color w:val="auto"/>
              </w:rPr>
            </w:pPr>
            <w:r>
              <w:rPr>
                <w:rFonts w:ascii="Arial" w:cs="Arial" w:eastAsia="Arial" w:hAnsi="Arial"/>
                <w:sz w:val="17"/>
                <w:szCs w:val="17"/>
                <w:color w:val="auto"/>
              </w:rPr>
              <w:t>-i-</w:t>
            </w:r>
          </w:p>
        </w:tc>
        <w:tc>
          <w:tcPr>
            <w:tcW w:w="1860" w:type="dxa"/>
            <w:vAlign w:val="bottom"/>
          </w:tcPr>
          <w:p>
            <w:pPr>
              <w:spacing w:after="0"/>
              <w:rPr>
                <w:sz w:val="19"/>
                <w:szCs w:val="19"/>
                <w:color w:val="auto"/>
              </w:rPr>
            </w:pPr>
          </w:p>
        </w:tc>
      </w:tr>
      <w:tr>
        <w:trPr>
          <w:trHeight w:val="93"/>
        </w:trPr>
        <w:tc>
          <w:tcPr>
            <w:tcW w:w="2120" w:type="dxa"/>
            <w:vAlign w:val="bottom"/>
            <w:tcBorders>
              <w:bottom w:val="single" w:sz="8" w:color="9A9A9A"/>
            </w:tcBorders>
          </w:tcPr>
          <w:p>
            <w:pPr>
              <w:spacing w:after="0"/>
              <w:rPr>
                <w:sz w:val="8"/>
                <w:szCs w:val="8"/>
                <w:color w:val="auto"/>
              </w:rPr>
            </w:pPr>
          </w:p>
        </w:tc>
        <w:tc>
          <w:tcPr>
            <w:tcW w:w="730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07" w:right="2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0"/>
        </w:trPr>
        <w:tc>
          <w:tcPr>
            <w:tcW w:w="2060" w:type="dxa"/>
            <w:vAlign w:val="bottom"/>
          </w:tcPr>
          <w:p>
            <w:pPr>
              <w:spacing w:after="0"/>
              <w:rPr>
                <w:sz w:val="17"/>
                <w:szCs w:val="17"/>
                <w:color w:val="auto"/>
              </w:rPr>
            </w:pPr>
          </w:p>
        </w:tc>
        <w:tc>
          <w:tcPr>
            <w:tcW w:w="8220" w:type="dxa"/>
            <w:vAlign w:val="bottom"/>
          </w:tcPr>
          <w:p>
            <w:pPr>
              <w:jc w:val="center"/>
              <w:ind w:right="1014"/>
              <w:spacing w:after="0"/>
              <w:rPr>
                <w:sz w:val="20"/>
                <w:szCs w:val="20"/>
                <w:color w:val="auto"/>
              </w:rPr>
            </w:pPr>
            <w:r>
              <w:rPr>
                <w:rFonts w:ascii="Arial" w:cs="Arial" w:eastAsia="Arial" w:hAnsi="Arial"/>
                <w:sz w:val="17"/>
                <w:szCs w:val="17"/>
                <w:b w:val="1"/>
                <w:bCs w:val="1"/>
                <w:color w:val="auto"/>
              </w:rPr>
              <w:t>TABLE OF CONTENTS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60" w:type="dxa"/>
            <w:vAlign w:val="bottom"/>
          </w:tcPr>
          <w:p>
            <w:pPr>
              <w:spacing w:after="0"/>
              <w:rPr>
                <w:sz w:val="19"/>
                <w:szCs w:val="19"/>
                <w:color w:val="auto"/>
              </w:rPr>
            </w:pPr>
          </w:p>
        </w:tc>
        <w:tc>
          <w:tcPr>
            <w:tcW w:w="8220" w:type="dxa"/>
            <w:vAlign w:val="bottom"/>
          </w:tcPr>
          <w:p>
            <w:pPr>
              <w:jc w:val="center"/>
              <w:ind w:right="1014"/>
              <w:spacing w:after="0"/>
              <w:rPr>
                <w:sz w:val="20"/>
                <w:szCs w:val="20"/>
                <w:color w:val="auto"/>
              </w:rPr>
            </w:pPr>
            <w:r>
              <w:rPr>
                <w:rFonts w:ascii="Arial" w:cs="Arial" w:eastAsia="Arial" w:hAnsi="Arial"/>
                <w:sz w:val="17"/>
                <w:szCs w:val="17"/>
                <w:b w:val="1"/>
                <w:bCs w:val="1"/>
                <w:color w:val="auto"/>
                <w:w w:val="90"/>
              </w:rPr>
              <w:t>(continued)</w:t>
            </w: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Page</w:t>
            </w:r>
          </w:p>
        </w:tc>
        <w:tc>
          <w:tcPr>
            <w:tcW w:w="0" w:type="dxa"/>
            <w:vAlign w:val="bottom"/>
          </w:tcPr>
          <w:p>
            <w:pPr>
              <w:spacing w:after="0"/>
              <w:rPr>
                <w:sz w:val="1"/>
                <w:szCs w:val="1"/>
                <w:color w:val="auto"/>
              </w:rPr>
            </w:pPr>
          </w:p>
        </w:tc>
      </w:tr>
      <w:tr>
        <w:trPr>
          <w:trHeight w:val="200"/>
        </w:trPr>
        <w:tc>
          <w:tcPr>
            <w:tcW w:w="206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95"/>
        </w:trPr>
        <w:tc>
          <w:tcPr>
            <w:tcW w:w="2060" w:type="dxa"/>
            <w:vAlign w:val="bottom"/>
          </w:tcPr>
          <w:p>
            <w:pPr>
              <w:spacing w:after="0"/>
              <w:rPr>
                <w:sz w:val="20"/>
                <w:szCs w:val="20"/>
                <w:color w:val="auto"/>
              </w:rPr>
            </w:pPr>
            <w:r>
              <w:rPr>
                <w:rFonts w:ascii="Arial" w:cs="Arial" w:eastAsia="Arial" w:hAnsi="Arial"/>
                <w:sz w:val="17"/>
                <w:szCs w:val="17"/>
                <w:color w:val="auto"/>
              </w:rPr>
              <w:t>ARTICLE V - OFFICERS</w:t>
            </w:r>
          </w:p>
        </w:tc>
        <w:tc>
          <w:tcPr>
            <w:tcW w:w="8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87"/>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5.1</w:t>
            </w:r>
          </w:p>
        </w:tc>
        <w:tc>
          <w:tcPr>
            <w:tcW w:w="8220" w:type="dxa"/>
            <w:vAlign w:val="bottom"/>
          </w:tcPr>
          <w:p>
            <w:pPr>
              <w:ind w:left="140"/>
              <w:spacing w:after="0"/>
              <w:rPr>
                <w:sz w:val="20"/>
                <w:szCs w:val="20"/>
                <w:color w:val="auto"/>
              </w:rPr>
            </w:pPr>
            <w:r>
              <w:rPr>
                <w:rFonts w:ascii="Arial" w:cs="Arial" w:eastAsia="Arial" w:hAnsi="Arial"/>
                <w:sz w:val="17"/>
                <w:szCs w:val="17"/>
                <w:color w:val="auto"/>
              </w:rPr>
              <w:t>OFFICERS</w:t>
            </w: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5.2</w:t>
            </w:r>
          </w:p>
        </w:tc>
        <w:tc>
          <w:tcPr>
            <w:tcW w:w="8220" w:type="dxa"/>
            <w:vAlign w:val="bottom"/>
          </w:tcPr>
          <w:p>
            <w:pPr>
              <w:ind w:left="140"/>
              <w:spacing w:after="0"/>
              <w:rPr>
                <w:sz w:val="20"/>
                <w:szCs w:val="20"/>
                <w:color w:val="auto"/>
              </w:rPr>
            </w:pPr>
            <w:r>
              <w:rPr>
                <w:rFonts w:ascii="Arial" w:cs="Arial" w:eastAsia="Arial" w:hAnsi="Arial"/>
                <w:sz w:val="17"/>
                <w:szCs w:val="17"/>
                <w:color w:val="auto"/>
              </w:rPr>
              <w:t>APPOINTMENT OF OFFICERS</w:t>
            </w: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5.3</w:t>
            </w:r>
          </w:p>
        </w:tc>
        <w:tc>
          <w:tcPr>
            <w:tcW w:w="8220" w:type="dxa"/>
            <w:vAlign w:val="bottom"/>
          </w:tcPr>
          <w:p>
            <w:pPr>
              <w:ind w:left="140"/>
              <w:spacing w:after="0"/>
              <w:rPr>
                <w:sz w:val="20"/>
                <w:szCs w:val="20"/>
                <w:color w:val="auto"/>
              </w:rPr>
            </w:pPr>
            <w:r>
              <w:rPr>
                <w:rFonts w:ascii="Arial" w:cs="Arial" w:eastAsia="Arial" w:hAnsi="Arial"/>
                <w:sz w:val="17"/>
                <w:szCs w:val="17"/>
                <w:color w:val="auto"/>
              </w:rPr>
              <w:t>SUBORDINATE OFFICERS</w:t>
            </w: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5.4</w:t>
            </w:r>
          </w:p>
        </w:tc>
        <w:tc>
          <w:tcPr>
            <w:tcW w:w="8220" w:type="dxa"/>
            <w:vAlign w:val="bottom"/>
          </w:tcPr>
          <w:p>
            <w:pPr>
              <w:ind w:left="140"/>
              <w:spacing w:after="0"/>
              <w:rPr>
                <w:sz w:val="20"/>
                <w:szCs w:val="20"/>
                <w:color w:val="auto"/>
              </w:rPr>
            </w:pPr>
            <w:r>
              <w:rPr>
                <w:rFonts w:ascii="Arial" w:cs="Arial" w:eastAsia="Arial" w:hAnsi="Arial"/>
                <w:sz w:val="17"/>
                <w:szCs w:val="17"/>
                <w:color w:val="auto"/>
              </w:rPr>
              <w:t>REMOVAL AND RESIGNATION OF OFFICERS</w:t>
            </w: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5.5</w:t>
            </w:r>
          </w:p>
        </w:tc>
        <w:tc>
          <w:tcPr>
            <w:tcW w:w="8220" w:type="dxa"/>
            <w:vAlign w:val="bottom"/>
          </w:tcPr>
          <w:p>
            <w:pPr>
              <w:ind w:left="140"/>
              <w:spacing w:after="0"/>
              <w:rPr>
                <w:sz w:val="20"/>
                <w:szCs w:val="20"/>
                <w:color w:val="auto"/>
              </w:rPr>
            </w:pPr>
            <w:r>
              <w:rPr>
                <w:rFonts w:ascii="Arial" w:cs="Arial" w:eastAsia="Arial" w:hAnsi="Arial"/>
                <w:sz w:val="17"/>
                <w:szCs w:val="17"/>
                <w:color w:val="auto"/>
              </w:rPr>
              <w:t>VACANCIES IN OFFICES</w:t>
            </w: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5.6</w:t>
            </w:r>
          </w:p>
        </w:tc>
        <w:tc>
          <w:tcPr>
            <w:tcW w:w="8220" w:type="dxa"/>
            <w:vAlign w:val="bottom"/>
          </w:tcPr>
          <w:p>
            <w:pPr>
              <w:ind w:left="140"/>
              <w:spacing w:after="0"/>
              <w:rPr>
                <w:sz w:val="20"/>
                <w:szCs w:val="20"/>
                <w:color w:val="auto"/>
              </w:rPr>
            </w:pPr>
            <w:r>
              <w:rPr>
                <w:rFonts w:ascii="Arial" w:cs="Arial" w:eastAsia="Arial" w:hAnsi="Arial"/>
                <w:sz w:val="17"/>
                <w:szCs w:val="17"/>
                <w:color w:val="auto"/>
              </w:rPr>
              <w:t>REPRESENTATION OF SECURITIES OF OTHER ENTITIES</w:t>
            </w: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5.7</w:t>
            </w:r>
          </w:p>
        </w:tc>
        <w:tc>
          <w:tcPr>
            <w:tcW w:w="8220" w:type="dxa"/>
            <w:vAlign w:val="bottom"/>
          </w:tcPr>
          <w:p>
            <w:pPr>
              <w:ind w:left="140"/>
              <w:spacing w:after="0"/>
              <w:rPr>
                <w:sz w:val="20"/>
                <w:szCs w:val="20"/>
                <w:color w:val="auto"/>
              </w:rPr>
            </w:pPr>
            <w:r>
              <w:rPr>
                <w:rFonts w:ascii="Arial" w:cs="Arial" w:eastAsia="Arial" w:hAnsi="Arial"/>
                <w:sz w:val="17"/>
                <w:szCs w:val="17"/>
                <w:color w:val="auto"/>
              </w:rPr>
              <w:t>AUTHORITY AND DUTIES OF OFFICERS</w:t>
            </w: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07"/>
        </w:trPr>
        <w:tc>
          <w:tcPr>
            <w:tcW w:w="2060" w:type="dxa"/>
            <w:vAlign w:val="bottom"/>
          </w:tcPr>
          <w:p>
            <w:pPr>
              <w:spacing w:after="0"/>
              <w:rPr>
                <w:sz w:val="20"/>
                <w:szCs w:val="20"/>
                <w:color w:val="auto"/>
              </w:rPr>
            </w:pPr>
            <w:r>
              <w:rPr>
                <w:rFonts w:ascii="Arial" w:cs="Arial" w:eastAsia="Arial" w:hAnsi="Arial"/>
                <w:sz w:val="17"/>
                <w:szCs w:val="17"/>
                <w:color w:val="auto"/>
              </w:rPr>
              <w:t>ARTICLE VI - STOCK</w:t>
            </w:r>
          </w:p>
        </w:tc>
        <w:tc>
          <w:tcPr>
            <w:tcW w:w="8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87"/>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6.1</w:t>
            </w:r>
          </w:p>
        </w:tc>
        <w:tc>
          <w:tcPr>
            <w:tcW w:w="8220" w:type="dxa"/>
            <w:vAlign w:val="bottom"/>
          </w:tcPr>
          <w:p>
            <w:pPr>
              <w:ind w:left="140"/>
              <w:spacing w:after="0"/>
              <w:rPr>
                <w:sz w:val="20"/>
                <w:szCs w:val="20"/>
                <w:color w:val="auto"/>
              </w:rPr>
            </w:pPr>
            <w:r>
              <w:rPr>
                <w:rFonts w:ascii="Arial" w:cs="Arial" w:eastAsia="Arial" w:hAnsi="Arial"/>
                <w:sz w:val="17"/>
                <w:szCs w:val="17"/>
                <w:color w:val="auto"/>
              </w:rPr>
              <w:t>STOCK CERTIFICATES; PARTLY PAID SHARES</w:t>
            </w: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6.2</w:t>
            </w:r>
          </w:p>
        </w:tc>
        <w:tc>
          <w:tcPr>
            <w:tcW w:w="8220" w:type="dxa"/>
            <w:vAlign w:val="bottom"/>
          </w:tcPr>
          <w:p>
            <w:pPr>
              <w:ind w:left="140"/>
              <w:spacing w:after="0"/>
              <w:rPr>
                <w:sz w:val="20"/>
                <w:szCs w:val="20"/>
                <w:color w:val="auto"/>
              </w:rPr>
            </w:pPr>
            <w:r>
              <w:rPr>
                <w:rFonts w:ascii="Arial" w:cs="Arial" w:eastAsia="Arial" w:hAnsi="Arial"/>
                <w:sz w:val="17"/>
                <w:szCs w:val="17"/>
                <w:color w:val="auto"/>
              </w:rPr>
              <w:t>SPECIAL DESIGNATION ON CERTIFICATES</w:t>
            </w: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6.3</w:t>
            </w:r>
          </w:p>
        </w:tc>
        <w:tc>
          <w:tcPr>
            <w:tcW w:w="8220" w:type="dxa"/>
            <w:vAlign w:val="bottom"/>
          </w:tcPr>
          <w:p>
            <w:pPr>
              <w:ind w:left="140"/>
              <w:spacing w:after="0"/>
              <w:rPr>
                <w:sz w:val="20"/>
                <w:szCs w:val="20"/>
                <w:color w:val="auto"/>
              </w:rPr>
            </w:pPr>
            <w:r>
              <w:rPr>
                <w:rFonts w:ascii="Arial" w:cs="Arial" w:eastAsia="Arial" w:hAnsi="Arial"/>
                <w:sz w:val="17"/>
                <w:szCs w:val="17"/>
                <w:color w:val="auto"/>
              </w:rPr>
              <w:t>LOST CERTIFICATES</w:t>
            </w: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6.4</w:t>
            </w:r>
          </w:p>
        </w:tc>
        <w:tc>
          <w:tcPr>
            <w:tcW w:w="822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6.5</w:t>
            </w:r>
          </w:p>
        </w:tc>
        <w:tc>
          <w:tcPr>
            <w:tcW w:w="8220" w:type="dxa"/>
            <w:vAlign w:val="bottom"/>
          </w:tcPr>
          <w:p>
            <w:pPr>
              <w:ind w:left="140"/>
              <w:spacing w:after="0"/>
              <w:rPr>
                <w:sz w:val="20"/>
                <w:szCs w:val="20"/>
                <w:color w:val="auto"/>
              </w:rPr>
            </w:pPr>
            <w:r>
              <w:rPr>
                <w:rFonts w:ascii="Arial" w:cs="Arial" w:eastAsia="Arial" w:hAnsi="Arial"/>
                <w:sz w:val="17"/>
                <w:szCs w:val="17"/>
                <w:color w:val="auto"/>
              </w:rPr>
              <w:t>TRANSFER OF STOCK</w:t>
            </w: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6.6</w:t>
            </w:r>
          </w:p>
        </w:tc>
        <w:tc>
          <w:tcPr>
            <w:tcW w:w="8220" w:type="dxa"/>
            <w:vAlign w:val="bottom"/>
          </w:tcPr>
          <w:p>
            <w:pPr>
              <w:ind w:left="140"/>
              <w:spacing w:after="0"/>
              <w:rPr>
                <w:sz w:val="20"/>
                <w:szCs w:val="20"/>
                <w:color w:val="auto"/>
              </w:rPr>
            </w:pPr>
            <w:r>
              <w:rPr>
                <w:rFonts w:ascii="Arial" w:cs="Arial" w:eastAsia="Arial" w:hAnsi="Arial"/>
                <w:sz w:val="17"/>
                <w:szCs w:val="17"/>
                <w:color w:val="auto"/>
              </w:rPr>
              <w:t>STOCK TRANSFER AGREEMENTS</w:t>
            </w: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6.7</w:t>
            </w:r>
          </w:p>
        </w:tc>
        <w:tc>
          <w:tcPr>
            <w:tcW w:w="8220" w:type="dxa"/>
            <w:vAlign w:val="bottom"/>
          </w:tcPr>
          <w:p>
            <w:pPr>
              <w:ind w:left="140"/>
              <w:spacing w:after="0"/>
              <w:rPr>
                <w:sz w:val="20"/>
                <w:szCs w:val="20"/>
                <w:color w:val="auto"/>
              </w:rPr>
            </w:pPr>
            <w:r>
              <w:rPr>
                <w:rFonts w:ascii="Arial" w:cs="Arial" w:eastAsia="Arial" w:hAnsi="Arial"/>
                <w:sz w:val="17"/>
                <w:szCs w:val="17"/>
                <w:color w:val="auto"/>
              </w:rPr>
              <w:t>REGISTERED STOCKHOLDERS</w:t>
            </w: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07"/>
        </w:trPr>
        <w:tc>
          <w:tcPr>
            <w:tcW w:w="10280" w:type="dxa"/>
            <w:vAlign w:val="bottom"/>
            <w:gridSpan w:val="2"/>
          </w:tcPr>
          <w:p>
            <w:pPr>
              <w:spacing w:after="0"/>
              <w:rPr>
                <w:sz w:val="20"/>
                <w:szCs w:val="20"/>
                <w:color w:val="auto"/>
              </w:rPr>
            </w:pPr>
            <w:r>
              <w:rPr>
                <w:rFonts w:ascii="Arial" w:cs="Arial" w:eastAsia="Arial" w:hAnsi="Arial"/>
                <w:sz w:val="17"/>
                <w:szCs w:val="17"/>
                <w:color w:val="auto"/>
              </w:rPr>
              <w:t>ARTICLE VII - MANNER OF GIVING NOTICE AND WAIVER</w:t>
            </w: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87"/>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7.1</w:t>
            </w:r>
          </w:p>
        </w:tc>
        <w:tc>
          <w:tcPr>
            <w:tcW w:w="8220" w:type="dxa"/>
            <w:vAlign w:val="bottom"/>
          </w:tcPr>
          <w:p>
            <w:pPr>
              <w:ind w:left="140"/>
              <w:spacing w:after="0"/>
              <w:rPr>
                <w:sz w:val="20"/>
                <w:szCs w:val="20"/>
                <w:color w:val="auto"/>
              </w:rPr>
            </w:pPr>
            <w:r>
              <w:rPr>
                <w:rFonts w:ascii="Arial" w:cs="Arial" w:eastAsia="Arial" w:hAnsi="Arial"/>
                <w:sz w:val="17"/>
                <w:szCs w:val="17"/>
                <w:color w:val="auto"/>
              </w:rPr>
              <w:t>NOTICE OF STOCKHOLDERS’ MEETINGS</w:t>
            </w: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7.2</w:t>
            </w:r>
          </w:p>
        </w:tc>
        <w:tc>
          <w:tcPr>
            <w:tcW w:w="8220" w:type="dxa"/>
            <w:vAlign w:val="bottom"/>
          </w:tcPr>
          <w:p>
            <w:pPr>
              <w:ind w:left="140"/>
              <w:spacing w:after="0"/>
              <w:rPr>
                <w:sz w:val="20"/>
                <w:szCs w:val="20"/>
                <w:color w:val="auto"/>
              </w:rPr>
            </w:pPr>
            <w:r>
              <w:rPr>
                <w:rFonts w:ascii="Arial" w:cs="Arial" w:eastAsia="Arial" w:hAnsi="Arial"/>
                <w:sz w:val="17"/>
                <w:szCs w:val="17"/>
                <w:color w:val="auto"/>
              </w:rPr>
              <w:t>NOTICE TO STOCKHOLDERS SHARING AN ADDRESS</w:t>
            </w: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7.3</w:t>
            </w:r>
          </w:p>
        </w:tc>
        <w:tc>
          <w:tcPr>
            <w:tcW w:w="8220" w:type="dxa"/>
            <w:vAlign w:val="bottom"/>
          </w:tcPr>
          <w:p>
            <w:pPr>
              <w:ind w:left="140"/>
              <w:spacing w:after="0"/>
              <w:rPr>
                <w:sz w:val="20"/>
                <w:szCs w:val="20"/>
                <w:color w:val="auto"/>
              </w:rPr>
            </w:pPr>
            <w:r>
              <w:rPr>
                <w:rFonts w:ascii="Arial" w:cs="Arial" w:eastAsia="Arial" w:hAnsi="Arial"/>
                <w:sz w:val="17"/>
                <w:szCs w:val="17"/>
                <w:color w:val="auto"/>
              </w:rPr>
              <w:t>NOTICE TO PERSON WITH WHOM COMMUNICATION IS UNLAWFUL</w:t>
            </w: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7.4</w:t>
            </w:r>
          </w:p>
        </w:tc>
        <w:tc>
          <w:tcPr>
            <w:tcW w:w="8220" w:type="dxa"/>
            <w:vAlign w:val="bottom"/>
          </w:tcPr>
          <w:p>
            <w:pPr>
              <w:ind w:left="140"/>
              <w:spacing w:after="0"/>
              <w:rPr>
                <w:sz w:val="20"/>
                <w:szCs w:val="20"/>
                <w:color w:val="auto"/>
              </w:rPr>
            </w:pPr>
            <w:r>
              <w:rPr>
                <w:rFonts w:ascii="Arial" w:cs="Arial" w:eastAsia="Arial" w:hAnsi="Arial"/>
                <w:sz w:val="17"/>
                <w:szCs w:val="17"/>
                <w:color w:val="auto"/>
              </w:rPr>
              <w:t>WAIVER OF NOTICE</w:t>
            </w: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07"/>
        </w:trPr>
        <w:tc>
          <w:tcPr>
            <w:tcW w:w="10280" w:type="dxa"/>
            <w:vAlign w:val="bottom"/>
            <w:gridSpan w:val="2"/>
          </w:tcPr>
          <w:p>
            <w:pPr>
              <w:spacing w:after="0"/>
              <w:rPr>
                <w:sz w:val="20"/>
                <w:szCs w:val="20"/>
                <w:color w:val="auto"/>
              </w:rPr>
            </w:pPr>
            <w:r>
              <w:rPr>
                <w:rFonts w:ascii="Arial" w:cs="Arial" w:eastAsia="Arial" w:hAnsi="Arial"/>
                <w:sz w:val="17"/>
                <w:szCs w:val="17"/>
                <w:color w:val="auto"/>
              </w:rPr>
              <w:t>ARTICLE VIII - INDEMNIFICATION</w:t>
            </w: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87"/>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8.1</w:t>
            </w:r>
          </w:p>
        </w:tc>
        <w:tc>
          <w:tcPr>
            <w:tcW w:w="8220" w:type="dxa"/>
            <w:vAlign w:val="bottom"/>
          </w:tcPr>
          <w:p>
            <w:pPr>
              <w:ind w:left="140"/>
              <w:spacing w:after="0"/>
              <w:rPr>
                <w:sz w:val="20"/>
                <w:szCs w:val="20"/>
                <w:color w:val="auto"/>
              </w:rPr>
            </w:pPr>
            <w:r>
              <w:rPr>
                <w:rFonts w:ascii="Arial" w:cs="Arial" w:eastAsia="Arial" w:hAnsi="Arial"/>
                <w:sz w:val="17"/>
                <w:szCs w:val="17"/>
                <w:color w:val="auto"/>
              </w:rPr>
              <w:t>INDEMNIFICATION OF DIRECTORS AND OFFICERS IN THIRD PARTY PROCEEDINGS</w:t>
            </w: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8.2</w:t>
            </w:r>
          </w:p>
        </w:tc>
        <w:tc>
          <w:tcPr>
            <w:tcW w:w="8220" w:type="dxa"/>
            <w:vAlign w:val="bottom"/>
          </w:tcPr>
          <w:p>
            <w:pPr>
              <w:ind w:left="140"/>
              <w:spacing w:after="0"/>
              <w:rPr>
                <w:sz w:val="20"/>
                <w:szCs w:val="20"/>
                <w:color w:val="auto"/>
              </w:rPr>
            </w:pPr>
            <w:r>
              <w:rPr>
                <w:rFonts w:ascii="Arial" w:cs="Arial" w:eastAsia="Arial" w:hAnsi="Arial"/>
                <w:sz w:val="17"/>
                <w:szCs w:val="17"/>
                <w:color w:val="auto"/>
              </w:rPr>
              <w:t>INDEMNIFICATION OF DIRECTORS AND OFFICERS IN ACTIONS BY OR IN THE RIGHT OF THE</w:t>
            </w: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0"/>
        </w:trPr>
        <w:tc>
          <w:tcPr>
            <w:tcW w:w="2060" w:type="dxa"/>
            <w:vAlign w:val="bottom"/>
          </w:tcPr>
          <w:p>
            <w:pPr>
              <w:spacing w:after="0"/>
              <w:rPr>
                <w:sz w:val="17"/>
                <w:szCs w:val="17"/>
                <w:color w:val="auto"/>
              </w:rPr>
            </w:pPr>
          </w:p>
        </w:tc>
        <w:tc>
          <w:tcPr>
            <w:tcW w:w="8220" w:type="dxa"/>
            <w:vAlign w:val="bottom"/>
          </w:tcPr>
          <w:p>
            <w:pPr>
              <w:ind w:left="140"/>
              <w:spacing w:after="0"/>
              <w:rPr>
                <w:sz w:val="20"/>
                <w:szCs w:val="20"/>
                <w:color w:val="auto"/>
              </w:rPr>
            </w:pPr>
            <w:r>
              <w:rPr>
                <w:rFonts w:ascii="Arial" w:cs="Arial" w:eastAsia="Arial" w:hAnsi="Arial"/>
                <w:sz w:val="17"/>
                <w:szCs w:val="17"/>
                <w:color w:val="auto"/>
              </w:rPr>
              <w:t>COMPANY</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8.3</w:t>
            </w:r>
          </w:p>
        </w:tc>
        <w:tc>
          <w:tcPr>
            <w:tcW w:w="8220" w:type="dxa"/>
            <w:vAlign w:val="bottom"/>
          </w:tcPr>
          <w:p>
            <w:pPr>
              <w:ind w:left="140"/>
              <w:spacing w:after="0"/>
              <w:rPr>
                <w:sz w:val="20"/>
                <w:szCs w:val="20"/>
                <w:color w:val="auto"/>
              </w:rPr>
            </w:pPr>
            <w:r>
              <w:rPr>
                <w:rFonts w:ascii="Arial" w:cs="Arial" w:eastAsia="Arial" w:hAnsi="Arial"/>
                <w:sz w:val="17"/>
                <w:szCs w:val="17"/>
                <w:color w:val="auto"/>
              </w:rPr>
              <w:t>SUCCESSFUL DEFENSE</w:t>
            </w: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8.4</w:t>
            </w:r>
          </w:p>
        </w:tc>
        <w:tc>
          <w:tcPr>
            <w:tcW w:w="8220" w:type="dxa"/>
            <w:vAlign w:val="bottom"/>
          </w:tcPr>
          <w:p>
            <w:pPr>
              <w:ind w:left="140"/>
              <w:spacing w:after="0"/>
              <w:rPr>
                <w:sz w:val="20"/>
                <w:szCs w:val="20"/>
                <w:color w:val="auto"/>
              </w:rPr>
            </w:pPr>
            <w:r>
              <w:rPr>
                <w:rFonts w:ascii="Arial" w:cs="Arial" w:eastAsia="Arial" w:hAnsi="Arial"/>
                <w:sz w:val="17"/>
                <w:szCs w:val="17"/>
                <w:color w:val="auto"/>
              </w:rPr>
              <w:t>INDEMNIFICATION OF OTHERS</w:t>
            </w: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8.5</w:t>
            </w:r>
          </w:p>
        </w:tc>
        <w:tc>
          <w:tcPr>
            <w:tcW w:w="8220" w:type="dxa"/>
            <w:vAlign w:val="bottom"/>
          </w:tcPr>
          <w:p>
            <w:pPr>
              <w:ind w:left="140"/>
              <w:spacing w:after="0"/>
              <w:rPr>
                <w:sz w:val="20"/>
                <w:szCs w:val="20"/>
                <w:color w:val="auto"/>
              </w:rPr>
            </w:pPr>
            <w:r>
              <w:rPr>
                <w:rFonts w:ascii="Arial" w:cs="Arial" w:eastAsia="Arial" w:hAnsi="Arial"/>
                <w:sz w:val="17"/>
                <w:szCs w:val="17"/>
                <w:color w:val="auto"/>
              </w:rPr>
              <w:t>ADVANCED PAYMENT OF EXPENSES</w:t>
            </w: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8.6</w:t>
            </w:r>
          </w:p>
        </w:tc>
        <w:tc>
          <w:tcPr>
            <w:tcW w:w="8220" w:type="dxa"/>
            <w:vAlign w:val="bottom"/>
          </w:tcPr>
          <w:p>
            <w:pPr>
              <w:ind w:left="140"/>
              <w:spacing w:after="0"/>
              <w:rPr>
                <w:sz w:val="20"/>
                <w:szCs w:val="20"/>
                <w:color w:val="auto"/>
              </w:rPr>
            </w:pPr>
            <w:r>
              <w:rPr>
                <w:rFonts w:ascii="Arial" w:cs="Arial" w:eastAsia="Arial" w:hAnsi="Arial"/>
                <w:sz w:val="17"/>
                <w:szCs w:val="17"/>
                <w:color w:val="auto"/>
              </w:rPr>
              <w:t>LIMITATION ON INDEMNIFICATION</w:t>
            </w: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8.7</w:t>
            </w:r>
          </w:p>
        </w:tc>
        <w:tc>
          <w:tcPr>
            <w:tcW w:w="8220" w:type="dxa"/>
            <w:vAlign w:val="bottom"/>
          </w:tcPr>
          <w:p>
            <w:pPr>
              <w:ind w:left="140"/>
              <w:spacing w:after="0"/>
              <w:rPr>
                <w:sz w:val="20"/>
                <w:szCs w:val="20"/>
                <w:color w:val="auto"/>
              </w:rPr>
            </w:pPr>
            <w:r>
              <w:rPr>
                <w:rFonts w:ascii="Arial" w:cs="Arial" w:eastAsia="Arial" w:hAnsi="Arial"/>
                <w:sz w:val="17"/>
                <w:szCs w:val="17"/>
                <w:color w:val="auto"/>
              </w:rPr>
              <w:t>DETERMINATION; CLAIM</w:t>
            </w: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8.8</w:t>
            </w:r>
          </w:p>
        </w:tc>
        <w:tc>
          <w:tcPr>
            <w:tcW w:w="8220" w:type="dxa"/>
            <w:vAlign w:val="bottom"/>
          </w:tcPr>
          <w:p>
            <w:pPr>
              <w:ind w:left="140"/>
              <w:spacing w:after="0"/>
              <w:rPr>
                <w:sz w:val="20"/>
                <w:szCs w:val="20"/>
                <w:color w:val="auto"/>
              </w:rPr>
            </w:pPr>
            <w:r>
              <w:rPr>
                <w:rFonts w:ascii="Arial" w:cs="Arial" w:eastAsia="Arial" w:hAnsi="Arial"/>
                <w:sz w:val="17"/>
                <w:szCs w:val="17"/>
                <w:color w:val="auto"/>
              </w:rPr>
              <w:t>NON-EXCLUSIVITY OF RIGHTS</w:t>
            </w: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8.9</w:t>
            </w:r>
          </w:p>
        </w:tc>
        <w:tc>
          <w:tcPr>
            <w:tcW w:w="8220" w:type="dxa"/>
            <w:vAlign w:val="bottom"/>
          </w:tcPr>
          <w:p>
            <w:pPr>
              <w:ind w:left="140"/>
              <w:spacing w:after="0"/>
              <w:rPr>
                <w:sz w:val="20"/>
                <w:szCs w:val="20"/>
                <w:color w:val="auto"/>
              </w:rPr>
            </w:pPr>
            <w:r>
              <w:rPr>
                <w:rFonts w:ascii="Arial" w:cs="Arial" w:eastAsia="Arial" w:hAnsi="Arial"/>
                <w:sz w:val="17"/>
                <w:szCs w:val="17"/>
                <w:color w:val="auto"/>
              </w:rPr>
              <w:t>INSURANCE</w:t>
            </w: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8.10</w:t>
            </w:r>
          </w:p>
        </w:tc>
        <w:tc>
          <w:tcPr>
            <w:tcW w:w="8220" w:type="dxa"/>
            <w:vAlign w:val="bottom"/>
          </w:tcPr>
          <w:p>
            <w:pPr>
              <w:ind w:left="140"/>
              <w:spacing w:after="0"/>
              <w:rPr>
                <w:sz w:val="20"/>
                <w:szCs w:val="20"/>
                <w:color w:val="auto"/>
              </w:rPr>
            </w:pPr>
            <w:r>
              <w:rPr>
                <w:rFonts w:ascii="Arial" w:cs="Arial" w:eastAsia="Arial" w:hAnsi="Arial"/>
                <w:sz w:val="17"/>
                <w:szCs w:val="17"/>
                <w:color w:val="auto"/>
              </w:rPr>
              <w:t>SURVIVAL</w:t>
            </w: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8.11</w:t>
            </w:r>
          </w:p>
        </w:tc>
        <w:tc>
          <w:tcPr>
            <w:tcW w:w="8220" w:type="dxa"/>
            <w:vAlign w:val="bottom"/>
          </w:tcPr>
          <w:p>
            <w:pPr>
              <w:ind w:left="140"/>
              <w:spacing w:after="0"/>
              <w:rPr>
                <w:sz w:val="20"/>
                <w:szCs w:val="20"/>
                <w:color w:val="auto"/>
              </w:rPr>
            </w:pPr>
            <w:r>
              <w:rPr>
                <w:rFonts w:ascii="Arial" w:cs="Arial" w:eastAsia="Arial" w:hAnsi="Arial"/>
                <w:sz w:val="17"/>
                <w:szCs w:val="17"/>
                <w:color w:val="auto"/>
              </w:rPr>
              <w:t>EFFECT OF REPEAL OR MODIFICATION</w:t>
            </w: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8.12</w:t>
            </w:r>
          </w:p>
        </w:tc>
        <w:tc>
          <w:tcPr>
            <w:tcW w:w="8220" w:type="dxa"/>
            <w:vAlign w:val="bottom"/>
          </w:tcPr>
          <w:p>
            <w:pPr>
              <w:ind w:left="140"/>
              <w:spacing w:after="0"/>
              <w:rPr>
                <w:sz w:val="20"/>
                <w:szCs w:val="20"/>
                <w:color w:val="auto"/>
              </w:rPr>
            </w:pPr>
            <w:r>
              <w:rPr>
                <w:rFonts w:ascii="Arial" w:cs="Arial" w:eastAsia="Arial" w:hAnsi="Arial"/>
                <w:sz w:val="17"/>
                <w:szCs w:val="17"/>
                <w:color w:val="auto"/>
              </w:rPr>
              <w:t>CERTAIN DEFINITIONS</w:t>
            </w: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0"/>
        </w:trPr>
        <w:tc>
          <w:tcPr>
            <w:tcW w:w="2060" w:type="dxa"/>
            <w:vAlign w:val="bottom"/>
          </w:tcPr>
          <w:p>
            <w:pPr>
              <w:spacing w:after="0"/>
              <w:rPr>
                <w:sz w:val="19"/>
                <w:szCs w:val="19"/>
                <w:color w:val="auto"/>
              </w:rPr>
            </w:pPr>
          </w:p>
        </w:tc>
        <w:tc>
          <w:tcPr>
            <w:tcW w:w="8220" w:type="dxa"/>
            <w:vAlign w:val="bottom"/>
          </w:tcPr>
          <w:p>
            <w:pPr>
              <w:jc w:val="center"/>
              <w:ind w:right="1014"/>
              <w:spacing w:after="0"/>
              <w:rPr>
                <w:sz w:val="20"/>
                <w:szCs w:val="20"/>
                <w:color w:val="auto"/>
              </w:rPr>
            </w:pPr>
            <w:r>
              <w:rPr>
                <w:rFonts w:ascii="Arial" w:cs="Arial" w:eastAsia="Arial" w:hAnsi="Arial"/>
                <w:sz w:val="17"/>
                <w:szCs w:val="17"/>
                <w:color w:val="auto"/>
              </w:rPr>
              <w:t>-ii-</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60" w:type="dxa"/>
            <w:vAlign w:val="bottom"/>
            <w:tcBorders>
              <w:bottom w:val="single" w:sz="8" w:color="9A9A9A"/>
            </w:tcBorders>
          </w:tcPr>
          <w:p>
            <w:pPr>
              <w:spacing w:after="0"/>
              <w:rPr>
                <w:sz w:val="8"/>
                <w:szCs w:val="8"/>
                <w:color w:val="auto"/>
              </w:rPr>
            </w:pPr>
          </w:p>
        </w:tc>
        <w:tc>
          <w:tcPr>
            <w:tcW w:w="8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762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120" w:right="29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(continued)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7"/>
                <w:szCs w:val="17"/>
                <w:b w:val="1"/>
                <w:bCs w:val="1"/>
                <w:i w:val="1"/>
                <w:iCs w:val="1"/>
                <w:color w:val="auto"/>
              </w:rPr>
              <w:t>Page</w:t>
            </w:r>
          </w:p>
        </w:tc>
      </w:tr>
      <w:tr>
        <w:trPr>
          <w:trHeight w:val="481"/>
        </w:trPr>
        <w:tc>
          <w:tcPr>
            <w:tcW w:w="9080" w:type="dxa"/>
            <w:vAlign w:val="bottom"/>
            <w:gridSpan w:val="2"/>
          </w:tcPr>
          <w:p>
            <w:pPr>
              <w:spacing w:after="0"/>
              <w:rPr>
                <w:sz w:val="20"/>
                <w:szCs w:val="20"/>
                <w:color w:val="auto"/>
              </w:rPr>
            </w:pPr>
            <w:r>
              <w:rPr>
                <w:rFonts w:ascii="Arial" w:cs="Arial" w:eastAsia="Arial" w:hAnsi="Arial"/>
                <w:sz w:val="17"/>
                <w:szCs w:val="17"/>
                <w:color w:val="auto"/>
              </w:rPr>
              <w:t>ARTICLE IX - GENERAL MATTERS</w:t>
            </w:r>
          </w:p>
        </w:tc>
        <w:tc>
          <w:tcPr>
            <w:tcW w:w="21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87"/>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9.1</w:t>
            </w:r>
          </w:p>
        </w:tc>
        <w:tc>
          <w:tcPr>
            <w:tcW w:w="7020" w:type="dxa"/>
            <w:vAlign w:val="bottom"/>
          </w:tcPr>
          <w:p>
            <w:pPr>
              <w:ind w:left="140"/>
              <w:spacing w:after="0"/>
              <w:rPr>
                <w:sz w:val="20"/>
                <w:szCs w:val="20"/>
                <w:color w:val="auto"/>
              </w:rPr>
            </w:pPr>
            <w:r>
              <w:rPr>
                <w:rFonts w:ascii="Arial" w:cs="Arial" w:eastAsia="Arial" w:hAnsi="Arial"/>
                <w:sz w:val="17"/>
                <w:szCs w:val="17"/>
                <w:color w:val="auto"/>
              </w:rPr>
              <w:t>EXECUTION OF CORPORATE CONTRACTS AND INSTRUMENTS</w:t>
            </w:r>
          </w:p>
        </w:tc>
        <w:tc>
          <w:tcPr>
            <w:tcW w:w="21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9.2</w:t>
            </w:r>
          </w:p>
        </w:tc>
        <w:tc>
          <w:tcPr>
            <w:tcW w:w="7020" w:type="dxa"/>
            <w:vAlign w:val="bottom"/>
          </w:tcPr>
          <w:p>
            <w:pPr>
              <w:ind w:left="140"/>
              <w:spacing w:after="0"/>
              <w:rPr>
                <w:sz w:val="20"/>
                <w:szCs w:val="20"/>
                <w:color w:val="auto"/>
              </w:rPr>
            </w:pPr>
            <w:r>
              <w:rPr>
                <w:rFonts w:ascii="Arial" w:cs="Arial" w:eastAsia="Arial" w:hAnsi="Arial"/>
                <w:sz w:val="17"/>
                <w:szCs w:val="17"/>
                <w:color w:val="auto"/>
              </w:rPr>
              <w:t>FISCAL YEAR</w:t>
            </w:r>
          </w:p>
        </w:tc>
        <w:tc>
          <w:tcPr>
            <w:tcW w:w="21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9.3</w:t>
            </w:r>
          </w:p>
        </w:tc>
        <w:tc>
          <w:tcPr>
            <w:tcW w:w="7020" w:type="dxa"/>
            <w:vAlign w:val="bottom"/>
          </w:tcPr>
          <w:p>
            <w:pPr>
              <w:ind w:left="140"/>
              <w:spacing w:after="0"/>
              <w:rPr>
                <w:sz w:val="20"/>
                <w:szCs w:val="20"/>
                <w:color w:val="auto"/>
              </w:rPr>
            </w:pPr>
            <w:r>
              <w:rPr>
                <w:rFonts w:ascii="Arial" w:cs="Arial" w:eastAsia="Arial" w:hAnsi="Arial"/>
                <w:sz w:val="17"/>
                <w:szCs w:val="17"/>
                <w:color w:val="auto"/>
              </w:rPr>
              <w:t>SEAL</w:t>
            </w:r>
          </w:p>
        </w:tc>
        <w:tc>
          <w:tcPr>
            <w:tcW w:w="21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9.4</w:t>
            </w:r>
          </w:p>
        </w:tc>
        <w:tc>
          <w:tcPr>
            <w:tcW w:w="7020" w:type="dxa"/>
            <w:vAlign w:val="bottom"/>
          </w:tcPr>
          <w:p>
            <w:pPr>
              <w:ind w:left="140"/>
              <w:spacing w:after="0"/>
              <w:rPr>
                <w:sz w:val="20"/>
                <w:szCs w:val="20"/>
                <w:color w:val="auto"/>
              </w:rPr>
            </w:pPr>
            <w:r>
              <w:rPr>
                <w:rFonts w:ascii="Arial" w:cs="Arial" w:eastAsia="Arial" w:hAnsi="Arial"/>
                <w:sz w:val="17"/>
                <w:szCs w:val="17"/>
                <w:color w:val="auto"/>
              </w:rPr>
              <w:t>CONSTRUCTION; DEFINITIONS</w:t>
            </w:r>
          </w:p>
        </w:tc>
        <w:tc>
          <w:tcPr>
            <w:tcW w:w="21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0"/>
        </w:trPr>
        <w:tc>
          <w:tcPr>
            <w:tcW w:w="2060" w:type="dxa"/>
            <w:vAlign w:val="bottom"/>
          </w:tcPr>
          <w:p>
            <w:pPr>
              <w:jc w:val="right"/>
              <w:ind w:right="54"/>
              <w:spacing w:after="0"/>
              <w:rPr>
                <w:sz w:val="20"/>
                <w:szCs w:val="20"/>
                <w:color w:val="auto"/>
              </w:rPr>
            </w:pPr>
            <w:r>
              <w:rPr>
                <w:rFonts w:ascii="Arial" w:cs="Arial" w:eastAsia="Arial" w:hAnsi="Arial"/>
                <w:sz w:val="17"/>
                <w:szCs w:val="17"/>
                <w:color w:val="auto"/>
              </w:rPr>
              <w:t>9.5</w:t>
            </w:r>
          </w:p>
        </w:tc>
        <w:tc>
          <w:tcPr>
            <w:tcW w:w="7020" w:type="dxa"/>
            <w:vAlign w:val="bottom"/>
          </w:tcPr>
          <w:p>
            <w:pPr>
              <w:ind w:left="140"/>
              <w:spacing w:after="0"/>
              <w:rPr>
                <w:sz w:val="20"/>
                <w:szCs w:val="20"/>
                <w:color w:val="auto"/>
              </w:rPr>
            </w:pPr>
            <w:r>
              <w:rPr>
                <w:rFonts w:ascii="Arial" w:cs="Arial" w:eastAsia="Arial" w:hAnsi="Arial"/>
                <w:sz w:val="17"/>
                <w:szCs w:val="17"/>
                <w:color w:val="auto"/>
              </w:rPr>
              <w:t>FORUM SELECTION</w:t>
            </w:r>
          </w:p>
        </w:tc>
        <w:tc>
          <w:tcPr>
            <w:tcW w:w="21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0"/>
        </w:trPr>
        <w:tc>
          <w:tcPr>
            <w:tcW w:w="9080" w:type="dxa"/>
            <w:vAlign w:val="bottom"/>
            <w:gridSpan w:val="2"/>
          </w:tcPr>
          <w:p>
            <w:pPr>
              <w:spacing w:after="0"/>
              <w:rPr>
                <w:sz w:val="20"/>
                <w:szCs w:val="20"/>
                <w:color w:val="auto"/>
              </w:rPr>
            </w:pPr>
            <w:r>
              <w:rPr>
                <w:rFonts w:ascii="Arial" w:cs="Arial" w:eastAsia="Arial" w:hAnsi="Arial"/>
                <w:sz w:val="17"/>
                <w:szCs w:val="17"/>
                <w:color w:val="auto"/>
              </w:rPr>
              <w:t>ARTICLE X – AMENDMENTS</w:t>
            </w:r>
          </w:p>
        </w:tc>
        <w:tc>
          <w:tcPr>
            <w:tcW w:w="2180" w:type="dxa"/>
            <w:vAlign w:val="bottom"/>
          </w:tcPr>
          <w:p>
            <w:pPr>
              <w:jc w:val="right"/>
              <w:spacing w:after="0"/>
              <w:rPr>
                <w:sz w:val="20"/>
                <w:szCs w:val="20"/>
                <w:color w:val="auto"/>
              </w:rPr>
            </w:pPr>
            <w:r>
              <w:rPr>
                <w:rFonts w:ascii="Arial" w:cs="Arial" w:eastAsia="Arial" w:hAnsi="Arial"/>
                <w:sz w:val="17"/>
                <w:szCs w:val="17"/>
                <w:color w:val="auto"/>
              </w:rPr>
              <w:t>25</w:t>
            </w:r>
          </w:p>
        </w:tc>
      </w:tr>
    </w:tbl>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BYLAWS OF 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263525</wp:posOffset>
            </wp:positionV>
            <wp:extent cx="256794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25679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 - CORPORATE OFFICES</w:t>
      </w:r>
    </w:p>
    <w:p>
      <w:pPr>
        <w:spacing w:after="0" w:line="20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REGISTERED OFFICE</w:t>
      </w:r>
    </w:p>
    <w:p>
      <w:pPr>
        <w:spacing w:after="0" w:line="188" w:lineRule="exact"/>
        <w:rPr>
          <w:sz w:val="20"/>
          <w:szCs w:val="20"/>
          <w:color w:val="auto"/>
        </w:rPr>
      </w:pPr>
    </w:p>
    <w:p>
      <w:pPr>
        <w:jc w:val="both"/>
        <w:ind w:right="20" w:firstLine="866"/>
        <w:spacing w:after="0" w:line="283" w:lineRule="auto"/>
        <w:rPr>
          <w:sz w:val="20"/>
          <w:szCs w:val="20"/>
          <w:color w:val="auto"/>
        </w:rPr>
      </w:pPr>
      <w:r>
        <w:rPr>
          <w:rFonts w:ascii="Arial" w:cs="Arial" w:eastAsia="Arial" w:hAnsi="Arial"/>
          <w:sz w:val="17"/>
          <w:szCs w:val="17"/>
          <w:color w:val="auto"/>
        </w:rPr>
        <w:t>The registered office of Athira Pharma, Inc. (the “</w:t>
      </w:r>
      <w:r>
        <w:rPr>
          <w:rFonts w:ascii="Arial" w:cs="Arial" w:eastAsia="Arial" w:hAnsi="Arial"/>
          <w:sz w:val="17"/>
          <w:szCs w:val="17"/>
          <w:b w:val="1"/>
          <w:bCs w:val="1"/>
          <w:color w:val="auto"/>
        </w:rPr>
        <w:t>Company</w:t>
      </w:r>
      <w:r>
        <w:rPr>
          <w:rFonts w:ascii="Arial" w:cs="Arial" w:eastAsia="Arial" w:hAnsi="Arial"/>
          <w:sz w:val="17"/>
          <w:szCs w:val="17"/>
          <w:color w:val="auto"/>
        </w:rPr>
        <w:t>”) shall be fixed in the Company’s certificate of incorporation, as the same may be amended from time to time.</w:t>
      </w:r>
    </w:p>
    <w:p>
      <w:pPr>
        <w:spacing w:after="0" w:line="135"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color w:val="auto"/>
        </w:rPr>
        <w:t>OTHER OFFICES</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Company may at any time establish other offices.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 - MEETINGS OF STOCKHOLDERS</w:t>
      </w:r>
    </w:p>
    <w:p>
      <w:pPr>
        <w:spacing w:after="0" w:line="20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color w:val="auto"/>
        </w:rPr>
        <w:t>PLACE OF MEETINGS</w:t>
      </w:r>
    </w:p>
    <w:p>
      <w:pPr>
        <w:spacing w:after="0" w:line="194" w:lineRule="exact"/>
        <w:rPr>
          <w:sz w:val="20"/>
          <w:szCs w:val="20"/>
          <w:color w:val="auto"/>
        </w:rPr>
      </w:pPr>
    </w:p>
    <w:p>
      <w:pPr>
        <w:jc w:val="both"/>
        <w:ind w:firstLine="866"/>
        <w:spacing w:after="0" w:line="277" w:lineRule="auto"/>
        <w:rPr>
          <w:sz w:val="20"/>
          <w:szCs w:val="20"/>
          <w:color w:val="auto"/>
        </w:rPr>
      </w:pPr>
      <w:r>
        <w:rPr>
          <w:rFonts w:ascii="Arial" w:cs="Arial" w:eastAsia="Arial" w:hAnsi="Arial"/>
          <w:sz w:val="16"/>
          <w:szCs w:val="16"/>
          <w:color w:val="auto"/>
        </w:rPr>
        <w:t>Meetings of stockholders shall be held at a place, if any, within or outside the State of Delaware, determined by 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In the absence of any such designation or determination, stockholders’ meetings shall be held at the Company’s principal executive office.</w:t>
      </w:r>
    </w:p>
    <w:p>
      <w:pPr>
        <w:spacing w:after="0" w:line="141"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ANNUAL MEETING</w:t>
      </w:r>
    </w:p>
    <w:p>
      <w:pPr>
        <w:spacing w:after="0" w:line="194" w:lineRule="exact"/>
        <w:rPr>
          <w:sz w:val="20"/>
          <w:szCs w:val="20"/>
          <w:color w:val="auto"/>
        </w:rPr>
      </w:pPr>
    </w:p>
    <w:p>
      <w:pPr>
        <w:jc w:val="both"/>
        <w:ind w:firstLine="866"/>
        <w:spacing w:after="0" w:line="295" w:lineRule="auto"/>
        <w:rPr>
          <w:sz w:val="20"/>
          <w:szCs w:val="20"/>
          <w:color w:val="auto"/>
        </w:rPr>
      </w:pPr>
      <w:r>
        <w:rPr>
          <w:rFonts w:ascii="Arial" w:cs="Arial" w:eastAsia="Arial" w:hAnsi="Arial"/>
          <w:sz w:val="15"/>
          <w:szCs w:val="15"/>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Arial" w:cs="Arial" w:eastAsia="Arial" w:hAnsi="Arial"/>
          <w:sz w:val="15"/>
          <w:szCs w:val="15"/>
          <w:b w:val="1"/>
          <w:bCs w:val="1"/>
          <w:color w:val="auto"/>
        </w:rPr>
        <w:t>Whole Board</w:t>
      </w:r>
      <w:r>
        <w:rPr>
          <w:rFonts w:ascii="Arial" w:cs="Arial" w:eastAsia="Arial" w:hAnsi="Arial"/>
          <w:sz w:val="15"/>
          <w:szCs w:val="15"/>
          <w:color w:val="auto"/>
        </w:rPr>
        <w:t>” shall mean the total number of authorized directorships whether or not there exist any vacancies or other unfilled seats in previously authorized directorships.</w:t>
      </w:r>
    </w:p>
    <w:p>
      <w:pPr>
        <w:spacing w:after="0" w:line="131"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color w:val="auto"/>
        </w:rPr>
        <w:t>SPECIAL MEETING</w:t>
      </w:r>
    </w:p>
    <w:p>
      <w:pPr>
        <w:spacing w:after="0" w:line="194" w:lineRule="exact"/>
        <w:rPr>
          <w:sz w:val="20"/>
          <w:szCs w:val="20"/>
          <w:color w:val="auto"/>
        </w:rPr>
      </w:pPr>
    </w:p>
    <w:p>
      <w:pPr>
        <w:jc w:val="both"/>
        <w:ind w:firstLine="1726"/>
        <w:spacing w:after="0" w:line="273" w:lineRule="auto"/>
        <w:tabs>
          <w:tab w:leader="none" w:pos="2489"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44" w:lineRule="exact"/>
        <w:rPr>
          <w:rFonts w:ascii="Arial" w:cs="Arial" w:eastAsia="Arial" w:hAnsi="Arial"/>
          <w:sz w:val="16"/>
          <w:szCs w:val="16"/>
          <w:color w:val="auto"/>
        </w:rPr>
      </w:pPr>
    </w:p>
    <w:p>
      <w:pPr>
        <w:ind w:left="5580" w:hanging="100"/>
        <w:spacing w:after="0"/>
        <w:tabs>
          <w:tab w:leader="none" w:pos="55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94" w:name="page95"/>
    <w:bookmarkEnd w:id="94"/>
    <w:p>
      <w:pPr>
        <w:jc w:val="both"/>
        <w:ind w:left="-860" w:firstLine="1726"/>
        <w:spacing w:after="0" w:line="256" w:lineRule="auto"/>
        <w:tabs>
          <w:tab w:leader="none" w:pos="1639"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5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6"/>
          <w:szCs w:val="16"/>
          <w:color w:val="auto"/>
        </w:rPr>
        <w:t>ADVANCE NOTICE PROCEDURES</w:t>
      </w:r>
    </w:p>
    <w:p>
      <w:pPr>
        <w:spacing w:after="0" w:line="194" w:lineRule="exact"/>
        <w:rPr>
          <w:sz w:val="20"/>
          <w:szCs w:val="20"/>
          <w:color w:val="auto"/>
        </w:rPr>
      </w:pPr>
    </w:p>
    <w:p>
      <w:pPr>
        <w:ind w:left="1620" w:hanging="754"/>
        <w:spacing w:after="0"/>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Annual Meetings of Stockholders.</w:t>
      </w:r>
    </w:p>
    <w:p>
      <w:pPr>
        <w:spacing w:after="0" w:line="193" w:lineRule="exact"/>
        <w:rPr>
          <w:rFonts w:ascii="Arial" w:cs="Arial" w:eastAsia="Arial" w:hAnsi="Arial"/>
          <w:sz w:val="17"/>
          <w:szCs w:val="17"/>
          <w:color w:val="auto"/>
        </w:rPr>
      </w:pPr>
    </w:p>
    <w:p>
      <w:pPr>
        <w:jc w:val="both"/>
        <w:ind w:left="-860" w:firstLine="2593"/>
        <w:spacing w:after="0" w:line="251" w:lineRule="auto"/>
        <w:tabs>
          <w:tab w:leader="none" w:pos="2467" w:val="left"/>
        </w:tabs>
        <w:numPr>
          <w:ilvl w:val="1"/>
          <w:numId w:val="55"/>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Directors;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60" w:lineRule="exact"/>
        <w:rPr>
          <w:rFonts w:ascii="Arial" w:cs="Arial" w:eastAsia="Arial" w:hAnsi="Arial"/>
          <w:sz w:val="17"/>
          <w:szCs w:val="17"/>
          <w:color w:val="auto"/>
        </w:rPr>
      </w:pPr>
    </w:p>
    <w:p>
      <w:pPr>
        <w:jc w:val="both"/>
        <w:ind w:left="-860" w:firstLine="2593"/>
        <w:spacing w:after="0" w:line="264" w:lineRule="auto"/>
        <w:tabs>
          <w:tab w:leader="none" w:pos="2515" w:val="left"/>
        </w:tabs>
        <w:numPr>
          <w:ilvl w:val="1"/>
          <w:numId w:val="55"/>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Arial" w:cs="Arial" w:eastAsia="Arial" w:hAnsi="Arial"/>
          <w:sz w:val="16"/>
          <w:szCs w:val="16"/>
          <w:b w:val="1"/>
          <w:bCs w:val="1"/>
          <w:color w:val="auto"/>
        </w:rPr>
        <w:t>Public announcement</w:t>
      </w:r>
      <w:r>
        <w:rPr>
          <w:rFonts w:ascii="Arial" w:cs="Arial" w:eastAsia="Arial" w:hAnsi="Arial"/>
          <w:sz w:val="16"/>
          <w:szCs w:val="16"/>
          <w:color w:val="auto"/>
        </w:rPr>
        <w:t>” means disclosure in a press release reported by a national news service or in a document publicly filed by the Company with the Securities and Exchange Commission pursuant to Section 13, 14 or 15(d) of the Securities Exchange Act of 1934 (as amended and inclusive of rules and regulations thereunder, the “</w:t>
      </w:r>
      <w:r>
        <w:rPr>
          <w:rFonts w:ascii="Arial" w:cs="Arial" w:eastAsia="Arial" w:hAnsi="Arial"/>
          <w:sz w:val="16"/>
          <w:szCs w:val="16"/>
          <w:b w:val="1"/>
          <w:bCs w:val="1"/>
          <w:color w:val="auto"/>
        </w:rPr>
        <w:t>1934 Act</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ind w:left="4720" w:hanging="100"/>
        <w:spacing w:after="0"/>
        <w:tabs>
          <w:tab w:leader="none" w:pos="4720" w:val="left"/>
        </w:tabs>
        <w:numPr>
          <w:ilvl w:val="2"/>
          <w:numId w:val="55"/>
        </w:numPr>
        <w:rPr>
          <w:rFonts w:ascii="Arial" w:cs="Arial" w:eastAsia="Arial" w:hAnsi="Arial"/>
          <w:sz w:val="17"/>
          <w:szCs w:val="17"/>
          <w:color w:val="auto"/>
        </w:rPr>
      </w:pPr>
      <w:r>
        <w:rPr>
          <w:rFonts w:ascii="Arial" w:cs="Arial" w:eastAsia="Arial" w:hAnsi="Arial"/>
          <w:sz w:val="17"/>
          <w:szCs w:val="17"/>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72390</wp:posOffset>
            </wp:positionV>
            <wp:extent cx="716470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0400"/>
          </w:cols>
          <w:pgMar w:left="1180" w:top="502" w:right="319" w:bottom="1440" w:gutter="0" w:footer="0" w:header="0"/>
        </w:sectPr>
      </w:pPr>
    </w:p>
    <w:bookmarkStart w:id="95" w:name="page96"/>
    <w:bookmarkEnd w:id="95"/>
    <w:p>
      <w:pPr>
        <w:ind w:left="3420" w:hanging="827"/>
        <w:spacing w:after="0"/>
        <w:tabs>
          <w:tab w:leader="none" w:pos="3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stockholder’s notice to the secretary must set forth:</w:t>
      </w:r>
    </w:p>
    <w:p>
      <w:pPr>
        <w:spacing w:after="0" w:line="193" w:lineRule="exact"/>
        <w:rPr>
          <w:rFonts w:ascii="Arial" w:cs="Arial" w:eastAsia="Arial" w:hAnsi="Arial"/>
          <w:sz w:val="17"/>
          <w:szCs w:val="17"/>
          <w:color w:val="auto"/>
        </w:rPr>
      </w:pPr>
    </w:p>
    <w:p>
      <w:pPr>
        <w:ind w:left="4220" w:hanging="761"/>
        <w:spacing w:after="0"/>
        <w:tabs>
          <w:tab w:leader="none" w:pos="42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as to each person whom the stockholder proposes to nominate for election as a director:</w:t>
      </w:r>
    </w:p>
    <w:p>
      <w:pPr>
        <w:spacing w:after="0" w:line="193" w:lineRule="exact"/>
        <w:rPr>
          <w:rFonts w:ascii="Arial" w:cs="Arial" w:eastAsia="Arial" w:hAnsi="Arial"/>
          <w:sz w:val="17"/>
          <w:szCs w:val="17"/>
          <w:color w:val="auto"/>
        </w:rPr>
      </w:pPr>
    </w:p>
    <w:p>
      <w:pPr>
        <w:jc w:val="both"/>
        <w:ind w:right="20" w:firstLine="4325"/>
        <w:spacing w:after="0" w:line="270" w:lineRule="auto"/>
        <w:tabs>
          <w:tab w:leader="none" w:pos="5136" w:val="left"/>
        </w:tabs>
        <w:numPr>
          <w:ilvl w:val="2"/>
          <w:numId w:val="56"/>
        </w:numPr>
        <w:rPr>
          <w:rFonts w:ascii="Arial" w:cs="Arial" w:eastAsia="Arial" w:hAnsi="Arial"/>
          <w:sz w:val="16"/>
          <w:szCs w:val="16"/>
          <w:color w:val="auto"/>
        </w:rPr>
      </w:pPr>
      <w:r>
        <w:rPr>
          <w:rFonts w:ascii="Arial" w:cs="Arial" w:eastAsia="Arial" w:hAnsi="Arial"/>
          <w:sz w:val="16"/>
          <w:szCs w:val="16"/>
          <w:color w:val="auto"/>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the Section 14 of the 1934 Act;</w:t>
      </w:r>
    </w:p>
    <w:p>
      <w:pPr>
        <w:spacing w:after="0" w:line="149" w:lineRule="exact"/>
        <w:rPr>
          <w:rFonts w:ascii="Arial" w:cs="Arial" w:eastAsia="Arial" w:hAnsi="Arial"/>
          <w:sz w:val="16"/>
          <w:szCs w:val="16"/>
          <w:color w:val="auto"/>
        </w:rPr>
      </w:pPr>
    </w:p>
    <w:p>
      <w:pPr>
        <w:ind w:right="20" w:firstLine="4325"/>
        <w:spacing w:after="0" w:line="276" w:lineRule="auto"/>
        <w:tabs>
          <w:tab w:leader="none" w:pos="5126" w:val="left"/>
        </w:tabs>
        <w:numPr>
          <w:ilvl w:val="2"/>
          <w:numId w:val="56"/>
        </w:numPr>
        <w:rPr>
          <w:rFonts w:ascii="Arial" w:cs="Arial" w:eastAsia="Arial" w:hAnsi="Arial"/>
          <w:sz w:val="17"/>
          <w:szCs w:val="17"/>
          <w:color w:val="auto"/>
        </w:rPr>
      </w:pPr>
      <w:r>
        <w:rPr>
          <w:rFonts w:ascii="Arial" w:cs="Arial" w:eastAsia="Arial" w:hAnsi="Arial"/>
          <w:sz w:val="17"/>
          <w:szCs w:val="17"/>
          <w:color w:val="auto"/>
        </w:rPr>
        <w:t>such person’s written consent to being named in such stockholder’s proxy statement as a nominee of such stockholder and to serving as a director of the Company if elected;</w:t>
      </w:r>
    </w:p>
    <w:p>
      <w:pPr>
        <w:spacing w:after="0" w:line="139" w:lineRule="exact"/>
        <w:rPr>
          <w:rFonts w:ascii="Arial" w:cs="Arial" w:eastAsia="Arial" w:hAnsi="Arial"/>
          <w:sz w:val="17"/>
          <w:szCs w:val="17"/>
          <w:color w:val="auto"/>
        </w:rPr>
      </w:pPr>
    </w:p>
    <w:p>
      <w:pPr>
        <w:jc w:val="both"/>
        <w:ind w:firstLine="4325"/>
        <w:spacing w:after="0" w:line="256" w:lineRule="auto"/>
        <w:tabs>
          <w:tab w:leader="none" w:pos="5126" w:val="left"/>
        </w:tabs>
        <w:numPr>
          <w:ilvl w:val="2"/>
          <w:numId w:val="56"/>
        </w:numPr>
        <w:rPr>
          <w:rFonts w:ascii="Arial" w:cs="Arial" w:eastAsia="Arial" w:hAnsi="Arial"/>
          <w:sz w:val="17"/>
          <w:szCs w:val="17"/>
          <w:color w:val="auto"/>
        </w:rPr>
      </w:pPr>
      <w:r>
        <w:rPr>
          <w:rFonts w:ascii="Arial" w:cs="Arial" w:eastAsia="Arial" w:hAnsi="Arial"/>
          <w:sz w:val="17"/>
          <w:szCs w:val="17"/>
          <w:color w:val="auto"/>
        </w:rPr>
        <w:t>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Arial" w:cs="Arial" w:eastAsia="Arial" w:hAnsi="Arial"/>
          <w:sz w:val="17"/>
          <w:szCs w:val="17"/>
          <w:b w:val="1"/>
          <w:bCs w:val="1"/>
          <w:color w:val="auto"/>
        </w:rPr>
        <w:t>Third-Party Compensation Arrangement</w:t>
      </w:r>
      <w:r>
        <w:rPr>
          <w:rFonts w:ascii="Arial" w:cs="Arial" w:eastAsia="Arial" w:hAnsi="Arial"/>
          <w:sz w:val="17"/>
          <w:szCs w:val="17"/>
          <w:color w:val="auto"/>
        </w:rPr>
        <w:t>”); and</w:t>
      </w:r>
    </w:p>
    <w:p>
      <w:pPr>
        <w:spacing w:after="0" w:line="156" w:lineRule="exact"/>
        <w:rPr>
          <w:rFonts w:ascii="Arial" w:cs="Arial" w:eastAsia="Arial" w:hAnsi="Arial"/>
          <w:sz w:val="17"/>
          <w:szCs w:val="17"/>
          <w:color w:val="auto"/>
        </w:rPr>
      </w:pPr>
    </w:p>
    <w:p>
      <w:pPr>
        <w:jc w:val="both"/>
        <w:ind w:right="20" w:firstLine="4325"/>
        <w:spacing w:after="0" w:line="284" w:lineRule="auto"/>
        <w:tabs>
          <w:tab w:leader="none" w:pos="5136" w:val="left"/>
        </w:tabs>
        <w:numPr>
          <w:ilvl w:val="2"/>
          <w:numId w:val="56"/>
        </w:numPr>
        <w:rPr>
          <w:rFonts w:ascii="Arial" w:cs="Arial" w:eastAsia="Arial" w:hAnsi="Arial"/>
          <w:sz w:val="16"/>
          <w:szCs w:val="16"/>
          <w:color w:val="auto"/>
        </w:rPr>
      </w:pPr>
      <w:r>
        <w:rPr>
          <w:rFonts w:ascii="Arial" w:cs="Arial" w:eastAsia="Arial" w:hAnsi="Arial"/>
          <w:sz w:val="16"/>
          <w:szCs w:val="16"/>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136" w:lineRule="exact"/>
        <w:rPr>
          <w:rFonts w:ascii="Arial" w:cs="Arial" w:eastAsia="Arial" w:hAnsi="Arial"/>
          <w:sz w:val="16"/>
          <w:szCs w:val="16"/>
          <w:color w:val="auto"/>
        </w:rPr>
      </w:pPr>
    </w:p>
    <w:p>
      <w:pPr>
        <w:ind w:left="4220" w:hanging="761"/>
        <w:spacing w:after="0"/>
        <w:tabs>
          <w:tab w:leader="none" w:pos="42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as to any other business that the stockholder proposes to bring before the annual meeting:</w:t>
      </w:r>
    </w:p>
    <w:p>
      <w:pPr>
        <w:spacing w:after="0" w:line="193" w:lineRule="exact"/>
        <w:rPr>
          <w:rFonts w:ascii="Arial" w:cs="Arial" w:eastAsia="Arial" w:hAnsi="Arial"/>
          <w:sz w:val="17"/>
          <w:szCs w:val="17"/>
          <w:color w:val="auto"/>
        </w:rPr>
      </w:pPr>
    </w:p>
    <w:p>
      <w:pPr>
        <w:ind w:left="5140" w:hanging="815"/>
        <w:spacing w:after="0"/>
        <w:tabs>
          <w:tab w:leader="none" w:pos="5140" w:val="left"/>
        </w:tabs>
        <w:numPr>
          <w:ilvl w:val="2"/>
          <w:numId w:val="56"/>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annual meeting;</w:t>
      </w:r>
    </w:p>
    <w:p>
      <w:pPr>
        <w:spacing w:after="0" w:line="205" w:lineRule="exact"/>
        <w:rPr>
          <w:rFonts w:ascii="Arial" w:cs="Arial" w:eastAsia="Arial" w:hAnsi="Arial"/>
          <w:sz w:val="16"/>
          <w:szCs w:val="16"/>
          <w:color w:val="auto"/>
        </w:rPr>
      </w:pPr>
    </w:p>
    <w:p>
      <w:pPr>
        <w:ind w:left="5120" w:hanging="795"/>
        <w:spacing w:after="0"/>
        <w:tabs>
          <w:tab w:leader="none" w:pos="5120" w:val="left"/>
        </w:tabs>
        <w:numPr>
          <w:ilvl w:val="2"/>
          <w:numId w:val="56"/>
        </w:numPr>
        <w:rPr>
          <w:rFonts w:ascii="Arial" w:cs="Arial" w:eastAsia="Arial" w:hAnsi="Arial"/>
          <w:sz w:val="16"/>
          <w:szCs w:val="16"/>
          <w:color w:val="auto"/>
        </w:rPr>
      </w:pPr>
      <w:r>
        <w:rPr>
          <w:rFonts w:ascii="Arial" w:cs="Arial" w:eastAsia="Arial" w:hAnsi="Arial"/>
          <w:sz w:val="16"/>
          <w:szCs w:val="16"/>
          <w:color w:val="auto"/>
        </w:rPr>
        <w:t>the text of the proposal or business (including the text of any resolutions proposed for</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consideration and, if applicable, the text of any proposed amendment to these bylaws or the Company’s certificate of incorporation);</w:t>
      </w:r>
    </w:p>
    <w:p>
      <w:pPr>
        <w:spacing w:after="0" w:line="179" w:lineRule="exact"/>
        <w:rPr>
          <w:rFonts w:ascii="Arial" w:cs="Arial" w:eastAsia="Arial" w:hAnsi="Arial"/>
          <w:sz w:val="16"/>
          <w:szCs w:val="16"/>
          <w:color w:val="auto"/>
        </w:rPr>
      </w:pPr>
    </w:p>
    <w:p>
      <w:pPr>
        <w:ind w:left="5120" w:hanging="795"/>
        <w:spacing w:after="0"/>
        <w:tabs>
          <w:tab w:leader="none" w:pos="5120" w:val="left"/>
        </w:tabs>
        <w:numPr>
          <w:ilvl w:val="2"/>
          <w:numId w:val="56"/>
        </w:numPr>
        <w:rPr>
          <w:rFonts w:ascii="Arial" w:cs="Arial" w:eastAsia="Arial" w:hAnsi="Arial"/>
          <w:sz w:val="17"/>
          <w:szCs w:val="17"/>
          <w:color w:val="auto"/>
        </w:rPr>
      </w:pPr>
      <w:r>
        <w:rPr>
          <w:rFonts w:ascii="Arial" w:cs="Arial" w:eastAsia="Arial" w:hAnsi="Arial"/>
          <w:sz w:val="17"/>
          <w:szCs w:val="17"/>
          <w:color w:val="auto"/>
        </w:rPr>
        <w:t>the reasons for conducting such business at the annual meeting;</w:t>
      </w:r>
    </w:p>
    <w:p>
      <w:pPr>
        <w:spacing w:after="0" w:line="193" w:lineRule="exact"/>
        <w:rPr>
          <w:rFonts w:ascii="Arial" w:cs="Arial" w:eastAsia="Arial" w:hAnsi="Arial"/>
          <w:sz w:val="17"/>
          <w:szCs w:val="17"/>
          <w:color w:val="auto"/>
        </w:rPr>
      </w:pPr>
    </w:p>
    <w:p>
      <w:pPr>
        <w:ind w:left="5140" w:hanging="815"/>
        <w:spacing w:after="0"/>
        <w:tabs>
          <w:tab w:leader="none" w:pos="5140" w:val="left"/>
        </w:tabs>
        <w:numPr>
          <w:ilvl w:val="2"/>
          <w:numId w:val="56"/>
        </w:numPr>
        <w:rPr>
          <w:rFonts w:ascii="Arial" w:cs="Arial" w:eastAsia="Arial" w:hAnsi="Arial"/>
          <w:sz w:val="16"/>
          <w:szCs w:val="16"/>
          <w:color w:val="auto"/>
        </w:rPr>
      </w:pPr>
      <w:r>
        <w:rPr>
          <w:rFonts w:ascii="Arial" w:cs="Arial" w:eastAsia="Arial" w:hAnsi="Arial"/>
          <w:sz w:val="16"/>
          <w:szCs w:val="16"/>
          <w:color w:val="auto"/>
        </w:rPr>
        <w:t>any material interest in such business of such stockholder giving the notice and the</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beneficial owner, if any, on whose behalf the proposal is made, and their respective affiliates and associates, or others acting in concert with them; and</w:t>
      </w:r>
    </w:p>
    <w:p>
      <w:pPr>
        <w:spacing w:after="0" w:line="191" w:lineRule="exact"/>
        <w:rPr>
          <w:rFonts w:ascii="Arial" w:cs="Arial" w:eastAsia="Arial" w:hAnsi="Arial"/>
          <w:sz w:val="16"/>
          <w:szCs w:val="16"/>
          <w:color w:val="auto"/>
        </w:rPr>
      </w:pPr>
    </w:p>
    <w:p>
      <w:pPr>
        <w:ind w:left="5580" w:hanging="100"/>
        <w:spacing w:after="0"/>
        <w:tabs>
          <w:tab w:leader="none" w:pos="5580" w:val="left"/>
        </w:tabs>
        <w:numPr>
          <w:ilvl w:val="3"/>
          <w:numId w:val="56"/>
        </w:numPr>
        <w:rPr>
          <w:rFonts w:ascii="Arial" w:cs="Arial" w:eastAsia="Arial" w:hAnsi="Arial"/>
          <w:sz w:val="17"/>
          <w:szCs w:val="17"/>
          <w:color w:val="auto"/>
        </w:rPr>
      </w:pPr>
      <w:r>
        <w:rPr>
          <w:rFonts w:ascii="Arial" w:cs="Arial" w:eastAsia="Arial" w:hAnsi="Arial"/>
          <w:sz w:val="17"/>
          <w:szCs w:val="17"/>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96" w:name="page97"/>
    <w:bookmarkEnd w:id="96"/>
    <w:p>
      <w:pPr>
        <w:jc w:val="both"/>
        <w:ind w:right="20" w:firstLine="4325"/>
        <w:spacing w:after="0" w:line="284" w:lineRule="auto"/>
        <w:tabs>
          <w:tab w:leader="none" w:pos="5117"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36" w:lineRule="exact"/>
        <w:rPr>
          <w:rFonts w:ascii="Arial" w:cs="Arial" w:eastAsia="Arial" w:hAnsi="Arial"/>
          <w:sz w:val="16"/>
          <w:szCs w:val="16"/>
          <w:color w:val="auto"/>
        </w:rPr>
      </w:pPr>
    </w:p>
    <w:p>
      <w:pPr>
        <w:ind w:left="4220" w:hanging="761"/>
        <w:spacing w:after="0"/>
        <w:tabs>
          <w:tab w:leader="none" w:pos="42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 to the stockholder giving the notice and the beneficial owner, if any, on whose behalf the</w:t>
      </w:r>
    </w:p>
    <w:p>
      <w:pPr>
        <w:spacing w:after="0" w:line="1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nomination or proposal is made:</w:t>
      </w:r>
    </w:p>
    <w:p>
      <w:pPr>
        <w:spacing w:after="0" w:line="179" w:lineRule="exact"/>
        <w:rPr>
          <w:rFonts w:ascii="Arial" w:cs="Arial" w:eastAsia="Arial" w:hAnsi="Arial"/>
          <w:sz w:val="17"/>
          <w:szCs w:val="17"/>
          <w:color w:val="auto"/>
        </w:rPr>
      </w:pPr>
    </w:p>
    <w:p>
      <w:pPr>
        <w:ind w:left="5140" w:hanging="815"/>
        <w:spacing w:after="0"/>
        <w:tabs>
          <w:tab w:leader="none" w:pos="5140" w:val="left"/>
        </w:tabs>
        <w:numPr>
          <w:ilvl w:val="1"/>
          <w:numId w:val="58"/>
        </w:numPr>
        <w:rPr>
          <w:rFonts w:ascii="Arial" w:cs="Arial" w:eastAsia="Arial" w:hAnsi="Arial"/>
          <w:sz w:val="15"/>
          <w:szCs w:val="15"/>
          <w:color w:val="auto"/>
        </w:rPr>
      </w:pPr>
      <w:r>
        <w:rPr>
          <w:rFonts w:ascii="Arial" w:cs="Arial" w:eastAsia="Arial" w:hAnsi="Arial"/>
          <w:sz w:val="15"/>
          <w:szCs w:val="15"/>
          <w:color w:val="auto"/>
        </w:rPr>
        <w:t>the name and address of such stockholder (as they appear on the Company’s books), of</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such beneficial owner and of their respective affiliates or associates or others acting in concert with them;</w:t>
      </w:r>
    </w:p>
    <w:p>
      <w:pPr>
        <w:spacing w:after="0" w:line="179" w:lineRule="exact"/>
        <w:rPr>
          <w:rFonts w:ascii="Arial" w:cs="Arial" w:eastAsia="Arial" w:hAnsi="Arial"/>
          <w:sz w:val="15"/>
          <w:szCs w:val="15"/>
          <w:color w:val="auto"/>
        </w:rPr>
      </w:pPr>
    </w:p>
    <w:p>
      <w:pPr>
        <w:jc w:val="both"/>
        <w:ind w:firstLine="4325"/>
        <w:spacing w:after="0" w:line="261" w:lineRule="auto"/>
        <w:tabs>
          <w:tab w:leader="none" w:pos="5126" w:val="left"/>
        </w:tabs>
        <w:numPr>
          <w:ilvl w:val="1"/>
          <w:numId w:val="58"/>
        </w:numPr>
        <w:rPr>
          <w:rFonts w:ascii="Arial" w:cs="Arial" w:eastAsia="Arial" w:hAnsi="Arial"/>
          <w:sz w:val="17"/>
          <w:szCs w:val="17"/>
          <w:color w:val="auto"/>
        </w:rPr>
      </w:pPr>
      <w:r>
        <w:rPr>
          <w:rFonts w:ascii="Arial" w:cs="Arial" w:eastAsia="Arial" w:hAnsi="Arial"/>
          <w:sz w:val="17"/>
          <w:szCs w:val="17"/>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52" w:lineRule="exact"/>
        <w:rPr>
          <w:rFonts w:ascii="Arial" w:cs="Arial" w:eastAsia="Arial" w:hAnsi="Arial"/>
          <w:sz w:val="17"/>
          <w:szCs w:val="17"/>
          <w:color w:val="auto"/>
        </w:rPr>
      </w:pPr>
    </w:p>
    <w:p>
      <w:pPr>
        <w:jc w:val="both"/>
        <w:ind w:right="20" w:firstLine="4325"/>
        <w:spacing w:after="0" w:line="261" w:lineRule="auto"/>
        <w:tabs>
          <w:tab w:leader="none" w:pos="5126"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52" w:lineRule="exact"/>
        <w:rPr>
          <w:rFonts w:ascii="Arial" w:cs="Arial" w:eastAsia="Arial" w:hAnsi="Arial"/>
          <w:sz w:val="17"/>
          <w:szCs w:val="17"/>
          <w:color w:val="auto"/>
        </w:rPr>
      </w:pPr>
    </w:p>
    <w:p>
      <w:pPr>
        <w:jc w:val="both"/>
        <w:ind w:firstLine="4325"/>
        <w:spacing w:after="0" w:line="269" w:lineRule="auto"/>
        <w:tabs>
          <w:tab w:leader="none" w:pos="5136" w:val="left"/>
        </w:tabs>
        <w:numPr>
          <w:ilvl w:val="1"/>
          <w:numId w:val="58"/>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Arial" w:cs="Arial" w:eastAsia="Arial" w:hAnsi="Arial"/>
          <w:sz w:val="16"/>
          <w:szCs w:val="16"/>
          <w:b w:val="1"/>
          <w:bCs w:val="1"/>
          <w:color w:val="auto"/>
        </w:rPr>
        <w:t>Derivative Instrument</w:t>
      </w:r>
      <w:r>
        <w:rPr>
          <w:rFonts w:ascii="Arial" w:cs="Arial" w:eastAsia="Arial" w:hAnsi="Arial"/>
          <w:sz w:val="16"/>
          <w:szCs w:val="16"/>
          <w:color w:val="auto"/>
        </w:rPr>
        <w:t>”), or any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48" w:lineRule="exact"/>
        <w:rPr>
          <w:rFonts w:ascii="Arial" w:cs="Arial" w:eastAsia="Arial" w:hAnsi="Arial"/>
          <w:sz w:val="16"/>
          <w:szCs w:val="16"/>
          <w:color w:val="auto"/>
        </w:rPr>
      </w:pPr>
    </w:p>
    <w:p>
      <w:pPr>
        <w:jc w:val="both"/>
        <w:ind w:firstLine="4325"/>
        <w:spacing w:after="0" w:line="261" w:lineRule="auto"/>
        <w:tabs>
          <w:tab w:leader="none" w:pos="5117"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52" w:lineRule="exact"/>
        <w:rPr>
          <w:rFonts w:ascii="Arial" w:cs="Arial" w:eastAsia="Arial" w:hAnsi="Arial"/>
          <w:sz w:val="17"/>
          <w:szCs w:val="17"/>
          <w:color w:val="auto"/>
        </w:rPr>
      </w:pPr>
    </w:p>
    <w:p>
      <w:pPr>
        <w:jc w:val="both"/>
        <w:ind w:right="20" w:firstLine="4325"/>
        <w:spacing w:after="0" w:line="311" w:lineRule="auto"/>
        <w:tabs>
          <w:tab w:leader="none" w:pos="5107" w:val="left"/>
        </w:tabs>
        <w:numPr>
          <w:ilvl w:val="1"/>
          <w:numId w:val="58"/>
        </w:numPr>
        <w:rPr>
          <w:rFonts w:ascii="Arial" w:cs="Arial" w:eastAsia="Arial" w:hAnsi="Arial"/>
          <w:sz w:val="15"/>
          <w:szCs w:val="15"/>
          <w:color w:val="auto"/>
        </w:rPr>
      </w:pPr>
      <w:r>
        <w:rPr>
          <w:rFonts w:ascii="Arial" w:cs="Arial" w:eastAsia="Arial" w:hAnsi="Arial"/>
          <w:sz w:val="15"/>
          <w:szCs w:val="15"/>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19" w:lineRule="exact"/>
        <w:rPr>
          <w:rFonts w:ascii="Arial" w:cs="Arial" w:eastAsia="Arial" w:hAnsi="Arial"/>
          <w:sz w:val="15"/>
          <w:szCs w:val="15"/>
          <w:color w:val="auto"/>
        </w:rPr>
      </w:pPr>
    </w:p>
    <w:p>
      <w:pPr>
        <w:jc w:val="both"/>
        <w:ind w:firstLine="4325"/>
        <w:spacing w:after="0" w:line="256" w:lineRule="auto"/>
        <w:tabs>
          <w:tab w:leader="none" w:pos="5136"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56" w:lineRule="exact"/>
        <w:rPr>
          <w:rFonts w:ascii="Arial" w:cs="Arial" w:eastAsia="Arial" w:hAnsi="Arial"/>
          <w:sz w:val="17"/>
          <w:szCs w:val="17"/>
          <w:color w:val="auto"/>
        </w:rPr>
      </w:pPr>
    </w:p>
    <w:p>
      <w:pPr>
        <w:ind w:left="5580" w:hanging="100"/>
        <w:spacing w:after="0"/>
        <w:tabs>
          <w:tab w:leader="none" w:pos="5580" w:val="left"/>
        </w:tabs>
        <w:numPr>
          <w:ilvl w:val="2"/>
          <w:numId w:val="58"/>
        </w:numPr>
        <w:rPr>
          <w:rFonts w:ascii="Arial" w:cs="Arial" w:eastAsia="Arial" w:hAnsi="Arial"/>
          <w:sz w:val="17"/>
          <w:szCs w:val="17"/>
          <w:color w:val="auto"/>
        </w:rPr>
      </w:pPr>
      <w:r>
        <w:rPr>
          <w:rFonts w:ascii="Arial" w:cs="Arial" w:eastAsia="Arial" w:hAnsi="Arial"/>
          <w:sz w:val="17"/>
          <w:szCs w:val="17"/>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97" w:name="page98"/>
    <w:bookmarkEnd w:id="97"/>
    <w:p>
      <w:pPr>
        <w:jc w:val="both"/>
        <w:ind w:firstLine="4325"/>
        <w:spacing w:after="0" w:line="261" w:lineRule="auto"/>
        <w:tabs>
          <w:tab w:leader="none" w:pos="5136"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152" w:lineRule="exact"/>
        <w:rPr>
          <w:rFonts w:ascii="Arial" w:cs="Arial" w:eastAsia="Arial" w:hAnsi="Arial"/>
          <w:sz w:val="17"/>
          <w:szCs w:val="17"/>
          <w:color w:val="auto"/>
        </w:rPr>
      </w:pPr>
    </w:p>
    <w:p>
      <w:pPr>
        <w:jc w:val="both"/>
        <w:ind w:firstLine="4325"/>
        <w:spacing w:after="0" w:line="261" w:lineRule="auto"/>
        <w:tabs>
          <w:tab w:leader="none" w:pos="5069"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152" w:lineRule="exact"/>
        <w:rPr>
          <w:rFonts w:ascii="Arial" w:cs="Arial" w:eastAsia="Arial" w:hAnsi="Arial"/>
          <w:sz w:val="17"/>
          <w:szCs w:val="17"/>
          <w:color w:val="auto"/>
        </w:rPr>
      </w:pPr>
    </w:p>
    <w:p>
      <w:pPr>
        <w:jc w:val="both"/>
        <w:ind w:right="20" w:firstLine="4325"/>
        <w:spacing w:after="0" w:line="261" w:lineRule="auto"/>
        <w:tabs>
          <w:tab w:leader="none" w:pos="5078" w:val="left"/>
        </w:tabs>
        <w:numPr>
          <w:ilvl w:val="1"/>
          <w:numId w:val="59"/>
        </w:numPr>
        <w:rPr>
          <w:rFonts w:ascii="Arial" w:cs="Arial" w:eastAsia="Arial" w:hAnsi="Arial"/>
          <w:sz w:val="17"/>
          <w:szCs w:val="17"/>
          <w:color w:val="auto"/>
        </w:rPr>
      </w:pPr>
      <w:r>
        <w:rPr>
          <w:rFonts w:ascii="Arial" w:cs="Arial" w:eastAsia="Arial" w:hAnsi="Arial"/>
          <w:sz w:val="17"/>
          <w:szCs w:val="17"/>
          <w:color w:val="auto"/>
        </w:rPr>
        <w:t>a representation and undertaking that the stockholder is a holder of record of stock of the Company as of the date of submission of the stockholder’s notice and intends to appear in person or by proxy at the meeting to bring such nomination or other business before the meeting;</w:t>
      </w:r>
    </w:p>
    <w:p>
      <w:pPr>
        <w:spacing w:after="0" w:line="152" w:lineRule="exact"/>
        <w:rPr>
          <w:rFonts w:ascii="Arial" w:cs="Arial" w:eastAsia="Arial" w:hAnsi="Arial"/>
          <w:sz w:val="17"/>
          <w:szCs w:val="17"/>
          <w:color w:val="auto"/>
        </w:rPr>
      </w:pPr>
    </w:p>
    <w:p>
      <w:pPr>
        <w:jc w:val="both"/>
        <w:ind w:firstLine="4325"/>
        <w:spacing w:after="0" w:line="256" w:lineRule="auto"/>
        <w:tabs>
          <w:tab w:leader="none" w:pos="5136" w:val="left"/>
        </w:tabs>
        <w:numPr>
          <w:ilvl w:val="1"/>
          <w:numId w:val="59"/>
        </w:numPr>
        <w:rPr>
          <w:rFonts w:ascii="Arial" w:cs="Arial" w:eastAsia="Arial" w:hAnsi="Arial"/>
          <w:sz w:val="17"/>
          <w:szCs w:val="17"/>
          <w:color w:val="auto"/>
        </w:rPr>
      </w:pPr>
      <w:r>
        <w:rPr>
          <w:rFonts w:ascii="Arial" w:cs="Arial" w:eastAsia="Arial" w:hAnsi="Arial"/>
          <w:sz w:val="17"/>
          <w:szCs w:val="17"/>
          <w:color w:val="auto"/>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156" w:lineRule="exact"/>
        <w:rPr>
          <w:rFonts w:ascii="Arial" w:cs="Arial" w:eastAsia="Arial" w:hAnsi="Arial"/>
          <w:sz w:val="17"/>
          <w:szCs w:val="17"/>
          <w:color w:val="auto"/>
        </w:rPr>
      </w:pPr>
    </w:p>
    <w:p>
      <w:pPr>
        <w:jc w:val="both"/>
        <w:ind w:right="20" w:firstLine="4325"/>
        <w:spacing w:after="0" w:line="256" w:lineRule="auto"/>
        <w:tabs>
          <w:tab w:leader="none" w:pos="5117"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56" w:lineRule="exact"/>
        <w:rPr>
          <w:rFonts w:ascii="Arial" w:cs="Arial" w:eastAsia="Arial" w:hAnsi="Arial"/>
          <w:sz w:val="17"/>
          <w:szCs w:val="17"/>
          <w:color w:val="auto"/>
        </w:rPr>
      </w:pPr>
    </w:p>
    <w:p>
      <w:pPr>
        <w:ind w:left="5160" w:hanging="835"/>
        <w:spacing w:after="0"/>
        <w:tabs>
          <w:tab w:leader="none" w:pos="5160" w:val="left"/>
        </w:tabs>
        <w:numPr>
          <w:ilvl w:val="1"/>
          <w:numId w:val="59"/>
        </w:numPr>
        <w:rPr>
          <w:rFonts w:ascii="Arial" w:cs="Arial" w:eastAsia="Arial" w:hAnsi="Arial"/>
          <w:sz w:val="15"/>
          <w:szCs w:val="15"/>
          <w:color w:val="auto"/>
        </w:rPr>
      </w:pPr>
      <w:r>
        <w:rPr>
          <w:rFonts w:ascii="Arial" w:cs="Arial" w:eastAsia="Arial" w:hAnsi="Arial"/>
          <w:sz w:val="15"/>
          <w:szCs w:val="15"/>
          <w:color w:val="auto"/>
        </w:rPr>
        <w:t>such other information relating to any proposed item of business as the Company may</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reasonably require to determine whether such proposed item of business is a proper matter for stockholder action.</w:t>
      </w:r>
    </w:p>
    <w:p>
      <w:pPr>
        <w:spacing w:after="0" w:line="179" w:lineRule="exact"/>
        <w:rPr>
          <w:rFonts w:ascii="Arial" w:cs="Arial" w:eastAsia="Arial" w:hAnsi="Arial"/>
          <w:sz w:val="15"/>
          <w:szCs w:val="15"/>
          <w:color w:val="auto"/>
        </w:rPr>
      </w:pPr>
    </w:p>
    <w:p>
      <w:pPr>
        <w:jc w:val="both"/>
        <w:ind w:firstLine="2593"/>
        <w:spacing w:after="0" w:line="265" w:lineRule="auto"/>
        <w:tabs>
          <w:tab w:leader="none" w:pos="3414"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 supplement or additional information shall result in the nomination or proposal no longer being eligible for consideration at the meeting.</w:t>
      </w:r>
    </w:p>
    <w:p>
      <w:pPr>
        <w:spacing w:after="0" w:line="155" w:lineRule="exact"/>
        <w:rPr>
          <w:rFonts w:ascii="Arial" w:cs="Arial" w:eastAsia="Arial" w:hAnsi="Arial"/>
          <w:sz w:val="16"/>
          <w:szCs w:val="16"/>
          <w:color w:val="auto"/>
        </w:rPr>
      </w:pPr>
    </w:p>
    <w:p>
      <w:pPr>
        <w:ind w:left="5580" w:hanging="100"/>
        <w:spacing w:after="0"/>
        <w:tabs>
          <w:tab w:leader="none" w:pos="5580" w:val="left"/>
        </w:tabs>
        <w:numPr>
          <w:ilvl w:val="2"/>
          <w:numId w:val="60"/>
        </w:numPr>
        <w:rPr>
          <w:rFonts w:ascii="Arial" w:cs="Arial" w:eastAsia="Arial" w:hAnsi="Arial"/>
          <w:sz w:val="17"/>
          <w:szCs w:val="17"/>
          <w:color w:val="auto"/>
        </w:rPr>
      </w:pPr>
      <w:r>
        <w:rPr>
          <w:rFonts w:ascii="Arial" w:cs="Arial" w:eastAsia="Arial" w:hAnsi="Arial"/>
          <w:sz w:val="17"/>
          <w:szCs w:val="17"/>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98" w:name="page99"/>
    <w:bookmarkEnd w:id="98"/>
    <w:p>
      <w:pPr>
        <w:jc w:val="both"/>
        <w:ind w:firstLine="1726"/>
        <w:spacing w:after="0" w:line="265" w:lineRule="auto"/>
        <w:tabs>
          <w:tab w:leader="none" w:pos="2499"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Special Meetings of Stockholders</w:t>
      </w:r>
      <w:r>
        <w:rPr>
          <w:rFonts w:ascii="Arial" w:cs="Arial" w:eastAsia="Arial" w:hAnsi="Arial"/>
          <w:sz w:val="16"/>
          <w:szCs w:val="16"/>
          <w:color w:val="auto"/>
        </w:rPr>
        <w:t>. Except to the extent required by the DGCL, and subject to Section 2.3(a), special meetings</w:t>
      </w:r>
      <w:r>
        <w:rPr>
          <w:rFonts w:ascii="Arial" w:cs="Arial" w:eastAsia="Arial" w:hAnsi="Arial"/>
          <w:sz w:val="16"/>
          <w:szCs w:val="16"/>
          <w:i w:val="1"/>
          <w:iCs w:val="1"/>
          <w:color w:val="auto"/>
        </w:rPr>
        <w:t xml:space="preserve"> </w:t>
      </w:r>
      <w:r>
        <w:rPr>
          <w:rFonts w:ascii="Arial" w:cs="Arial" w:eastAsia="Arial" w:hAnsi="Arial"/>
          <w:sz w:val="16"/>
          <w:szCs w:val="16"/>
          <w:color w:val="auto"/>
        </w:rPr>
        <w:t>of 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153" w:lineRule="exact"/>
        <w:rPr>
          <w:rFonts w:ascii="Arial" w:cs="Arial" w:eastAsia="Arial" w:hAnsi="Arial"/>
          <w:sz w:val="16"/>
          <w:szCs w:val="16"/>
          <w:color w:val="auto"/>
        </w:rPr>
      </w:pPr>
    </w:p>
    <w:p>
      <w:pPr>
        <w:ind w:left="2480" w:hanging="754"/>
        <w:spacing w:after="0"/>
        <w:tabs>
          <w:tab w:leader="none" w:pos="248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Other Requirements.</w:t>
      </w:r>
    </w:p>
    <w:p>
      <w:pPr>
        <w:spacing w:after="0" w:line="193" w:lineRule="exact"/>
        <w:rPr>
          <w:rFonts w:ascii="Arial" w:cs="Arial" w:eastAsia="Arial" w:hAnsi="Arial"/>
          <w:sz w:val="17"/>
          <w:szCs w:val="17"/>
          <w:color w:val="auto"/>
        </w:rPr>
      </w:pPr>
    </w:p>
    <w:p>
      <w:pPr>
        <w:ind w:right="20" w:firstLine="2593"/>
        <w:spacing w:after="0" w:line="345" w:lineRule="auto"/>
        <w:tabs>
          <w:tab w:leader="none" w:pos="3327" w:val="left"/>
        </w:tabs>
        <w:numPr>
          <w:ilvl w:val="1"/>
          <w:numId w:val="61"/>
        </w:numPr>
        <w:rPr>
          <w:rFonts w:ascii="Arial" w:cs="Arial" w:eastAsia="Arial" w:hAnsi="Arial"/>
          <w:sz w:val="15"/>
          <w:szCs w:val="15"/>
          <w:color w:val="auto"/>
        </w:rPr>
      </w:pPr>
      <w:r>
        <w:rPr>
          <w:rFonts w:ascii="Arial" w:cs="Arial" w:eastAsia="Arial" w:hAnsi="Arial"/>
          <w:sz w:val="15"/>
          <w:szCs w:val="15"/>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93" w:lineRule="exact"/>
        <w:rPr>
          <w:rFonts w:ascii="Arial" w:cs="Arial" w:eastAsia="Arial" w:hAnsi="Arial"/>
          <w:sz w:val="15"/>
          <w:szCs w:val="15"/>
          <w:color w:val="auto"/>
        </w:rPr>
      </w:pPr>
    </w:p>
    <w:p>
      <w:pPr>
        <w:jc w:val="both"/>
        <w:ind w:firstLine="3459"/>
        <w:spacing w:after="0" w:line="256" w:lineRule="auto"/>
        <w:tabs>
          <w:tab w:leader="none" w:pos="4232" w:val="left"/>
        </w:tabs>
        <w:numPr>
          <w:ilvl w:val="2"/>
          <w:numId w:val="61"/>
        </w:numPr>
        <w:rPr>
          <w:rFonts w:ascii="Arial" w:cs="Arial" w:eastAsia="Arial" w:hAnsi="Arial"/>
          <w:sz w:val="17"/>
          <w:szCs w:val="17"/>
          <w:color w:val="auto"/>
        </w:rPr>
      </w:pPr>
      <w:r>
        <w:rPr>
          <w:rFonts w:ascii="Arial" w:cs="Arial" w:eastAsia="Arial" w:hAnsi="Arial"/>
          <w:sz w:val="17"/>
          <w:szCs w:val="17"/>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56" w:lineRule="exact"/>
        <w:rPr>
          <w:rFonts w:ascii="Arial" w:cs="Arial" w:eastAsia="Arial" w:hAnsi="Arial"/>
          <w:sz w:val="17"/>
          <w:szCs w:val="17"/>
          <w:color w:val="auto"/>
        </w:rPr>
      </w:pPr>
    </w:p>
    <w:p>
      <w:pPr>
        <w:jc w:val="both"/>
        <w:ind w:right="20" w:firstLine="3459"/>
        <w:spacing w:after="0" w:line="261" w:lineRule="auto"/>
        <w:tabs>
          <w:tab w:leader="none" w:pos="4232" w:val="left"/>
        </w:tabs>
        <w:numPr>
          <w:ilvl w:val="2"/>
          <w:numId w:val="61"/>
        </w:numPr>
        <w:rPr>
          <w:rFonts w:ascii="Arial" w:cs="Arial" w:eastAsia="Arial" w:hAnsi="Arial"/>
          <w:sz w:val="17"/>
          <w:szCs w:val="17"/>
          <w:color w:val="auto"/>
        </w:rPr>
      </w:pPr>
      <w:r>
        <w:rPr>
          <w:rFonts w:ascii="Arial" w:cs="Arial" w:eastAsia="Arial" w:hAnsi="Arial"/>
          <w:sz w:val="17"/>
          <w:szCs w:val="17"/>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52" w:lineRule="exact"/>
        <w:rPr>
          <w:rFonts w:ascii="Arial" w:cs="Arial" w:eastAsia="Arial" w:hAnsi="Arial"/>
          <w:sz w:val="17"/>
          <w:szCs w:val="17"/>
          <w:color w:val="auto"/>
        </w:rPr>
      </w:pPr>
    </w:p>
    <w:p>
      <w:pPr>
        <w:ind w:right="20" w:firstLine="3459"/>
        <w:spacing w:after="0" w:line="276" w:lineRule="auto"/>
        <w:tabs>
          <w:tab w:leader="none" w:pos="4232" w:val="left"/>
        </w:tabs>
        <w:numPr>
          <w:ilvl w:val="2"/>
          <w:numId w:val="61"/>
        </w:numPr>
        <w:rPr>
          <w:rFonts w:ascii="Arial" w:cs="Arial" w:eastAsia="Arial" w:hAnsi="Arial"/>
          <w:sz w:val="17"/>
          <w:szCs w:val="17"/>
          <w:color w:val="auto"/>
        </w:rPr>
      </w:pPr>
      <w:r>
        <w:rPr>
          <w:rFonts w:ascii="Arial" w:cs="Arial" w:eastAsia="Arial" w:hAnsi="Arial"/>
          <w:sz w:val="17"/>
          <w:szCs w:val="17"/>
          <w:color w:val="auto"/>
        </w:rPr>
        <w:t>a written representation and undertaking that, unless previously disclosed to the Company, such nominee is not, and will not become, a party to any Third-Party Compensation Arrangement;</w:t>
      </w:r>
    </w:p>
    <w:p>
      <w:pPr>
        <w:spacing w:after="0" w:line="139" w:lineRule="exact"/>
        <w:rPr>
          <w:rFonts w:ascii="Arial" w:cs="Arial" w:eastAsia="Arial" w:hAnsi="Arial"/>
          <w:sz w:val="17"/>
          <w:szCs w:val="17"/>
          <w:color w:val="auto"/>
        </w:rPr>
      </w:pPr>
    </w:p>
    <w:p>
      <w:pPr>
        <w:jc w:val="both"/>
        <w:ind w:firstLine="3459"/>
        <w:spacing w:after="0" w:line="261" w:lineRule="auto"/>
        <w:tabs>
          <w:tab w:leader="none" w:pos="4232" w:val="left"/>
        </w:tabs>
        <w:numPr>
          <w:ilvl w:val="2"/>
          <w:numId w:val="61"/>
        </w:numPr>
        <w:rPr>
          <w:rFonts w:ascii="Arial" w:cs="Arial" w:eastAsia="Arial" w:hAnsi="Arial"/>
          <w:sz w:val="17"/>
          <w:szCs w:val="17"/>
          <w:color w:val="auto"/>
        </w:rPr>
      </w:pPr>
      <w:r>
        <w:rPr>
          <w:rFonts w:ascii="Arial" w:cs="Arial" w:eastAsia="Arial" w:hAnsi="Arial"/>
          <w:sz w:val="17"/>
          <w:szCs w:val="17"/>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152" w:lineRule="exact"/>
        <w:rPr>
          <w:rFonts w:ascii="Arial" w:cs="Arial" w:eastAsia="Arial" w:hAnsi="Arial"/>
          <w:sz w:val="17"/>
          <w:szCs w:val="17"/>
          <w:color w:val="auto"/>
        </w:rPr>
      </w:pPr>
    </w:p>
    <w:p>
      <w:pPr>
        <w:ind w:left="4220" w:hanging="761"/>
        <w:spacing w:after="0"/>
        <w:tabs>
          <w:tab w:leader="none" w:pos="4220" w:val="left"/>
        </w:tabs>
        <w:numPr>
          <w:ilvl w:val="2"/>
          <w:numId w:val="61"/>
        </w:numPr>
        <w:rPr>
          <w:rFonts w:ascii="Arial" w:cs="Arial" w:eastAsia="Arial" w:hAnsi="Arial"/>
          <w:sz w:val="15"/>
          <w:szCs w:val="15"/>
          <w:color w:val="auto"/>
        </w:rPr>
      </w:pPr>
      <w:r>
        <w:rPr>
          <w:rFonts w:ascii="Arial" w:cs="Arial" w:eastAsia="Arial" w:hAnsi="Arial"/>
          <w:sz w:val="15"/>
          <w:szCs w:val="15"/>
          <w:color w:val="auto"/>
        </w:rPr>
        <w:t>a written representation and undertaking that such nominee, if elected, intends to serve a full term on</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 Board of Directors.</w:t>
      </w:r>
    </w:p>
    <w:p>
      <w:pPr>
        <w:spacing w:after="0" w:line="179" w:lineRule="exact"/>
        <w:rPr>
          <w:rFonts w:ascii="Arial" w:cs="Arial" w:eastAsia="Arial" w:hAnsi="Arial"/>
          <w:sz w:val="15"/>
          <w:szCs w:val="15"/>
          <w:color w:val="auto"/>
        </w:rPr>
      </w:pPr>
    </w:p>
    <w:p>
      <w:pPr>
        <w:ind w:left="5580" w:hanging="100"/>
        <w:spacing w:after="0"/>
        <w:tabs>
          <w:tab w:leader="none" w:pos="5580" w:val="left"/>
        </w:tabs>
        <w:numPr>
          <w:ilvl w:val="3"/>
          <w:numId w:val="61"/>
        </w:numPr>
        <w:rPr>
          <w:rFonts w:ascii="Arial" w:cs="Arial" w:eastAsia="Arial" w:hAnsi="Arial"/>
          <w:sz w:val="17"/>
          <w:szCs w:val="17"/>
          <w:color w:val="auto"/>
        </w:rPr>
      </w:pPr>
      <w:r>
        <w:rPr>
          <w:rFonts w:ascii="Arial" w:cs="Arial" w:eastAsia="Arial" w:hAnsi="Arial"/>
          <w:sz w:val="17"/>
          <w:szCs w:val="17"/>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99" w:name="page100"/>
    <w:bookmarkEnd w:id="99"/>
    <w:p>
      <w:pPr>
        <w:ind w:left="6" w:right="20" w:firstLine="2593"/>
        <w:spacing w:after="0" w:line="308" w:lineRule="auto"/>
        <w:tabs>
          <w:tab w:leader="none" w:pos="3381" w:val="left"/>
        </w:tabs>
        <w:numPr>
          <w:ilvl w:val="1"/>
          <w:numId w:val="62"/>
        </w:numPr>
        <w:rPr>
          <w:rFonts w:ascii="Arial" w:cs="Arial" w:eastAsia="Arial" w:hAnsi="Arial"/>
          <w:sz w:val="16"/>
          <w:szCs w:val="16"/>
          <w:color w:val="auto"/>
        </w:rPr>
      </w:pPr>
      <w:r>
        <w:rPr>
          <w:rFonts w:ascii="Arial" w:cs="Arial" w:eastAsia="Arial" w:hAnsi="Arial"/>
          <w:sz w:val="16"/>
          <w:szCs w:val="16"/>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117" w:lineRule="exact"/>
        <w:rPr>
          <w:rFonts w:ascii="Arial" w:cs="Arial" w:eastAsia="Arial" w:hAnsi="Arial"/>
          <w:sz w:val="16"/>
          <w:szCs w:val="16"/>
          <w:color w:val="auto"/>
        </w:rPr>
      </w:pPr>
    </w:p>
    <w:p>
      <w:pPr>
        <w:jc w:val="both"/>
        <w:ind w:left="6" w:firstLine="2593"/>
        <w:spacing w:after="0" w:line="261" w:lineRule="auto"/>
        <w:tabs>
          <w:tab w:leader="none" w:pos="3429" w:val="left"/>
        </w:tabs>
        <w:numPr>
          <w:ilvl w:val="1"/>
          <w:numId w:val="62"/>
        </w:numPr>
        <w:rPr>
          <w:rFonts w:ascii="Arial" w:cs="Arial" w:eastAsia="Arial" w:hAnsi="Arial"/>
          <w:sz w:val="17"/>
          <w:szCs w:val="17"/>
          <w:color w:val="auto"/>
        </w:rPr>
      </w:pPr>
      <w:r>
        <w:rPr>
          <w:rFonts w:ascii="Arial" w:cs="Arial" w:eastAsia="Arial" w:hAnsi="Arial"/>
          <w:sz w:val="17"/>
          <w:szCs w:val="17"/>
          <w:color w:val="auto"/>
        </w:rPr>
        <w:t>No person will be eligible to be nominated by a stockholder for election as a director of the Company unless nominated in accordance with the procedures set forth in this Section 2.4. No business proposed by a stockholder will be conducted at a stockholder meeting except in accordance with this Section 2.4.</w:t>
      </w:r>
    </w:p>
    <w:p>
      <w:pPr>
        <w:spacing w:after="0" w:line="152" w:lineRule="exact"/>
        <w:rPr>
          <w:rFonts w:ascii="Arial" w:cs="Arial" w:eastAsia="Arial" w:hAnsi="Arial"/>
          <w:sz w:val="17"/>
          <w:szCs w:val="17"/>
          <w:color w:val="auto"/>
        </w:rPr>
      </w:pPr>
    </w:p>
    <w:p>
      <w:pPr>
        <w:jc w:val="both"/>
        <w:ind w:left="6" w:right="20" w:firstLine="2593"/>
        <w:spacing w:after="0" w:line="256" w:lineRule="auto"/>
        <w:tabs>
          <w:tab w:leader="none" w:pos="3419"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56" w:lineRule="exact"/>
        <w:rPr>
          <w:rFonts w:ascii="Arial" w:cs="Arial" w:eastAsia="Arial" w:hAnsi="Arial"/>
          <w:sz w:val="17"/>
          <w:szCs w:val="17"/>
          <w:color w:val="auto"/>
        </w:rPr>
      </w:pPr>
    </w:p>
    <w:p>
      <w:pPr>
        <w:jc w:val="both"/>
        <w:ind w:left="6" w:firstLine="2593"/>
        <w:spacing w:after="0" w:line="289" w:lineRule="auto"/>
        <w:tabs>
          <w:tab w:leader="none" w:pos="3371" w:val="left"/>
        </w:tabs>
        <w:numPr>
          <w:ilvl w:val="1"/>
          <w:numId w:val="62"/>
        </w:numPr>
        <w:rPr>
          <w:rFonts w:ascii="Arial" w:cs="Arial" w:eastAsia="Arial" w:hAnsi="Arial"/>
          <w:sz w:val="15"/>
          <w:szCs w:val="15"/>
          <w:color w:val="auto"/>
        </w:rPr>
      </w:pPr>
      <w:r>
        <w:rPr>
          <w:rFonts w:ascii="Arial" w:cs="Arial" w:eastAsia="Arial" w:hAnsi="Arial"/>
          <w:sz w:val="15"/>
          <w:szCs w:val="15"/>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37" w:lineRule="exact"/>
        <w:rPr>
          <w:rFonts w:ascii="Arial" w:cs="Arial" w:eastAsia="Arial" w:hAnsi="Arial"/>
          <w:sz w:val="15"/>
          <w:szCs w:val="15"/>
          <w:color w:val="auto"/>
        </w:rPr>
      </w:pPr>
    </w:p>
    <w:p>
      <w:pPr>
        <w:jc w:val="both"/>
        <w:ind w:left="6" w:firstLine="2593"/>
        <w:spacing w:after="0" w:line="267" w:lineRule="auto"/>
        <w:tabs>
          <w:tab w:leader="none" w:pos="3419" w:val="left"/>
        </w:tabs>
        <w:numPr>
          <w:ilvl w:val="1"/>
          <w:numId w:val="62"/>
        </w:numPr>
        <w:rPr>
          <w:rFonts w:ascii="Arial" w:cs="Arial" w:eastAsia="Arial" w:hAnsi="Arial"/>
          <w:sz w:val="16"/>
          <w:szCs w:val="16"/>
          <w:color w:val="auto"/>
        </w:rPr>
      </w:pPr>
      <w:r>
        <w:rPr>
          <w:rFonts w:ascii="Arial" w:cs="Arial" w:eastAsia="Arial" w:hAnsi="Arial"/>
          <w:sz w:val="16"/>
          <w:szCs w:val="16"/>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w:t>
      </w:r>
    </w:p>
    <w:p>
      <w:pPr>
        <w:spacing w:after="0" w:line="1" w:lineRule="exact"/>
        <w:rPr>
          <w:rFonts w:ascii="Arial" w:cs="Arial" w:eastAsia="Arial" w:hAnsi="Arial"/>
          <w:sz w:val="16"/>
          <w:szCs w:val="16"/>
          <w:color w:val="auto"/>
        </w:rPr>
      </w:pPr>
    </w:p>
    <w:p>
      <w:pPr>
        <w:ind w:left="6" w:hanging="6"/>
        <w:spacing w:after="0" w:line="259" w:lineRule="auto"/>
        <w:tabs>
          <w:tab w:leader="none" w:pos="276"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compliance with clause (4) of Section 2.4(a)(i) and with Section 2.4(b) are the exclusive means for a stockholder to make nominations or submit other business (other than as provided in Section 2.4(c)(vii)).</w:t>
      </w:r>
    </w:p>
    <w:p>
      <w:pPr>
        <w:spacing w:after="0" w:line="153" w:lineRule="exact"/>
        <w:rPr>
          <w:rFonts w:ascii="Arial" w:cs="Arial" w:eastAsia="Arial" w:hAnsi="Arial"/>
          <w:sz w:val="17"/>
          <w:szCs w:val="17"/>
          <w:color w:val="auto"/>
        </w:rPr>
      </w:pPr>
    </w:p>
    <w:p>
      <w:pPr>
        <w:jc w:val="both"/>
        <w:ind w:left="6" w:firstLine="2593"/>
        <w:spacing w:after="0" w:line="204" w:lineRule="exact"/>
        <w:tabs>
          <w:tab w:leader="none" w:pos="3467" w:val="left"/>
        </w:tabs>
        <w:numPr>
          <w:ilvl w:val="1"/>
          <w:numId w:val="6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17"/>
          <w:szCs w:val="17"/>
          <w:color w:val="auto"/>
        </w:rPr>
        <w:t>‑</w:t>
      </w:r>
      <w:r>
        <w:rPr>
          <w:rFonts w:ascii="Arial" w:cs="Arial" w:eastAsia="Arial" w:hAnsi="Arial"/>
          <w:sz w:val="17"/>
          <w:szCs w:val="17"/>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17"/>
          <w:szCs w:val="17"/>
          <w:color w:val="auto"/>
        </w:rPr>
        <w:t>‑</w:t>
      </w:r>
      <w:r>
        <w:rPr>
          <w:rFonts w:ascii="Arial" w:cs="Arial" w:eastAsia="Arial" w:hAnsi="Arial"/>
          <w:sz w:val="17"/>
          <w:szCs w:val="17"/>
          <w:color w:val="auto"/>
        </w:rPr>
        <w:t>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69" w:lineRule="exact"/>
        <w:rPr>
          <w:rFonts w:ascii="Arial" w:cs="Arial" w:eastAsia="Arial" w:hAnsi="Arial"/>
          <w:sz w:val="17"/>
          <w:szCs w:val="17"/>
          <w:color w:val="auto"/>
        </w:rPr>
      </w:pPr>
    </w:p>
    <w:p>
      <w:pPr>
        <w:ind w:left="5586" w:hanging="100"/>
        <w:spacing w:after="0"/>
        <w:tabs>
          <w:tab w:leader="none" w:pos="5586" w:val="left"/>
        </w:tabs>
        <w:numPr>
          <w:ilvl w:val="2"/>
          <w:numId w:val="63"/>
        </w:numPr>
        <w:rPr>
          <w:rFonts w:ascii="Arial" w:cs="Arial" w:eastAsia="Arial" w:hAnsi="Arial"/>
          <w:sz w:val="17"/>
          <w:szCs w:val="17"/>
          <w:color w:val="auto"/>
        </w:rPr>
      </w:pPr>
      <w:r>
        <w:rPr>
          <w:rFonts w:ascii="Arial" w:cs="Arial" w:eastAsia="Arial" w:hAnsi="Arial"/>
          <w:sz w:val="17"/>
          <w:szCs w:val="17"/>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6470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6"/>
          </w:cols>
          <w:pgMar w:left="314" w:top="502" w:right="319" w:bottom="1440" w:gutter="0" w:footer="0" w:header="0"/>
        </w:sectPr>
      </w:pPr>
    </w:p>
    <w:bookmarkStart w:id="100" w:name="page101"/>
    <w:bookmarkEnd w:id="100"/>
    <w:p>
      <w:pPr>
        <w:ind w:left="860"/>
        <w:spacing w:after="0"/>
        <w:tabs>
          <w:tab w:leader="none" w:pos="162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color w:val="auto"/>
        </w:rPr>
        <w:t>NOTICE OF STOCKHOLDERS’ MEETINGS</w:t>
      </w:r>
    </w:p>
    <w:p>
      <w:pPr>
        <w:spacing w:after="0" w:line="194" w:lineRule="exact"/>
        <w:rPr>
          <w:sz w:val="20"/>
          <w:szCs w:val="20"/>
          <w:color w:val="auto"/>
        </w:rPr>
      </w:pPr>
    </w:p>
    <w:p>
      <w:pPr>
        <w:jc w:val="both"/>
        <w:ind w:firstLine="866"/>
        <w:spacing w:after="0" w:line="251" w:lineRule="auto"/>
        <w:rPr>
          <w:sz w:val="20"/>
          <w:szCs w:val="20"/>
          <w:color w:val="auto"/>
        </w:rPr>
      </w:pPr>
      <w:r>
        <w:rPr>
          <w:rFonts w:ascii="Arial" w:cs="Arial" w:eastAsia="Arial" w:hAnsi="Arial"/>
          <w:sz w:val="17"/>
          <w:szCs w:val="17"/>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61"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color w:val="auto"/>
        </w:rPr>
        <w:t>QUORUM</w:t>
      </w:r>
    </w:p>
    <w:p>
      <w:pPr>
        <w:spacing w:after="0" w:line="194" w:lineRule="exact"/>
        <w:rPr>
          <w:sz w:val="20"/>
          <w:szCs w:val="20"/>
          <w:color w:val="auto"/>
        </w:rPr>
      </w:pPr>
    </w:p>
    <w:p>
      <w:pPr>
        <w:jc w:val="both"/>
        <w:ind w:firstLine="866"/>
        <w:spacing w:after="0" w:line="253" w:lineRule="auto"/>
        <w:rPr>
          <w:sz w:val="20"/>
          <w:szCs w:val="20"/>
          <w:color w:val="auto"/>
        </w:rPr>
      </w:pPr>
      <w:r>
        <w:rPr>
          <w:rFonts w:ascii="Arial" w:cs="Arial" w:eastAsia="Arial" w:hAnsi="Arial"/>
          <w:sz w:val="17"/>
          <w:szCs w:val="17"/>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60" w:lineRule="exact"/>
        <w:rPr>
          <w:sz w:val="20"/>
          <w:szCs w:val="20"/>
          <w:color w:val="auto"/>
        </w:rPr>
      </w:pPr>
    </w:p>
    <w:p>
      <w:pPr>
        <w:jc w:val="both"/>
        <w:ind w:firstLine="866"/>
        <w:spacing w:after="0" w:line="256" w:lineRule="auto"/>
        <w:rPr>
          <w:sz w:val="20"/>
          <w:szCs w:val="20"/>
          <w:color w:val="auto"/>
        </w:rPr>
      </w:pPr>
      <w:r>
        <w:rPr>
          <w:rFonts w:ascii="Arial" w:cs="Arial" w:eastAsia="Arial" w:hAnsi="Arial"/>
          <w:sz w:val="17"/>
          <w:szCs w:val="17"/>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56"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6"/>
          <w:szCs w:val="16"/>
          <w:color w:val="auto"/>
        </w:rPr>
        <w:t>ADJOURNED MEETING; NOTICE</w:t>
      </w:r>
    </w:p>
    <w:p>
      <w:pPr>
        <w:spacing w:after="0" w:line="194"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17"/>
          <w:szCs w:val="17"/>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01" w:name="page102"/>
    <w:bookmarkEnd w:id="101"/>
    <w:p>
      <w:pPr>
        <w:ind w:left="860"/>
        <w:spacing w:after="0"/>
        <w:tabs>
          <w:tab w:leader="none" w:pos="162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6"/>
          <w:szCs w:val="16"/>
          <w:color w:val="auto"/>
        </w:rPr>
        <w:t>CONDUCT OF BUSINESS</w:t>
      </w:r>
    </w:p>
    <w:p>
      <w:pPr>
        <w:spacing w:after="0" w:line="194" w:lineRule="exact"/>
        <w:rPr>
          <w:sz w:val="20"/>
          <w:szCs w:val="20"/>
          <w:color w:val="auto"/>
        </w:rPr>
      </w:pPr>
    </w:p>
    <w:p>
      <w:pPr>
        <w:jc w:val="both"/>
        <w:ind w:firstLine="866"/>
        <w:spacing w:after="0" w:line="270" w:lineRule="auto"/>
        <w:rPr>
          <w:sz w:val="20"/>
          <w:szCs w:val="20"/>
          <w:color w:val="auto"/>
        </w:rPr>
      </w:pPr>
      <w:r>
        <w:rPr>
          <w:rFonts w:ascii="Arial" w:cs="Arial" w:eastAsia="Arial" w:hAnsi="Arial"/>
          <w:sz w:val="16"/>
          <w:szCs w:val="16"/>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49"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7"/>
          <w:szCs w:val="17"/>
          <w:color w:val="auto"/>
        </w:rPr>
        <w:t>VOTING</w:t>
      </w:r>
    </w:p>
    <w:p>
      <w:pPr>
        <w:spacing w:after="0" w:line="194" w:lineRule="exact"/>
        <w:rPr>
          <w:sz w:val="20"/>
          <w:szCs w:val="20"/>
          <w:color w:val="auto"/>
        </w:rPr>
      </w:pPr>
    </w:p>
    <w:p>
      <w:pPr>
        <w:jc w:val="both"/>
        <w:ind w:firstLine="866"/>
        <w:spacing w:after="0" w:line="261" w:lineRule="auto"/>
        <w:rPr>
          <w:sz w:val="20"/>
          <w:szCs w:val="20"/>
          <w:color w:val="auto"/>
        </w:rPr>
      </w:pPr>
      <w:r>
        <w:rPr>
          <w:rFonts w:ascii="Arial" w:cs="Arial" w:eastAsia="Arial" w:hAnsi="Arial"/>
          <w:sz w:val="17"/>
          <w:szCs w:val="17"/>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52" w:lineRule="exact"/>
        <w:rPr>
          <w:sz w:val="20"/>
          <w:szCs w:val="20"/>
          <w:color w:val="auto"/>
        </w:rPr>
      </w:pPr>
    </w:p>
    <w:p>
      <w:pPr>
        <w:jc w:val="both"/>
        <w:ind w:right="20" w:firstLine="866"/>
        <w:spacing w:after="0" w:line="276" w:lineRule="auto"/>
        <w:rPr>
          <w:sz w:val="20"/>
          <w:szCs w:val="20"/>
          <w:color w:val="auto"/>
        </w:rPr>
      </w:pPr>
      <w:r>
        <w:rPr>
          <w:rFonts w:ascii="Arial" w:cs="Arial" w:eastAsia="Arial" w:hAnsi="Arial"/>
          <w:sz w:val="17"/>
          <w:szCs w:val="17"/>
          <w:color w:val="auto"/>
        </w:rPr>
        <w:t>Except as may be otherwise provided in the certificate of incorporation or these bylaws, each stockholder shall be entitled to one vote for each share of capital stock held by such stockholder.</w:t>
      </w:r>
    </w:p>
    <w:p>
      <w:pPr>
        <w:spacing w:after="0" w:line="140" w:lineRule="exact"/>
        <w:rPr>
          <w:sz w:val="20"/>
          <w:szCs w:val="20"/>
          <w:color w:val="auto"/>
        </w:rPr>
      </w:pPr>
    </w:p>
    <w:p>
      <w:pPr>
        <w:jc w:val="both"/>
        <w:ind w:firstLine="866"/>
        <w:spacing w:after="0" w:line="287" w:lineRule="auto"/>
        <w:rPr>
          <w:sz w:val="20"/>
          <w:szCs w:val="20"/>
          <w:color w:val="auto"/>
        </w:rPr>
      </w:pPr>
      <w:r>
        <w:rPr>
          <w:rFonts w:ascii="Arial" w:cs="Arial" w:eastAsia="Arial" w:hAnsi="Arial"/>
          <w:sz w:val="15"/>
          <w:szCs w:val="15"/>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cast, affirmatively or negatively, shall be the act of the stockholders and broker non-votes and abstentions will be considered for purposes of establishing a quorum, but will not be considered as votes cast for or against a proposal.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cast, affirmatively or negatively, at the meeting and entitled to vote on the subject matter shall be the act of such class or series or classes or series (and broker non-votes and abstentions will not be considered as votes cast for or against a proposal), except as otherwise provided by law, the certificate of incorporation, these bylaws or the rules of the stock exchange on which the securities of the Company are listed.</w:t>
      </w:r>
    </w:p>
    <w:p>
      <w:pPr>
        <w:spacing w:after="0" w:line="136"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6"/>
          <w:szCs w:val="16"/>
          <w:color w:val="auto"/>
        </w:rPr>
        <w:t>STOCKHOLDER ACTION BY WRITTEN CONSENT WITHOUT A MEETING</w:t>
      </w:r>
    </w:p>
    <w:p>
      <w:pPr>
        <w:spacing w:after="0" w:line="194" w:lineRule="exact"/>
        <w:rPr>
          <w:sz w:val="20"/>
          <w:szCs w:val="20"/>
          <w:color w:val="auto"/>
        </w:rPr>
      </w:pPr>
    </w:p>
    <w:p>
      <w:pPr>
        <w:jc w:val="both"/>
        <w:ind w:right="20" w:firstLine="866"/>
        <w:spacing w:after="0" w:line="261" w:lineRule="auto"/>
        <w:rPr>
          <w:sz w:val="20"/>
          <w:szCs w:val="20"/>
          <w:color w:val="auto"/>
        </w:rPr>
      </w:pPr>
      <w:r>
        <w:rPr>
          <w:rFonts w:ascii="Arial" w:cs="Arial" w:eastAsia="Arial" w:hAnsi="Arial"/>
          <w:sz w:val="17"/>
          <w:szCs w:val="17"/>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02" w:name="page103"/>
    <w:bookmarkEnd w:id="102"/>
    <w:p>
      <w:pPr>
        <w:ind w:left="860"/>
        <w:spacing w:after="0"/>
        <w:tabs>
          <w:tab w:leader="none" w:pos="170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6"/>
          <w:szCs w:val="16"/>
          <w:color w:val="auto"/>
        </w:rPr>
        <w:t>RECORD DATES</w:t>
      </w:r>
    </w:p>
    <w:p>
      <w:pPr>
        <w:spacing w:after="0" w:line="194" w:lineRule="exact"/>
        <w:rPr>
          <w:sz w:val="20"/>
          <w:szCs w:val="20"/>
          <w:color w:val="auto"/>
        </w:rPr>
      </w:pPr>
    </w:p>
    <w:p>
      <w:pPr>
        <w:jc w:val="both"/>
        <w:ind w:firstLine="866"/>
        <w:spacing w:after="0" w:line="273" w:lineRule="auto"/>
        <w:rPr>
          <w:sz w:val="20"/>
          <w:szCs w:val="20"/>
          <w:color w:val="auto"/>
        </w:rPr>
      </w:pPr>
      <w:r>
        <w:rPr>
          <w:rFonts w:ascii="Arial" w:cs="Arial" w:eastAsia="Arial" w:hAnsi="Arial"/>
          <w:sz w:val="16"/>
          <w:szCs w:val="16"/>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44" w:lineRule="exact"/>
        <w:rPr>
          <w:sz w:val="20"/>
          <w:szCs w:val="20"/>
          <w:color w:val="auto"/>
        </w:rPr>
      </w:pPr>
    </w:p>
    <w:p>
      <w:pPr>
        <w:jc w:val="both"/>
        <w:ind w:firstLine="866"/>
        <w:spacing w:after="0" w:line="261" w:lineRule="auto"/>
        <w:rPr>
          <w:sz w:val="20"/>
          <w:szCs w:val="20"/>
          <w:color w:val="auto"/>
        </w:rPr>
      </w:pPr>
      <w:r>
        <w:rPr>
          <w:rFonts w:ascii="Arial" w:cs="Arial" w:eastAsia="Arial" w:hAnsi="Arial"/>
          <w:sz w:val="17"/>
          <w:szCs w:val="17"/>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52" w:lineRule="exact"/>
        <w:rPr>
          <w:sz w:val="20"/>
          <w:szCs w:val="20"/>
          <w:color w:val="auto"/>
        </w:rPr>
      </w:pPr>
    </w:p>
    <w:p>
      <w:pPr>
        <w:jc w:val="both"/>
        <w:ind w:right="20" w:firstLine="866"/>
        <w:spacing w:after="0" w:line="277" w:lineRule="auto"/>
        <w:rPr>
          <w:sz w:val="20"/>
          <w:szCs w:val="20"/>
          <w:color w:val="auto"/>
        </w:rPr>
      </w:pPr>
      <w:r>
        <w:rPr>
          <w:rFonts w:ascii="Arial" w:cs="Arial" w:eastAsia="Arial" w:hAnsi="Arial"/>
          <w:sz w:val="16"/>
          <w:szCs w:val="16"/>
          <w:color w:val="auto"/>
        </w:rPr>
        <w:t xml:space="preserve">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of Directors may fix a new record date for determination of stockholders entitled to vote at the adjourned meeting, and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41" w:lineRule="exact"/>
        <w:rPr>
          <w:sz w:val="20"/>
          <w:szCs w:val="20"/>
          <w:color w:val="auto"/>
        </w:rPr>
      </w:pPr>
    </w:p>
    <w:p>
      <w:pPr>
        <w:jc w:val="both"/>
        <w:ind w:right="20" w:firstLine="866"/>
        <w:spacing w:after="0" w:line="273" w:lineRule="auto"/>
        <w:rPr>
          <w:sz w:val="20"/>
          <w:szCs w:val="20"/>
          <w:color w:val="auto"/>
        </w:rPr>
      </w:pPr>
      <w:r>
        <w:rPr>
          <w:rFonts w:ascii="Arial" w:cs="Arial" w:eastAsia="Arial" w:hAnsi="Arial"/>
          <w:sz w:val="16"/>
          <w:szCs w:val="16"/>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44"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6"/>
          <w:szCs w:val="16"/>
          <w:color w:val="auto"/>
        </w:rPr>
        <w:t>PROXIES</w:t>
      </w:r>
    </w:p>
    <w:p>
      <w:pPr>
        <w:spacing w:after="0" w:line="194" w:lineRule="exact"/>
        <w:rPr>
          <w:sz w:val="20"/>
          <w:szCs w:val="20"/>
          <w:color w:val="auto"/>
        </w:rPr>
      </w:pPr>
    </w:p>
    <w:p>
      <w:pPr>
        <w:jc w:val="both"/>
        <w:ind w:firstLine="866"/>
        <w:spacing w:after="0" w:line="277" w:lineRule="auto"/>
        <w:rPr>
          <w:sz w:val="20"/>
          <w:szCs w:val="20"/>
          <w:color w:val="auto"/>
        </w:rPr>
      </w:pPr>
      <w:r>
        <w:rPr>
          <w:rFonts w:ascii="Arial" w:cs="Arial" w:eastAsia="Arial" w:hAnsi="Arial"/>
          <w:sz w:val="16"/>
          <w:szCs w:val="16"/>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03" w:name="page104"/>
    <w:bookmarkEnd w:id="103"/>
    <w:p>
      <w:pPr>
        <w:ind w:left="860"/>
        <w:spacing w:after="0"/>
        <w:tabs>
          <w:tab w:leader="none" w:pos="170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6"/>
          <w:szCs w:val="16"/>
          <w:color w:val="auto"/>
        </w:rPr>
        <w:t>LIST OF STOCKHOLDERS ENTITLED TO VOTE</w:t>
      </w:r>
    </w:p>
    <w:p>
      <w:pPr>
        <w:spacing w:after="0" w:line="194" w:lineRule="exact"/>
        <w:rPr>
          <w:sz w:val="20"/>
          <w:szCs w:val="20"/>
          <w:color w:val="auto"/>
        </w:rPr>
      </w:pPr>
    </w:p>
    <w:p>
      <w:pPr>
        <w:jc w:val="both"/>
        <w:ind w:firstLine="866"/>
        <w:spacing w:after="0" w:line="265" w:lineRule="auto"/>
        <w:rPr>
          <w:sz w:val="20"/>
          <w:szCs w:val="20"/>
          <w:color w:val="auto"/>
        </w:rPr>
      </w:pPr>
      <w:r>
        <w:rPr>
          <w:rFonts w:ascii="Arial" w:cs="Arial" w:eastAsia="Arial" w:hAnsi="Arial"/>
          <w:sz w:val="16"/>
          <w:szCs w:val="16"/>
          <w:color w:val="auto"/>
        </w:rPr>
        <w:t xml:space="preserve">The Company shall prepare, at least 10 days before every meeting of stockholders, a complete list of the stockholders entitled to vote at the meeting;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if the record date for determining the stockholders entitled to vote is less than 10 days before the meeting date, the list shall reflect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56"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6"/>
          <w:szCs w:val="16"/>
          <w:color w:val="auto"/>
        </w:rPr>
        <w:t>INSPECTORS OF ELECTION</w:t>
      </w:r>
    </w:p>
    <w:p>
      <w:pPr>
        <w:spacing w:after="0" w:line="194" w:lineRule="exact"/>
        <w:rPr>
          <w:sz w:val="20"/>
          <w:szCs w:val="20"/>
          <w:color w:val="auto"/>
        </w:rPr>
      </w:pPr>
    </w:p>
    <w:p>
      <w:pPr>
        <w:jc w:val="both"/>
        <w:ind w:firstLine="866"/>
        <w:spacing w:after="0" w:line="276" w:lineRule="auto"/>
        <w:rPr>
          <w:sz w:val="20"/>
          <w:szCs w:val="20"/>
          <w:color w:val="auto"/>
        </w:rPr>
      </w:pPr>
      <w:r>
        <w:rPr>
          <w:rFonts w:ascii="Arial" w:cs="Arial" w:eastAsia="Arial" w:hAnsi="Arial"/>
          <w:sz w:val="17"/>
          <w:szCs w:val="17"/>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Such inspectors shall:</w:t>
      </w:r>
    </w:p>
    <w:p>
      <w:pPr>
        <w:spacing w:after="0" w:line="194" w:lineRule="exact"/>
        <w:rPr>
          <w:sz w:val="20"/>
          <w:szCs w:val="20"/>
          <w:color w:val="auto"/>
        </w:rPr>
      </w:pPr>
    </w:p>
    <w:p>
      <w:pPr>
        <w:ind w:left="2480" w:hanging="754"/>
        <w:spacing w:after="0"/>
        <w:tabs>
          <w:tab w:leader="none" w:pos="24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ascertain the number of shares outstanding and the voting power of each;</w:t>
      </w:r>
    </w:p>
    <w:p>
      <w:pPr>
        <w:spacing w:after="0" w:line="193" w:lineRule="exact"/>
        <w:rPr>
          <w:rFonts w:ascii="Arial" w:cs="Arial" w:eastAsia="Arial" w:hAnsi="Arial"/>
          <w:sz w:val="17"/>
          <w:szCs w:val="17"/>
          <w:color w:val="auto"/>
        </w:rPr>
      </w:pPr>
    </w:p>
    <w:p>
      <w:pPr>
        <w:ind w:left="2500" w:hanging="774"/>
        <w:spacing w:after="0"/>
        <w:tabs>
          <w:tab w:leader="none" w:pos="2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determine the shares represented at the meeting and the validity of proxies and ballots;</w:t>
      </w:r>
    </w:p>
    <w:p>
      <w:pPr>
        <w:spacing w:after="0" w:line="193" w:lineRule="exact"/>
        <w:rPr>
          <w:rFonts w:ascii="Arial" w:cs="Arial" w:eastAsia="Arial" w:hAnsi="Arial"/>
          <w:sz w:val="17"/>
          <w:szCs w:val="17"/>
          <w:color w:val="auto"/>
        </w:rPr>
      </w:pPr>
    </w:p>
    <w:p>
      <w:pPr>
        <w:ind w:left="2480" w:hanging="754"/>
        <w:spacing w:after="0"/>
        <w:tabs>
          <w:tab w:leader="none" w:pos="24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count all votes and ballots;</w:t>
      </w:r>
    </w:p>
    <w:p>
      <w:pPr>
        <w:spacing w:after="0" w:line="193" w:lineRule="exact"/>
        <w:rPr>
          <w:rFonts w:ascii="Arial" w:cs="Arial" w:eastAsia="Arial" w:hAnsi="Arial"/>
          <w:sz w:val="17"/>
          <w:szCs w:val="17"/>
          <w:color w:val="auto"/>
        </w:rPr>
      </w:pPr>
    </w:p>
    <w:p>
      <w:pPr>
        <w:ind w:left="2500" w:hanging="774"/>
        <w:spacing w:after="0"/>
        <w:tabs>
          <w:tab w:leader="none" w:pos="2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determine and retain for a reasonable period a record of the disposition of any challenges made to any determination by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inspectors; and</w:t>
      </w:r>
    </w:p>
    <w:p>
      <w:pPr>
        <w:spacing w:after="0" w:line="180" w:lineRule="exact"/>
        <w:rPr>
          <w:sz w:val="20"/>
          <w:szCs w:val="20"/>
          <w:color w:val="auto"/>
        </w:rPr>
      </w:pPr>
    </w:p>
    <w:p>
      <w:pPr>
        <w:ind w:left="2480" w:hanging="754"/>
        <w:spacing w:after="0"/>
        <w:tabs>
          <w:tab w:leader="none" w:pos="24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certify their determination of the number of shares represented at the meeting, and their count of all votes and ballots.</w:t>
      </w:r>
    </w:p>
    <w:p>
      <w:pPr>
        <w:spacing w:after="0" w:line="205" w:lineRule="exact"/>
        <w:rPr>
          <w:sz w:val="20"/>
          <w:szCs w:val="20"/>
          <w:color w:val="auto"/>
        </w:rPr>
      </w:pPr>
    </w:p>
    <w:p>
      <w:pPr>
        <w:jc w:val="both"/>
        <w:ind w:firstLine="866"/>
        <w:spacing w:after="0" w:line="261" w:lineRule="auto"/>
        <w:rPr>
          <w:sz w:val="20"/>
          <w:szCs w:val="20"/>
          <w:color w:val="auto"/>
        </w:rPr>
      </w:pPr>
      <w:r>
        <w:rPr>
          <w:rFonts w:ascii="Arial" w:cs="Arial" w:eastAsia="Arial" w:hAnsi="Arial"/>
          <w:sz w:val="17"/>
          <w:szCs w:val="17"/>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facts stated therein.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ARTICLE III - DIRECTORS</w:t>
      </w:r>
    </w:p>
    <w:p>
      <w:pPr>
        <w:spacing w:after="0" w:line="20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POWERS</w:t>
      </w:r>
    </w:p>
    <w:p>
      <w:pPr>
        <w:spacing w:after="0" w:line="194" w:lineRule="exact"/>
        <w:rPr>
          <w:sz w:val="20"/>
          <w:szCs w:val="20"/>
          <w:color w:val="auto"/>
        </w:rPr>
      </w:pPr>
    </w:p>
    <w:p>
      <w:pPr>
        <w:jc w:val="both"/>
        <w:ind w:right="20" w:firstLine="866"/>
        <w:spacing w:after="0" w:line="276" w:lineRule="auto"/>
        <w:rPr>
          <w:sz w:val="20"/>
          <w:szCs w:val="20"/>
          <w:color w:val="auto"/>
        </w:rPr>
      </w:pPr>
      <w:r>
        <w:rPr>
          <w:rFonts w:ascii="Arial" w:cs="Arial" w:eastAsia="Arial" w:hAnsi="Arial"/>
          <w:sz w:val="17"/>
          <w:szCs w:val="17"/>
          <w:color w:val="auto"/>
        </w:rPr>
        <w:t>The business and affairs of the Company shall be managed by or under the direction of the Board of Directors, except as may be otherwise provided in the DGCL or the certificate of incorporation.</w:t>
      </w:r>
    </w:p>
    <w:p>
      <w:pPr>
        <w:spacing w:after="0" w:line="14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color w:val="auto"/>
        </w:rPr>
        <w:t>NUMBER OF DIRECTORS</w:t>
      </w:r>
    </w:p>
    <w:p>
      <w:pPr>
        <w:spacing w:after="0" w:line="194" w:lineRule="exact"/>
        <w:rPr>
          <w:sz w:val="20"/>
          <w:szCs w:val="20"/>
          <w:color w:val="auto"/>
        </w:rPr>
      </w:pPr>
    </w:p>
    <w:p>
      <w:pPr>
        <w:jc w:val="both"/>
        <w:ind w:firstLine="866"/>
        <w:spacing w:after="0" w:line="261" w:lineRule="auto"/>
        <w:rPr>
          <w:sz w:val="20"/>
          <w:szCs w:val="20"/>
          <w:color w:val="auto"/>
        </w:rPr>
      </w:pPr>
      <w:r>
        <w:rPr>
          <w:rFonts w:ascii="Arial" w:cs="Arial" w:eastAsia="Arial" w:hAnsi="Arial"/>
          <w:sz w:val="17"/>
          <w:szCs w:val="17"/>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52"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6"/>
          <w:szCs w:val="16"/>
          <w:color w:val="auto"/>
        </w:rPr>
        <w:t>ELECTION, QUALIFICATION AND TERM OF OFFICE OF DIRECTORS</w:t>
      </w:r>
    </w:p>
    <w:p>
      <w:pPr>
        <w:spacing w:after="0" w:line="194" w:lineRule="exact"/>
        <w:rPr>
          <w:sz w:val="20"/>
          <w:szCs w:val="20"/>
          <w:color w:val="auto"/>
        </w:rPr>
      </w:pPr>
    </w:p>
    <w:p>
      <w:pPr>
        <w:jc w:val="both"/>
        <w:ind w:right="20" w:firstLine="866"/>
        <w:spacing w:after="0" w:line="256" w:lineRule="auto"/>
        <w:rPr>
          <w:sz w:val="20"/>
          <w:szCs w:val="20"/>
          <w:color w:val="auto"/>
        </w:rPr>
      </w:pPr>
      <w:r>
        <w:rPr>
          <w:rFonts w:ascii="Arial" w:cs="Arial" w:eastAsia="Arial" w:hAnsi="Arial"/>
          <w:sz w:val="17"/>
          <w:szCs w:val="17"/>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5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If so provided in the certificate of incorporation, the directors of the Company shall be divided into three classes.</w:t>
      </w:r>
    </w:p>
    <w:p>
      <w:pPr>
        <w:spacing w:after="0" w:line="194"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6"/>
          <w:szCs w:val="16"/>
          <w:color w:val="auto"/>
        </w:rPr>
        <w:t>RESIGNATION AND VACANCIES</w:t>
      </w:r>
    </w:p>
    <w:p>
      <w:pPr>
        <w:spacing w:after="0" w:line="194" w:lineRule="exact"/>
        <w:rPr>
          <w:sz w:val="20"/>
          <w:szCs w:val="20"/>
          <w:color w:val="auto"/>
        </w:rPr>
      </w:pPr>
    </w:p>
    <w:p>
      <w:pPr>
        <w:jc w:val="both"/>
        <w:ind w:firstLine="866"/>
        <w:spacing w:after="0" w:line="252" w:lineRule="auto"/>
        <w:rPr>
          <w:sz w:val="20"/>
          <w:szCs w:val="20"/>
          <w:color w:val="auto"/>
        </w:rPr>
      </w:pPr>
      <w:r>
        <w:rPr>
          <w:rFonts w:ascii="Arial" w:cs="Arial" w:eastAsia="Arial" w:hAnsi="Arial"/>
          <w:sz w:val="17"/>
          <w:szCs w:val="17"/>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60" w:lineRule="exact"/>
        <w:rPr>
          <w:sz w:val="20"/>
          <w:szCs w:val="20"/>
          <w:color w:val="auto"/>
        </w:rPr>
      </w:pPr>
    </w:p>
    <w:p>
      <w:pPr>
        <w:jc w:val="both"/>
        <w:ind w:firstLine="866"/>
        <w:spacing w:after="0" w:line="252" w:lineRule="auto"/>
        <w:rPr>
          <w:sz w:val="20"/>
          <w:szCs w:val="20"/>
          <w:color w:val="auto"/>
        </w:rPr>
      </w:pPr>
      <w:r>
        <w:rPr>
          <w:rFonts w:ascii="Arial" w:cs="Arial" w:eastAsia="Arial" w:hAnsi="Arial"/>
          <w:sz w:val="17"/>
          <w:szCs w:val="17"/>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05" w:name="page106"/>
    <w:bookmarkEnd w:id="105"/>
    <w:p>
      <w:pPr>
        <w:ind w:left="860"/>
        <w:spacing w:after="0"/>
        <w:tabs>
          <w:tab w:leader="none" w:pos="162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6"/>
          <w:szCs w:val="16"/>
          <w:color w:val="auto"/>
        </w:rPr>
        <w:t>PLACE OF MEETINGS; MEETINGS BY TELEPHONE</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Board of Directors may hold meetings, both regular and special, either within or outside the State of Delaware.</w:t>
      </w:r>
    </w:p>
    <w:p>
      <w:pPr>
        <w:spacing w:after="0" w:line="194" w:lineRule="exact"/>
        <w:rPr>
          <w:sz w:val="20"/>
          <w:szCs w:val="20"/>
          <w:color w:val="auto"/>
        </w:rPr>
      </w:pPr>
    </w:p>
    <w:p>
      <w:pPr>
        <w:jc w:val="both"/>
        <w:ind w:right="20" w:firstLine="866"/>
        <w:spacing w:after="0" w:line="261" w:lineRule="auto"/>
        <w:rPr>
          <w:sz w:val="20"/>
          <w:szCs w:val="20"/>
          <w:color w:val="auto"/>
        </w:rPr>
      </w:pPr>
      <w:r>
        <w:rPr>
          <w:rFonts w:ascii="Arial" w:cs="Arial" w:eastAsia="Arial" w:hAnsi="Arial"/>
          <w:sz w:val="17"/>
          <w:szCs w:val="17"/>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52"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6"/>
          <w:szCs w:val="16"/>
          <w:color w:val="auto"/>
        </w:rPr>
        <w:t>REGULAR MEETINGS</w:t>
      </w:r>
    </w:p>
    <w:p>
      <w:pPr>
        <w:spacing w:after="0" w:line="194" w:lineRule="exact"/>
        <w:rPr>
          <w:sz w:val="20"/>
          <w:szCs w:val="20"/>
          <w:color w:val="auto"/>
        </w:rPr>
      </w:pPr>
    </w:p>
    <w:p>
      <w:pPr>
        <w:jc w:val="both"/>
        <w:ind w:right="20" w:firstLine="866"/>
        <w:spacing w:after="0" w:line="276" w:lineRule="auto"/>
        <w:rPr>
          <w:sz w:val="20"/>
          <w:szCs w:val="20"/>
          <w:color w:val="auto"/>
        </w:rPr>
      </w:pPr>
      <w:r>
        <w:rPr>
          <w:rFonts w:ascii="Arial" w:cs="Arial" w:eastAsia="Arial" w:hAnsi="Arial"/>
          <w:sz w:val="17"/>
          <w:szCs w:val="17"/>
          <w:color w:val="auto"/>
        </w:rPr>
        <w:t>Regular meetings of the Board of Directors may be held without notice at such time and at such place as shall from time to time be determined by the Board of Directors.</w:t>
      </w:r>
    </w:p>
    <w:p>
      <w:pPr>
        <w:spacing w:after="0" w:line="14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6"/>
          <w:szCs w:val="16"/>
          <w:color w:val="auto"/>
        </w:rPr>
        <w:t>SPECIAL MEETINGS; NOTICE</w:t>
      </w:r>
    </w:p>
    <w:p>
      <w:pPr>
        <w:spacing w:after="0" w:line="194" w:lineRule="exact"/>
        <w:rPr>
          <w:sz w:val="20"/>
          <w:szCs w:val="20"/>
          <w:color w:val="auto"/>
        </w:rPr>
      </w:pPr>
    </w:p>
    <w:p>
      <w:pPr>
        <w:jc w:val="both"/>
        <w:ind w:right="20" w:firstLine="866"/>
        <w:spacing w:after="0" w:line="276" w:lineRule="auto"/>
        <w:rPr>
          <w:sz w:val="20"/>
          <w:szCs w:val="20"/>
          <w:color w:val="auto"/>
        </w:rPr>
      </w:pPr>
      <w:r>
        <w:rPr>
          <w:rFonts w:ascii="Arial" w:cs="Arial" w:eastAsia="Arial" w:hAnsi="Arial"/>
          <w:sz w:val="17"/>
          <w:szCs w:val="17"/>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Notice of the time and place of special meetings shall be:</w:t>
      </w:r>
    </w:p>
    <w:p>
      <w:pPr>
        <w:spacing w:after="0" w:line="194" w:lineRule="exact"/>
        <w:rPr>
          <w:sz w:val="20"/>
          <w:szCs w:val="20"/>
          <w:color w:val="auto"/>
        </w:rPr>
      </w:pPr>
    </w:p>
    <w:p>
      <w:pPr>
        <w:ind w:left="2480" w:hanging="754"/>
        <w:spacing w:after="0"/>
        <w:tabs>
          <w:tab w:leader="none" w:pos="24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delivered personally by hand, by courier or by telephone;</w:t>
      </w:r>
    </w:p>
    <w:p>
      <w:pPr>
        <w:spacing w:after="0" w:line="193" w:lineRule="exact"/>
        <w:rPr>
          <w:rFonts w:ascii="Arial" w:cs="Arial" w:eastAsia="Arial" w:hAnsi="Arial"/>
          <w:sz w:val="17"/>
          <w:szCs w:val="17"/>
          <w:color w:val="auto"/>
        </w:rPr>
      </w:pPr>
    </w:p>
    <w:p>
      <w:pPr>
        <w:ind w:left="2500" w:hanging="774"/>
        <w:spacing w:after="0"/>
        <w:tabs>
          <w:tab w:leader="none" w:pos="2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sent by United States first-class mail, postage prepaid;</w:t>
      </w:r>
    </w:p>
    <w:p>
      <w:pPr>
        <w:spacing w:after="0" w:line="193" w:lineRule="exact"/>
        <w:rPr>
          <w:rFonts w:ascii="Arial" w:cs="Arial" w:eastAsia="Arial" w:hAnsi="Arial"/>
          <w:sz w:val="17"/>
          <w:szCs w:val="17"/>
          <w:color w:val="auto"/>
        </w:rPr>
      </w:pPr>
    </w:p>
    <w:p>
      <w:pPr>
        <w:ind w:left="2480" w:hanging="754"/>
        <w:spacing w:after="0"/>
        <w:tabs>
          <w:tab w:leader="none" w:pos="24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sent by facsimile;</w:t>
      </w:r>
    </w:p>
    <w:p>
      <w:pPr>
        <w:spacing w:after="0" w:line="193" w:lineRule="exact"/>
        <w:rPr>
          <w:rFonts w:ascii="Arial" w:cs="Arial" w:eastAsia="Arial" w:hAnsi="Arial"/>
          <w:sz w:val="17"/>
          <w:szCs w:val="17"/>
          <w:color w:val="auto"/>
        </w:rPr>
      </w:pPr>
    </w:p>
    <w:p>
      <w:pPr>
        <w:ind w:left="2500" w:hanging="774"/>
        <w:spacing w:after="0"/>
        <w:tabs>
          <w:tab w:leader="none" w:pos="2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sent by electronic mail; or</w:t>
      </w:r>
    </w:p>
    <w:p>
      <w:pPr>
        <w:spacing w:after="0" w:line="193" w:lineRule="exact"/>
        <w:rPr>
          <w:rFonts w:ascii="Arial" w:cs="Arial" w:eastAsia="Arial" w:hAnsi="Arial"/>
          <w:sz w:val="17"/>
          <w:szCs w:val="17"/>
          <w:color w:val="auto"/>
        </w:rPr>
      </w:pPr>
    </w:p>
    <w:p>
      <w:pPr>
        <w:ind w:left="2480" w:hanging="754"/>
        <w:spacing w:after="0"/>
        <w:tabs>
          <w:tab w:leader="none" w:pos="24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otherwise given by electronic transmission (as defined in Section 232 of the DGCL),</w:t>
      </w:r>
    </w:p>
    <w:p>
      <w:pPr>
        <w:spacing w:after="0" w:line="194"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40" w:lineRule="exact"/>
        <w:rPr>
          <w:sz w:val="20"/>
          <w:szCs w:val="20"/>
          <w:color w:val="auto"/>
        </w:rPr>
      </w:pPr>
    </w:p>
    <w:p>
      <w:pPr>
        <w:jc w:val="both"/>
        <w:ind w:firstLine="866"/>
        <w:spacing w:after="0" w:line="253" w:lineRule="auto"/>
        <w:rPr>
          <w:sz w:val="20"/>
          <w:szCs w:val="20"/>
          <w:color w:val="auto"/>
        </w:rPr>
      </w:pPr>
      <w:r>
        <w:rPr>
          <w:rFonts w:ascii="Arial" w:cs="Arial" w:eastAsia="Arial" w:hAnsi="Arial"/>
          <w:sz w:val="17"/>
          <w:szCs w:val="17"/>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06" w:name="page107"/>
    <w:bookmarkEnd w:id="106"/>
    <w:p>
      <w:pPr>
        <w:ind w:left="860"/>
        <w:spacing w:after="0"/>
        <w:tabs>
          <w:tab w:leader="none" w:pos="162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6"/>
          <w:szCs w:val="16"/>
          <w:color w:val="auto"/>
        </w:rPr>
        <w:t>QUORUM; VOTING</w:t>
      </w:r>
    </w:p>
    <w:p>
      <w:pPr>
        <w:spacing w:after="0" w:line="194" w:lineRule="exact"/>
        <w:rPr>
          <w:sz w:val="20"/>
          <w:szCs w:val="20"/>
          <w:color w:val="auto"/>
        </w:rPr>
      </w:pPr>
    </w:p>
    <w:p>
      <w:pPr>
        <w:jc w:val="both"/>
        <w:ind w:right="20" w:firstLine="866"/>
        <w:spacing w:after="0" w:line="261" w:lineRule="auto"/>
        <w:rPr>
          <w:sz w:val="20"/>
          <w:szCs w:val="20"/>
          <w:color w:val="auto"/>
        </w:rPr>
      </w:pPr>
      <w:r>
        <w:rPr>
          <w:rFonts w:ascii="Arial" w:cs="Arial" w:eastAsia="Arial" w:hAnsi="Arial"/>
          <w:sz w:val="17"/>
          <w:szCs w:val="17"/>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52" w:lineRule="exact"/>
        <w:rPr>
          <w:sz w:val="20"/>
          <w:szCs w:val="20"/>
          <w:color w:val="auto"/>
        </w:rPr>
      </w:pPr>
    </w:p>
    <w:p>
      <w:pPr>
        <w:jc w:val="both"/>
        <w:ind w:firstLine="866"/>
        <w:spacing w:after="0" w:line="276" w:lineRule="auto"/>
        <w:rPr>
          <w:sz w:val="20"/>
          <w:szCs w:val="20"/>
          <w:color w:val="auto"/>
        </w:rPr>
      </w:pPr>
      <w:r>
        <w:rPr>
          <w:rFonts w:ascii="Arial" w:cs="Arial" w:eastAsia="Arial" w:hAnsi="Arial"/>
          <w:sz w:val="17"/>
          <w:szCs w:val="17"/>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40" w:lineRule="exact"/>
        <w:rPr>
          <w:sz w:val="20"/>
          <w:szCs w:val="20"/>
          <w:color w:val="auto"/>
        </w:rPr>
      </w:pPr>
    </w:p>
    <w:p>
      <w:pPr>
        <w:jc w:val="both"/>
        <w:ind w:firstLine="866"/>
        <w:spacing w:after="0" w:line="256" w:lineRule="auto"/>
        <w:rPr>
          <w:sz w:val="20"/>
          <w:szCs w:val="20"/>
          <w:color w:val="auto"/>
        </w:rPr>
      </w:pPr>
      <w:r>
        <w:rPr>
          <w:rFonts w:ascii="Arial" w:cs="Arial" w:eastAsia="Arial" w:hAnsi="Arial"/>
          <w:sz w:val="17"/>
          <w:szCs w:val="17"/>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56"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6"/>
          <w:szCs w:val="16"/>
          <w:color w:val="auto"/>
        </w:rPr>
        <w:t>BOARD ACTION BY WRITTEN CONSENT WITHOUT A MEETING</w:t>
      </w:r>
    </w:p>
    <w:p>
      <w:pPr>
        <w:spacing w:after="0" w:line="194" w:lineRule="exact"/>
        <w:rPr>
          <w:sz w:val="20"/>
          <w:szCs w:val="20"/>
          <w:color w:val="auto"/>
        </w:rPr>
      </w:pPr>
    </w:p>
    <w:p>
      <w:pPr>
        <w:jc w:val="both"/>
        <w:ind w:firstLine="866"/>
        <w:spacing w:after="0" w:line="292" w:lineRule="auto"/>
        <w:rPr>
          <w:sz w:val="20"/>
          <w:szCs w:val="20"/>
          <w:color w:val="auto"/>
        </w:rPr>
      </w:pPr>
      <w:r>
        <w:rPr>
          <w:rFonts w:ascii="Arial" w:cs="Arial" w:eastAsia="Arial" w:hAnsi="Arial"/>
          <w:sz w:val="15"/>
          <w:szCs w:val="15"/>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3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6"/>
          <w:szCs w:val="16"/>
          <w:color w:val="auto"/>
        </w:rPr>
        <w:t>FEES AND COMPENSATION OF DIRECTORS</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5"/>
          <w:szCs w:val="15"/>
          <w:color w:val="auto"/>
        </w:rPr>
        <w:t>Unless otherwise restricted by the certificate of incorporation or these bylaws, the Board of Directors shall have the authority to fix the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of directors.</w:t>
      </w:r>
    </w:p>
    <w:p>
      <w:pPr>
        <w:spacing w:after="0" w:line="18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REMOVAL OF DIRECTORS</w:t>
      </w:r>
    </w:p>
    <w:p>
      <w:pPr>
        <w:spacing w:after="0" w:line="194" w:lineRule="exact"/>
        <w:rPr>
          <w:sz w:val="20"/>
          <w:szCs w:val="20"/>
          <w:color w:val="auto"/>
        </w:rPr>
      </w:pPr>
    </w:p>
    <w:p>
      <w:pPr>
        <w:jc w:val="both"/>
        <w:ind w:firstLine="866"/>
        <w:spacing w:after="0" w:line="261" w:lineRule="auto"/>
        <w:rPr>
          <w:sz w:val="20"/>
          <w:szCs w:val="20"/>
          <w:color w:val="auto"/>
        </w:rPr>
      </w:pPr>
      <w:r>
        <w:rPr>
          <w:rFonts w:ascii="Arial" w:cs="Arial" w:eastAsia="Arial" w:hAnsi="Arial"/>
          <w:sz w:val="17"/>
          <w:szCs w:val="17"/>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ARTICLE IV - COMMITTEES</w:t>
      </w:r>
    </w:p>
    <w:p>
      <w:pPr>
        <w:spacing w:after="0" w:line="20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color w:val="auto"/>
        </w:rPr>
        <w:t>COMMITTEES OF DIRECTORS</w:t>
      </w:r>
    </w:p>
    <w:p>
      <w:pPr>
        <w:spacing w:after="0" w:line="194" w:lineRule="exact"/>
        <w:rPr>
          <w:sz w:val="20"/>
          <w:szCs w:val="20"/>
          <w:color w:val="auto"/>
        </w:rPr>
      </w:pPr>
    </w:p>
    <w:p>
      <w:pPr>
        <w:jc w:val="both"/>
        <w:ind w:firstLine="866"/>
        <w:spacing w:after="0" w:line="267" w:lineRule="auto"/>
        <w:rPr>
          <w:sz w:val="20"/>
          <w:szCs w:val="20"/>
          <w:color w:val="auto"/>
        </w:rPr>
      </w:pPr>
      <w:r>
        <w:rPr>
          <w:rFonts w:ascii="Arial" w:cs="Arial" w:eastAsia="Arial" w:hAnsi="Arial"/>
          <w:sz w:val="16"/>
          <w:szCs w:val="16"/>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5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COMMITTEE MINUTES</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Each committee and subcommittee shall keep regular minutes of its meetings.</w:t>
      </w:r>
    </w:p>
    <w:p>
      <w:pPr>
        <w:spacing w:after="0" w:line="194"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color w:val="auto"/>
        </w:rPr>
        <w:t>MEETINGS AND ACTION OF COMMITTEES</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Meetings and actions of committees and subcommittees shall be governed by, and held and taken in accordance with, the provisions of:</w:t>
      </w:r>
    </w:p>
    <w:p>
      <w:pPr>
        <w:spacing w:after="0" w:line="194" w:lineRule="exact"/>
        <w:rPr>
          <w:sz w:val="20"/>
          <w:szCs w:val="20"/>
          <w:color w:val="auto"/>
        </w:rPr>
      </w:pPr>
    </w:p>
    <w:p>
      <w:pPr>
        <w:ind w:left="2480" w:hanging="754"/>
        <w:spacing w:after="0"/>
        <w:tabs>
          <w:tab w:leader="none" w:pos="24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Section 3.5 (place of meetings and meetings by telephone);</w:t>
      </w:r>
    </w:p>
    <w:p>
      <w:pPr>
        <w:spacing w:after="0" w:line="193" w:lineRule="exact"/>
        <w:rPr>
          <w:rFonts w:ascii="Arial" w:cs="Arial" w:eastAsia="Arial" w:hAnsi="Arial"/>
          <w:sz w:val="17"/>
          <w:szCs w:val="17"/>
          <w:color w:val="auto"/>
        </w:rPr>
      </w:pPr>
    </w:p>
    <w:p>
      <w:pPr>
        <w:ind w:left="2500" w:hanging="774"/>
        <w:spacing w:after="0"/>
        <w:tabs>
          <w:tab w:leader="none" w:pos="2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Section 3.6 (regular meetings);</w:t>
      </w:r>
    </w:p>
    <w:p>
      <w:pPr>
        <w:spacing w:after="0" w:line="193" w:lineRule="exact"/>
        <w:rPr>
          <w:rFonts w:ascii="Arial" w:cs="Arial" w:eastAsia="Arial" w:hAnsi="Arial"/>
          <w:sz w:val="17"/>
          <w:szCs w:val="17"/>
          <w:color w:val="auto"/>
        </w:rPr>
      </w:pPr>
    </w:p>
    <w:p>
      <w:pPr>
        <w:ind w:left="2480" w:hanging="754"/>
        <w:spacing w:after="0"/>
        <w:tabs>
          <w:tab w:leader="none" w:pos="24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Section 3.7 (special meetings and notice);</w:t>
      </w:r>
    </w:p>
    <w:p>
      <w:pPr>
        <w:spacing w:after="0" w:line="193" w:lineRule="exact"/>
        <w:rPr>
          <w:rFonts w:ascii="Arial" w:cs="Arial" w:eastAsia="Arial" w:hAnsi="Arial"/>
          <w:sz w:val="17"/>
          <w:szCs w:val="17"/>
          <w:color w:val="auto"/>
        </w:rPr>
      </w:pPr>
    </w:p>
    <w:p>
      <w:pPr>
        <w:ind w:left="2500" w:hanging="774"/>
        <w:spacing w:after="0"/>
        <w:tabs>
          <w:tab w:leader="none" w:pos="2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Section 3.8 (quorum; voting);</w:t>
      </w:r>
    </w:p>
    <w:p>
      <w:pPr>
        <w:spacing w:after="0" w:line="193" w:lineRule="exact"/>
        <w:rPr>
          <w:rFonts w:ascii="Arial" w:cs="Arial" w:eastAsia="Arial" w:hAnsi="Arial"/>
          <w:sz w:val="17"/>
          <w:szCs w:val="17"/>
          <w:color w:val="auto"/>
        </w:rPr>
      </w:pPr>
    </w:p>
    <w:p>
      <w:pPr>
        <w:ind w:left="2480" w:hanging="754"/>
        <w:spacing w:after="0"/>
        <w:tabs>
          <w:tab w:leader="none" w:pos="24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Section 3.9 (action without a meeting); and</w:t>
      </w:r>
    </w:p>
    <w:p>
      <w:pPr>
        <w:spacing w:after="0" w:line="193" w:lineRule="exact"/>
        <w:rPr>
          <w:rFonts w:ascii="Arial" w:cs="Arial" w:eastAsia="Arial" w:hAnsi="Arial"/>
          <w:sz w:val="17"/>
          <w:szCs w:val="17"/>
          <w:color w:val="auto"/>
        </w:rPr>
      </w:pPr>
    </w:p>
    <w:p>
      <w:pPr>
        <w:ind w:left="2460" w:hanging="734"/>
        <w:spacing w:after="0"/>
        <w:tabs>
          <w:tab w:leader="none" w:pos="2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Section 7.4 (waiver of notice)</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with such changes in the context of those bylaws as are necessary to substitute the committee or subcommittee and its members for the Board of Directors and its members. </w:t>
      </w:r>
      <w:r>
        <w:rPr>
          <w:rFonts w:ascii="Arial" w:cs="Arial" w:eastAsia="Arial" w:hAnsi="Arial"/>
          <w:sz w:val="17"/>
          <w:szCs w:val="17"/>
          <w:i w:val="1"/>
          <w:iCs w:val="1"/>
          <w:color w:val="auto"/>
        </w:rPr>
        <w:t>However</w:t>
      </w:r>
      <w:r>
        <w:rPr>
          <w:rFonts w:ascii="Arial" w:cs="Arial" w:eastAsia="Arial" w:hAnsi="Arial"/>
          <w:sz w:val="17"/>
          <w:szCs w:val="17"/>
          <w:color w:val="auto"/>
        </w:rPr>
        <w:t>,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subcommittee; and (iii) notice of special meetings of committees and subcommittees shall also be given to all alternate members who shall have the right to attend all meetings of the committee or subcommittee. The Board of Directors may adopt rules for the government of any committee not inconsistent with the provisions of these bylaws.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08" w:name="page109"/>
    <w:bookmarkEnd w:id="108"/>
    <w:p>
      <w:pPr>
        <w:jc w:val="both"/>
        <w:ind w:right="20" w:firstLine="866"/>
        <w:spacing w:after="0" w:line="276" w:lineRule="auto"/>
        <w:rPr>
          <w:sz w:val="20"/>
          <w:szCs w:val="20"/>
          <w:color w:val="auto"/>
        </w:rPr>
      </w:pPr>
      <w:r>
        <w:rPr>
          <w:rFonts w:ascii="Arial" w:cs="Arial" w:eastAsia="Arial" w:hAnsi="Arial"/>
          <w:sz w:val="17"/>
          <w:szCs w:val="17"/>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4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color w:val="auto"/>
        </w:rPr>
        <w:t>SUBCOMMITTEES</w:t>
      </w:r>
    </w:p>
    <w:p>
      <w:pPr>
        <w:spacing w:after="0" w:line="194" w:lineRule="exact"/>
        <w:rPr>
          <w:sz w:val="20"/>
          <w:szCs w:val="20"/>
          <w:color w:val="auto"/>
        </w:rPr>
      </w:pPr>
    </w:p>
    <w:p>
      <w:pPr>
        <w:jc w:val="both"/>
        <w:ind w:right="20" w:firstLine="866"/>
        <w:spacing w:after="0" w:line="261" w:lineRule="auto"/>
        <w:rPr>
          <w:sz w:val="20"/>
          <w:szCs w:val="20"/>
          <w:color w:val="auto"/>
        </w:rPr>
      </w:pPr>
      <w:r>
        <w:rPr>
          <w:rFonts w:ascii="Arial" w:cs="Arial" w:eastAsia="Arial" w:hAnsi="Arial"/>
          <w:sz w:val="17"/>
          <w:szCs w:val="17"/>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 - OFFICERS</w:t>
      </w:r>
    </w:p>
    <w:p>
      <w:pPr>
        <w:spacing w:after="0" w:line="20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OFFICERS</w:t>
      </w:r>
    </w:p>
    <w:p>
      <w:pPr>
        <w:spacing w:after="0" w:line="194" w:lineRule="exact"/>
        <w:rPr>
          <w:sz w:val="20"/>
          <w:szCs w:val="20"/>
          <w:color w:val="auto"/>
        </w:rPr>
      </w:pPr>
    </w:p>
    <w:p>
      <w:pPr>
        <w:jc w:val="both"/>
        <w:ind w:right="20" w:firstLine="866"/>
        <w:spacing w:after="0" w:line="277" w:lineRule="auto"/>
        <w:rPr>
          <w:sz w:val="20"/>
          <w:szCs w:val="20"/>
          <w:color w:val="auto"/>
        </w:rPr>
      </w:pPr>
      <w:r>
        <w:rPr>
          <w:rFonts w:ascii="Arial" w:cs="Arial" w:eastAsia="Arial" w:hAnsi="Arial"/>
          <w:sz w:val="16"/>
          <w:szCs w:val="16"/>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41"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6"/>
          <w:szCs w:val="16"/>
          <w:color w:val="auto"/>
        </w:rPr>
        <w:t>APPOINTMENT OF OFFICERS</w:t>
      </w:r>
    </w:p>
    <w:p>
      <w:pPr>
        <w:spacing w:after="0" w:line="194" w:lineRule="exact"/>
        <w:rPr>
          <w:sz w:val="20"/>
          <w:szCs w:val="20"/>
          <w:color w:val="auto"/>
        </w:rPr>
      </w:pPr>
    </w:p>
    <w:p>
      <w:pPr>
        <w:jc w:val="both"/>
        <w:ind w:right="20" w:firstLine="866"/>
        <w:spacing w:after="0" w:line="276" w:lineRule="auto"/>
        <w:rPr>
          <w:sz w:val="20"/>
          <w:szCs w:val="20"/>
          <w:color w:val="auto"/>
        </w:rPr>
      </w:pPr>
      <w:r>
        <w:rPr>
          <w:rFonts w:ascii="Arial" w:cs="Arial" w:eastAsia="Arial" w:hAnsi="Arial"/>
          <w:sz w:val="17"/>
          <w:szCs w:val="17"/>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4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6"/>
          <w:szCs w:val="16"/>
          <w:color w:val="auto"/>
        </w:rPr>
        <w:t>SUBORDINATE OFFICERS</w:t>
      </w:r>
    </w:p>
    <w:p>
      <w:pPr>
        <w:spacing w:after="0" w:line="194" w:lineRule="exact"/>
        <w:rPr>
          <w:sz w:val="20"/>
          <w:szCs w:val="20"/>
          <w:color w:val="auto"/>
        </w:rPr>
      </w:pPr>
    </w:p>
    <w:p>
      <w:pPr>
        <w:jc w:val="both"/>
        <w:ind w:firstLine="866"/>
        <w:spacing w:after="0" w:line="261" w:lineRule="auto"/>
        <w:rPr>
          <w:sz w:val="20"/>
          <w:szCs w:val="20"/>
          <w:color w:val="auto"/>
        </w:rPr>
      </w:pPr>
      <w:r>
        <w:rPr>
          <w:rFonts w:ascii="Arial" w:cs="Arial" w:eastAsia="Arial" w:hAnsi="Arial"/>
          <w:sz w:val="17"/>
          <w:szCs w:val="17"/>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152"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6"/>
          <w:szCs w:val="16"/>
          <w:color w:val="auto"/>
        </w:rPr>
        <w:t>REMOVAL AND RESIGNATION OF OFFICERS</w:t>
      </w:r>
    </w:p>
    <w:p>
      <w:pPr>
        <w:spacing w:after="0" w:line="194" w:lineRule="exact"/>
        <w:rPr>
          <w:sz w:val="20"/>
          <w:szCs w:val="20"/>
          <w:color w:val="auto"/>
        </w:rPr>
      </w:pPr>
    </w:p>
    <w:p>
      <w:pPr>
        <w:jc w:val="both"/>
        <w:ind w:right="20" w:firstLine="866"/>
        <w:spacing w:after="0" w:line="261"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52" w:lineRule="exact"/>
        <w:rPr>
          <w:sz w:val="20"/>
          <w:szCs w:val="20"/>
          <w:color w:val="auto"/>
        </w:rPr>
      </w:pPr>
    </w:p>
    <w:p>
      <w:pPr>
        <w:jc w:val="both"/>
        <w:ind w:firstLine="866"/>
        <w:spacing w:after="0" w:line="256" w:lineRule="auto"/>
        <w:rPr>
          <w:sz w:val="20"/>
          <w:szCs w:val="20"/>
          <w:color w:val="auto"/>
        </w:rPr>
      </w:pPr>
      <w:r>
        <w:rPr>
          <w:rFonts w:ascii="Arial" w:cs="Arial" w:eastAsia="Arial" w:hAnsi="Arial"/>
          <w:sz w:val="17"/>
          <w:szCs w:val="17"/>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09" w:name="page110"/>
    <w:bookmarkEnd w:id="109"/>
    <w:p>
      <w:pPr>
        <w:ind w:left="860"/>
        <w:spacing w:after="0"/>
        <w:tabs>
          <w:tab w:leader="none" w:pos="162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6"/>
          <w:szCs w:val="16"/>
          <w:color w:val="auto"/>
        </w:rPr>
        <w:t>VACANCIES IN OFFICES</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Any vacancy occurring in any office of the Company shall be filled by the Board of Directors or as provided in Section 5.3.</w:t>
      </w:r>
    </w:p>
    <w:p>
      <w:pPr>
        <w:spacing w:after="0" w:line="194"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6"/>
          <w:szCs w:val="16"/>
          <w:color w:val="auto"/>
        </w:rPr>
        <w:t>REPRESENTATION OF SECURITIES OF OTHER ENTITIES</w:t>
      </w:r>
    </w:p>
    <w:p>
      <w:pPr>
        <w:spacing w:after="0" w:line="194" w:lineRule="exact"/>
        <w:rPr>
          <w:sz w:val="20"/>
          <w:szCs w:val="20"/>
          <w:color w:val="auto"/>
        </w:rPr>
      </w:pPr>
    </w:p>
    <w:p>
      <w:pPr>
        <w:jc w:val="both"/>
        <w:ind w:firstLine="866"/>
        <w:spacing w:after="0" w:line="270" w:lineRule="auto"/>
        <w:rPr>
          <w:sz w:val="20"/>
          <w:szCs w:val="20"/>
          <w:color w:val="auto"/>
        </w:rPr>
      </w:pPr>
      <w:r>
        <w:rPr>
          <w:rFonts w:ascii="Arial" w:cs="Arial" w:eastAsia="Arial" w:hAnsi="Arial"/>
          <w:sz w:val="16"/>
          <w:szCs w:val="16"/>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49"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6"/>
          <w:szCs w:val="16"/>
          <w:color w:val="auto"/>
        </w:rPr>
        <w:t>AUTHORITY AND DUTIES OF OFFICERS</w:t>
      </w:r>
    </w:p>
    <w:p>
      <w:pPr>
        <w:spacing w:after="0" w:line="194" w:lineRule="exact"/>
        <w:rPr>
          <w:sz w:val="20"/>
          <w:szCs w:val="20"/>
          <w:color w:val="auto"/>
        </w:rPr>
      </w:pPr>
    </w:p>
    <w:p>
      <w:pPr>
        <w:jc w:val="both"/>
        <w:ind w:right="20" w:firstLine="866"/>
        <w:spacing w:after="0" w:line="261" w:lineRule="auto"/>
        <w:rPr>
          <w:sz w:val="20"/>
          <w:szCs w:val="20"/>
          <w:color w:val="auto"/>
        </w:rPr>
      </w:pPr>
      <w:r>
        <w:rPr>
          <w:rFonts w:ascii="Arial" w:cs="Arial" w:eastAsia="Arial" w:hAnsi="Arial"/>
          <w:sz w:val="17"/>
          <w:szCs w:val="17"/>
          <w:color w:val="auto"/>
        </w:rPr>
        <w:t>All officers of the Company shall respectively have such authority and perform such duties in the management of the business of the Company as may be designated from time to time by the Board of Directors and, to the extent not so provided, as generally pertain to their respective offices, subject to the control of the Board of Directors.</w:t>
      </w: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ARTICLE VI - STOCK</w:t>
      </w:r>
    </w:p>
    <w:p>
      <w:pPr>
        <w:spacing w:after="0" w:line="20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color w:val="auto"/>
        </w:rPr>
        <w:t>STOCK CERTIFICATES; PARTLY PAID SHARES</w:t>
      </w:r>
    </w:p>
    <w:p>
      <w:pPr>
        <w:spacing w:after="0" w:line="194"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17"/>
          <w:szCs w:val="17"/>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63" w:lineRule="exact"/>
        <w:rPr>
          <w:sz w:val="20"/>
          <w:szCs w:val="20"/>
          <w:color w:val="auto"/>
        </w:rPr>
      </w:pPr>
    </w:p>
    <w:p>
      <w:pPr>
        <w:jc w:val="both"/>
        <w:ind w:firstLine="866"/>
        <w:spacing w:after="0" w:line="253" w:lineRule="auto"/>
        <w:rPr>
          <w:sz w:val="20"/>
          <w:szCs w:val="20"/>
          <w:color w:val="auto"/>
        </w:rPr>
      </w:pPr>
      <w:r>
        <w:rPr>
          <w:rFonts w:ascii="Arial" w:cs="Arial" w:eastAsia="Arial" w:hAnsi="Arial"/>
          <w:sz w:val="17"/>
          <w:szCs w:val="17"/>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10" w:name="page111"/>
    <w:bookmarkEnd w:id="110"/>
    <w:p>
      <w:pPr>
        <w:ind w:left="860"/>
        <w:spacing w:after="0"/>
        <w:tabs>
          <w:tab w:leader="none" w:pos="162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color w:val="auto"/>
        </w:rPr>
        <w:t>SPECIAL DESIGNATION ON CERTIFICATES</w:t>
      </w:r>
    </w:p>
    <w:p>
      <w:pPr>
        <w:spacing w:after="0" w:line="194" w:lineRule="exact"/>
        <w:rPr>
          <w:sz w:val="20"/>
          <w:szCs w:val="20"/>
          <w:color w:val="auto"/>
        </w:rPr>
      </w:pPr>
    </w:p>
    <w:p>
      <w:pPr>
        <w:jc w:val="both"/>
        <w:ind w:firstLine="866"/>
        <w:spacing w:after="0" w:line="265" w:lineRule="auto"/>
        <w:rPr>
          <w:sz w:val="20"/>
          <w:szCs w:val="20"/>
          <w:color w:val="auto"/>
        </w:rPr>
      </w:pPr>
      <w:r>
        <w:rPr>
          <w:rFonts w:ascii="Arial" w:cs="Arial" w:eastAsia="Arial" w:hAnsi="Arial"/>
          <w:sz w:val="16"/>
          <w:szCs w:val="16"/>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53"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6"/>
          <w:szCs w:val="16"/>
          <w:color w:val="auto"/>
        </w:rPr>
        <w:t>LOST CERTIFICATES</w:t>
      </w:r>
    </w:p>
    <w:p>
      <w:pPr>
        <w:spacing w:after="0" w:line="194" w:lineRule="exact"/>
        <w:rPr>
          <w:sz w:val="20"/>
          <w:szCs w:val="20"/>
          <w:color w:val="auto"/>
        </w:rPr>
      </w:pPr>
    </w:p>
    <w:p>
      <w:pPr>
        <w:jc w:val="both"/>
        <w:ind w:firstLine="866"/>
        <w:spacing w:after="0" w:line="273" w:lineRule="auto"/>
        <w:rPr>
          <w:sz w:val="20"/>
          <w:szCs w:val="20"/>
          <w:color w:val="auto"/>
        </w:rPr>
      </w:pPr>
      <w:r>
        <w:rPr>
          <w:rFonts w:ascii="Arial" w:cs="Arial" w:eastAsia="Arial" w:hAnsi="Arial"/>
          <w:sz w:val="16"/>
          <w:szCs w:val="16"/>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44"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color w:val="auto"/>
        </w:rPr>
        <w:t>DIVIDENDS</w:t>
      </w:r>
    </w:p>
    <w:p>
      <w:pPr>
        <w:spacing w:after="0" w:line="194" w:lineRule="exact"/>
        <w:rPr>
          <w:sz w:val="20"/>
          <w:szCs w:val="20"/>
          <w:color w:val="auto"/>
        </w:rPr>
      </w:pPr>
    </w:p>
    <w:p>
      <w:pPr>
        <w:jc w:val="both"/>
        <w:ind w:firstLine="866"/>
        <w:spacing w:after="0" w:line="256" w:lineRule="auto"/>
        <w:rPr>
          <w:sz w:val="20"/>
          <w:szCs w:val="20"/>
          <w:color w:val="auto"/>
        </w:rPr>
      </w:pPr>
      <w:r>
        <w:rPr>
          <w:rFonts w:ascii="Arial" w:cs="Arial" w:eastAsia="Arial" w:hAnsi="Arial"/>
          <w:sz w:val="17"/>
          <w:szCs w:val="17"/>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56"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6"/>
          <w:szCs w:val="16"/>
          <w:color w:val="auto"/>
        </w:rPr>
        <w:t>TRANSFER OF STOCK</w:t>
      </w:r>
    </w:p>
    <w:p>
      <w:pPr>
        <w:spacing w:after="0" w:line="194" w:lineRule="exact"/>
        <w:rPr>
          <w:sz w:val="20"/>
          <w:szCs w:val="20"/>
          <w:color w:val="auto"/>
        </w:rPr>
      </w:pPr>
    </w:p>
    <w:p>
      <w:pPr>
        <w:jc w:val="both"/>
        <w:ind w:firstLine="866"/>
        <w:spacing w:after="0" w:line="261" w:lineRule="auto"/>
        <w:rPr>
          <w:sz w:val="20"/>
          <w:szCs w:val="20"/>
          <w:color w:val="auto"/>
        </w:rPr>
      </w:pPr>
      <w:r>
        <w:rPr>
          <w:rFonts w:ascii="Arial" w:cs="Arial" w:eastAsia="Arial" w:hAnsi="Arial"/>
          <w:sz w:val="17"/>
          <w:szCs w:val="17"/>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11" w:name="page112"/>
    <w:bookmarkEnd w:id="111"/>
    <w:p>
      <w:pPr>
        <w:ind w:left="860"/>
        <w:spacing w:after="0"/>
        <w:tabs>
          <w:tab w:leader="none" w:pos="162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6"/>
          <w:szCs w:val="16"/>
          <w:color w:val="auto"/>
        </w:rPr>
        <w:t>STOCK TRANSFER AGREEMENTS</w:t>
      </w:r>
    </w:p>
    <w:p>
      <w:pPr>
        <w:spacing w:after="0" w:line="194" w:lineRule="exact"/>
        <w:rPr>
          <w:sz w:val="20"/>
          <w:szCs w:val="20"/>
          <w:color w:val="auto"/>
        </w:rPr>
      </w:pPr>
    </w:p>
    <w:p>
      <w:pPr>
        <w:jc w:val="both"/>
        <w:ind w:firstLine="866"/>
        <w:spacing w:after="0" w:line="261" w:lineRule="auto"/>
        <w:rPr>
          <w:sz w:val="20"/>
          <w:szCs w:val="20"/>
          <w:color w:val="auto"/>
        </w:rPr>
      </w:pPr>
      <w:r>
        <w:rPr>
          <w:rFonts w:ascii="Arial" w:cs="Arial" w:eastAsia="Arial" w:hAnsi="Arial"/>
          <w:sz w:val="17"/>
          <w:szCs w:val="17"/>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52"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6.7</w:t>
      </w:r>
      <w:r>
        <w:rPr>
          <w:sz w:val="20"/>
          <w:szCs w:val="20"/>
          <w:color w:val="auto"/>
        </w:rPr>
        <w:tab/>
      </w:r>
      <w:r>
        <w:rPr>
          <w:rFonts w:ascii="Arial" w:cs="Arial" w:eastAsia="Arial" w:hAnsi="Arial"/>
          <w:sz w:val="16"/>
          <w:szCs w:val="16"/>
          <w:color w:val="auto"/>
        </w:rPr>
        <w:t>REGISTERED STOCKHOLDERS</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Company:</w:t>
      </w:r>
    </w:p>
    <w:p>
      <w:pPr>
        <w:spacing w:after="0" w:line="194" w:lineRule="exact"/>
        <w:rPr>
          <w:sz w:val="20"/>
          <w:szCs w:val="20"/>
          <w:color w:val="auto"/>
        </w:rPr>
      </w:pPr>
    </w:p>
    <w:p>
      <w:pPr>
        <w:ind w:firstLine="1726"/>
        <w:spacing w:after="0" w:line="276" w:lineRule="auto"/>
        <w:tabs>
          <w:tab w:leader="none" w:pos="2489" w:val="left"/>
        </w:tabs>
        <w:numPr>
          <w:ilvl w:val="0"/>
          <w:numId w:val="68"/>
        </w:numPr>
        <w:rPr>
          <w:rFonts w:ascii="Arial" w:cs="Arial" w:eastAsia="Arial" w:hAnsi="Arial"/>
          <w:sz w:val="17"/>
          <w:szCs w:val="17"/>
          <w:color w:val="auto"/>
        </w:rPr>
      </w:pPr>
      <w:r>
        <w:rPr>
          <w:rFonts w:ascii="Arial" w:cs="Arial" w:eastAsia="Arial" w:hAnsi="Arial"/>
          <w:sz w:val="17"/>
          <w:szCs w:val="17"/>
          <w:color w:val="auto"/>
        </w:rPr>
        <w:t>shall be entitled to recognize the exclusive right of a person registered on its books as the owner of shares to receive dividends and notices and to vote as such owner; and</w:t>
      </w:r>
    </w:p>
    <w:p>
      <w:pPr>
        <w:spacing w:after="0" w:line="139" w:lineRule="exact"/>
        <w:rPr>
          <w:rFonts w:ascii="Arial" w:cs="Arial" w:eastAsia="Arial" w:hAnsi="Arial"/>
          <w:sz w:val="17"/>
          <w:szCs w:val="17"/>
          <w:color w:val="auto"/>
        </w:rPr>
      </w:pPr>
    </w:p>
    <w:p>
      <w:pPr>
        <w:ind w:firstLine="1726"/>
        <w:spacing w:after="0" w:line="276" w:lineRule="auto"/>
        <w:tabs>
          <w:tab w:leader="none" w:pos="2499" w:val="left"/>
        </w:tabs>
        <w:numPr>
          <w:ilvl w:val="0"/>
          <w:numId w:val="68"/>
        </w:numPr>
        <w:rPr>
          <w:rFonts w:ascii="Arial" w:cs="Arial" w:eastAsia="Arial" w:hAnsi="Arial"/>
          <w:sz w:val="17"/>
          <w:szCs w:val="17"/>
          <w:color w:val="auto"/>
        </w:rPr>
      </w:pPr>
      <w:r>
        <w:rPr>
          <w:rFonts w:ascii="Arial" w:cs="Arial" w:eastAsia="Arial" w:hAnsi="Arial"/>
          <w:sz w:val="17"/>
          <w:szCs w:val="17"/>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ARTICLE VII - MANNER OF GIVING NOTICE AND WAIVER</w:t>
      </w:r>
    </w:p>
    <w:p>
      <w:pPr>
        <w:spacing w:after="0" w:line="20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color w:val="auto"/>
        </w:rPr>
        <w:t>NOTICE OF STOCKHOLDERS’ MEETINGS</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Notice of any meeting of stockholders shall be given in the manner set forth in the DGCL.</w:t>
      </w:r>
    </w:p>
    <w:p>
      <w:pPr>
        <w:spacing w:after="0" w:line="194"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color w:val="auto"/>
        </w:rPr>
        <w:t>NOTICE TO STOCKHOLDERS SHARING AN ADDRESS</w:t>
      </w:r>
    </w:p>
    <w:p>
      <w:pPr>
        <w:spacing w:after="0" w:line="194" w:lineRule="exact"/>
        <w:rPr>
          <w:sz w:val="20"/>
          <w:szCs w:val="20"/>
          <w:color w:val="auto"/>
        </w:rPr>
      </w:pPr>
    </w:p>
    <w:p>
      <w:pPr>
        <w:jc w:val="both"/>
        <w:ind w:firstLine="866"/>
        <w:spacing w:after="0" w:line="252" w:lineRule="auto"/>
        <w:rPr>
          <w:sz w:val="20"/>
          <w:szCs w:val="20"/>
          <w:color w:val="auto"/>
        </w:rPr>
      </w:pPr>
      <w:r>
        <w:rPr>
          <w:rFonts w:ascii="Arial" w:cs="Arial" w:eastAsia="Arial" w:hAnsi="Arial"/>
          <w:sz w:val="17"/>
          <w:szCs w:val="17"/>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6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6"/>
          <w:szCs w:val="16"/>
          <w:color w:val="auto"/>
        </w:rPr>
        <w:t>NOTICE TO PERSON WITH WHOM COMMUNICATION IS UNLAWFUL</w:t>
      </w:r>
    </w:p>
    <w:p>
      <w:pPr>
        <w:spacing w:after="0" w:line="194" w:lineRule="exact"/>
        <w:rPr>
          <w:sz w:val="20"/>
          <w:szCs w:val="20"/>
          <w:color w:val="auto"/>
        </w:rPr>
      </w:pPr>
    </w:p>
    <w:p>
      <w:pPr>
        <w:jc w:val="both"/>
        <w:ind w:firstLine="866"/>
        <w:spacing w:after="0" w:line="252" w:lineRule="auto"/>
        <w:rPr>
          <w:sz w:val="20"/>
          <w:szCs w:val="20"/>
          <w:color w:val="auto"/>
        </w:rPr>
      </w:pPr>
      <w:r>
        <w:rPr>
          <w:rFonts w:ascii="Arial" w:cs="Arial" w:eastAsia="Arial" w:hAnsi="Arial"/>
          <w:sz w:val="17"/>
          <w:szCs w:val="17"/>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12" w:name="page113"/>
    <w:bookmarkEnd w:id="112"/>
    <w:p>
      <w:pPr>
        <w:ind w:left="860"/>
        <w:spacing w:after="0"/>
        <w:tabs>
          <w:tab w:leader="none" w:pos="162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6"/>
          <w:szCs w:val="16"/>
          <w:color w:val="auto"/>
        </w:rPr>
        <w:t>WAIVER OF NOTICE</w:t>
      </w:r>
    </w:p>
    <w:p>
      <w:pPr>
        <w:spacing w:after="0" w:line="194" w:lineRule="exact"/>
        <w:rPr>
          <w:sz w:val="20"/>
          <w:szCs w:val="20"/>
          <w:color w:val="auto"/>
        </w:rPr>
      </w:pPr>
    </w:p>
    <w:p>
      <w:pPr>
        <w:jc w:val="both"/>
        <w:ind w:firstLine="866"/>
        <w:spacing w:after="0" w:line="270" w:lineRule="auto"/>
        <w:rPr>
          <w:sz w:val="20"/>
          <w:szCs w:val="20"/>
          <w:color w:val="auto"/>
        </w:rPr>
      </w:pPr>
      <w:r>
        <w:rPr>
          <w:rFonts w:ascii="Arial" w:cs="Arial" w:eastAsia="Arial" w:hAnsi="Arial"/>
          <w:sz w:val="16"/>
          <w:szCs w:val="16"/>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 - INDEMNIFICATION</w:t>
      </w:r>
    </w:p>
    <w:p>
      <w:pPr>
        <w:spacing w:after="0" w:line="20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6"/>
          <w:szCs w:val="16"/>
          <w:color w:val="auto"/>
        </w:rPr>
        <w:t>INDEMNIFICATION OF DIRECTORS AND OFFICERS IN THIRD PARTY PROCEEDINGS</w:t>
      </w:r>
    </w:p>
    <w:p>
      <w:pPr>
        <w:spacing w:after="0" w:line="194" w:lineRule="exact"/>
        <w:rPr>
          <w:sz w:val="20"/>
          <w:szCs w:val="20"/>
          <w:color w:val="auto"/>
        </w:rPr>
      </w:pPr>
    </w:p>
    <w:p>
      <w:pPr>
        <w:jc w:val="both"/>
        <w:ind w:firstLine="866"/>
        <w:spacing w:after="0" w:line="266" w:lineRule="auto"/>
        <w:rPr>
          <w:sz w:val="20"/>
          <w:szCs w:val="20"/>
          <w:color w:val="auto"/>
        </w:rPr>
      </w:pPr>
      <w:r>
        <w:rPr>
          <w:rFonts w:ascii="Arial" w:cs="Arial" w:eastAsia="Arial" w:hAnsi="Arial"/>
          <w:sz w:val="16"/>
          <w:szCs w:val="16"/>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5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6"/>
          <w:szCs w:val="16"/>
          <w:color w:val="auto"/>
        </w:rPr>
        <w:t>INDEMNIFICATION OF DIRECTORS AND OFFICERS IN ACTIONS BY OR IN THE RIGHT OF THE COMPANY</w:t>
      </w:r>
    </w:p>
    <w:p>
      <w:pPr>
        <w:spacing w:after="0" w:line="194" w:lineRule="exact"/>
        <w:rPr>
          <w:sz w:val="20"/>
          <w:szCs w:val="20"/>
          <w:color w:val="auto"/>
        </w:rPr>
      </w:pPr>
    </w:p>
    <w:p>
      <w:pPr>
        <w:jc w:val="both"/>
        <w:ind w:firstLine="866"/>
        <w:spacing w:after="0" w:line="268" w:lineRule="auto"/>
        <w:rPr>
          <w:sz w:val="20"/>
          <w:szCs w:val="20"/>
          <w:color w:val="auto"/>
        </w:rPr>
      </w:pPr>
      <w:r>
        <w:rPr>
          <w:rFonts w:ascii="Arial" w:cs="Arial" w:eastAsia="Arial" w:hAnsi="Arial"/>
          <w:sz w:val="16"/>
          <w:szCs w:val="16"/>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13" w:name="page114"/>
    <w:bookmarkEnd w:id="113"/>
    <w:p>
      <w:pPr>
        <w:ind w:left="860"/>
        <w:spacing w:after="0"/>
        <w:tabs>
          <w:tab w:leader="none" w:pos="162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6"/>
          <w:szCs w:val="16"/>
          <w:color w:val="auto"/>
        </w:rPr>
        <w:t>SUCCESSFUL DEFENSE</w:t>
      </w:r>
    </w:p>
    <w:p>
      <w:pPr>
        <w:spacing w:after="0" w:line="194" w:lineRule="exact"/>
        <w:rPr>
          <w:sz w:val="20"/>
          <w:szCs w:val="20"/>
          <w:color w:val="auto"/>
        </w:rPr>
      </w:pPr>
    </w:p>
    <w:p>
      <w:pPr>
        <w:jc w:val="both"/>
        <w:ind w:firstLine="866"/>
        <w:spacing w:after="0" w:line="270" w:lineRule="auto"/>
        <w:rPr>
          <w:sz w:val="20"/>
          <w:szCs w:val="20"/>
          <w:color w:val="auto"/>
        </w:rPr>
      </w:pPr>
      <w:r>
        <w:rPr>
          <w:rFonts w:ascii="Arial" w:cs="Arial" w:eastAsia="Arial" w:hAnsi="Arial"/>
          <w:sz w:val="16"/>
          <w:szCs w:val="16"/>
          <w:color w:val="auto"/>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spacing w:after="0" w:line="149"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6"/>
          <w:szCs w:val="16"/>
          <w:color w:val="auto"/>
        </w:rPr>
        <w:t>INDEMNIFICATION OF OTHERS</w:t>
      </w:r>
    </w:p>
    <w:p>
      <w:pPr>
        <w:spacing w:after="0" w:line="194" w:lineRule="exact"/>
        <w:rPr>
          <w:sz w:val="20"/>
          <w:szCs w:val="20"/>
          <w:color w:val="auto"/>
        </w:rPr>
      </w:pPr>
    </w:p>
    <w:p>
      <w:pPr>
        <w:jc w:val="both"/>
        <w:ind w:firstLine="866"/>
        <w:spacing w:after="0" w:line="284" w:lineRule="auto"/>
        <w:rPr>
          <w:sz w:val="20"/>
          <w:szCs w:val="20"/>
          <w:color w:val="auto"/>
        </w:rPr>
      </w:pPr>
      <w:r>
        <w:rPr>
          <w:rFonts w:ascii="Arial" w:cs="Arial" w:eastAsia="Arial" w:hAnsi="Arial"/>
          <w:sz w:val="16"/>
          <w:szCs w:val="16"/>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37"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6"/>
          <w:szCs w:val="16"/>
          <w:color w:val="auto"/>
        </w:rPr>
        <w:t>ADVANCED PAYMENT OF EXPENSES</w:t>
      </w:r>
    </w:p>
    <w:p>
      <w:pPr>
        <w:spacing w:after="0" w:line="194" w:lineRule="exact"/>
        <w:rPr>
          <w:sz w:val="20"/>
          <w:szCs w:val="20"/>
          <w:color w:val="auto"/>
        </w:rPr>
      </w:pPr>
    </w:p>
    <w:p>
      <w:pPr>
        <w:jc w:val="both"/>
        <w:ind w:firstLine="866"/>
        <w:spacing w:after="0" w:line="249" w:lineRule="auto"/>
        <w:rPr>
          <w:sz w:val="20"/>
          <w:szCs w:val="20"/>
          <w:color w:val="auto"/>
        </w:rPr>
      </w:pPr>
      <w:r>
        <w:rPr>
          <w:rFonts w:ascii="Arial" w:cs="Arial" w:eastAsia="Arial" w:hAnsi="Arial"/>
          <w:sz w:val="17"/>
          <w:szCs w:val="17"/>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67" w:lineRule="exact"/>
        <w:rPr>
          <w:sz w:val="20"/>
          <w:szCs w:val="20"/>
          <w:color w:val="auto"/>
        </w:rPr>
      </w:pPr>
    </w:p>
    <w:p>
      <w:pPr>
        <w:jc w:val="both"/>
        <w:ind w:firstLine="866"/>
        <w:spacing w:after="0" w:line="251" w:lineRule="auto"/>
        <w:rPr>
          <w:sz w:val="20"/>
          <w:szCs w:val="20"/>
          <w:color w:val="auto"/>
        </w:rPr>
      </w:pPr>
      <w:r>
        <w:rPr>
          <w:rFonts w:ascii="Arial" w:cs="Arial" w:eastAsia="Arial" w:hAnsi="Arial"/>
          <w:sz w:val="17"/>
          <w:szCs w:val="17"/>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14" w:name="page115"/>
    <w:bookmarkEnd w:id="114"/>
    <w:p>
      <w:pPr>
        <w:ind w:left="860"/>
        <w:spacing w:after="0"/>
        <w:tabs>
          <w:tab w:leader="none" w:pos="162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7"/>
          <w:szCs w:val="17"/>
          <w:color w:val="auto"/>
        </w:rPr>
        <w:t>LIMITATION ON INDEMNIFICATION</w:t>
      </w:r>
    </w:p>
    <w:p>
      <w:pPr>
        <w:spacing w:after="0" w:line="194" w:lineRule="exact"/>
        <w:rPr>
          <w:sz w:val="20"/>
          <w:szCs w:val="20"/>
          <w:color w:val="auto"/>
        </w:rPr>
      </w:pPr>
    </w:p>
    <w:p>
      <w:pPr>
        <w:ind w:firstLine="866"/>
        <w:spacing w:after="0" w:line="276" w:lineRule="auto"/>
        <w:rPr>
          <w:sz w:val="20"/>
          <w:szCs w:val="20"/>
          <w:color w:val="auto"/>
        </w:rPr>
      </w:pPr>
      <w:r>
        <w:rPr>
          <w:rFonts w:ascii="Arial" w:cs="Arial" w:eastAsia="Arial" w:hAnsi="Arial"/>
          <w:sz w:val="17"/>
          <w:szCs w:val="17"/>
          <w:color w:val="auto"/>
        </w:rPr>
        <w:t>Subject to the requirements in Section 8.3 and the DGCL, the Company shall not be obligated to indemnify any person pursuant to this Article VIII in connection with any Proceeding (or any part of any Proceeding):</w:t>
      </w:r>
    </w:p>
    <w:p>
      <w:pPr>
        <w:spacing w:after="0" w:line="140" w:lineRule="exact"/>
        <w:rPr>
          <w:sz w:val="20"/>
          <w:szCs w:val="20"/>
          <w:color w:val="auto"/>
        </w:rPr>
      </w:pPr>
    </w:p>
    <w:p>
      <w:pPr>
        <w:ind w:firstLine="1726"/>
        <w:spacing w:after="0" w:line="276" w:lineRule="auto"/>
        <w:tabs>
          <w:tab w:leader="none" w:pos="24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for which payment has actually been made to or on behalf of such person under any statute, insurance policy, indemnity provision, vote or otherwise, except with respect to any excess beyond the amount paid;</w:t>
      </w:r>
    </w:p>
    <w:p>
      <w:pPr>
        <w:spacing w:after="0" w:line="139" w:lineRule="exact"/>
        <w:rPr>
          <w:rFonts w:ascii="Arial" w:cs="Arial" w:eastAsia="Arial" w:hAnsi="Arial"/>
          <w:sz w:val="17"/>
          <w:szCs w:val="17"/>
          <w:color w:val="auto"/>
        </w:rPr>
      </w:pPr>
    </w:p>
    <w:p>
      <w:pPr>
        <w:ind w:firstLine="1726"/>
        <w:spacing w:after="0" w:line="276" w:lineRule="auto"/>
        <w:tabs>
          <w:tab w:leader="none" w:pos="2499"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39" w:lineRule="exact"/>
        <w:rPr>
          <w:rFonts w:ascii="Arial" w:cs="Arial" w:eastAsia="Arial" w:hAnsi="Arial"/>
          <w:sz w:val="17"/>
          <w:szCs w:val="17"/>
          <w:color w:val="auto"/>
        </w:rPr>
      </w:pPr>
    </w:p>
    <w:p>
      <w:pPr>
        <w:jc w:val="both"/>
        <w:ind w:right="20" w:firstLine="1726"/>
        <w:spacing w:after="0" w:line="253" w:lineRule="auto"/>
        <w:tabs>
          <w:tab w:leader="none" w:pos="24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Arial" w:cs="Arial" w:eastAsia="Arial" w:hAnsi="Arial"/>
          <w:sz w:val="17"/>
          <w:szCs w:val="17"/>
          <w:b w:val="1"/>
          <w:bCs w:val="1"/>
          <w:color w:val="auto"/>
        </w:rPr>
        <w:t>Sarbanes-Oxley Act</w:t>
      </w:r>
      <w:r>
        <w:rPr>
          <w:rFonts w:ascii="Arial" w:cs="Arial" w:eastAsia="Arial" w:hAnsi="Arial"/>
          <w:sz w:val="17"/>
          <w:szCs w:val="17"/>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60" w:lineRule="exact"/>
        <w:rPr>
          <w:rFonts w:ascii="Arial" w:cs="Arial" w:eastAsia="Arial" w:hAnsi="Arial"/>
          <w:sz w:val="17"/>
          <w:szCs w:val="17"/>
          <w:color w:val="auto"/>
        </w:rPr>
      </w:pPr>
    </w:p>
    <w:p>
      <w:pPr>
        <w:jc w:val="both"/>
        <w:ind w:firstLine="1726"/>
        <w:spacing w:after="0" w:line="256" w:lineRule="auto"/>
        <w:tabs>
          <w:tab w:leader="none" w:pos="2499"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56" w:lineRule="exact"/>
        <w:rPr>
          <w:rFonts w:ascii="Arial" w:cs="Arial" w:eastAsia="Arial" w:hAnsi="Arial"/>
          <w:sz w:val="17"/>
          <w:szCs w:val="17"/>
          <w:color w:val="auto"/>
        </w:rPr>
      </w:pPr>
    </w:p>
    <w:p>
      <w:pPr>
        <w:ind w:left="2480" w:hanging="754"/>
        <w:spacing w:after="0"/>
        <w:tabs>
          <w:tab w:leader="none" w:pos="24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prohibited by applicable law.</w:t>
      </w:r>
    </w:p>
    <w:p>
      <w:pPr>
        <w:spacing w:after="0" w:line="194"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7"/>
          <w:szCs w:val="17"/>
          <w:color w:val="auto"/>
        </w:rPr>
        <w:t>DETERMINATION; CLAIM</w:t>
      </w:r>
    </w:p>
    <w:p>
      <w:pPr>
        <w:spacing w:after="0" w:line="194" w:lineRule="exact"/>
        <w:rPr>
          <w:sz w:val="20"/>
          <w:szCs w:val="20"/>
          <w:color w:val="auto"/>
        </w:rPr>
      </w:pPr>
    </w:p>
    <w:p>
      <w:pPr>
        <w:jc w:val="both"/>
        <w:ind w:firstLine="866"/>
        <w:spacing w:after="0" w:line="270" w:lineRule="auto"/>
        <w:rPr>
          <w:sz w:val="20"/>
          <w:szCs w:val="20"/>
          <w:color w:val="auto"/>
        </w:rPr>
      </w:pPr>
      <w:r>
        <w:rPr>
          <w:rFonts w:ascii="Arial" w:cs="Arial" w:eastAsia="Arial" w:hAnsi="Arial"/>
          <w:sz w:val="16"/>
          <w:szCs w:val="16"/>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15" w:name="page116"/>
    <w:bookmarkEnd w:id="115"/>
    <w:p>
      <w:pPr>
        <w:ind w:left="860"/>
        <w:spacing w:after="0"/>
        <w:tabs>
          <w:tab w:leader="none" w:pos="162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6"/>
          <w:szCs w:val="16"/>
          <w:color w:val="auto"/>
        </w:rPr>
        <w:t>NON-EXCLUSIVITY OF RIGHTS</w:t>
      </w:r>
    </w:p>
    <w:p>
      <w:pPr>
        <w:spacing w:after="0" w:line="194" w:lineRule="exact"/>
        <w:rPr>
          <w:sz w:val="20"/>
          <w:szCs w:val="20"/>
          <w:color w:val="auto"/>
        </w:rPr>
      </w:pPr>
    </w:p>
    <w:p>
      <w:pPr>
        <w:jc w:val="both"/>
        <w:ind w:firstLine="866"/>
        <w:spacing w:after="0" w:line="273" w:lineRule="auto"/>
        <w:rPr>
          <w:sz w:val="20"/>
          <w:szCs w:val="20"/>
          <w:color w:val="auto"/>
        </w:rPr>
      </w:pPr>
      <w:r>
        <w:rPr>
          <w:rFonts w:ascii="Arial" w:cs="Arial" w:eastAsia="Arial" w:hAnsi="Arial"/>
          <w:sz w:val="16"/>
          <w:szCs w:val="16"/>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44"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6"/>
          <w:szCs w:val="16"/>
          <w:color w:val="auto"/>
        </w:rPr>
        <w:t>INSURANCE</w:t>
      </w:r>
    </w:p>
    <w:p>
      <w:pPr>
        <w:spacing w:after="0" w:line="194" w:lineRule="exact"/>
        <w:rPr>
          <w:sz w:val="20"/>
          <w:szCs w:val="20"/>
          <w:color w:val="auto"/>
        </w:rPr>
      </w:pPr>
    </w:p>
    <w:p>
      <w:pPr>
        <w:jc w:val="both"/>
        <w:ind w:firstLine="866"/>
        <w:spacing w:after="0" w:line="277" w:lineRule="auto"/>
        <w:rPr>
          <w:sz w:val="20"/>
          <w:szCs w:val="20"/>
          <w:color w:val="auto"/>
        </w:rPr>
      </w:pPr>
      <w:r>
        <w:rPr>
          <w:rFonts w:ascii="Arial" w:cs="Arial" w:eastAsia="Arial" w:hAnsi="Arial"/>
          <w:sz w:val="16"/>
          <w:szCs w:val="16"/>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4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8.10</w:t>
      </w:r>
      <w:r>
        <w:rPr>
          <w:sz w:val="20"/>
          <w:szCs w:val="20"/>
          <w:color w:val="auto"/>
        </w:rPr>
        <w:tab/>
      </w:r>
      <w:r>
        <w:rPr>
          <w:rFonts w:ascii="Arial" w:cs="Arial" w:eastAsia="Arial" w:hAnsi="Arial"/>
          <w:sz w:val="16"/>
          <w:szCs w:val="16"/>
          <w:color w:val="auto"/>
        </w:rPr>
        <w:t>SURVIVAL</w:t>
      </w:r>
    </w:p>
    <w:p>
      <w:pPr>
        <w:spacing w:after="0" w:line="194" w:lineRule="exact"/>
        <w:rPr>
          <w:sz w:val="20"/>
          <w:szCs w:val="20"/>
          <w:color w:val="auto"/>
        </w:rPr>
      </w:pPr>
    </w:p>
    <w:p>
      <w:pPr>
        <w:jc w:val="both"/>
        <w:ind w:firstLine="866"/>
        <w:spacing w:after="0" w:line="276" w:lineRule="auto"/>
        <w:rPr>
          <w:sz w:val="20"/>
          <w:szCs w:val="20"/>
          <w:color w:val="auto"/>
        </w:rPr>
      </w:pPr>
      <w:r>
        <w:rPr>
          <w:rFonts w:ascii="Arial" w:cs="Arial" w:eastAsia="Arial" w:hAnsi="Arial"/>
          <w:sz w:val="17"/>
          <w:szCs w:val="17"/>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40"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8.11</w:t>
      </w:r>
      <w:r>
        <w:rPr>
          <w:sz w:val="20"/>
          <w:szCs w:val="20"/>
          <w:color w:val="auto"/>
        </w:rPr>
        <w:tab/>
      </w:r>
      <w:r>
        <w:rPr>
          <w:rFonts w:ascii="Arial" w:cs="Arial" w:eastAsia="Arial" w:hAnsi="Arial"/>
          <w:sz w:val="16"/>
          <w:szCs w:val="16"/>
          <w:color w:val="auto"/>
        </w:rPr>
        <w:t>EFFECT OF REPEAL OR MODIFICATION</w:t>
      </w:r>
    </w:p>
    <w:p>
      <w:pPr>
        <w:spacing w:after="0" w:line="194" w:lineRule="exact"/>
        <w:rPr>
          <w:sz w:val="20"/>
          <w:szCs w:val="20"/>
          <w:color w:val="auto"/>
        </w:rPr>
      </w:pPr>
    </w:p>
    <w:p>
      <w:pPr>
        <w:jc w:val="both"/>
        <w:ind w:firstLine="866"/>
        <w:spacing w:after="0" w:line="300" w:lineRule="auto"/>
        <w:rPr>
          <w:sz w:val="20"/>
          <w:szCs w:val="20"/>
          <w:color w:val="auto"/>
        </w:rPr>
      </w:pPr>
      <w:r>
        <w:rPr>
          <w:rFonts w:ascii="Arial" w:cs="Arial" w:eastAsia="Arial" w:hAnsi="Arial"/>
          <w:sz w:val="15"/>
          <w:szCs w:val="15"/>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28"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7"/>
          <w:szCs w:val="17"/>
          <w:color w:val="auto"/>
        </w:rPr>
        <w:t>8.12</w:t>
      </w:r>
      <w:r>
        <w:rPr>
          <w:sz w:val="20"/>
          <w:szCs w:val="20"/>
          <w:color w:val="auto"/>
        </w:rPr>
        <w:tab/>
      </w:r>
      <w:r>
        <w:rPr>
          <w:rFonts w:ascii="Arial" w:cs="Arial" w:eastAsia="Arial" w:hAnsi="Arial"/>
          <w:sz w:val="16"/>
          <w:szCs w:val="16"/>
          <w:color w:val="auto"/>
        </w:rPr>
        <w:t>CERTAIN DEFINITIONS</w:t>
      </w:r>
    </w:p>
    <w:p>
      <w:pPr>
        <w:spacing w:after="0" w:line="188" w:lineRule="exact"/>
        <w:rPr>
          <w:sz w:val="20"/>
          <w:szCs w:val="20"/>
          <w:color w:val="auto"/>
        </w:rPr>
      </w:pPr>
    </w:p>
    <w:p>
      <w:pPr>
        <w:jc w:val="both"/>
        <w:ind w:firstLine="866"/>
        <w:spacing w:after="0" w:line="286" w:lineRule="auto"/>
        <w:rPr>
          <w:sz w:val="20"/>
          <w:szCs w:val="20"/>
          <w:color w:val="auto"/>
        </w:rPr>
      </w:pPr>
      <w:r>
        <w:rPr>
          <w:rFonts w:ascii="Arial" w:cs="Arial" w:eastAsia="Arial" w:hAnsi="Arial"/>
          <w:sz w:val="15"/>
          <w:szCs w:val="15"/>
          <w:color w:val="auto"/>
        </w:rPr>
        <w:t>For purposes of this Article VIII, references to the “</w:t>
      </w:r>
      <w:r>
        <w:rPr>
          <w:rFonts w:ascii="Arial" w:cs="Arial" w:eastAsia="Arial" w:hAnsi="Arial"/>
          <w:sz w:val="15"/>
          <w:szCs w:val="15"/>
          <w:b w:val="1"/>
          <w:bCs w:val="1"/>
          <w:color w:val="auto"/>
        </w:rPr>
        <w:t>Company</w:t>
      </w:r>
      <w:r>
        <w:rPr>
          <w:rFonts w:ascii="Arial" w:cs="Arial" w:eastAsia="Arial" w:hAnsi="Arial"/>
          <w:sz w:val="15"/>
          <w:szCs w:val="15"/>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Arial" w:cs="Arial" w:eastAsia="Arial" w:hAnsi="Arial"/>
          <w:sz w:val="15"/>
          <w:szCs w:val="15"/>
          <w:b w:val="1"/>
          <w:bCs w:val="1"/>
          <w:color w:val="auto"/>
        </w:rPr>
        <w:t>other</w:t>
      </w:r>
      <w:r>
        <w:rPr>
          <w:rFonts w:ascii="Arial" w:cs="Arial" w:eastAsia="Arial" w:hAnsi="Arial"/>
          <w:sz w:val="15"/>
          <w:szCs w:val="15"/>
          <w:color w:val="auto"/>
        </w:rPr>
        <w:t xml:space="preserve"> </w:t>
      </w:r>
      <w:r>
        <w:rPr>
          <w:rFonts w:ascii="Arial" w:cs="Arial" w:eastAsia="Arial" w:hAnsi="Arial"/>
          <w:sz w:val="15"/>
          <w:szCs w:val="15"/>
          <w:b w:val="1"/>
          <w:bCs w:val="1"/>
          <w:color w:val="auto"/>
        </w:rPr>
        <w:t>enterprises</w:t>
      </w:r>
      <w:r>
        <w:rPr>
          <w:rFonts w:ascii="Arial" w:cs="Arial" w:eastAsia="Arial" w:hAnsi="Arial"/>
          <w:sz w:val="15"/>
          <w:szCs w:val="15"/>
          <w:color w:val="auto"/>
        </w:rPr>
        <w:t>” shall include employee benefit plans; references to “</w:t>
      </w:r>
      <w:r>
        <w:rPr>
          <w:rFonts w:ascii="Arial" w:cs="Arial" w:eastAsia="Arial" w:hAnsi="Arial"/>
          <w:sz w:val="15"/>
          <w:szCs w:val="15"/>
          <w:b w:val="1"/>
          <w:bCs w:val="1"/>
          <w:color w:val="auto"/>
        </w:rPr>
        <w:t>fines</w:t>
      </w:r>
      <w:r>
        <w:rPr>
          <w:rFonts w:ascii="Arial" w:cs="Arial" w:eastAsia="Arial" w:hAnsi="Arial"/>
          <w:sz w:val="15"/>
          <w:szCs w:val="15"/>
          <w:color w:val="auto"/>
        </w:rPr>
        <w:t>” shall include any excise taxes assessed on a person with respect to an employee benefit</w:t>
      </w:r>
      <w:r>
        <w:rPr>
          <w:rFonts w:ascii="Arial" w:cs="Arial" w:eastAsia="Arial" w:hAnsi="Arial"/>
          <w:sz w:val="15"/>
          <w:szCs w:val="15"/>
          <w:b w:val="1"/>
          <w:bCs w:val="1"/>
          <w:color w:val="auto"/>
        </w:rPr>
        <w:t xml:space="preserve"> </w:t>
      </w:r>
      <w:r>
        <w:rPr>
          <w:rFonts w:ascii="Arial" w:cs="Arial" w:eastAsia="Arial" w:hAnsi="Arial"/>
          <w:sz w:val="15"/>
          <w:szCs w:val="15"/>
          <w:color w:val="auto"/>
        </w:rPr>
        <w:t>plan; and references to “</w:t>
      </w:r>
      <w:r>
        <w:rPr>
          <w:rFonts w:ascii="Arial" w:cs="Arial" w:eastAsia="Arial" w:hAnsi="Arial"/>
          <w:sz w:val="15"/>
          <w:szCs w:val="15"/>
          <w:b w:val="1"/>
          <w:bCs w:val="1"/>
          <w:color w:val="auto"/>
        </w:rPr>
        <w:t>serving at the request of the Company</w:t>
      </w:r>
      <w:r>
        <w:rPr>
          <w:rFonts w:ascii="Arial" w:cs="Arial" w:eastAsia="Arial" w:hAnsi="Arial"/>
          <w:sz w:val="15"/>
          <w:szCs w:val="15"/>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5"/>
          <w:szCs w:val="15"/>
          <w:b w:val="1"/>
          <w:bCs w:val="1"/>
          <w:color w:val="auto"/>
        </w:rPr>
        <w:t>not opposed to the best interests of the Company</w:t>
      </w:r>
      <w:r>
        <w:rPr>
          <w:rFonts w:ascii="Arial" w:cs="Arial" w:eastAsia="Arial" w:hAnsi="Arial"/>
          <w:sz w:val="15"/>
          <w:szCs w:val="15"/>
          <w:color w:val="auto"/>
        </w:rPr>
        <w:t>” as referred to in this Article VIII.</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16" w:name="page117"/>
    <w:bookmarkEnd w:id="116"/>
    <w:p>
      <w:pPr>
        <w:ind w:left="4180"/>
        <w:spacing w:after="0"/>
        <w:rPr>
          <w:sz w:val="20"/>
          <w:szCs w:val="20"/>
          <w:color w:val="auto"/>
        </w:rPr>
      </w:pPr>
      <w:r>
        <w:rPr>
          <w:rFonts w:ascii="Arial" w:cs="Arial" w:eastAsia="Arial" w:hAnsi="Arial"/>
          <w:sz w:val="17"/>
          <w:szCs w:val="17"/>
          <w:b w:val="1"/>
          <w:bCs w:val="1"/>
          <w:color w:val="auto"/>
        </w:rPr>
        <w:t>ARTICLE IX - GENERAL MATTERS</w:t>
      </w:r>
    </w:p>
    <w:p>
      <w:pPr>
        <w:spacing w:after="0" w:line="20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6"/>
          <w:szCs w:val="16"/>
          <w:color w:val="auto"/>
        </w:rPr>
        <w:t>EXECUTION OF CORPORATE CONTRACTS AND INSTRUMENTS</w:t>
      </w:r>
    </w:p>
    <w:p>
      <w:pPr>
        <w:spacing w:after="0" w:line="194" w:lineRule="exact"/>
        <w:rPr>
          <w:sz w:val="20"/>
          <w:szCs w:val="20"/>
          <w:color w:val="auto"/>
        </w:rPr>
      </w:pPr>
    </w:p>
    <w:p>
      <w:pPr>
        <w:jc w:val="both"/>
        <w:ind w:right="20" w:firstLine="866"/>
        <w:spacing w:after="0" w:line="253" w:lineRule="auto"/>
        <w:rPr>
          <w:sz w:val="20"/>
          <w:szCs w:val="20"/>
          <w:color w:val="auto"/>
        </w:rPr>
      </w:pPr>
      <w:r>
        <w:rPr>
          <w:rFonts w:ascii="Arial" w:cs="Arial" w:eastAsia="Arial" w:hAnsi="Arial"/>
          <w:sz w:val="17"/>
          <w:szCs w:val="17"/>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16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FISCAL YEAR</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fiscal year of the Company shall be fixed by resolution of the Board of Directors and may be changed by the Board of Directors.</w:t>
      </w:r>
    </w:p>
    <w:p>
      <w:pPr>
        <w:spacing w:after="0" w:line="194"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SEAL</w:t>
      </w:r>
    </w:p>
    <w:p>
      <w:pPr>
        <w:spacing w:after="0" w:line="194" w:lineRule="exact"/>
        <w:rPr>
          <w:sz w:val="20"/>
          <w:szCs w:val="20"/>
          <w:color w:val="auto"/>
        </w:rPr>
      </w:pPr>
    </w:p>
    <w:p>
      <w:pPr>
        <w:jc w:val="both"/>
        <w:ind w:firstLine="866"/>
        <w:spacing w:after="0" w:line="276" w:lineRule="auto"/>
        <w:rPr>
          <w:sz w:val="20"/>
          <w:szCs w:val="20"/>
          <w:color w:val="auto"/>
        </w:rPr>
      </w:pPr>
      <w:r>
        <w:rPr>
          <w:rFonts w:ascii="Arial" w:cs="Arial" w:eastAsia="Arial" w:hAnsi="Arial"/>
          <w:sz w:val="17"/>
          <w:szCs w:val="17"/>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4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6"/>
          <w:szCs w:val="16"/>
          <w:color w:val="auto"/>
        </w:rPr>
        <w:t>CONSTRUCTION; DEFINITIONS</w:t>
      </w:r>
    </w:p>
    <w:p>
      <w:pPr>
        <w:spacing w:after="0" w:line="194" w:lineRule="exact"/>
        <w:rPr>
          <w:sz w:val="20"/>
          <w:szCs w:val="20"/>
          <w:color w:val="auto"/>
        </w:rPr>
      </w:pPr>
    </w:p>
    <w:p>
      <w:pPr>
        <w:jc w:val="both"/>
        <w:ind w:right="20" w:firstLine="866"/>
        <w:spacing w:after="0" w:line="253" w:lineRule="auto"/>
        <w:rPr>
          <w:sz w:val="20"/>
          <w:szCs w:val="20"/>
          <w:color w:val="auto"/>
        </w:rPr>
      </w:pPr>
      <w:r>
        <w:rPr>
          <w:rFonts w:ascii="Arial" w:cs="Arial" w:eastAsia="Arial" w:hAnsi="Arial"/>
          <w:sz w:val="17"/>
          <w:szCs w:val="17"/>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7"/>
          <w:szCs w:val="17"/>
          <w:b w:val="1"/>
          <w:bCs w:val="1"/>
          <w:color w:val="auto"/>
        </w:rPr>
        <w:t>person</w:t>
      </w:r>
      <w:r>
        <w:rPr>
          <w:rFonts w:ascii="Arial" w:cs="Arial" w:eastAsia="Arial" w:hAnsi="Arial"/>
          <w:sz w:val="17"/>
          <w:szCs w:val="17"/>
          <w:color w:val="auto"/>
        </w:rPr>
        <w:t>” includes a company (including, but not limited to, a limited liability company), corporation, partnership, joint venture, trust or other enterprise, and a natural person. Any reference in these bylaws to a section of the DGCL shall be deemed to refer to such section as amended from time to time and any successor provisions thereto.</w:t>
      </w:r>
    </w:p>
    <w:p>
      <w:pPr>
        <w:spacing w:after="0" w:line="160"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6"/>
          <w:szCs w:val="16"/>
          <w:color w:val="auto"/>
        </w:rPr>
        <w:t>FORUM SELECTION</w:t>
      </w:r>
    </w:p>
    <w:p>
      <w:pPr>
        <w:spacing w:after="0" w:line="194" w:lineRule="exact"/>
        <w:rPr>
          <w:sz w:val="20"/>
          <w:szCs w:val="20"/>
          <w:color w:val="auto"/>
        </w:rPr>
      </w:pPr>
    </w:p>
    <w:p>
      <w:pPr>
        <w:jc w:val="both"/>
        <w:ind w:right="20" w:firstLine="866"/>
        <w:spacing w:after="0" w:line="249" w:lineRule="auto"/>
        <w:rPr>
          <w:sz w:val="20"/>
          <w:szCs w:val="20"/>
          <w:color w:val="auto"/>
        </w:rPr>
      </w:pPr>
      <w:r>
        <w:rPr>
          <w:rFonts w:ascii="Arial" w:cs="Arial" w:eastAsia="Arial" w:hAnsi="Arial"/>
          <w:sz w:val="17"/>
          <w:szCs w:val="17"/>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470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17" w:name="page118"/>
    <w:bookmarkEnd w:id="117"/>
    <w:p>
      <w:pPr>
        <w:jc w:val="both"/>
        <w:ind w:firstLine="866"/>
        <w:spacing w:after="0" w:line="308" w:lineRule="auto"/>
        <w:rPr>
          <w:sz w:val="20"/>
          <w:szCs w:val="20"/>
          <w:color w:val="auto"/>
        </w:rPr>
      </w:pPr>
      <w:r>
        <w:rPr>
          <w:rFonts w:ascii="Arial" w:cs="Arial" w:eastAsia="Arial" w:hAnsi="Arial"/>
          <w:sz w:val="16"/>
          <w:szCs w:val="16"/>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spacing w:after="0" w:line="117" w:lineRule="exact"/>
        <w:rPr>
          <w:sz w:val="20"/>
          <w:szCs w:val="20"/>
          <w:color w:val="auto"/>
        </w:rPr>
      </w:pPr>
    </w:p>
    <w:p>
      <w:pPr>
        <w:jc w:val="both"/>
        <w:ind w:right="20" w:firstLine="866"/>
        <w:spacing w:after="0" w:line="261" w:lineRule="auto"/>
        <w:rPr>
          <w:sz w:val="20"/>
          <w:szCs w:val="20"/>
          <w:color w:val="auto"/>
        </w:rPr>
      </w:pPr>
      <w:r>
        <w:rPr>
          <w:rFonts w:ascii="Arial" w:cs="Arial" w:eastAsia="Arial" w:hAnsi="Arial"/>
          <w:sz w:val="17"/>
          <w:szCs w:val="17"/>
          <w:color w:val="auto"/>
        </w:rPr>
        <w:t>Any person or entity purchasing or otherwise acquiring any interest in any security of the Company shall be deemed to have notice of and consented to the provisions of this Section 9.5. For the avoidance of doubt, nothing contained in this Section 9.5 shall apply to any action brought to enforce a duty or liability created by the 1934 Act or any successor thereto.</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 - AMENDMENTS</w:t>
      </w:r>
    </w:p>
    <w:p>
      <w:pPr>
        <w:spacing w:after="0" w:line="200" w:lineRule="exact"/>
        <w:rPr>
          <w:sz w:val="20"/>
          <w:szCs w:val="20"/>
          <w:color w:val="auto"/>
        </w:rPr>
      </w:pPr>
    </w:p>
    <w:p>
      <w:pPr>
        <w:jc w:val="both"/>
        <w:ind w:right="20" w:firstLine="866"/>
        <w:spacing w:after="0" w:line="251" w:lineRule="auto"/>
        <w:rPr>
          <w:sz w:val="20"/>
          <w:szCs w:val="20"/>
          <w:color w:val="auto"/>
        </w:rPr>
      </w:pPr>
      <w:r>
        <w:rPr>
          <w:rFonts w:ascii="Arial" w:cs="Arial" w:eastAsia="Arial" w:hAnsi="Arial"/>
          <w:sz w:val="17"/>
          <w:szCs w:val="17"/>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Sections 3.1, 3.2, 3.4 and 3.11 of Article III, Article VIII, Section 9.5 of Article IX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60"/>
          </w:cols>
          <w:pgMar w:left="320" w:top="502" w:right="3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31.1</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color w:val="auto"/>
        </w:rPr>
        <w:t>I, Leen Kawas, certify that:</w:t>
      </w:r>
    </w:p>
    <w:p>
      <w:pPr>
        <w:spacing w:after="0" w:line="193" w:lineRule="exact"/>
        <w:rPr>
          <w:sz w:val="20"/>
          <w:szCs w:val="20"/>
          <w:color w:val="auto"/>
        </w:rPr>
      </w:pPr>
    </w:p>
    <w:p>
      <w:pPr>
        <w:ind w:left="906" w:hanging="906"/>
        <w:spacing w:after="0"/>
        <w:tabs>
          <w:tab w:leader="none" w:pos="906"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Athira Pharma, Inc.;</w:t>
      </w:r>
    </w:p>
    <w:p>
      <w:pPr>
        <w:spacing w:after="0" w:line="193" w:lineRule="exact"/>
        <w:rPr>
          <w:rFonts w:ascii="Arial" w:cs="Arial" w:eastAsia="Arial" w:hAnsi="Arial"/>
          <w:sz w:val="16"/>
          <w:szCs w:val="16"/>
          <w:color w:val="auto"/>
        </w:rPr>
      </w:pPr>
    </w:p>
    <w:p>
      <w:pPr>
        <w:ind w:left="906" w:right="100" w:hanging="906"/>
        <w:spacing w:after="0" w:line="300" w:lineRule="auto"/>
        <w:tabs>
          <w:tab w:leader="none" w:pos="906"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5"/>
          <w:szCs w:val="15"/>
          <w:color w:val="auto"/>
        </w:rPr>
      </w:pPr>
    </w:p>
    <w:p>
      <w:pPr>
        <w:ind w:left="906" w:right="600" w:hanging="906"/>
        <w:spacing w:after="0" w:line="266" w:lineRule="auto"/>
        <w:tabs>
          <w:tab w:leader="none" w:pos="906"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6"/>
          <w:szCs w:val="16"/>
          <w:color w:val="auto"/>
        </w:rPr>
      </w:pPr>
    </w:p>
    <w:p>
      <w:pPr>
        <w:ind w:left="906" w:right="300" w:hanging="906"/>
        <w:spacing w:after="0" w:line="266" w:lineRule="auto"/>
        <w:tabs>
          <w:tab w:leader="none" w:pos="90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6"/>
          <w:szCs w:val="16"/>
          <w:color w:val="auto"/>
        </w:rPr>
      </w:pPr>
    </w:p>
    <w:p>
      <w:pPr>
        <w:ind w:left="1786" w:right="100" w:hanging="890"/>
        <w:spacing w:after="0" w:line="256" w:lineRule="auto"/>
        <w:tabs>
          <w:tab w:leader="none" w:pos="1786"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6"/>
          <w:szCs w:val="16"/>
          <w:color w:val="auto"/>
        </w:rPr>
      </w:pPr>
    </w:p>
    <w:p>
      <w:pPr>
        <w:ind w:left="1786" w:right="140" w:hanging="890"/>
        <w:spacing w:after="0" w:line="300" w:lineRule="auto"/>
        <w:tabs>
          <w:tab w:leader="none" w:pos="1786" w:val="left"/>
        </w:tabs>
        <w:numPr>
          <w:ilvl w:val="1"/>
          <w:numId w:val="7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5"/>
          <w:szCs w:val="15"/>
          <w:color w:val="auto"/>
        </w:rPr>
      </w:pPr>
    </w:p>
    <w:p>
      <w:pPr>
        <w:ind w:left="1786" w:right="20" w:hanging="890"/>
        <w:spacing w:after="0" w:line="256" w:lineRule="auto"/>
        <w:tabs>
          <w:tab w:leader="none" w:pos="1786"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906" w:right="220" w:hanging="906"/>
        <w:spacing w:after="0" w:line="266" w:lineRule="auto"/>
        <w:tabs>
          <w:tab w:leader="none" w:pos="90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1786" w:right="80" w:hanging="890"/>
        <w:spacing w:after="0" w:line="266" w:lineRule="auto"/>
        <w:tabs>
          <w:tab w:leader="none" w:pos="1786"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6"/>
          <w:szCs w:val="16"/>
          <w:color w:val="auto"/>
        </w:rPr>
      </w:pPr>
    </w:p>
    <w:p>
      <w:pPr>
        <w:ind w:left="1786" w:right="120" w:hanging="890"/>
        <w:spacing w:after="0" w:line="266" w:lineRule="auto"/>
        <w:tabs>
          <w:tab w:leader="none" w:pos="1786"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 November 12, 2020</w:t>
      </w:r>
    </w:p>
    <w:p>
      <w:pPr>
        <w:spacing w:after="0" w:line="111" w:lineRule="exact"/>
        <w:rPr>
          <w:sz w:val="20"/>
          <w:szCs w:val="20"/>
          <w:color w:val="auto"/>
        </w:rPr>
      </w:pPr>
    </w:p>
    <w:p>
      <w:pPr>
        <w:ind w:left="46"/>
        <w:spacing w:after="0"/>
        <w:rPr>
          <w:sz w:val="20"/>
          <w:szCs w:val="20"/>
          <w:color w:val="auto"/>
        </w:rPr>
      </w:pPr>
      <w:r>
        <w:rPr>
          <w:rFonts w:ascii="Arial" w:cs="Arial" w:eastAsia="Arial" w:hAnsi="Arial"/>
          <w:sz w:val="16"/>
          <w:szCs w:val="16"/>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36867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3368675" cy="7620"/>
                    </a:xfrm>
                    <a:prstGeom prst="rect">
                      <a:avLst/>
                    </a:prstGeom>
                    <a:noFill/>
                  </pic:spPr>
                </pic:pic>
              </a:graphicData>
            </a:graphic>
          </wp:anchor>
        </w:drawing>
      </w:r>
    </w:p>
    <w:p>
      <w:pPr>
        <w:spacing w:after="0" w:line="32" w:lineRule="exact"/>
        <w:rPr>
          <w:sz w:val="20"/>
          <w:szCs w:val="20"/>
          <w:color w:val="auto"/>
        </w:rPr>
      </w:pPr>
    </w:p>
    <w:p>
      <w:pPr>
        <w:ind w:left="46"/>
        <w:spacing w:after="0"/>
        <w:rPr>
          <w:sz w:val="20"/>
          <w:szCs w:val="20"/>
          <w:color w:val="auto"/>
        </w:rPr>
      </w:pPr>
      <w:r>
        <w:rPr>
          <w:rFonts w:ascii="Arial" w:cs="Arial" w:eastAsia="Arial" w:hAnsi="Arial"/>
          <w:sz w:val="16"/>
          <w:szCs w:val="16"/>
          <w:color w:val="auto"/>
        </w:rPr>
        <w:t>Leen Kawas</w:t>
      </w:r>
    </w:p>
    <w:p>
      <w:pPr>
        <w:spacing w:after="0" w:line="52" w:lineRule="exact"/>
        <w:rPr>
          <w:sz w:val="20"/>
          <w:szCs w:val="20"/>
          <w:color w:val="auto"/>
        </w:rPr>
      </w:pPr>
    </w:p>
    <w:p>
      <w:pPr>
        <w:ind w:left="46"/>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52" w:lineRule="exact"/>
        <w:rPr>
          <w:sz w:val="20"/>
          <w:szCs w:val="20"/>
          <w:color w:val="auto"/>
        </w:rPr>
      </w:pPr>
    </w:p>
    <w:p>
      <w:pPr>
        <w:ind w:left="46"/>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66"/>
          </w:cols>
          <w:pgMar w:left="314" w:top="123" w:right="3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31.2</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color w:val="auto"/>
        </w:rPr>
        <w:t>I, Glenna Mileson, certify that:</w:t>
      </w:r>
    </w:p>
    <w:p>
      <w:pPr>
        <w:spacing w:after="0" w:line="193" w:lineRule="exact"/>
        <w:rPr>
          <w:sz w:val="20"/>
          <w:szCs w:val="20"/>
          <w:color w:val="auto"/>
        </w:rPr>
      </w:pPr>
    </w:p>
    <w:p>
      <w:pPr>
        <w:ind w:left="906" w:hanging="906"/>
        <w:spacing w:after="0"/>
        <w:tabs>
          <w:tab w:leader="none" w:pos="906"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Athira Pharma, Inc.;</w:t>
      </w:r>
    </w:p>
    <w:p>
      <w:pPr>
        <w:spacing w:after="0" w:line="193" w:lineRule="exact"/>
        <w:rPr>
          <w:rFonts w:ascii="Arial" w:cs="Arial" w:eastAsia="Arial" w:hAnsi="Arial"/>
          <w:sz w:val="16"/>
          <w:szCs w:val="16"/>
          <w:color w:val="auto"/>
        </w:rPr>
      </w:pPr>
    </w:p>
    <w:p>
      <w:pPr>
        <w:ind w:left="906" w:right="100" w:hanging="906"/>
        <w:spacing w:after="0" w:line="300" w:lineRule="auto"/>
        <w:tabs>
          <w:tab w:leader="none" w:pos="906"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5"/>
          <w:szCs w:val="15"/>
          <w:color w:val="auto"/>
        </w:rPr>
      </w:pPr>
    </w:p>
    <w:p>
      <w:pPr>
        <w:ind w:left="906" w:right="600" w:hanging="906"/>
        <w:spacing w:after="0" w:line="266" w:lineRule="auto"/>
        <w:tabs>
          <w:tab w:leader="none" w:pos="906"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6"/>
          <w:szCs w:val="16"/>
          <w:color w:val="auto"/>
        </w:rPr>
      </w:pPr>
    </w:p>
    <w:p>
      <w:pPr>
        <w:ind w:left="906" w:right="300" w:hanging="906"/>
        <w:spacing w:after="0" w:line="266" w:lineRule="auto"/>
        <w:tabs>
          <w:tab w:leader="none" w:pos="90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6"/>
          <w:szCs w:val="16"/>
          <w:color w:val="auto"/>
        </w:rPr>
      </w:pPr>
    </w:p>
    <w:p>
      <w:pPr>
        <w:ind w:left="1786" w:right="100" w:hanging="890"/>
        <w:spacing w:after="0" w:line="256" w:lineRule="auto"/>
        <w:tabs>
          <w:tab w:leader="none" w:pos="1786"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6"/>
          <w:szCs w:val="16"/>
          <w:color w:val="auto"/>
        </w:rPr>
      </w:pPr>
    </w:p>
    <w:p>
      <w:pPr>
        <w:ind w:left="1786" w:right="140" w:hanging="890"/>
        <w:spacing w:after="0" w:line="300" w:lineRule="auto"/>
        <w:tabs>
          <w:tab w:leader="none" w:pos="1786" w:val="left"/>
        </w:tabs>
        <w:numPr>
          <w:ilvl w:val="1"/>
          <w:numId w:val="7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5"/>
          <w:szCs w:val="15"/>
          <w:color w:val="auto"/>
        </w:rPr>
      </w:pPr>
    </w:p>
    <w:p>
      <w:pPr>
        <w:ind w:left="1786" w:right="20" w:hanging="890"/>
        <w:spacing w:after="0" w:line="256" w:lineRule="auto"/>
        <w:tabs>
          <w:tab w:leader="none" w:pos="1786"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906" w:right="220" w:hanging="906"/>
        <w:spacing w:after="0" w:line="266" w:lineRule="auto"/>
        <w:tabs>
          <w:tab w:leader="none" w:pos="90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1786" w:right="80" w:hanging="890"/>
        <w:spacing w:after="0" w:line="266" w:lineRule="auto"/>
        <w:tabs>
          <w:tab w:leader="none" w:pos="1786"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6"/>
          <w:szCs w:val="16"/>
          <w:color w:val="auto"/>
        </w:rPr>
      </w:pPr>
    </w:p>
    <w:p>
      <w:pPr>
        <w:ind w:left="1786" w:right="120" w:hanging="890"/>
        <w:spacing w:after="0" w:line="266" w:lineRule="auto"/>
        <w:tabs>
          <w:tab w:leader="none" w:pos="1786"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 November 12, 2020</w:t>
      </w:r>
    </w:p>
    <w:p>
      <w:pPr>
        <w:spacing w:after="0" w:line="111" w:lineRule="exact"/>
        <w:rPr>
          <w:sz w:val="20"/>
          <w:szCs w:val="20"/>
          <w:color w:val="auto"/>
        </w:rPr>
      </w:pPr>
    </w:p>
    <w:p>
      <w:pPr>
        <w:ind w:left="46"/>
        <w:spacing w:after="0"/>
        <w:rPr>
          <w:sz w:val="20"/>
          <w:szCs w:val="20"/>
          <w:color w:val="auto"/>
        </w:rPr>
      </w:pPr>
      <w:r>
        <w:rPr>
          <w:rFonts w:ascii="Arial" w:cs="Arial" w:eastAsia="Arial" w:hAnsi="Arial"/>
          <w:sz w:val="16"/>
          <w:szCs w:val="16"/>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74332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3743325" cy="7620"/>
                    </a:xfrm>
                    <a:prstGeom prst="rect">
                      <a:avLst/>
                    </a:prstGeom>
                    <a:noFill/>
                  </pic:spPr>
                </pic:pic>
              </a:graphicData>
            </a:graphic>
          </wp:anchor>
        </w:drawing>
      </w:r>
    </w:p>
    <w:p>
      <w:pPr>
        <w:spacing w:after="0" w:line="32" w:lineRule="exact"/>
        <w:rPr>
          <w:sz w:val="20"/>
          <w:szCs w:val="20"/>
          <w:color w:val="auto"/>
        </w:rPr>
      </w:pPr>
    </w:p>
    <w:p>
      <w:pPr>
        <w:ind w:left="46"/>
        <w:spacing w:after="0"/>
        <w:rPr>
          <w:sz w:val="20"/>
          <w:szCs w:val="20"/>
          <w:color w:val="auto"/>
        </w:rPr>
      </w:pPr>
      <w:r>
        <w:rPr>
          <w:rFonts w:ascii="Arial" w:cs="Arial" w:eastAsia="Arial" w:hAnsi="Arial"/>
          <w:sz w:val="16"/>
          <w:szCs w:val="16"/>
          <w:color w:val="auto"/>
        </w:rPr>
        <w:t>Glenna Mileson</w:t>
      </w:r>
    </w:p>
    <w:p>
      <w:pPr>
        <w:spacing w:after="0" w:line="52" w:lineRule="exact"/>
        <w:rPr>
          <w:sz w:val="20"/>
          <w:szCs w:val="20"/>
          <w:color w:val="auto"/>
        </w:rPr>
      </w:pPr>
    </w:p>
    <w:p>
      <w:pPr>
        <w:ind w:left="46"/>
        <w:spacing w:after="0"/>
        <w:rPr>
          <w:sz w:val="20"/>
          <w:szCs w:val="20"/>
          <w:color w:val="auto"/>
        </w:rPr>
      </w:pPr>
      <w:r>
        <w:rPr>
          <w:rFonts w:ascii="Arial" w:cs="Arial" w:eastAsia="Arial" w:hAnsi="Arial"/>
          <w:sz w:val="16"/>
          <w:szCs w:val="16"/>
          <w:i w:val="1"/>
          <w:iCs w:val="1"/>
          <w:color w:val="auto"/>
        </w:rPr>
        <w:t>Chief Financial Officer</w:t>
      </w:r>
    </w:p>
    <w:p>
      <w:pPr>
        <w:spacing w:after="0" w:line="52" w:lineRule="exact"/>
        <w:rPr>
          <w:sz w:val="20"/>
          <w:szCs w:val="20"/>
          <w:color w:val="auto"/>
        </w:rPr>
      </w:pPr>
    </w:p>
    <w:p>
      <w:pPr>
        <w:ind w:left="46"/>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66"/>
          </w:cols>
          <w:pgMar w:left="314" w:top="123" w:right="3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32.1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76" w:lineRule="exact"/>
        <w:rPr>
          <w:sz w:val="20"/>
          <w:szCs w:val="20"/>
          <w:color w:val="auto"/>
        </w:rPr>
      </w:pPr>
    </w:p>
    <w:p>
      <w:pPr>
        <w:ind w:right="80" w:firstLine="751"/>
        <w:spacing w:after="0" w:line="281" w:lineRule="auto"/>
        <w:rPr>
          <w:sz w:val="20"/>
          <w:szCs w:val="20"/>
          <w:color w:val="auto"/>
        </w:rPr>
      </w:pPr>
      <w:r>
        <w:rPr>
          <w:rFonts w:ascii="Arial" w:cs="Arial" w:eastAsia="Arial" w:hAnsi="Arial"/>
          <w:sz w:val="15"/>
          <w:szCs w:val="15"/>
          <w:color w:val="auto"/>
        </w:rPr>
        <w:t xml:space="preserve">In connection with the Quarterly Report of Athira Pharma, Inc. (the “Company”) on Form 10-Q for the quarter ended September 30, 2020, as filed with the Securities and Exchange Commission on the date hereof (the “Report”), I, Leen Kawas, President and Chief Executive Officer </w:t>
      </w:r>
      <w:r>
        <w:rPr>
          <w:rFonts w:ascii="Arial" w:cs="Arial" w:eastAsia="Arial" w:hAnsi="Arial"/>
          <w:sz w:val="15"/>
          <w:szCs w:val="15"/>
          <w:i w:val="1"/>
          <w:iCs w:val="1"/>
          <w:color w:val="auto"/>
        </w:rPr>
        <w:t>(Principal Executive Officer)</w:t>
      </w:r>
      <w:r>
        <w:rPr>
          <w:rFonts w:ascii="Arial" w:cs="Arial" w:eastAsia="Arial" w:hAnsi="Arial"/>
          <w:sz w:val="15"/>
          <w:szCs w:val="15"/>
          <w:color w:val="auto"/>
        </w:rPr>
        <w:t xml:space="preserve"> of the Company, certify, pursuant to 18 U.S.C. Section 1350, as adopted pursuant to Section 906 of the Sarbanes-Oxley Act of 2002, that to my knowledge:</w:t>
      </w:r>
    </w:p>
    <w:p>
      <w:pPr>
        <w:spacing w:after="0" w:line="149" w:lineRule="exact"/>
        <w:rPr>
          <w:sz w:val="20"/>
          <w:szCs w:val="20"/>
          <w:color w:val="auto"/>
        </w:rPr>
      </w:pPr>
    </w:p>
    <w:p>
      <w:pPr>
        <w:ind w:left="1100" w:hanging="740"/>
        <w:spacing w:after="0"/>
        <w:tabs>
          <w:tab w:leader="none" w:pos="11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3" w:lineRule="exact"/>
        <w:rPr>
          <w:rFonts w:ascii="Arial" w:cs="Arial" w:eastAsia="Arial" w:hAnsi="Arial"/>
          <w:sz w:val="16"/>
          <w:szCs w:val="16"/>
          <w:color w:val="auto"/>
        </w:rPr>
      </w:pPr>
    </w:p>
    <w:p>
      <w:pPr>
        <w:ind w:left="1100" w:hanging="740"/>
        <w:spacing w:after="0"/>
        <w:tabs>
          <w:tab w:leader="none" w:pos="11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24257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2425700" cy="762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Leen Kawas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12, 2020</w:t>
      </w:r>
    </w:p>
    <w:p>
      <w:pPr>
        <w:spacing w:after="0" w:line="193" w:lineRule="exact"/>
        <w:rPr>
          <w:sz w:val="20"/>
          <w:szCs w:val="20"/>
          <w:color w:val="auto"/>
        </w:rPr>
      </w:pPr>
    </w:p>
    <w:p>
      <w:pPr>
        <w:ind w:right="140" w:firstLine="751"/>
        <w:spacing w:after="0" w:line="2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58" w:lineRule="exact"/>
        <w:rPr>
          <w:sz w:val="20"/>
          <w:szCs w:val="20"/>
          <w:color w:val="auto"/>
        </w:rPr>
      </w:pPr>
    </w:p>
    <w:p>
      <w:pPr>
        <w:ind w:right="140" w:firstLine="751"/>
        <w:spacing w:after="0" w:line="256"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60"/>
          </w:cols>
          <w:pgMar w:left="320" w:top="323" w:right="3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32.2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76" w:lineRule="exact"/>
        <w:rPr>
          <w:sz w:val="20"/>
          <w:szCs w:val="20"/>
          <w:color w:val="auto"/>
        </w:rPr>
      </w:pPr>
    </w:p>
    <w:p>
      <w:pPr>
        <w:ind w:right="80" w:firstLine="751"/>
        <w:spacing w:after="0" w:line="281" w:lineRule="auto"/>
        <w:rPr>
          <w:sz w:val="20"/>
          <w:szCs w:val="20"/>
          <w:color w:val="auto"/>
        </w:rPr>
      </w:pPr>
      <w:r>
        <w:rPr>
          <w:rFonts w:ascii="Arial" w:cs="Arial" w:eastAsia="Arial" w:hAnsi="Arial"/>
          <w:sz w:val="15"/>
          <w:szCs w:val="15"/>
          <w:color w:val="auto"/>
        </w:rPr>
        <w:t xml:space="preserve">In connection with the Quarterly Report of Athira Pharma, Inc. (the “Company”) on Form 10-Q for the quarter ended September 30, 2020, as filed with the Securities and Exchange Commission on the date hereof (the “Report”), I, Glenna Mileson, Chief Financial Officer </w:t>
      </w:r>
      <w:r>
        <w:rPr>
          <w:rFonts w:ascii="Arial" w:cs="Arial" w:eastAsia="Arial" w:hAnsi="Arial"/>
          <w:sz w:val="15"/>
          <w:szCs w:val="15"/>
          <w:i w:val="1"/>
          <w:iCs w:val="1"/>
          <w:color w:val="auto"/>
        </w:rPr>
        <w:t>(Principal Financial and Accounting Officer)</w:t>
      </w:r>
      <w:r>
        <w:rPr>
          <w:rFonts w:ascii="Arial" w:cs="Arial" w:eastAsia="Arial" w:hAnsi="Arial"/>
          <w:sz w:val="15"/>
          <w:szCs w:val="15"/>
          <w:color w:val="auto"/>
        </w:rPr>
        <w:t xml:space="preserve"> of the Company, certify, pursuant to 18 U.S.C. Section 1350, as adopted pursuant to Section 906 of the Sarbanes-Oxley Act of 2002, that to my knowledge:</w:t>
      </w:r>
    </w:p>
    <w:p>
      <w:pPr>
        <w:spacing w:after="0" w:line="149" w:lineRule="exact"/>
        <w:rPr>
          <w:sz w:val="20"/>
          <w:szCs w:val="20"/>
          <w:color w:val="auto"/>
        </w:rPr>
      </w:pPr>
    </w:p>
    <w:p>
      <w:pPr>
        <w:ind w:left="1100" w:hanging="740"/>
        <w:spacing w:after="0"/>
        <w:tabs>
          <w:tab w:leader="none" w:pos="11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3" w:lineRule="exact"/>
        <w:rPr>
          <w:rFonts w:ascii="Arial" w:cs="Arial" w:eastAsia="Arial" w:hAnsi="Arial"/>
          <w:sz w:val="16"/>
          <w:szCs w:val="16"/>
          <w:color w:val="auto"/>
        </w:rPr>
      </w:pPr>
    </w:p>
    <w:p>
      <w:pPr>
        <w:ind w:left="1100" w:hanging="740"/>
        <w:spacing w:after="0"/>
        <w:tabs>
          <w:tab w:leader="none" w:pos="11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2425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2425700" cy="762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Glenna Mileson</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Chief Financial Officer</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12, 2020</w:t>
      </w:r>
    </w:p>
    <w:p>
      <w:pPr>
        <w:spacing w:after="0" w:line="193" w:lineRule="exact"/>
        <w:rPr>
          <w:sz w:val="20"/>
          <w:szCs w:val="20"/>
          <w:color w:val="auto"/>
        </w:rPr>
      </w:pPr>
    </w:p>
    <w:p>
      <w:pPr>
        <w:ind w:right="140" w:firstLine="751"/>
        <w:spacing w:after="0" w:line="2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58" w:lineRule="exact"/>
        <w:rPr>
          <w:sz w:val="20"/>
          <w:szCs w:val="20"/>
          <w:color w:val="auto"/>
        </w:rPr>
      </w:pPr>
    </w:p>
    <w:p>
      <w:pPr>
        <w:ind w:right="140" w:firstLine="751"/>
        <w:spacing w:after="0" w:line="256"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60"/>
      </w:cols>
      <w:pgMar w:left="320" w:top="3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1."/>
      <w:numFmt w:val="decimal"/>
      <w:start w:val="2"/>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1."/>
      <w:numFmt w:val="upperLetter"/>
      <w:start w:val="1"/>
    </w:lvl>
  </w:abstractNum>
  <w:abstractNum w:abstractNumId="52">
    <w:nsid w:val="77AE35EB"/>
    <w:multiLevelType w:val="hybridMultilevel"/>
    <w:lvl w:ilvl="0">
      <w:lvlJc w:val="left"/>
      <w:lvlText w:val="(%1)"/>
      <w:numFmt w:val="lowerLetter"/>
      <w:start w:val="1"/>
    </w:lvl>
    <w:lvl w:ilvl="1">
      <w:lvlJc w:val="left"/>
      <w:lvlText w:val="-"/>
      <w:numFmt w:val="bullet"/>
      <w:start w:val="1"/>
    </w:lvl>
  </w:abstractNum>
  <w:abstractNum w:abstractNumId="53">
    <w:nsid w:val="579BE4F1"/>
    <w:multiLevelType w:val="hybridMultilevel"/>
    <w:lvl w:ilvl="0">
      <w:lvlJc w:val="left"/>
      <w:lvlText w:val="(%1)"/>
      <w:numFmt w:val="lowerLetter"/>
      <w:start w:val="2"/>
    </w:lvl>
  </w:abstractNum>
  <w:abstractNum w:abstractNumId="54">
    <w:nsid w:val="310C50B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5">
    <w:nsid w:val="5FF87E05"/>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56">
    <w:nsid w:val="2F305DEF"/>
    <w:multiLevelType w:val="hybridMultilevel"/>
    <w:lvl w:ilvl="0">
      <w:lvlJc w:val="left"/>
      <w:lvlText w:val="%1"/>
      <w:numFmt w:val="decimal"/>
      <w:start w:val="1"/>
    </w:lvl>
    <w:lvl w:ilvl="1">
      <w:lvlJc w:val="left"/>
      <w:lvlText w:val="(%2)"/>
      <w:numFmt w:val="upperLetter"/>
      <w:start w:val="5"/>
    </w:lvl>
    <w:lvl w:ilvl="2">
      <w:lvlJc w:val="left"/>
      <w:lvlText w:val="-"/>
      <w:numFmt w:val="bullet"/>
      <w:start w:val="1"/>
    </w:lvl>
  </w:abstractNum>
  <w:abstractNum w:abstractNumId="57">
    <w:nsid w:val="25A70BF7"/>
    <w:multiLevelType w:val="hybridMultilevel"/>
    <w:lvl w:ilvl="0">
      <w:lvlJc w:val="left"/>
      <w:lvlText w:val="(%1)"/>
      <w:numFmt w:val="decimal"/>
      <w:start w:val="3"/>
    </w:lvl>
    <w:lvl w:ilvl="1">
      <w:lvlJc w:val="left"/>
      <w:lvlText w:val="(%2)"/>
      <w:numFmt w:val="upperLetter"/>
      <w:start w:val="1"/>
    </w:lvl>
    <w:lvl w:ilvl="2">
      <w:lvlJc w:val="left"/>
      <w:lvlText w:val="-"/>
      <w:numFmt w:val="bullet"/>
      <w:start w:val="1"/>
    </w:lvl>
  </w:abstractNum>
  <w:abstractNum w:abstractNumId="58">
    <w:nsid w:val="1DBABF00"/>
    <w:multiLevelType w:val="hybridMultilevel"/>
    <w:lvl w:ilvl="0">
      <w:lvlJc w:val="left"/>
      <w:lvlText w:val="%1"/>
      <w:numFmt w:val="lowerRoman"/>
      <w:start w:val="1"/>
    </w:lvl>
    <w:lvl w:ilvl="1">
      <w:lvlJc w:val="left"/>
      <w:lvlText w:val="(%2)"/>
      <w:numFmt w:val="upperLetter"/>
      <w:start w:val="8"/>
    </w:lvl>
    <w:lvl w:ilvl="2">
      <w:lvlJc w:val="left"/>
      <w:lvlText w:val="-"/>
      <w:numFmt w:val="bullet"/>
      <w:start w:val="1"/>
    </w:lvl>
  </w:abstractNum>
  <w:abstractNum w:abstractNumId="59">
    <w:nsid w:val="4AD084E9"/>
    <w:multiLevelType w:val="hybridMultilevel"/>
    <w:lvl w:ilvl="0">
      <w:lvlJc w:val="left"/>
      <w:lvlText w:val="(%1)"/>
      <w:numFmt w:val="lowerRoman"/>
      <w:start w:val="4"/>
    </w:lvl>
    <w:lvl w:ilvl="1">
      <w:lvlJc w:val="left"/>
      <w:lvlText w:val="%2"/>
      <w:numFmt w:val="upperLetter"/>
      <w:start w:val="1"/>
    </w:lvl>
    <w:lvl w:ilvl="2">
      <w:lvlJc w:val="left"/>
      <w:lvlText w:val="-"/>
      <w:numFmt w:val="bullet"/>
      <w:start w:val="1"/>
    </w:lvl>
  </w:abstractNum>
  <w:abstractNum w:abstractNumId="60">
    <w:nsid w:val="1F48EAA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1">
    <w:nsid w:val="1381823A"/>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62">
    <w:nsid w:val="5DB70AE5"/>
    <w:multiLevelType w:val="hybridMultilevel"/>
    <w:lvl w:ilvl="0">
      <w:lvlJc w:val="left"/>
      <w:lvlText w:val="(%1)"/>
      <w:numFmt w:val="decimal"/>
      <w:start w:val="2"/>
    </w:lvl>
    <w:lvl w:ilvl="1">
      <w:lvlJc w:val="left"/>
      <w:lvlText w:val="(%2)"/>
      <w:numFmt w:val="lowerRoman"/>
      <w:start w:val="7"/>
    </w:lvl>
    <w:lvl w:ilvl="2">
      <w:lvlJc w:val="left"/>
      <w:lvlText w:val="-"/>
      <w:numFmt w:val="bullet"/>
      <w:start w:val="1"/>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lowerLetter"/>
      <w:start w:val="5"/>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97" Type="http://schemas.openxmlformats.org/officeDocument/2006/relationships/hyperlink" Target="http://www.sec.gov/Archives/edgar/data/1620463/000156459020042848/atha-ex46_144.htm" TargetMode="External"/><Relationship Id="rId98" Type="http://schemas.openxmlformats.org/officeDocument/2006/relationships/hyperlink" Target="http://www.sec.gov/Archives/edgar/data/1620463/000156459020041369/atha-ex101_530.htm" TargetMode="External"/><Relationship Id="rId99" Type="http://schemas.openxmlformats.org/officeDocument/2006/relationships/hyperlink" Target="http://www.sec.gov/Archives/edgar/data/1620463/000156459020042848/atha-ex102_90.htm" TargetMode="External"/><Relationship Id="rId100" Type="http://schemas.openxmlformats.org/officeDocument/2006/relationships/hyperlink" Target="http://www.sec.gov/Archives/edgar/data/1620463/000156459020042848/atha-ex105_89.htm" TargetMode="External"/><Relationship Id="rId101" Type="http://schemas.openxmlformats.org/officeDocument/2006/relationships/hyperlink" Target="http://www.sec.gov/Archives/edgar/data/1620463/000156459020042848/atha-ex106_88.htm" TargetMode="External"/><Relationship Id="rId102" Type="http://schemas.openxmlformats.org/officeDocument/2006/relationships/hyperlink" Target="http://www.sec.gov/Archives/edgar/data/1620463/000156459020042848/atha-ex107_87.htm" TargetMode="External"/><Relationship Id="rId103" Type="http://schemas.openxmlformats.org/officeDocument/2006/relationships/hyperlink" Target="http://www.sec.gov/Archives/edgar/data/1620463/000156459020042848/atha-ex108_86.htm" TargetMode="External"/><Relationship Id="rId104" Type="http://schemas.openxmlformats.org/officeDocument/2006/relationships/hyperlink" Target="http://www.sec.gov/Archives/edgar/data/1620463/000156459020041369/atha-ex109_529.htm" TargetMode="External"/><Relationship Id="rId105" Type="http://schemas.openxmlformats.org/officeDocument/2006/relationships/hyperlink" Target="http://www.sec.gov/Archives/edgar/data/1620463/000156459020042848/atha-ex1010_85.htm" TargetMode="External"/><Relationship Id="rId106" Type="http://schemas.openxmlformats.org/officeDocument/2006/relationships/hyperlink" Target="http://www.sec.gov/Archives/edgar/data/1620463/000156459020042848/atha-ex1011_9.htm" TargetMode="External"/><Relationship Id="rId107" Type="http://schemas.openxmlformats.org/officeDocument/2006/relationships/hyperlink" Target="http://www.sec.gov/Archives/edgar/data/1620463/000156459020042848/atha-ex1012_84.htm" TargetMode="External"/><Relationship Id="rId108" Type="http://schemas.openxmlformats.org/officeDocument/2006/relationships/hyperlink" Target="http://www.sec.gov/Archives/edgar/data/1620463/000156459020042848/atha-ex1013_83.htm" TargetMode="External"/><Relationship Id="rId109" Type="http://schemas.openxmlformats.org/officeDocument/2006/relationships/hyperlink" Target="http://www.sec.gov/Archives/edgar/data/1620463/000156459020042848/atha-ex1014_535.htm" TargetMode="External"/><Relationship Id="rId110" Type="http://schemas.openxmlformats.org/officeDocument/2006/relationships/hyperlink" Target="http://www.sec.gov/Archives/edgar/data/1620463/000156459020042848/atha-ex1015_534.htm" TargetMode="External"/><Relationship Id="rId111" Type="http://schemas.openxmlformats.org/officeDocument/2006/relationships/hyperlink" Target="http://www.sec.gov/Archives/edgar/data/1620463/000156459020042848/atha-ex1016_533.htm" TargetMode="External"/><Relationship Id="rId112" Type="http://schemas.openxmlformats.org/officeDocument/2006/relationships/hyperlink" Target="http://www.sec.gov/Archives/edgar/data/1620463/000156459020042848/atha-ex1017_532.htm" TargetMode="External"/><Relationship Id="rId113" Type="http://schemas.openxmlformats.org/officeDocument/2006/relationships/hyperlink" Target="http://www.sec.gov/Archives/edgar/data/1620463/000156459020042848/atha-ex1018_531.htm" TargetMode="External"/><Relationship Id="rId116" Type="http://schemas.openxmlformats.org/officeDocument/2006/relationships/hyperlink" Target="http://www.sec.gov/Archives/edgar/data/1620463/000156459020042848/atha-ex1019_530.htm" TargetMode="External"/><Relationship Id="rId117" Type="http://schemas.openxmlformats.org/officeDocument/2006/relationships/hyperlink" Target="http://www.sec.gov/Archives/edgar/data/1620463/000156459020042848/atha-ex1020_529.htm" TargetMode="External"/><Relationship Id="rId118" Type="http://schemas.openxmlformats.org/officeDocument/2006/relationships/hyperlink" Target="http://www.sec.gov/Archives/edgar/data/1620463/000156459020043324/atha-ex1021_821.htm" TargetMode="External"/><Relationship Id="rId119" Type="http://schemas.openxmlformats.org/officeDocument/2006/relationships/hyperlink" Target="http://www.sec.gov/Archives/edgar/data/1620463/000156459020043324/atha-ex1022_8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2020-11-12T15:36:56Z</dcterms:created>
  <dcterms:modified xsi:type="dcterms:W3CDTF">2020-11-12T15:36:56Z</dcterms:modified>
</cp:coreProperties>
</file>