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4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453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Litton Mark James</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09/03/2024</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ind w:right="18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164,397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09/05/2024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5,032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0.566</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159,365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6,563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OSL</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6,563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SWL</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6,563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line="185" w:lineRule="auto"/>
        <w:rPr>
          <w:sz w:val="20"/>
          <w:szCs w:val="20"/>
          <w:color w:val="auto"/>
        </w:rPr>
      </w:pPr>
      <w:r>
        <w:rPr>
          <w:rFonts w:ascii="Times New Roman" w:cs="Times New Roman" w:eastAsia="Times New Roman" w:hAnsi="Times New Roman"/>
          <w:sz w:val="24"/>
          <w:szCs w:val="24"/>
          <w:color w:val="0000FF"/>
          <w:vertAlign w:val="subscript"/>
        </w:rPr>
        <w:t>WGL</w:t>
      </w:r>
      <w:r>
        <w:rPr>
          <w:rFonts w:ascii="Times New Roman" w:cs="Times New Roman" w:eastAsia="Times New Roman" w:hAnsi="Times New Roman"/>
          <w:sz w:val="10"/>
          <w:szCs w:val="10"/>
          <w:color w:val="008000"/>
        </w:rPr>
        <w:t>(7)</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60,000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3, 2024, the Company completed the public readout of the topline results of its LIFT-AD Phase 2/3 clinical trial and 20,000 RSUs vested on such date.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RSUs pursuant to mandatory "sell to cover" policies maintained by the issuer and provisions contained in the reporting person's applicable RSU agreement, and does not represent a discretionary sale by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$0.5505 to $0.5751,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ectPr>
          <w:pgSz w:w="11900" w:h="16838" w:orient="portrait"/>
          <w:cols w:equalWidth="0" w:num="1">
            <w:col w:w="11000"/>
          </w:cols>
          <w:pgMar w:left="460" w:top="219"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Mark Worthington,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09/05/2024</w:t>
            </w:r>
          </w:p>
        </w:tc>
      </w:tr>
      <w:tr>
        <w:trPr>
          <w:trHeight w:val="20"/>
        </w:trPr>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18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Mark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9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James Litton</w:t>
            </w:r>
          </w:p>
        </w:tc>
        <w:tc>
          <w:tcPr>
            <w:tcW w:w="118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483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2024-09-05T18:50:05Z</dcterms:created>
  <dcterms:modified xsi:type="dcterms:W3CDTF">2024-09-05T18:50:05Z</dcterms:modified>
</cp:coreProperties>
</file>