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363220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jc w:val="center"/>
        <w:ind w:right="-179"/>
        <w:spacing w:after="0" w:line="194" w:lineRule="auto"/>
        <w:rPr>
          <w:sz w:val="20"/>
          <w:szCs w:val="20"/>
          <w:color w:val="auto"/>
        </w:rPr>
      </w:pPr>
      <w:r>
        <w:rPr>
          <w:rFonts w:ascii="Arial" w:cs="Arial" w:eastAsia="Arial" w:hAnsi="Arial"/>
          <w:sz w:val="32"/>
          <w:szCs w:val="32"/>
          <w:b w:val="1"/>
          <w:bCs w:val="1"/>
          <w:color w:val="auto"/>
        </w:rPr>
        <w:t>SECURITIES AND EXCHANGE COMMISSION</w:t>
      </w:r>
    </w:p>
    <w:p>
      <w:pPr>
        <w:spacing w:after="0" w:line="1" w:lineRule="exact"/>
        <w:rPr>
          <w:sz w:val="24"/>
          <w:szCs w:val="24"/>
          <w:color w:val="auto"/>
        </w:rPr>
      </w:pPr>
    </w:p>
    <w:p>
      <w:pPr>
        <w:jc w:val="center"/>
        <w:ind w:right="-17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2379345</wp:posOffset>
            </wp:positionH>
            <wp:positionV relativeFrom="paragraph">
              <wp:posOffset>64135</wp:posOffset>
            </wp:positionV>
            <wp:extent cx="238315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383155" cy="8890"/>
                    </a:xfrm>
                    <a:prstGeom prst="rect">
                      <a:avLst/>
                    </a:prstGeom>
                    <a:noFill/>
                  </pic:spPr>
                </pic:pic>
              </a:graphicData>
            </a:graphic>
          </wp:anchor>
        </w:drawing>
      </w:r>
    </w:p>
    <w:p>
      <w:pPr>
        <w:spacing w:after="0" w:line="94" w:lineRule="exact"/>
        <w:rPr>
          <w:sz w:val="24"/>
          <w:szCs w:val="24"/>
          <w:color w:val="auto"/>
        </w:rPr>
      </w:pPr>
    </w:p>
    <w:p>
      <w:pPr>
        <w:jc w:val="center"/>
        <w:ind w:right="-17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2379345</wp:posOffset>
            </wp:positionH>
            <wp:positionV relativeFrom="paragraph">
              <wp:posOffset>83820</wp:posOffset>
            </wp:positionV>
            <wp:extent cx="238315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383155" cy="8255"/>
                    </a:xfrm>
                    <a:prstGeom prst="rect">
                      <a:avLst/>
                    </a:prstGeom>
                    <a:noFill/>
                  </pic:spPr>
                </pic:pic>
              </a:graphicData>
            </a:graphic>
          </wp:anchor>
        </w:drawing>
      </w:r>
    </w:p>
    <w:p>
      <w:pPr>
        <w:spacing w:after="0" w:line="274" w:lineRule="exact"/>
        <w:rPr>
          <w:sz w:val="24"/>
          <w:szCs w:val="24"/>
          <w:color w:val="auto"/>
        </w:rPr>
      </w:pPr>
    </w:p>
    <w:p>
      <w:pPr>
        <w:jc w:val="center"/>
        <w:ind w:right="-179"/>
        <w:spacing w:after="0"/>
        <w:rPr>
          <w:sz w:val="20"/>
          <w:szCs w:val="20"/>
          <w:color w:val="auto"/>
        </w:rPr>
      </w:pPr>
      <w:r>
        <w:rPr>
          <w:rFonts w:ascii="Arial" w:cs="Arial" w:eastAsia="Arial" w:hAnsi="Arial"/>
          <w:sz w:val="22"/>
          <w:szCs w:val="22"/>
          <w:b w:val="1"/>
          <w:bCs w:val="1"/>
          <w:color w:val="auto"/>
        </w:rPr>
        <w:t>CURRENT REPORT</w:t>
      </w:r>
    </w:p>
    <w:p>
      <w:pPr>
        <w:spacing w:after="0" w:line="9" w:lineRule="exact"/>
        <w:rPr>
          <w:sz w:val="24"/>
          <w:szCs w:val="24"/>
          <w:color w:val="auto"/>
        </w:rPr>
      </w:pPr>
    </w:p>
    <w:p>
      <w:pPr>
        <w:jc w:val="center"/>
        <w:ind w:right="-179"/>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jc w:val="center"/>
        <w:ind w:right="-179"/>
        <w:spacing w:after="0"/>
        <w:rPr>
          <w:sz w:val="20"/>
          <w:szCs w:val="20"/>
          <w:color w:val="auto"/>
        </w:rPr>
      </w:pPr>
      <w:r>
        <w:rPr>
          <w:rFonts w:ascii="Arial" w:cs="Arial" w:eastAsia="Arial" w:hAnsi="Arial"/>
          <w:sz w:val="18"/>
          <w:szCs w:val="18"/>
          <w:b w:val="1"/>
          <w:bCs w:val="1"/>
          <w:color w:val="auto"/>
        </w:rPr>
        <w:t>Date of Report (Date of earliest event reported): March 24,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2379345</wp:posOffset>
            </wp:positionH>
            <wp:positionV relativeFrom="paragraph">
              <wp:posOffset>64770</wp:posOffset>
            </wp:positionV>
            <wp:extent cx="238315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383155" cy="8890"/>
                    </a:xfrm>
                    <a:prstGeom prst="rect">
                      <a:avLst/>
                    </a:prstGeom>
                    <a:noFill/>
                  </pic:spPr>
                </pic:pic>
              </a:graphicData>
            </a:graphic>
          </wp:anchor>
        </w:drawing>
      </w:r>
    </w:p>
    <w:p>
      <w:pPr>
        <w:spacing w:after="0" w:line="200" w:lineRule="exact"/>
        <w:rPr>
          <w:sz w:val="24"/>
          <w:szCs w:val="24"/>
          <w:color w:val="auto"/>
        </w:rPr>
      </w:pPr>
    </w:p>
    <w:p>
      <w:pPr>
        <w:jc w:val="center"/>
        <w:ind w:right="-219"/>
        <w:spacing w:after="0"/>
        <w:rPr>
          <w:sz w:val="20"/>
          <w:szCs w:val="20"/>
          <w:color w:val="auto"/>
        </w:rPr>
      </w:pPr>
      <w:r>
        <w:rPr>
          <w:rFonts w:ascii="Arial" w:cs="Arial" w:eastAsia="Arial" w:hAnsi="Arial"/>
          <w:sz w:val="43"/>
          <w:szCs w:val="43"/>
          <w:b w:val="1"/>
          <w:bCs w:val="1"/>
          <w:color w:val="auto"/>
        </w:rPr>
        <w:t>Athira Pharma, Inc.</w:t>
      </w:r>
    </w:p>
    <w:p>
      <w:pPr>
        <w:spacing w:after="0" w:line="28" w:lineRule="exact"/>
        <w:rPr>
          <w:sz w:val="24"/>
          <w:szCs w:val="24"/>
          <w:color w:val="auto"/>
        </w:rPr>
      </w:pPr>
    </w:p>
    <w:p>
      <w:pPr>
        <w:jc w:val="center"/>
        <w:ind w:right="-17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2379345</wp:posOffset>
            </wp:positionH>
            <wp:positionV relativeFrom="paragraph">
              <wp:posOffset>64770</wp:posOffset>
            </wp:positionV>
            <wp:extent cx="238315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383155" cy="8255"/>
                    </a:xfrm>
                    <a:prstGeom prst="rect">
                      <a:avLst/>
                    </a:prstGeom>
                    <a:noFill/>
                  </pic:spPr>
                </pic:pic>
              </a:graphicData>
            </a:graphic>
          </wp:anchor>
        </w:drawing>
      </w:r>
    </w:p>
    <w:p>
      <w:pPr>
        <w:spacing w:after="0" w:line="239" w:lineRule="exact"/>
        <w:rPr>
          <w:sz w:val="24"/>
          <w:szCs w:val="24"/>
          <w:color w:val="auto"/>
        </w:rPr>
      </w:pPr>
    </w:p>
    <w:tbl>
      <w:tblPr>
        <w:tblLayout w:type="fixed"/>
        <w:tblInd w:w="1060" w:type="dxa"/>
        <w:tblCellMar>
          <w:top w:w="0" w:type="dxa"/>
          <w:left w:w="0" w:type="dxa"/>
          <w:bottom w:w="0" w:type="dxa"/>
          <w:right w:w="0" w:type="dxa"/>
        </w:tblCellMar>
      </w:tblPr>
      <w:tr>
        <w:trPr>
          <w:trHeight w:val="234"/>
        </w:trPr>
        <w:tc>
          <w:tcPr>
            <w:tcW w:w="2160" w:type="dxa"/>
            <w:vAlign w:val="bottom"/>
          </w:tcPr>
          <w:p>
            <w:pPr>
              <w:jc w:val="center"/>
              <w:ind w:right="442"/>
              <w:spacing w:after="0"/>
              <w:rPr>
                <w:sz w:val="20"/>
                <w:szCs w:val="20"/>
                <w:color w:val="auto"/>
              </w:rPr>
            </w:pPr>
            <w:r>
              <w:rPr>
                <w:rFonts w:ascii="Arial" w:cs="Arial" w:eastAsia="Arial" w:hAnsi="Arial"/>
                <w:sz w:val="18"/>
                <w:szCs w:val="18"/>
                <w:b w:val="1"/>
                <w:bCs w:val="1"/>
                <w:color w:val="auto"/>
                <w:w w:val="91"/>
              </w:rPr>
              <w:t>Delaware</w:t>
            </w:r>
          </w:p>
        </w:tc>
        <w:tc>
          <w:tcPr>
            <w:tcW w:w="4940" w:type="dxa"/>
            <w:vAlign w:val="bottom"/>
          </w:tcPr>
          <w:p>
            <w:pPr>
              <w:jc w:val="center"/>
              <w:ind w:right="40"/>
              <w:spacing w:after="0"/>
              <w:rPr>
                <w:sz w:val="20"/>
                <w:szCs w:val="20"/>
                <w:color w:val="auto"/>
              </w:rPr>
            </w:pPr>
            <w:r>
              <w:rPr>
                <w:rFonts w:ascii="Arial" w:cs="Arial" w:eastAsia="Arial" w:hAnsi="Arial"/>
                <w:sz w:val="18"/>
                <w:szCs w:val="18"/>
                <w:b w:val="1"/>
                <w:bCs w:val="1"/>
                <w:color w:val="auto"/>
                <w:w w:val="90"/>
              </w:rPr>
              <w:t>001-39503</w:t>
            </w:r>
          </w:p>
        </w:tc>
        <w:tc>
          <w:tcPr>
            <w:tcW w:w="1780" w:type="dxa"/>
            <w:vAlign w:val="bottom"/>
          </w:tcPr>
          <w:p>
            <w:pPr>
              <w:jc w:val="center"/>
              <w:ind w:left="562"/>
              <w:spacing w:after="0"/>
              <w:rPr>
                <w:sz w:val="20"/>
                <w:szCs w:val="20"/>
                <w:color w:val="auto"/>
              </w:rPr>
            </w:pPr>
            <w:r>
              <w:rPr>
                <w:rFonts w:ascii="Arial" w:cs="Arial" w:eastAsia="Arial" w:hAnsi="Arial"/>
                <w:sz w:val="18"/>
                <w:szCs w:val="18"/>
                <w:b w:val="1"/>
                <w:bCs w:val="1"/>
                <w:color w:val="auto"/>
                <w:w w:val="89"/>
              </w:rPr>
              <w:t>45-3368487</w:t>
            </w:r>
          </w:p>
        </w:tc>
      </w:tr>
      <w:tr>
        <w:trPr>
          <w:trHeight w:val="193"/>
        </w:trPr>
        <w:tc>
          <w:tcPr>
            <w:tcW w:w="2160" w:type="dxa"/>
            <w:vAlign w:val="bottom"/>
          </w:tcPr>
          <w:p>
            <w:pPr>
              <w:jc w:val="center"/>
              <w:ind w:right="442"/>
              <w:spacing w:after="0"/>
              <w:rPr>
                <w:sz w:val="20"/>
                <w:szCs w:val="20"/>
                <w:color w:val="auto"/>
              </w:rPr>
            </w:pPr>
            <w:r>
              <w:rPr>
                <w:rFonts w:ascii="Arial" w:cs="Arial" w:eastAsia="Arial" w:hAnsi="Arial"/>
                <w:sz w:val="14"/>
                <w:szCs w:val="14"/>
                <w:b w:val="1"/>
                <w:bCs w:val="1"/>
                <w:color w:val="auto"/>
                <w:w w:val="93"/>
              </w:rPr>
              <w:t>(State or other jurisdiction</w:t>
            </w:r>
          </w:p>
        </w:tc>
        <w:tc>
          <w:tcPr>
            <w:tcW w:w="4940" w:type="dxa"/>
            <w:vAlign w:val="bottom"/>
          </w:tcPr>
          <w:p>
            <w:pPr>
              <w:jc w:val="center"/>
              <w:ind w:right="40"/>
              <w:spacing w:after="0"/>
              <w:rPr>
                <w:sz w:val="20"/>
                <w:szCs w:val="20"/>
                <w:color w:val="auto"/>
              </w:rPr>
            </w:pPr>
            <w:r>
              <w:rPr>
                <w:rFonts w:ascii="Arial" w:cs="Arial" w:eastAsia="Arial" w:hAnsi="Arial"/>
                <w:sz w:val="14"/>
                <w:szCs w:val="14"/>
                <w:b w:val="1"/>
                <w:bCs w:val="1"/>
                <w:color w:val="auto"/>
                <w:w w:val="92"/>
              </w:rPr>
              <w:t>(Commission</w:t>
            </w:r>
          </w:p>
        </w:tc>
        <w:tc>
          <w:tcPr>
            <w:tcW w:w="1780" w:type="dxa"/>
            <w:vAlign w:val="bottom"/>
          </w:tcPr>
          <w:p>
            <w:pPr>
              <w:jc w:val="center"/>
              <w:ind w:left="562"/>
              <w:spacing w:after="0"/>
              <w:rPr>
                <w:sz w:val="20"/>
                <w:szCs w:val="20"/>
                <w:color w:val="auto"/>
              </w:rPr>
            </w:pPr>
            <w:r>
              <w:rPr>
                <w:rFonts w:ascii="Arial" w:cs="Arial" w:eastAsia="Arial" w:hAnsi="Arial"/>
                <w:sz w:val="14"/>
                <w:szCs w:val="14"/>
                <w:b w:val="1"/>
                <w:bCs w:val="1"/>
                <w:color w:val="auto"/>
                <w:w w:val="98"/>
              </w:rPr>
              <w:t>(IRS Employer</w:t>
            </w:r>
          </w:p>
        </w:tc>
      </w:tr>
      <w:tr>
        <w:trPr>
          <w:trHeight w:val="186"/>
        </w:trPr>
        <w:tc>
          <w:tcPr>
            <w:tcW w:w="2160" w:type="dxa"/>
            <w:vAlign w:val="bottom"/>
          </w:tcPr>
          <w:p>
            <w:pPr>
              <w:jc w:val="center"/>
              <w:ind w:right="422"/>
              <w:spacing w:after="0"/>
              <w:rPr>
                <w:sz w:val="20"/>
                <w:szCs w:val="20"/>
                <w:color w:val="auto"/>
              </w:rPr>
            </w:pPr>
            <w:r>
              <w:rPr>
                <w:rFonts w:ascii="Arial" w:cs="Arial" w:eastAsia="Arial" w:hAnsi="Arial"/>
                <w:sz w:val="14"/>
                <w:szCs w:val="14"/>
                <w:b w:val="1"/>
                <w:bCs w:val="1"/>
                <w:color w:val="auto"/>
                <w:w w:val="94"/>
              </w:rPr>
              <w:t>of incorporation)</w:t>
            </w:r>
          </w:p>
        </w:tc>
        <w:tc>
          <w:tcPr>
            <w:tcW w:w="4940" w:type="dxa"/>
            <w:vAlign w:val="bottom"/>
          </w:tcPr>
          <w:p>
            <w:pPr>
              <w:jc w:val="center"/>
              <w:ind w:right="40"/>
              <w:spacing w:after="0"/>
              <w:rPr>
                <w:sz w:val="20"/>
                <w:szCs w:val="20"/>
                <w:color w:val="auto"/>
              </w:rPr>
            </w:pPr>
            <w:r>
              <w:rPr>
                <w:rFonts w:ascii="Arial" w:cs="Arial" w:eastAsia="Arial" w:hAnsi="Arial"/>
                <w:sz w:val="14"/>
                <w:szCs w:val="14"/>
                <w:b w:val="1"/>
                <w:bCs w:val="1"/>
                <w:color w:val="auto"/>
                <w:w w:val="95"/>
              </w:rPr>
              <w:t>File Number)</w:t>
            </w:r>
          </w:p>
        </w:tc>
        <w:tc>
          <w:tcPr>
            <w:tcW w:w="1780" w:type="dxa"/>
            <w:vAlign w:val="bottom"/>
          </w:tcPr>
          <w:p>
            <w:pPr>
              <w:jc w:val="center"/>
              <w:ind w:left="562"/>
              <w:spacing w:after="0"/>
              <w:rPr>
                <w:sz w:val="20"/>
                <w:szCs w:val="20"/>
                <w:color w:val="auto"/>
              </w:rPr>
            </w:pPr>
            <w:r>
              <w:rPr>
                <w:rFonts w:ascii="Arial" w:cs="Arial" w:eastAsia="Arial" w:hAnsi="Arial"/>
                <w:sz w:val="14"/>
                <w:szCs w:val="14"/>
                <w:b w:val="1"/>
                <w:bCs w:val="1"/>
                <w:color w:val="auto"/>
                <w:w w:val="96"/>
              </w:rPr>
              <w:t>Identification No.)</w:t>
            </w:r>
          </w:p>
        </w:tc>
      </w:tr>
      <w:tr>
        <w:trPr>
          <w:trHeight w:val="358"/>
        </w:trPr>
        <w:tc>
          <w:tcPr>
            <w:tcW w:w="2160" w:type="dxa"/>
            <w:vAlign w:val="bottom"/>
          </w:tcPr>
          <w:p>
            <w:pPr>
              <w:spacing w:after="0"/>
              <w:rPr>
                <w:sz w:val="24"/>
                <w:szCs w:val="24"/>
                <w:color w:val="auto"/>
              </w:rPr>
            </w:pPr>
          </w:p>
        </w:tc>
        <w:tc>
          <w:tcPr>
            <w:tcW w:w="4940" w:type="dxa"/>
            <w:vAlign w:val="bottom"/>
          </w:tcPr>
          <w:p>
            <w:pPr>
              <w:jc w:val="center"/>
              <w:ind w:right="60"/>
              <w:spacing w:after="0"/>
              <w:rPr>
                <w:sz w:val="20"/>
                <w:szCs w:val="20"/>
                <w:color w:val="auto"/>
              </w:rPr>
            </w:pPr>
            <w:r>
              <w:rPr>
                <w:rFonts w:ascii="Arial" w:cs="Arial" w:eastAsia="Arial" w:hAnsi="Arial"/>
                <w:sz w:val="18"/>
                <w:szCs w:val="18"/>
                <w:b w:val="1"/>
                <w:bCs w:val="1"/>
                <w:color w:val="auto"/>
                <w:w w:val="92"/>
              </w:rPr>
              <w:t>18706 North Creek Parkway, Suite 104</w:t>
            </w:r>
          </w:p>
        </w:tc>
        <w:tc>
          <w:tcPr>
            <w:tcW w:w="1780" w:type="dxa"/>
            <w:vAlign w:val="bottom"/>
          </w:tcPr>
          <w:p>
            <w:pPr>
              <w:spacing w:after="0"/>
              <w:rPr>
                <w:sz w:val="24"/>
                <w:szCs w:val="24"/>
                <w:color w:val="auto"/>
              </w:rPr>
            </w:pPr>
          </w:p>
        </w:tc>
      </w:tr>
      <w:tr>
        <w:trPr>
          <w:trHeight w:val="198"/>
        </w:trPr>
        <w:tc>
          <w:tcPr>
            <w:tcW w:w="2160" w:type="dxa"/>
            <w:vAlign w:val="bottom"/>
          </w:tcPr>
          <w:p>
            <w:pPr>
              <w:spacing w:after="0"/>
              <w:rPr>
                <w:sz w:val="17"/>
                <w:szCs w:val="17"/>
                <w:color w:val="auto"/>
              </w:rPr>
            </w:pPr>
          </w:p>
        </w:tc>
        <w:tc>
          <w:tcPr>
            <w:tcW w:w="4940" w:type="dxa"/>
            <w:vAlign w:val="bottom"/>
          </w:tcPr>
          <w:p>
            <w:pPr>
              <w:jc w:val="center"/>
              <w:ind w:right="40"/>
              <w:spacing w:after="0" w:line="198" w:lineRule="exact"/>
              <w:rPr>
                <w:sz w:val="20"/>
                <w:szCs w:val="20"/>
                <w:color w:val="auto"/>
              </w:rPr>
            </w:pPr>
            <w:r>
              <w:rPr>
                <w:rFonts w:ascii="Arial" w:cs="Arial" w:eastAsia="Arial" w:hAnsi="Arial"/>
                <w:sz w:val="18"/>
                <w:szCs w:val="18"/>
                <w:b w:val="1"/>
                <w:bCs w:val="1"/>
                <w:color w:val="auto"/>
                <w:w w:val="90"/>
              </w:rPr>
              <w:t>Bothell, WA 98011</w:t>
            </w:r>
          </w:p>
        </w:tc>
        <w:tc>
          <w:tcPr>
            <w:tcW w:w="1780" w:type="dxa"/>
            <w:vAlign w:val="bottom"/>
          </w:tcPr>
          <w:p>
            <w:pPr>
              <w:spacing w:after="0"/>
              <w:rPr>
                <w:sz w:val="17"/>
                <w:szCs w:val="17"/>
                <w:color w:val="auto"/>
              </w:rPr>
            </w:pPr>
          </w:p>
        </w:tc>
      </w:tr>
      <w:tr>
        <w:trPr>
          <w:trHeight w:val="186"/>
        </w:trPr>
        <w:tc>
          <w:tcPr>
            <w:tcW w:w="2160" w:type="dxa"/>
            <w:vAlign w:val="bottom"/>
          </w:tcPr>
          <w:p>
            <w:pPr>
              <w:spacing w:after="0"/>
              <w:rPr>
                <w:sz w:val="16"/>
                <w:szCs w:val="16"/>
                <w:color w:val="auto"/>
              </w:rPr>
            </w:pPr>
          </w:p>
        </w:tc>
        <w:tc>
          <w:tcPr>
            <w:tcW w:w="4940" w:type="dxa"/>
            <w:vAlign w:val="bottom"/>
          </w:tcPr>
          <w:p>
            <w:pPr>
              <w:jc w:val="center"/>
              <w:ind w:right="60"/>
              <w:spacing w:after="0"/>
              <w:rPr>
                <w:sz w:val="20"/>
                <w:szCs w:val="20"/>
                <w:color w:val="auto"/>
              </w:rPr>
            </w:pPr>
            <w:r>
              <w:rPr>
                <w:rFonts w:ascii="Arial" w:cs="Arial" w:eastAsia="Arial" w:hAnsi="Arial"/>
                <w:sz w:val="14"/>
                <w:szCs w:val="14"/>
                <w:b w:val="1"/>
                <w:bCs w:val="1"/>
                <w:color w:val="auto"/>
                <w:w w:val="90"/>
              </w:rPr>
              <w:t>(Address of principal executive offices, including zip code)</w:t>
            </w:r>
          </w:p>
        </w:tc>
        <w:tc>
          <w:tcPr>
            <w:tcW w:w="1780" w:type="dxa"/>
            <w:vAlign w:val="bottom"/>
          </w:tcPr>
          <w:p>
            <w:pPr>
              <w:spacing w:after="0"/>
              <w:rPr>
                <w:sz w:val="16"/>
                <w:szCs w:val="16"/>
                <w:color w:val="auto"/>
              </w:rPr>
            </w:pPr>
          </w:p>
        </w:tc>
      </w:tr>
      <w:tr>
        <w:trPr>
          <w:trHeight w:val="300"/>
        </w:trPr>
        <w:tc>
          <w:tcPr>
            <w:tcW w:w="2160" w:type="dxa"/>
            <w:vAlign w:val="bottom"/>
          </w:tcPr>
          <w:p>
            <w:pPr>
              <w:spacing w:after="0"/>
              <w:rPr>
                <w:sz w:val="24"/>
                <w:szCs w:val="24"/>
                <w:color w:val="auto"/>
              </w:rPr>
            </w:pPr>
          </w:p>
        </w:tc>
        <w:tc>
          <w:tcPr>
            <w:tcW w:w="4940" w:type="dxa"/>
            <w:vAlign w:val="bottom"/>
          </w:tcPr>
          <w:p>
            <w:pPr>
              <w:jc w:val="center"/>
              <w:ind w:right="60"/>
              <w:spacing w:after="0"/>
              <w:rPr>
                <w:sz w:val="20"/>
                <w:szCs w:val="20"/>
                <w:color w:val="auto"/>
              </w:rPr>
            </w:pPr>
            <w:r>
              <w:rPr>
                <w:rFonts w:ascii="Arial" w:cs="Arial" w:eastAsia="Arial" w:hAnsi="Arial"/>
                <w:sz w:val="18"/>
                <w:szCs w:val="18"/>
                <w:b w:val="1"/>
                <w:bCs w:val="1"/>
                <w:color w:val="auto"/>
                <w:w w:val="90"/>
              </w:rPr>
              <w:t>(425) 620-8501</w:t>
            </w:r>
          </w:p>
        </w:tc>
        <w:tc>
          <w:tcPr>
            <w:tcW w:w="1780" w:type="dxa"/>
            <w:vAlign w:val="bottom"/>
          </w:tcPr>
          <w:p>
            <w:pPr>
              <w:spacing w:after="0"/>
              <w:rPr>
                <w:sz w:val="24"/>
                <w:szCs w:val="24"/>
                <w:color w:val="auto"/>
              </w:rPr>
            </w:pPr>
          </w:p>
        </w:tc>
      </w:tr>
      <w:tr>
        <w:trPr>
          <w:trHeight w:val="186"/>
        </w:trPr>
        <w:tc>
          <w:tcPr>
            <w:tcW w:w="2160" w:type="dxa"/>
            <w:vAlign w:val="bottom"/>
          </w:tcPr>
          <w:p>
            <w:pPr>
              <w:spacing w:after="0"/>
              <w:rPr>
                <w:sz w:val="16"/>
                <w:szCs w:val="16"/>
                <w:color w:val="auto"/>
              </w:rPr>
            </w:pPr>
          </w:p>
        </w:tc>
        <w:tc>
          <w:tcPr>
            <w:tcW w:w="4940" w:type="dxa"/>
            <w:vAlign w:val="bottom"/>
          </w:tcPr>
          <w:p>
            <w:pPr>
              <w:jc w:val="center"/>
              <w:ind w:right="60"/>
              <w:spacing w:after="0"/>
              <w:rPr>
                <w:sz w:val="20"/>
                <w:szCs w:val="20"/>
                <w:color w:val="auto"/>
              </w:rPr>
            </w:pPr>
            <w:r>
              <w:rPr>
                <w:rFonts w:ascii="Arial" w:cs="Arial" w:eastAsia="Arial" w:hAnsi="Arial"/>
                <w:sz w:val="14"/>
                <w:szCs w:val="14"/>
                <w:b w:val="1"/>
                <w:bCs w:val="1"/>
                <w:color w:val="auto"/>
                <w:w w:val="91"/>
              </w:rPr>
              <w:t>(Registrant’s telephone number, including area code)</w:t>
            </w:r>
          </w:p>
        </w:tc>
        <w:tc>
          <w:tcPr>
            <w:tcW w:w="1780" w:type="dxa"/>
            <w:vAlign w:val="bottom"/>
          </w:tcPr>
          <w:p>
            <w:pPr>
              <w:spacing w:after="0"/>
              <w:rPr>
                <w:sz w:val="16"/>
                <w:szCs w:val="16"/>
                <w:color w:val="auto"/>
              </w:rPr>
            </w:pPr>
          </w:p>
        </w:tc>
      </w:tr>
      <w:tr>
        <w:trPr>
          <w:trHeight w:val="243"/>
        </w:trPr>
        <w:tc>
          <w:tcPr>
            <w:tcW w:w="2160" w:type="dxa"/>
            <w:vAlign w:val="bottom"/>
          </w:tcPr>
          <w:p>
            <w:pPr>
              <w:spacing w:after="0"/>
              <w:rPr>
                <w:sz w:val="21"/>
                <w:szCs w:val="21"/>
                <w:color w:val="auto"/>
              </w:rPr>
            </w:pPr>
          </w:p>
        </w:tc>
        <w:tc>
          <w:tcPr>
            <w:tcW w:w="4940" w:type="dxa"/>
            <w:vAlign w:val="bottom"/>
          </w:tcPr>
          <w:p>
            <w:pPr>
              <w:jc w:val="center"/>
              <w:ind w:right="60"/>
              <w:spacing w:after="0"/>
              <w:rPr>
                <w:sz w:val="20"/>
                <w:szCs w:val="20"/>
                <w:color w:val="auto"/>
              </w:rPr>
            </w:pPr>
            <w:r>
              <w:rPr>
                <w:rFonts w:ascii="Arial" w:cs="Arial" w:eastAsia="Arial" w:hAnsi="Arial"/>
                <w:sz w:val="14"/>
                <w:szCs w:val="14"/>
                <w:b w:val="1"/>
                <w:bCs w:val="1"/>
                <w:color w:val="auto"/>
                <w:w w:val="92"/>
              </w:rPr>
              <w:t>(Former name or former address, if changed since last report)</w:t>
            </w:r>
          </w:p>
        </w:tc>
        <w:tc>
          <w:tcPr>
            <w:tcW w:w="1780" w:type="dxa"/>
            <w:vAlign w:val="bottom"/>
          </w:tcPr>
          <w:p>
            <w:pPr>
              <w:spacing w:after="0"/>
              <w:rPr>
                <w:sz w:val="21"/>
                <w:szCs w:val="2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2379345</wp:posOffset>
            </wp:positionH>
            <wp:positionV relativeFrom="paragraph">
              <wp:posOffset>67945</wp:posOffset>
            </wp:positionV>
            <wp:extent cx="238315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383155" cy="8255"/>
                    </a:xfrm>
                    <a:prstGeom prst="rect">
                      <a:avLst/>
                    </a:prstGeom>
                    <a:noFill/>
                  </pic:spPr>
                </pic:pic>
              </a:graphicData>
            </a:graphic>
          </wp:anchor>
        </w:drawing>
      </w:r>
    </w:p>
    <w:p>
      <w:pPr>
        <w:spacing w:after="0" w:line="167" w:lineRule="exact"/>
        <w:rPr>
          <w:sz w:val="24"/>
          <w:szCs w:val="24"/>
          <w:color w:val="auto"/>
        </w:rPr>
      </w:pPr>
    </w:p>
    <w:p>
      <w:pPr>
        <w:ind w:right="520"/>
        <w:spacing w:after="0" w:line="22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81" w:lineRule="exact"/>
        <w:rPr>
          <w:sz w:val="24"/>
          <w:szCs w:val="24"/>
          <w:color w:val="auto"/>
        </w:rPr>
      </w:pPr>
    </w:p>
    <w:p>
      <w:pPr>
        <w:ind w:left="460" w:hanging="398"/>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1" w:lineRule="exact"/>
        <w:rPr>
          <w:rFonts w:ascii="MS PGothic" w:cs="MS PGothic" w:eastAsia="MS PGothic" w:hAnsi="MS PGothic"/>
          <w:sz w:val="18"/>
          <w:szCs w:val="18"/>
          <w:color w:val="auto"/>
        </w:rPr>
      </w:pPr>
    </w:p>
    <w:p>
      <w:pPr>
        <w:ind w:left="460" w:hanging="398"/>
        <w:spacing w:after="0" w:line="234" w:lineRule="auto"/>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ind w:left="460" w:hanging="398"/>
        <w:spacing w:after="0" w:line="234" w:lineRule="auto"/>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ind w:left="460" w:hanging="398"/>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61"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ectPr>
          <w:pgSz w:w="11900" w:h="16838" w:orient="portrait"/>
          <w:cols w:equalWidth="0" w:num="1">
            <w:col w:w="11080"/>
          </w:cols>
          <w:pgMar w:left="320" w:top="563" w:right="499" w:bottom="1440" w:gutter="0" w:footer="0" w:header="0"/>
        </w:sectPr>
      </w:pPr>
    </w:p>
    <w:p>
      <w:pPr>
        <w:spacing w:after="0" w:line="95" w:lineRule="exact"/>
        <w:rPr>
          <w:sz w:val="24"/>
          <w:szCs w:val="24"/>
          <w:color w:val="auto"/>
        </w:rPr>
      </w:pPr>
    </w:p>
    <w:p>
      <w:pPr>
        <w:ind w:left="1440"/>
        <w:spacing w:after="0"/>
        <w:rPr>
          <w:sz w:val="20"/>
          <w:szCs w:val="20"/>
          <w:color w:val="auto"/>
        </w:rPr>
      </w:pPr>
      <w:r>
        <w:rPr>
          <w:rFonts w:ascii="Arial" w:cs="Arial" w:eastAsia="Arial" w:hAnsi="Arial"/>
          <w:sz w:val="12"/>
          <w:szCs w:val="12"/>
          <w:b w:val="1"/>
          <w:bCs w:val="1"/>
          <w:color w:val="auto"/>
        </w:rPr>
        <w:t>Title of each class</w:t>
      </w:r>
    </w:p>
    <w:p>
      <w:pPr>
        <w:spacing w:after="0" w:line="20" w:lineRule="exact"/>
        <w:rPr>
          <w:sz w:val="24"/>
          <w:szCs w:val="24"/>
          <w:color w:val="auto"/>
        </w:rPr>
      </w:pPr>
      <w:r>
        <w:rPr>
          <w:sz w:val="24"/>
          <w:szCs w:val="24"/>
          <w:color w:val="auto"/>
        </w:rPr>
        <w:br w:type="column"/>
      </w:r>
    </w:p>
    <w:p>
      <w:pPr>
        <w:spacing w:after="0" w:line="75" w:lineRule="exact"/>
        <w:rPr>
          <w:sz w:val="24"/>
          <w:szCs w:val="24"/>
          <w:color w:val="auto"/>
        </w:rPr>
      </w:pPr>
    </w:p>
    <w:p>
      <w:pPr>
        <w:spacing w:after="0"/>
        <w:rPr>
          <w:sz w:val="20"/>
          <w:szCs w:val="20"/>
          <w:color w:val="auto"/>
        </w:rPr>
      </w:pPr>
      <w:r>
        <w:rPr>
          <w:rFonts w:ascii="Arial" w:cs="Arial" w:eastAsia="Arial" w:hAnsi="Arial"/>
          <w:sz w:val="12"/>
          <w:szCs w:val="12"/>
          <w:b w:val="1"/>
          <w:bCs w:val="1"/>
          <w:color w:val="auto"/>
        </w:rPr>
        <w:t>Trading Symbol(s)</w:t>
      </w:r>
    </w:p>
    <w:p>
      <w:pPr>
        <w:spacing w:after="0" w:line="20" w:lineRule="exact"/>
        <w:rPr>
          <w:sz w:val="24"/>
          <w:szCs w:val="24"/>
          <w:color w:val="auto"/>
        </w:rPr>
      </w:pPr>
      <w:r>
        <w:rPr>
          <w:sz w:val="24"/>
          <w:szCs w:val="24"/>
          <w:color w:val="auto"/>
        </w:rPr>
        <w:br w:type="column"/>
      </w:r>
    </w:p>
    <w:p>
      <w:pPr>
        <w:spacing w:after="0" w:line="75" w:lineRule="exact"/>
        <w:rPr>
          <w:sz w:val="24"/>
          <w:szCs w:val="24"/>
          <w:color w:val="auto"/>
        </w:rPr>
      </w:pPr>
    </w:p>
    <w:p>
      <w:pPr>
        <w:spacing w:after="0"/>
        <w:rPr>
          <w:sz w:val="20"/>
          <w:szCs w:val="20"/>
          <w:color w:val="auto"/>
        </w:rPr>
      </w:pPr>
      <w:r>
        <w:rPr>
          <w:rFonts w:ascii="Arial" w:cs="Arial" w:eastAsia="Arial" w:hAnsi="Arial"/>
          <w:sz w:val="12"/>
          <w:szCs w:val="12"/>
          <w:b w:val="1"/>
          <w:bCs w:val="1"/>
          <w:color w:val="auto"/>
        </w:rPr>
        <w:t>Name of each exchange on which registered</w:t>
      </w:r>
    </w:p>
    <w:p>
      <w:pPr>
        <w:spacing w:after="0" w:line="29" w:lineRule="exact"/>
        <w:rPr>
          <w:sz w:val="24"/>
          <w:szCs w:val="24"/>
          <w:color w:val="auto"/>
        </w:rPr>
      </w:pPr>
    </w:p>
    <w:p>
      <w:pPr>
        <w:sectPr>
          <w:pgSz w:w="11900" w:h="16838" w:orient="portrait"/>
          <w:cols w:equalWidth="0" w:num="3">
            <w:col w:w="4340" w:space="720"/>
            <w:col w:w="2160" w:space="720"/>
            <w:col w:w="3140"/>
          </w:cols>
          <w:pgMar w:left="320" w:top="563" w:right="499" w:bottom="1440" w:gutter="0" w:footer="0" w:header="0"/>
          <w:type w:val="continuous"/>
        </w:sectPr>
      </w:pPr>
    </w:p>
    <w:p>
      <w:pPr>
        <w:spacing w:after="0" w:line="19" w:lineRule="exact"/>
        <w:rPr>
          <w:sz w:val="24"/>
          <w:szCs w:val="24"/>
          <w:color w:val="auto"/>
        </w:rPr>
      </w:pPr>
    </w:p>
    <w:p>
      <w:pPr>
        <w:ind w:left="540"/>
        <w:spacing w:after="0"/>
        <w:rPr>
          <w:sz w:val="20"/>
          <w:szCs w:val="20"/>
          <w:color w:val="auto"/>
        </w:rPr>
      </w:pPr>
      <w:r>
        <w:rPr>
          <w:rFonts w:ascii="Arial" w:cs="Arial" w:eastAsia="Arial" w:hAnsi="Arial"/>
          <w:sz w:val="14"/>
          <w:szCs w:val="14"/>
          <w:color w:val="auto"/>
        </w:rPr>
        <w:t>Common Stock, $0.0001 par value per share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color w:val="auto"/>
        </w:rPr>
        <w:t>ATHA</w:t>
      </w:r>
    </w:p>
    <w:p>
      <w:pPr>
        <w:spacing w:after="0" w:line="20" w:lineRule="exact"/>
        <w:rPr>
          <w:sz w:val="24"/>
          <w:szCs w:val="24"/>
          <w:color w:val="auto"/>
        </w:rPr>
      </w:pPr>
      <w:r>
        <w:rPr>
          <w:sz w:val="24"/>
          <w:szCs w:val="24"/>
          <w:color w:val="auto"/>
        </w:rPr>
        <w:br w:type="column"/>
      </w:r>
    </w:p>
    <w:p>
      <w:pPr>
        <w:ind w:left="120"/>
        <w:spacing w:after="0"/>
        <w:rPr>
          <w:sz w:val="20"/>
          <w:szCs w:val="20"/>
          <w:color w:val="auto"/>
        </w:rPr>
      </w:pPr>
      <w:r>
        <w:rPr>
          <w:rFonts w:ascii="Arial" w:cs="Arial" w:eastAsia="Arial" w:hAnsi="Arial"/>
          <w:sz w:val="16"/>
          <w:szCs w:val="16"/>
          <w:color w:val="auto"/>
        </w:rPr>
        <w:t>The Nasdaq Stock Market LLC</w:t>
      </w:r>
    </w:p>
    <w:p>
      <w:pPr>
        <w:spacing w:after="0"/>
        <w:rPr>
          <w:sz w:val="20"/>
          <w:szCs w:val="20"/>
          <w:color w:val="auto"/>
        </w:rPr>
      </w:pPr>
      <w:r>
        <w:rPr>
          <w:rFonts w:ascii="Arial" w:cs="Arial" w:eastAsia="Arial" w:hAnsi="Arial"/>
          <w:sz w:val="14"/>
          <w:szCs w:val="14"/>
          <w:color w:val="auto"/>
        </w:rPr>
        <w:t>(The Nasdaq Global Select Market)</w:t>
      </w:r>
    </w:p>
    <w:p>
      <w:pPr>
        <w:spacing w:after="0" w:line="64" w:lineRule="exact"/>
        <w:rPr>
          <w:sz w:val="24"/>
          <w:szCs w:val="24"/>
          <w:color w:val="auto"/>
        </w:rPr>
      </w:pPr>
    </w:p>
    <w:p>
      <w:pPr>
        <w:sectPr>
          <w:pgSz w:w="11900" w:h="16838" w:orient="portrait"/>
          <w:cols w:equalWidth="0" w:num="3">
            <w:col w:w="4700" w:space="720"/>
            <w:col w:w="1980" w:space="720"/>
            <w:col w:w="2960"/>
          </w:cols>
          <w:pgMar w:left="320" w:top="563" w:right="499" w:bottom="1440" w:gutter="0" w:footer="0" w:header="0"/>
          <w:type w:val="continuous"/>
        </w:sectPr>
      </w:pPr>
    </w:p>
    <w:p>
      <w:pPr>
        <w:ind w:right="360"/>
        <w:spacing w:after="0" w:line="22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35" w:lineRule="exact"/>
        <w:rPr>
          <w:sz w:val="24"/>
          <w:szCs w:val="24"/>
          <w:color w:val="auto"/>
        </w:rPr>
      </w:pPr>
    </w:p>
    <w:p>
      <w:pPr>
        <w:ind w:left="60"/>
        <w:spacing w:after="0" w:line="241" w:lineRule="exact"/>
        <w:tabs>
          <w:tab w:leader="none" w:pos="2860" w:val="left"/>
        </w:tabs>
        <w:rPr>
          <w:sz w:val="20"/>
          <w:szCs w:val="20"/>
          <w:color w:val="auto"/>
        </w:rPr>
      </w:pPr>
      <w:r>
        <w:rPr>
          <w:rFonts w:ascii="Arial" w:cs="Arial" w:eastAsia="Arial" w:hAnsi="Arial"/>
          <w:sz w:val="18"/>
          <w:szCs w:val="18"/>
          <w:color w:val="auto"/>
        </w:rPr>
        <w:t>Emerging Growth Company</w:t>
      </w:r>
      <w:r>
        <w:rPr>
          <w:sz w:val="20"/>
          <w:szCs w:val="20"/>
          <w:color w:val="auto"/>
        </w:rPr>
        <w:tab/>
      </w:r>
      <w:r>
        <w:rPr>
          <w:rFonts w:ascii="MS PGothic" w:cs="MS PGothic" w:eastAsia="MS PGothic" w:hAnsi="MS PGothic"/>
          <w:sz w:val="24"/>
          <w:szCs w:val="24"/>
          <w:color w:val="auto"/>
          <w:highlight w:val="black"/>
          <w:vertAlign w:val="superscript"/>
        </w:rPr>
        <w:t>☒</w:t>
      </w:r>
    </w:p>
    <w:p>
      <w:pPr>
        <w:spacing w:after="0" w:line="119" w:lineRule="exact"/>
        <w:rPr>
          <w:sz w:val="24"/>
          <w:szCs w:val="24"/>
          <w:color w:val="auto"/>
        </w:rPr>
      </w:pPr>
    </w:p>
    <w:p>
      <w:pPr>
        <w:spacing w:after="0" w:line="198"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39370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56515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558165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563" w:right="49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148" w:lineRule="exact"/>
        <w:rPr>
          <w:sz w:val="20"/>
          <w:szCs w:val="20"/>
          <w:color w:val="auto"/>
        </w:rPr>
      </w:pPr>
    </w:p>
    <w:p>
      <w:pPr>
        <w:ind w:right="240" w:firstLine="749"/>
        <w:spacing w:after="0" w:line="308" w:lineRule="auto"/>
        <w:rPr>
          <w:sz w:val="20"/>
          <w:szCs w:val="20"/>
          <w:color w:val="auto"/>
        </w:rPr>
      </w:pPr>
      <w:r>
        <w:rPr>
          <w:rFonts w:ascii="Arial" w:cs="Arial" w:eastAsia="Arial" w:hAnsi="Arial"/>
          <w:sz w:val="18"/>
          <w:szCs w:val="18"/>
          <w:color w:val="auto"/>
        </w:rPr>
        <w:t>On March 24, 2022 Athira Pharma, Inc. (the “Company”) issued a press release reporting its financial results for the year ended December 31, 2021. A copy of the press release is furnished herewith as Exhibit 99.1.</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I</w:t>
      </w:r>
      <w:r>
        <w:rPr>
          <w:rFonts w:ascii="Arial" w:cs="Arial" w:eastAsia="Arial" w:hAnsi="Arial"/>
          <w:sz w:val="18"/>
          <w:szCs w:val="18"/>
          <w:b w:val="1"/>
          <w:bCs w:val="1"/>
          <w:color w:val="auto"/>
        </w:rPr>
        <w:t>tem 7.01 Regulation FD Disclosure.</w:t>
      </w:r>
    </w:p>
    <w:p>
      <w:pPr>
        <w:spacing w:after="0" w:line="121" w:lineRule="exact"/>
        <w:rPr>
          <w:sz w:val="20"/>
          <w:szCs w:val="20"/>
          <w:color w:val="auto"/>
        </w:rPr>
      </w:pPr>
    </w:p>
    <w:p>
      <w:pPr>
        <w:ind w:right="40" w:firstLine="749"/>
        <w:spacing w:after="0" w:line="286" w:lineRule="auto"/>
        <w:rPr>
          <w:sz w:val="20"/>
          <w:szCs w:val="20"/>
          <w:color w:val="auto"/>
        </w:rPr>
      </w:pPr>
      <w:r>
        <w:rPr>
          <w:rFonts w:ascii="Arial" w:cs="Arial" w:eastAsia="Arial" w:hAnsi="Arial"/>
          <w:sz w:val="18"/>
          <w:szCs w:val="18"/>
          <w:color w:val="auto"/>
        </w:rPr>
        <w:t>The Company announces material information to the public through a variety of means, including filings with the Securities and Exchange Commission, press releases, public conference calls, the Company’s website (www.athira.com), its investor relations website (investors.athira.com), and its news site (investors.athira.com/news-and-events/press-releases). The Company uses these channels, as well as social media, including its Twitter account (@athirapharma), LinkedIn account (www.linkedin.com/company/athirapharma), and Facebook page (www.facebook.com/athirapharmainc), to communicate with investors and the public about the Company, its product candidates, and other matters. Therefore, the Company encourages investors, the media, and others interested in the Company to review the information it makes public in these locations, as such information could be deemed to be material information.</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 Exhibits.</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102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Exhibit No.</w:t>
            </w:r>
          </w:p>
        </w:tc>
        <w:tc>
          <w:tcPr>
            <w:tcW w:w="12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2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Description</w:t>
            </w:r>
          </w:p>
        </w:tc>
      </w:tr>
      <w:tr>
        <w:trPr>
          <w:trHeight w:val="169"/>
        </w:trPr>
        <w:tc>
          <w:tcPr>
            <w:tcW w:w="1020" w:type="dxa"/>
            <w:vAlign w:val="bottom"/>
          </w:tcPr>
          <w:p>
            <w:pPr>
              <w:ind w:left="60"/>
              <w:spacing w:after="0" w:line="169" w:lineRule="exact"/>
              <w:rPr>
                <w:sz w:val="20"/>
                <w:szCs w:val="20"/>
                <w:color w:val="auto"/>
              </w:rPr>
            </w:pPr>
            <w:r>
              <w:rPr>
                <w:rFonts w:ascii="Arial" w:cs="Arial" w:eastAsia="Arial" w:hAnsi="Arial"/>
                <w:sz w:val="18"/>
                <w:szCs w:val="18"/>
                <w:color w:val="auto"/>
              </w:rPr>
              <w:t>99.1</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20" w:type="dxa"/>
            <w:vAlign w:val="bottom"/>
            <w:gridSpan w:val="2"/>
          </w:tcPr>
          <w:p>
            <w:pPr>
              <w:spacing w:after="0" w:line="169" w:lineRule="exact"/>
              <w:rPr>
                <w:rFonts w:ascii="Arial" w:cs="Arial" w:eastAsia="Arial" w:hAnsi="Arial"/>
                <w:sz w:val="18"/>
                <w:szCs w:val="18"/>
                <w:color w:val="0000FF"/>
              </w:rPr>
            </w:pPr>
            <w:hyperlink w:anchor="page4">
              <w:r>
                <w:rPr>
                  <w:rFonts w:ascii="Arial" w:cs="Arial" w:eastAsia="Arial" w:hAnsi="Arial"/>
                  <w:sz w:val="18"/>
                  <w:szCs w:val="18"/>
                  <w:color w:val="0000FF"/>
                </w:rPr>
                <w:t>Athira Pharma, Inc. press release dated March 24, 2022</w:t>
              </w:r>
            </w:hyperlink>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4000" w:type="dxa"/>
            <w:vAlign w:val="bottom"/>
            <w:tcBorders>
              <w:right w:val="single" w:sz="8" w:color="0000EE"/>
            </w:tcBorders>
            <w:shd w:val="clear" w:color="auto" w:fill="0000FF"/>
          </w:tcPr>
          <w:p>
            <w:pPr>
              <w:spacing w:after="0" w:line="20" w:lineRule="exact"/>
              <w:rPr>
                <w:sz w:val="1"/>
                <w:szCs w:val="1"/>
                <w:color w:val="auto"/>
              </w:rPr>
            </w:pPr>
          </w:p>
        </w:tc>
        <w:tc>
          <w:tcPr>
            <w:tcW w:w="6020" w:type="dxa"/>
            <w:vAlign w:val="bottom"/>
          </w:tcPr>
          <w:p>
            <w:pPr>
              <w:spacing w:after="0" w:line="20" w:lineRule="exact"/>
              <w:rPr>
                <w:sz w:val="1"/>
                <w:szCs w:val="1"/>
                <w:color w:val="auto"/>
              </w:rPr>
            </w:pPr>
          </w:p>
        </w:tc>
      </w:tr>
      <w:tr>
        <w:trPr>
          <w:trHeight w:val="358"/>
        </w:trPr>
        <w:tc>
          <w:tcPr>
            <w:tcW w:w="1020" w:type="dxa"/>
            <w:vAlign w:val="bottom"/>
          </w:tcPr>
          <w:p>
            <w:pPr>
              <w:ind w:left="60"/>
              <w:spacing w:after="0"/>
              <w:rPr>
                <w:sz w:val="20"/>
                <w:szCs w:val="20"/>
                <w:color w:val="auto"/>
              </w:rPr>
            </w:pPr>
            <w:r>
              <w:rPr>
                <w:rFonts w:ascii="Arial" w:cs="Arial" w:eastAsia="Arial" w:hAnsi="Arial"/>
                <w:sz w:val="18"/>
                <w:szCs w:val="18"/>
                <w:color w:val="auto"/>
              </w:rPr>
              <w:t>104</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20" w:type="dxa"/>
            <w:vAlign w:val="bottom"/>
            <w:gridSpan w:val="2"/>
          </w:tcPr>
          <w:p>
            <w:pPr>
              <w:spacing w:after="0"/>
              <w:rPr>
                <w:sz w:val="20"/>
                <w:szCs w:val="20"/>
                <w:color w:val="auto"/>
              </w:rPr>
            </w:pPr>
            <w:r>
              <w:rPr>
                <w:rFonts w:ascii="Arial" w:cs="Arial" w:eastAsia="Arial" w:hAnsi="Arial"/>
                <w:sz w:val="18"/>
                <w:szCs w:val="18"/>
                <w:color w:val="auto"/>
              </w:rPr>
              <w:t>Cover Page Interactive Data File (formatted as Inline XBRL)</w:t>
            </w:r>
          </w:p>
        </w:tc>
      </w:tr>
    </w:tbl>
    <w:p>
      <w:pPr>
        <w:spacing w:after="0" w:line="256" w:lineRule="exact"/>
        <w:rPr>
          <w:sz w:val="20"/>
          <w:szCs w:val="20"/>
          <w:color w:val="auto"/>
        </w:rPr>
      </w:pPr>
    </w:p>
    <w:p>
      <w:pPr>
        <w:ind w:right="400" w:firstLine="749"/>
        <w:spacing w:after="0" w:line="270" w:lineRule="auto"/>
        <w:rPr>
          <w:sz w:val="20"/>
          <w:szCs w:val="20"/>
          <w:color w:val="auto"/>
        </w:rPr>
      </w:pPr>
      <w:r>
        <w:rPr>
          <w:rFonts w:ascii="Arial" w:cs="Arial" w:eastAsia="Arial" w:hAnsi="Arial"/>
          <w:sz w:val="17"/>
          <w:szCs w:val="17"/>
          <w:color w:val="auto"/>
        </w:rPr>
        <w:t>The information furnished in this Current Report under Items 2.02 and 7.01 and the exhibit attached hereto shall not be deemed “filed” for purposes of Section 18 of the Securities Exchange Act of 1934, as amended (the “Exchange Act”), or incorporated by reference in any filing under the Securities Act of 1933, as amended, or the Exchange Act, except as shall be expressly set forth by specific reference in such a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443230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78" w:right="339" w:bottom="1440" w:gutter="0" w:footer="0" w:header="0"/>
        </w:sectPr>
      </w:pPr>
    </w:p>
    <w:bookmarkStart w:id="2" w:name="page3"/>
    <w:bookmarkEnd w:id="2"/>
    <w:p>
      <w:pPr>
        <w:jc w:val="center"/>
        <w:ind w:right="-219"/>
        <w:spacing w:after="0"/>
        <w:rPr>
          <w:sz w:val="20"/>
          <w:szCs w:val="20"/>
          <w:color w:val="auto"/>
        </w:rPr>
      </w:pPr>
      <w:r>
        <w:rPr>
          <w:rFonts w:ascii="Arial" w:cs="Arial" w:eastAsia="Arial" w:hAnsi="Arial"/>
          <w:sz w:val="18"/>
          <w:szCs w:val="18"/>
          <w:b w:val="1"/>
          <w:bCs w:val="1"/>
          <w:color w:val="auto"/>
        </w:rPr>
        <w:t>SIGNATURES</w:t>
      </w:r>
    </w:p>
    <w:p>
      <w:pPr>
        <w:spacing w:after="0" w:line="256" w:lineRule="exact"/>
        <w:rPr>
          <w:sz w:val="20"/>
          <w:szCs w:val="20"/>
          <w:color w:val="auto"/>
        </w:rPr>
      </w:pPr>
    </w:p>
    <w:p>
      <w:pPr>
        <w:ind w:firstLine="749"/>
        <w:spacing w:after="0" w:line="30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80" w:lineRule="exact"/>
        <w:rPr>
          <w:sz w:val="20"/>
          <w:szCs w:val="20"/>
          <w:color w:val="auto"/>
        </w:rPr>
      </w:pPr>
    </w:p>
    <w:p>
      <w:pPr>
        <w:ind w:left="6240"/>
        <w:spacing w:after="0"/>
        <w:rPr>
          <w:sz w:val="20"/>
          <w:szCs w:val="20"/>
          <w:color w:val="auto"/>
        </w:rPr>
      </w:pPr>
      <w:r>
        <w:rPr>
          <w:rFonts w:ascii="Arial" w:cs="Arial" w:eastAsia="Arial" w:hAnsi="Arial"/>
          <w:sz w:val="18"/>
          <w:szCs w:val="18"/>
          <w:b w:val="1"/>
          <w:bCs w:val="1"/>
          <w:color w:val="auto"/>
        </w:rPr>
        <w:t>Athira Pharma, Inc.</w:t>
      </w:r>
    </w:p>
    <w:p>
      <w:pPr>
        <w:spacing w:after="0" w:line="202" w:lineRule="exact"/>
        <w:rPr>
          <w:sz w:val="20"/>
          <w:szCs w:val="20"/>
          <w:color w:val="auto"/>
        </w:rPr>
      </w:pPr>
    </w:p>
    <w:p>
      <w:pPr>
        <w:ind w:left="140"/>
        <w:spacing w:after="0"/>
        <w:tabs>
          <w:tab w:leader="none" w:pos="5680" w:val="left"/>
          <w:tab w:leader="none" w:pos="6220" w:val="left"/>
        </w:tabs>
        <w:rPr>
          <w:sz w:val="20"/>
          <w:szCs w:val="20"/>
          <w:color w:val="auto"/>
        </w:rPr>
      </w:pPr>
      <w:r>
        <w:rPr>
          <w:rFonts w:ascii="Arial" w:cs="Arial" w:eastAsia="Arial" w:hAnsi="Arial"/>
          <w:sz w:val="18"/>
          <w:szCs w:val="18"/>
          <w:color w:val="auto"/>
        </w:rPr>
        <w:t>Date: March 24,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Mark Litton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6350</wp:posOffset>
            </wp:positionV>
            <wp:extent cx="320611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1" w:lineRule="exact"/>
        <w:rPr>
          <w:sz w:val="20"/>
          <w:szCs w:val="20"/>
          <w:color w:val="auto"/>
        </w:rPr>
      </w:pPr>
    </w:p>
    <w:p>
      <w:pPr>
        <w:ind w:left="6240"/>
        <w:spacing w:after="0"/>
        <w:rPr>
          <w:sz w:val="20"/>
          <w:szCs w:val="20"/>
          <w:color w:val="auto"/>
        </w:rPr>
      </w:pPr>
      <w:r>
        <w:rPr>
          <w:rFonts w:ascii="Arial" w:cs="Arial" w:eastAsia="Arial" w:hAnsi="Arial"/>
          <w:sz w:val="18"/>
          <w:szCs w:val="18"/>
          <w:color w:val="auto"/>
        </w:rPr>
        <w:t>Mark Litton</w:t>
      </w:r>
    </w:p>
    <w:p>
      <w:pPr>
        <w:ind w:left="6240"/>
        <w:spacing w:after="0"/>
        <w:rPr>
          <w:sz w:val="20"/>
          <w:szCs w:val="20"/>
          <w:color w:val="auto"/>
        </w:rPr>
      </w:pPr>
      <w:r>
        <w:rPr>
          <w:rFonts w:ascii="Arial" w:cs="Arial" w:eastAsia="Arial" w:hAnsi="Arial"/>
          <w:sz w:val="18"/>
          <w:szCs w:val="18"/>
          <w:color w:val="auto"/>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506095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320" w:top="378" w:right="539" w:bottom="1440" w:gutter="0" w:footer="0" w:header="0"/>
        </w:sectPr>
      </w:pPr>
    </w:p>
    <w:bookmarkStart w:id="3" w:name="page4"/>
    <w:bookmarkEnd w:id="3"/>
    <w:p>
      <w:pPr>
        <w:jc w:val="right"/>
        <w:spacing w:after="0"/>
        <w:rPr>
          <w:sz w:val="20"/>
          <w:szCs w:val="20"/>
          <w:color w:val="auto"/>
        </w:rPr>
      </w:pPr>
      <w:r>
        <w:rPr>
          <w:rFonts w:ascii="Arial" w:cs="Arial" w:eastAsia="Arial" w:hAnsi="Arial"/>
          <w:sz w:val="20"/>
          <w:szCs w:val="20"/>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2807970</wp:posOffset>
            </wp:positionH>
            <wp:positionV relativeFrom="paragraph">
              <wp:posOffset>5080</wp:posOffset>
            </wp:positionV>
            <wp:extent cx="1491615" cy="7372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491615" cy="7372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Athira Pharma Reports Full Year 2021 Financial Results and Provides Clinical Update</w:t>
      </w:r>
    </w:p>
    <w:p>
      <w:pPr>
        <w:spacing w:after="0" w:line="241" w:lineRule="exact"/>
        <w:rPr>
          <w:sz w:val="20"/>
          <w:szCs w:val="20"/>
          <w:color w:val="auto"/>
        </w:rPr>
      </w:pPr>
    </w:p>
    <w:p>
      <w:pPr>
        <w:jc w:val="center"/>
        <w:spacing w:after="0"/>
        <w:rPr>
          <w:sz w:val="20"/>
          <w:szCs w:val="20"/>
          <w:color w:val="auto"/>
        </w:rPr>
      </w:pPr>
      <w:r>
        <w:rPr>
          <w:rFonts w:ascii="Arial" w:cs="Arial" w:eastAsia="Arial" w:hAnsi="Arial"/>
          <w:sz w:val="22"/>
          <w:szCs w:val="22"/>
          <w:i w:val="1"/>
          <w:iCs w:val="1"/>
          <w:color w:val="auto"/>
        </w:rPr>
        <w:t>On track to report topline data from ACT-AD Phase 2 Alzheimer’s disease study in 2Q22</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i w:val="1"/>
          <w:iCs w:val="1"/>
          <w:color w:val="auto"/>
        </w:rPr>
        <w:t>Expect to complete enrollment in LIFT-AD Phase 3 Alzheimer’s disease study in 3Q22</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i w:val="1"/>
          <w:iCs w:val="1"/>
          <w:color w:val="auto"/>
        </w:rPr>
        <w:t>Conference call today at 4:30 pm Eastern time</w:t>
      </w:r>
    </w:p>
    <w:p>
      <w:pPr>
        <w:spacing w:after="0" w:line="259" w:lineRule="exact"/>
        <w:rPr>
          <w:sz w:val="20"/>
          <w:szCs w:val="20"/>
          <w:color w:val="auto"/>
        </w:rPr>
      </w:pPr>
    </w:p>
    <w:p>
      <w:pPr>
        <w:jc w:val="both"/>
        <w:ind w:right="120"/>
        <w:spacing w:after="0" w:line="281" w:lineRule="auto"/>
        <w:rPr>
          <w:sz w:val="20"/>
          <w:szCs w:val="20"/>
          <w:color w:val="auto"/>
        </w:rPr>
      </w:pPr>
      <w:r>
        <w:rPr>
          <w:rFonts w:ascii="Arial" w:cs="Arial" w:eastAsia="Arial" w:hAnsi="Arial"/>
          <w:sz w:val="20"/>
          <w:szCs w:val="20"/>
          <w:b w:val="1"/>
          <w:bCs w:val="1"/>
          <w:color w:val="auto"/>
        </w:rPr>
        <w:t xml:space="preserve">BOTHELL, WA, March 24, 2022 </w:t>
      </w:r>
      <w:r>
        <w:rPr>
          <w:rFonts w:ascii="Arial" w:cs="Arial" w:eastAsia="Arial" w:hAnsi="Arial"/>
          <w:sz w:val="20"/>
          <w:szCs w:val="20"/>
          <w:color w:val="auto"/>
        </w:rPr>
        <w:t>— Athira Pharma, Inc. (NASDAQ: ATHA), a late clinical-stage biopharmaceutical company focused on</w:t>
      </w:r>
      <w:r>
        <w:rPr>
          <w:rFonts w:ascii="Arial" w:cs="Arial" w:eastAsia="Arial" w:hAnsi="Arial"/>
          <w:sz w:val="20"/>
          <w:szCs w:val="20"/>
          <w:b w:val="1"/>
          <w:bCs w:val="1"/>
          <w:color w:val="auto"/>
        </w:rPr>
        <w:t xml:space="preserve"> </w:t>
      </w:r>
      <w:r>
        <w:rPr>
          <w:rFonts w:ascii="Arial" w:cs="Arial" w:eastAsia="Arial" w:hAnsi="Arial"/>
          <w:sz w:val="20"/>
          <w:szCs w:val="20"/>
          <w:color w:val="auto"/>
        </w:rPr>
        <w:t>developing small molecules to restore neuronal health and slow neurodegeneration, today announced the company’s financial results for the year ended December 31, 2021 and provided a clinical update.</w:t>
      </w:r>
    </w:p>
    <w:p>
      <w:pPr>
        <w:spacing w:after="0" w:line="224" w:lineRule="exact"/>
        <w:rPr>
          <w:sz w:val="20"/>
          <w:szCs w:val="20"/>
          <w:color w:val="auto"/>
        </w:rPr>
      </w:pPr>
    </w:p>
    <w:p>
      <w:pPr>
        <w:spacing w:after="0" w:line="271" w:lineRule="auto"/>
        <w:rPr>
          <w:sz w:val="20"/>
          <w:szCs w:val="20"/>
          <w:color w:val="auto"/>
        </w:rPr>
      </w:pPr>
      <w:r>
        <w:rPr>
          <w:rFonts w:ascii="Arial" w:cs="Arial" w:eastAsia="Arial" w:hAnsi="Arial"/>
          <w:sz w:val="20"/>
          <w:szCs w:val="20"/>
          <w:color w:val="auto"/>
        </w:rPr>
        <w:t>“We entered 2022 with strong momentum from the solid foundation established throughout 2021 and have made considerable progress across a number of areas key to our success,” stated Mark Litton, Ph.D., President &amp; Chief Executive Officer of Athira Pharma. “To date, the new year has been highlighted by the publication of our Phase 1 study results with fosgonimeton and presentation of preclinical data that support our novel, innovative approach to restoring neuronal health and slowing neurodegeneration across our lead program with fosgonimeton and our first oral candidate, ATH-1020. This growing body of scientific and clinical evidence is compelling and gives us further confidence in our robust clinical development programs.”</w:t>
      </w:r>
    </w:p>
    <w:p>
      <w:pPr>
        <w:spacing w:after="0" w:line="237" w:lineRule="exact"/>
        <w:rPr>
          <w:sz w:val="20"/>
          <w:szCs w:val="20"/>
          <w:color w:val="auto"/>
        </w:rPr>
      </w:pPr>
    </w:p>
    <w:p>
      <w:pPr>
        <w:ind w:right="320"/>
        <w:spacing w:after="0" w:line="299" w:lineRule="auto"/>
        <w:rPr>
          <w:sz w:val="20"/>
          <w:szCs w:val="20"/>
          <w:color w:val="auto"/>
        </w:rPr>
      </w:pPr>
      <w:r>
        <w:rPr>
          <w:rFonts w:ascii="Arial" w:cs="Arial" w:eastAsia="Arial" w:hAnsi="Arial"/>
          <w:sz w:val="19"/>
          <w:szCs w:val="19"/>
          <w:color w:val="auto"/>
        </w:rPr>
        <w:t>“Importantly, we remain on track to report the topline data from our Phase 2 ACT-AD study in Alzheimer’s disease in the coming months and look forward to other value-creating milestone opportunities that we believe will bring hope to patients living with progressive neurological and neuropsychiatric diseases and enhance shareholder value for our company,” continued Dr. Litton.</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Recent Highlights:</w:t>
      </w:r>
    </w:p>
    <w:p>
      <w:pPr>
        <w:spacing w:after="0" w:line="17" w:lineRule="exact"/>
        <w:rPr>
          <w:sz w:val="20"/>
          <w:szCs w:val="20"/>
          <w:color w:val="auto"/>
        </w:rPr>
      </w:pPr>
    </w:p>
    <w:p>
      <w:pPr>
        <w:ind w:left="760" w:right="100" w:hanging="378"/>
        <w:spacing w:after="0" w:line="225" w:lineRule="auto"/>
        <w:tabs>
          <w:tab w:leader="none" w:pos="760" w:val="left"/>
        </w:tabs>
        <w:numPr>
          <w:ilvl w:val="0"/>
          <w:numId w:val="2"/>
        </w:numPr>
        <w:rPr>
          <w:rFonts w:ascii="Arial" w:cs="Arial" w:eastAsia="Arial" w:hAnsi="Arial"/>
          <w:sz w:val="18"/>
          <w:szCs w:val="18"/>
          <w:color w:val="auto"/>
        </w:rPr>
      </w:pPr>
      <w:r>
        <w:rPr>
          <w:rFonts w:ascii="Arial" w:cs="Arial" w:eastAsia="Arial" w:hAnsi="Arial"/>
          <w:sz w:val="20"/>
          <w:szCs w:val="20"/>
          <w:color w:val="auto"/>
        </w:rPr>
        <w:t>Presented baseline Event Related Potential (ERP) P300 latency data from the ACT-AD study at the AD/PD™ conference that showed the study patient population enrolled in the Phase 2 trial are representative of the mild-to-moderate Alzheimer’s population and is appropriate to evaluate the effectiveness of fosgonimeton on ERP P300 latency, a functional, objective measure of working memory processing speed;</w:t>
      </w:r>
    </w:p>
    <w:p>
      <w:pPr>
        <w:spacing w:after="0" w:line="1" w:lineRule="exact"/>
        <w:rPr>
          <w:rFonts w:ascii="Arial" w:cs="Arial" w:eastAsia="Arial" w:hAnsi="Arial"/>
          <w:sz w:val="18"/>
          <w:szCs w:val="18"/>
          <w:color w:val="auto"/>
        </w:rPr>
      </w:pPr>
    </w:p>
    <w:p>
      <w:pPr>
        <w:ind w:left="760" w:right="140" w:hanging="378"/>
        <w:spacing w:after="0" w:line="231" w:lineRule="auto"/>
        <w:tabs>
          <w:tab w:leader="none" w:pos="760" w:val="left"/>
        </w:tabs>
        <w:numPr>
          <w:ilvl w:val="0"/>
          <w:numId w:val="2"/>
        </w:numPr>
        <w:rPr>
          <w:rFonts w:ascii="Arial" w:cs="Arial" w:eastAsia="Arial" w:hAnsi="Arial"/>
          <w:sz w:val="18"/>
          <w:szCs w:val="18"/>
          <w:color w:val="auto"/>
        </w:rPr>
      </w:pPr>
      <w:r>
        <w:rPr>
          <w:rFonts w:ascii="Arial" w:cs="Arial" w:eastAsia="Arial" w:hAnsi="Arial"/>
          <w:sz w:val="20"/>
          <w:szCs w:val="20"/>
          <w:color w:val="auto"/>
        </w:rPr>
        <w:t>Highlighted preclinical data that demonstrate the mechanism of action of the active metabolite of fosgonimeton is through positive modulation of HGF/MET and results in neurotrophic and procognitive effects in an oral presentation at the American Society for Experimental Neurotherapeutics (ASENT)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183515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 w:name="page5"/>
    <w:bookmarkEnd w:id="4"/>
    <w:p>
      <w:pPr>
        <w:ind w:left="760" w:right="600" w:hanging="378"/>
        <w:spacing w:after="0" w:line="230" w:lineRule="auto"/>
        <w:tabs>
          <w:tab w:leader="none" w:pos="760" w:val="left"/>
        </w:tabs>
        <w:numPr>
          <w:ilvl w:val="0"/>
          <w:numId w:val="3"/>
        </w:numPr>
        <w:rPr>
          <w:rFonts w:ascii="Arial" w:cs="Arial" w:eastAsia="Arial" w:hAnsi="Arial"/>
          <w:sz w:val="18"/>
          <w:szCs w:val="18"/>
          <w:color w:val="auto"/>
        </w:rPr>
      </w:pPr>
      <w:r>
        <w:rPr>
          <w:rFonts w:ascii="Arial" w:cs="Arial" w:eastAsia="Arial" w:hAnsi="Arial"/>
          <w:sz w:val="20"/>
          <w:szCs w:val="20"/>
          <w:color w:val="auto"/>
        </w:rPr>
        <w:t>Presented preclinical data at ASENT showing that ATH-1020, a novel orally available brain-penetrant small molecule, demonstrated neuroprotective effects, mitigated depression-like behaviors and normalized an electroencephalography (EEG) hallmark of schizophrenia in animal models;</w:t>
      </w:r>
    </w:p>
    <w:p>
      <w:pPr>
        <w:spacing w:after="0" w:line="2" w:lineRule="exact"/>
        <w:rPr>
          <w:rFonts w:ascii="Arial" w:cs="Arial" w:eastAsia="Arial" w:hAnsi="Arial"/>
          <w:sz w:val="18"/>
          <w:szCs w:val="18"/>
          <w:color w:val="auto"/>
        </w:rPr>
      </w:pPr>
    </w:p>
    <w:p>
      <w:pPr>
        <w:jc w:val="both"/>
        <w:ind w:left="760" w:right="220" w:hanging="378"/>
        <w:spacing w:after="0" w:line="237" w:lineRule="auto"/>
        <w:tabs>
          <w:tab w:leader="none" w:pos="760" w:val="left"/>
        </w:tabs>
        <w:numPr>
          <w:ilvl w:val="0"/>
          <w:numId w:val="3"/>
        </w:numPr>
        <w:rPr>
          <w:rFonts w:ascii="Arial" w:cs="Arial" w:eastAsia="Arial" w:hAnsi="Arial"/>
          <w:sz w:val="17"/>
          <w:szCs w:val="17"/>
          <w:color w:val="auto"/>
        </w:rPr>
      </w:pPr>
      <w:r>
        <w:rPr>
          <w:rFonts w:ascii="Arial" w:cs="Arial" w:eastAsia="Arial" w:hAnsi="Arial"/>
          <w:sz w:val="19"/>
          <w:szCs w:val="19"/>
          <w:color w:val="auto"/>
        </w:rPr>
        <w:t>Published results from a Phase 1 clinical trial of fosgonimeton in healthy volunteers and subjects with Alzheimer’s disease in the peer-reviewed Journal of Alzheimer's Disease showing that fosgonimeton demonstrated a statistically significant improvement of ERP P300 latency as compared with placebo in Alzheimer’s disease patients;</w:t>
      </w:r>
    </w:p>
    <w:p>
      <w:pPr>
        <w:ind w:left="760" w:right="640" w:hanging="378"/>
        <w:spacing w:after="0" w:line="225" w:lineRule="auto"/>
        <w:tabs>
          <w:tab w:leader="none" w:pos="760" w:val="left"/>
        </w:tabs>
        <w:numPr>
          <w:ilvl w:val="0"/>
          <w:numId w:val="3"/>
        </w:numPr>
        <w:rPr>
          <w:rFonts w:ascii="Arial" w:cs="Arial" w:eastAsia="Arial" w:hAnsi="Arial"/>
          <w:sz w:val="18"/>
          <w:szCs w:val="18"/>
          <w:color w:val="auto"/>
        </w:rPr>
      </w:pPr>
      <w:r>
        <w:rPr>
          <w:rFonts w:ascii="Arial" w:cs="Arial" w:eastAsia="Arial" w:hAnsi="Arial"/>
          <w:sz w:val="20"/>
          <w:szCs w:val="20"/>
          <w:color w:val="auto"/>
        </w:rPr>
        <w:t>Announced fosgonimeton as World Health Organization’s recommended international nonproprietary name for lead product candidate, ATH-1017;</w:t>
      </w:r>
    </w:p>
    <w:p>
      <w:pPr>
        <w:ind w:left="760" w:right="180" w:hanging="378"/>
        <w:spacing w:after="0" w:line="225" w:lineRule="auto"/>
        <w:tabs>
          <w:tab w:leader="none" w:pos="760" w:val="left"/>
        </w:tabs>
        <w:numPr>
          <w:ilvl w:val="0"/>
          <w:numId w:val="3"/>
        </w:numPr>
        <w:rPr>
          <w:rFonts w:ascii="Arial" w:cs="Arial" w:eastAsia="Arial" w:hAnsi="Arial"/>
          <w:sz w:val="18"/>
          <w:szCs w:val="18"/>
          <w:color w:val="auto"/>
        </w:rPr>
      </w:pPr>
      <w:r>
        <w:rPr>
          <w:rFonts w:ascii="Arial" w:cs="Arial" w:eastAsia="Arial" w:hAnsi="Arial"/>
          <w:sz w:val="20"/>
          <w:szCs w:val="20"/>
          <w:color w:val="auto"/>
        </w:rPr>
        <w:t>Dosed the first patient in the SHAPE Phase 2 clinical trial of fosgonimeton in mild-to-moderate Parkinson’s disease dementia and Dementia with Lewy bodies; and</w:t>
      </w:r>
    </w:p>
    <w:p>
      <w:pPr>
        <w:ind w:left="760" w:hanging="378"/>
        <w:spacing w:after="0"/>
        <w:tabs>
          <w:tab w:leader="none" w:pos="760" w:val="left"/>
        </w:tabs>
        <w:numPr>
          <w:ilvl w:val="0"/>
          <w:numId w:val="3"/>
        </w:numPr>
        <w:rPr>
          <w:rFonts w:ascii="Arial" w:cs="Arial" w:eastAsia="Arial" w:hAnsi="Arial"/>
          <w:sz w:val="18"/>
          <w:szCs w:val="18"/>
          <w:color w:val="auto"/>
        </w:rPr>
      </w:pPr>
      <w:r>
        <w:rPr>
          <w:rFonts w:ascii="Arial" w:cs="Arial" w:eastAsia="Arial" w:hAnsi="Arial"/>
          <w:sz w:val="20"/>
          <w:szCs w:val="20"/>
          <w:color w:val="auto"/>
        </w:rPr>
        <w:t>Appointed life science industry leaders, Grant Pickering and Dr. Michael Panzara, to the Board of Directors.</w:t>
      </w: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Clinical Pipeline Update:</w:t>
      </w:r>
    </w:p>
    <w:p>
      <w:pPr>
        <w:spacing w:after="0" w:line="211" w:lineRule="exact"/>
        <w:rPr>
          <w:sz w:val="20"/>
          <w:szCs w:val="20"/>
          <w:color w:val="auto"/>
        </w:rPr>
      </w:pPr>
    </w:p>
    <w:p>
      <w:pPr>
        <w:ind w:right="320"/>
        <w:spacing w:after="0" w:line="252" w:lineRule="auto"/>
        <w:rPr>
          <w:sz w:val="20"/>
          <w:szCs w:val="20"/>
          <w:color w:val="auto"/>
        </w:rPr>
      </w:pPr>
      <w:r>
        <w:rPr>
          <w:rFonts w:ascii="Arial" w:cs="Arial" w:eastAsia="Arial" w:hAnsi="Arial"/>
          <w:sz w:val="20"/>
          <w:szCs w:val="20"/>
          <w:b w:val="1"/>
          <w:bCs w:val="1"/>
          <w:color w:val="auto"/>
        </w:rPr>
        <w:t xml:space="preserve">Fosgonimeton (ATH-1017) </w:t>
      </w:r>
      <w:r>
        <w:rPr>
          <w:rFonts w:ascii="Arial" w:cs="Arial" w:eastAsia="Arial" w:hAnsi="Arial"/>
          <w:sz w:val="20"/>
          <w:szCs w:val="20"/>
          <w:color w:val="auto"/>
        </w:rPr>
        <w:t>is a small molecule specifically designed to enhance the activity of Hepatocyte Growth Factor (HGF) and its</w:t>
      </w:r>
      <w:r>
        <w:rPr>
          <w:rFonts w:ascii="Arial" w:cs="Arial" w:eastAsia="Arial" w:hAnsi="Arial"/>
          <w:sz w:val="20"/>
          <w:szCs w:val="20"/>
          <w:b w:val="1"/>
          <w:bCs w:val="1"/>
          <w:color w:val="auto"/>
        </w:rPr>
        <w:t xml:space="preserve"> </w:t>
      </w:r>
      <w:r>
        <w:rPr>
          <w:rFonts w:ascii="Arial" w:cs="Arial" w:eastAsia="Arial" w:hAnsi="Arial"/>
          <w:sz w:val="20"/>
          <w:szCs w:val="20"/>
          <w:color w:val="auto"/>
        </w:rPr>
        <w:t>receptor, MET.</w:t>
      </w:r>
    </w:p>
    <w:p>
      <w:pPr>
        <w:spacing w:after="0" w:line="19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ACT-AD Phase 2 Study in mild-to-moderate Alzheimer’s disease (NCT04491006)</w:t>
      </w:r>
    </w:p>
    <w:p>
      <w:pPr>
        <w:spacing w:after="0" w:line="2" w:lineRule="exact"/>
        <w:rPr>
          <w:sz w:val="20"/>
          <w:szCs w:val="20"/>
          <w:color w:val="auto"/>
        </w:rPr>
      </w:pPr>
    </w:p>
    <w:p>
      <w:pPr>
        <w:ind w:left="760" w:right="80" w:hanging="378"/>
        <w:spacing w:after="0" w:line="250" w:lineRule="auto"/>
        <w:tabs>
          <w:tab w:leader="none" w:pos="760" w:val="left"/>
        </w:tabs>
        <w:numPr>
          <w:ilvl w:val="0"/>
          <w:numId w:val="4"/>
        </w:numPr>
        <w:rPr>
          <w:rFonts w:ascii="Arial" w:cs="Arial" w:eastAsia="Arial" w:hAnsi="Arial"/>
          <w:sz w:val="16"/>
          <w:szCs w:val="16"/>
          <w:color w:val="auto"/>
        </w:rPr>
      </w:pPr>
      <w:r>
        <w:rPr>
          <w:rFonts w:ascii="Arial" w:cs="Arial" w:eastAsia="Arial" w:hAnsi="Arial"/>
          <w:sz w:val="18"/>
          <w:szCs w:val="18"/>
          <w:color w:val="auto"/>
        </w:rPr>
        <w:t>Enrollment in ACT-AD completed in October 2021 with 77 participants with mild-to-moderate Alzheimer’s disease across 14 sites in the United States and Australia. The primary endpoint for ACT-AD is change in ERP P300 Latency, a functional, objective measure of working memory processing speed, and includes secondary endpoints measuring cognition, function, and behavior.</w:t>
      </w:r>
    </w:p>
    <w:p>
      <w:pPr>
        <w:spacing w:after="0" w:line="1" w:lineRule="exact"/>
        <w:rPr>
          <w:rFonts w:ascii="Arial" w:cs="Arial" w:eastAsia="Arial" w:hAnsi="Arial"/>
          <w:sz w:val="16"/>
          <w:szCs w:val="16"/>
          <w:color w:val="auto"/>
        </w:rPr>
      </w:pPr>
    </w:p>
    <w:p>
      <w:pPr>
        <w:ind w:left="760" w:hanging="378"/>
        <w:spacing w:after="0" w:line="225" w:lineRule="auto"/>
        <w:tabs>
          <w:tab w:leader="none" w:pos="760" w:val="left"/>
        </w:tabs>
        <w:numPr>
          <w:ilvl w:val="0"/>
          <w:numId w:val="4"/>
        </w:numPr>
        <w:rPr>
          <w:rFonts w:ascii="Arial" w:cs="Arial" w:eastAsia="Arial" w:hAnsi="Arial"/>
          <w:sz w:val="18"/>
          <w:szCs w:val="18"/>
          <w:color w:val="auto"/>
        </w:rPr>
      </w:pPr>
      <w:r>
        <w:rPr>
          <w:rFonts w:ascii="Arial" w:cs="Arial" w:eastAsia="Arial" w:hAnsi="Arial"/>
          <w:sz w:val="20"/>
          <w:szCs w:val="20"/>
          <w:color w:val="auto"/>
        </w:rPr>
        <w:t>Athira remains on track to report top-line data in the second quarter of 2022.</w:t>
      </w:r>
    </w:p>
    <w:p>
      <w:pPr>
        <w:ind w:left="760" w:hanging="378"/>
        <w:spacing w:after="0" w:line="231" w:lineRule="auto"/>
        <w:tabs>
          <w:tab w:leader="none" w:pos="760" w:val="left"/>
        </w:tabs>
        <w:numPr>
          <w:ilvl w:val="0"/>
          <w:numId w:val="4"/>
        </w:numPr>
        <w:rPr>
          <w:rFonts w:ascii="Arial" w:cs="Arial" w:eastAsia="Arial" w:hAnsi="Arial"/>
          <w:sz w:val="18"/>
          <w:szCs w:val="18"/>
          <w:color w:val="auto"/>
        </w:rPr>
      </w:pPr>
      <w:r>
        <w:rPr>
          <w:rFonts w:ascii="Arial" w:cs="Arial" w:eastAsia="Arial" w:hAnsi="Arial"/>
          <w:sz w:val="20"/>
          <w:szCs w:val="20"/>
          <w:color w:val="auto"/>
        </w:rPr>
        <w:t>ACT-AD trial is supported by a grant from the National Institute on Aging of the National Institutes of Health under Award Number R01AG06268. The information presented in this press release is solely the responsibility of Athira and does not necessarily represent the official views of the National Institutes of Health.</w:t>
      </w:r>
    </w:p>
    <w:p>
      <w:pPr>
        <w:spacing w:after="0" w:line="21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LIFT-AD Phase 3 Study in mild-to-moderate Alzheimer’s Disease (NCT04488419)</w:t>
      </w:r>
    </w:p>
    <w:p>
      <w:pPr>
        <w:ind w:left="760" w:hanging="378"/>
        <w:spacing w:after="0" w:line="227" w:lineRule="auto"/>
        <w:tabs>
          <w:tab w:leader="none" w:pos="760" w:val="left"/>
        </w:tabs>
        <w:numPr>
          <w:ilvl w:val="0"/>
          <w:numId w:val="5"/>
        </w:numPr>
        <w:rPr>
          <w:rFonts w:ascii="Arial" w:cs="Arial" w:eastAsia="Arial" w:hAnsi="Arial"/>
          <w:sz w:val="18"/>
          <w:szCs w:val="18"/>
          <w:color w:val="auto"/>
        </w:rPr>
      </w:pPr>
      <w:r>
        <w:rPr>
          <w:rFonts w:ascii="Arial" w:cs="Arial" w:eastAsia="Arial" w:hAnsi="Arial"/>
          <w:sz w:val="20"/>
          <w:szCs w:val="20"/>
          <w:color w:val="auto"/>
        </w:rPr>
        <w:t>Recruitment in the LIFT-AD trial is ongoing.</w:t>
      </w:r>
    </w:p>
    <w:p>
      <w:pPr>
        <w:ind w:left="760" w:right="680" w:hanging="378"/>
        <w:spacing w:after="0" w:line="225" w:lineRule="auto"/>
        <w:tabs>
          <w:tab w:leader="none" w:pos="760" w:val="left"/>
        </w:tabs>
        <w:numPr>
          <w:ilvl w:val="0"/>
          <w:numId w:val="5"/>
        </w:numPr>
        <w:rPr>
          <w:rFonts w:ascii="Arial" w:cs="Arial" w:eastAsia="Arial" w:hAnsi="Arial"/>
          <w:sz w:val="18"/>
          <w:szCs w:val="18"/>
          <w:color w:val="auto"/>
        </w:rPr>
      </w:pPr>
      <w:r>
        <w:rPr>
          <w:rFonts w:ascii="Arial" w:cs="Arial" w:eastAsia="Arial" w:hAnsi="Arial"/>
          <w:sz w:val="20"/>
          <w:szCs w:val="20"/>
          <w:color w:val="auto"/>
        </w:rPr>
        <w:t>Athira increased the study sample size from 300 to approximately 420, in order to strengthen the statistical power of co-key secondary endpoints, including ADAS-Cog11.</w:t>
      </w:r>
    </w:p>
    <w:p>
      <w:pPr>
        <w:ind w:left="760" w:right="40" w:hanging="378"/>
        <w:spacing w:after="0" w:line="234" w:lineRule="auto"/>
        <w:tabs>
          <w:tab w:leader="none" w:pos="760" w:val="left"/>
        </w:tabs>
        <w:numPr>
          <w:ilvl w:val="0"/>
          <w:numId w:val="5"/>
        </w:numPr>
        <w:rPr>
          <w:rFonts w:ascii="Arial" w:cs="Arial" w:eastAsia="Arial" w:hAnsi="Arial"/>
          <w:sz w:val="18"/>
          <w:szCs w:val="18"/>
          <w:color w:val="auto"/>
        </w:rPr>
      </w:pPr>
      <w:r>
        <w:rPr>
          <w:rFonts w:ascii="Arial" w:cs="Arial" w:eastAsia="Arial" w:hAnsi="Arial"/>
          <w:sz w:val="20"/>
          <w:szCs w:val="20"/>
          <w:color w:val="auto"/>
        </w:rPr>
        <w:t>The company expects to complete enrollment of this potentially pivotal study in the third quarter of 2022 and to report top-line data in the first half of 2023.</w:t>
      </w:r>
    </w:p>
    <w:p>
      <w:pPr>
        <w:spacing w:after="0" w:line="21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 xml:space="preserve">Open Label Extension Study </w:t>
      </w:r>
      <w:r>
        <w:rPr>
          <w:rFonts w:ascii="Arial" w:cs="Arial" w:eastAsia="Arial" w:hAnsi="Arial"/>
          <w:sz w:val="20"/>
          <w:szCs w:val="20"/>
          <w:b w:val="1"/>
          <w:bCs w:val="1"/>
          <w:i w:val="1"/>
          <w:iCs w:val="1"/>
          <w:u w:val="single" w:color="auto"/>
          <w:color w:val="auto"/>
        </w:rPr>
        <w:t>(</w:t>
      </w:r>
      <w:r>
        <w:rPr>
          <w:rFonts w:ascii="Arial" w:cs="Arial" w:eastAsia="Arial" w:hAnsi="Arial"/>
          <w:sz w:val="20"/>
          <w:szCs w:val="20"/>
          <w:b w:val="1"/>
          <w:bCs w:val="1"/>
          <w:i w:val="1"/>
          <w:iCs w:val="1"/>
          <w:color w:val="auto"/>
        </w:rPr>
        <w:t>NCT04886063)</w:t>
      </w:r>
    </w:p>
    <w:p>
      <w:pPr>
        <w:spacing w:after="0" w:line="2" w:lineRule="exact"/>
        <w:rPr>
          <w:sz w:val="20"/>
          <w:szCs w:val="20"/>
          <w:color w:val="auto"/>
        </w:rPr>
      </w:pPr>
    </w:p>
    <w:p>
      <w:pPr>
        <w:ind w:left="760" w:right="20" w:hanging="378"/>
        <w:spacing w:after="0" w:line="225" w:lineRule="auto"/>
        <w:tabs>
          <w:tab w:leader="none" w:pos="760" w:val="left"/>
        </w:tabs>
        <w:numPr>
          <w:ilvl w:val="0"/>
          <w:numId w:val="6"/>
        </w:numPr>
        <w:rPr>
          <w:rFonts w:ascii="Arial" w:cs="Arial" w:eastAsia="Arial" w:hAnsi="Arial"/>
          <w:sz w:val="18"/>
          <w:szCs w:val="18"/>
          <w:color w:val="auto"/>
        </w:rPr>
      </w:pPr>
      <w:r>
        <w:rPr>
          <w:rFonts w:ascii="Arial" w:cs="Arial" w:eastAsia="Arial" w:hAnsi="Arial"/>
          <w:sz w:val="20"/>
          <w:szCs w:val="20"/>
          <w:color w:val="auto"/>
        </w:rPr>
        <w:t>Following completion of the 26-week treatment period during the LIFT-AD or ACT-AD trials, patients may elect to continue on the open label extension and receive treatment with fosgonimeton at the high dose (70 mg/day) for up to an additional 26 weeks. Investigators and patients remain blinded to treatment group assignment in the original trials.</w:t>
      </w:r>
    </w:p>
    <w:p>
      <w:pPr>
        <w:spacing w:after="0" w:line="1" w:lineRule="exact"/>
        <w:rPr>
          <w:rFonts w:ascii="Arial" w:cs="Arial" w:eastAsia="Arial" w:hAnsi="Arial"/>
          <w:sz w:val="18"/>
          <w:szCs w:val="18"/>
          <w:color w:val="auto"/>
        </w:rPr>
      </w:pPr>
    </w:p>
    <w:p>
      <w:pPr>
        <w:ind w:left="760" w:right="60" w:hanging="378"/>
        <w:spacing w:after="0" w:line="234" w:lineRule="auto"/>
        <w:tabs>
          <w:tab w:leader="none" w:pos="760" w:val="left"/>
        </w:tabs>
        <w:numPr>
          <w:ilvl w:val="0"/>
          <w:numId w:val="6"/>
        </w:numPr>
        <w:rPr>
          <w:rFonts w:ascii="Arial" w:cs="Arial" w:eastAsia="Arial" w:hAnsi="Arial"/>
          <w:sz w:val="18"/>
          <w:szCs w:val="18"/>
          <w:color w:val="auto"/>
        </w:rPr>
      </w:pPr>
      <w:r>
        <w:rPr>
          <w:rFonts w:ascii="Arial" w:cs="Arial" w:eastAsia="Arial" w:hAnsi="Arial"/>
          <w:sz w:val="20"/>
          <w:szCs w:val="20"/>
          <w:color w:val="auto"/>
        </w:rPr>
        <w:t>The majority of eligible patients who have completed the LIFT-AD and ACT-AD studies have opted to participate in the open label extension study.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182880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25" w:right="359" w:bottom="1440" w:gutter="0" w:footer="0" w:header="0"/>
        </w:sectPr>
      </w:pPr>
    </w:p>
    <w:bookmarkStart w:id="5" w:name="page6"/>
    <w:bookmarkEnd w:id="5"/>
    <w:p>
      <w:pPr>
        <w:spacing w:after="0"/>
        <w:rPr>
          <w:sz w:val="20"/>
          <w:szCs w:val="20"/>
          <w:color w:val="auto"/>
        </w:rPr>
      </w:pPr>
      <w:r>
        <w:rPr>
          <w:rFonts w:ascii="Arial" w:cs="Arial" w:eastAsia="Arial" w:hAnsi="Arial"/>
          <w:sz w:val="19"/>
          <w:szCs w:val="19"/>
          <w:b w:val="1"/>
          <w:bCs w:val="1"/>
          <w:i w:val="1"/>
          <w:iCs w:val="1"/>
          <w:color w:val="auto"/>
        </w:rPr>
        <w:t>SHAPE Phase 2 Study in mild-to-moderate Parkinson’s disease dementia and Dementia with Lewy bodies (NCT04831281)</w:t>
      </w:r>
    </w:p>
    <w:p>
      <w:pPr>
        <w:spacing w:after="0" w:line="14" w:lineRule="exact"/>
        <w:rPr>
          <w:sz w:val="20"/>
          <w:szCs w:val="20"/>
          <w:color w:val="auto"/>
        </w:rPr>
      </w:pPr>
    </w:p>
    <w:p>
      <w:pPr>
        <w:ind w:left="760" w:right="40" w:hanging="378"/>
        <w:spacing w:after="0" w:line="225" w:lineRule="auto"/>
        <w:tabs>
          <w:tab w:leader="none" w:pos="760" w:val="left"/>
        </w:tabs>
        <w:numPr>
          <w:ilvl w:val="0"/>
          <w:numId w:val="7"/>
        </w:numPr>
        <w:rPr>
          <w:rFonts w:ascii="Arial" w:cs="Arial" w:eastAsia="Arial" w:hAnsi="Arial"/>
          <w:sz w:val="18"/>
          <w:szCs w:val="18"/>
          <w:color w:val="auto"/>
        </w:rPr>
      </w:pPr>
      <w:r>
        <w:rPr>
          <w:rFonts w:ascii="Arial" w:cs="Arial" w:eastAsia="Arial" w:hAnsi="Arial"/>
          <w:sz w:val="20"/>
          <w:szCs w:val="20"/>
          <w:color w:val="auto"/>
        </w:rPr>
        <w:t>Athira dosed the first patient in the SHAPE trial in January 2022. SHAPE is a randomized, double-blind, placebo-controlled, parallel-group Phase 2 proof-of-concept study of fosgonimeton in approximately 75 participants with mild-to-moderate Parkinson’s disease dementia or Dementia with Lewy bodies.</w:t>
      </w:r>
    </w:p>
    <w:p>
      <w:pPr>
        <w:spacing w:after="0" w:line="1" w:lineRule="exact"/>
        <w:rPr>
          <w:rFonts w:ascii="Arial" w:cs="Arial" w:eastAsia="Arial" w:hAnsi="Arial"/>
          <w:sz w:val="18"/>
          <w:szCs w:val="18"/>
          <w:color w:val="auto"/>
        </w:rPr>
      </w:pPr>
    </w:p>
    <w:p>
      <w:pPr>
        <w:ind w:left="760" w:hanging="378"/>
        <w:spacing w:after="0"/>
        <w:tabs>
          <w:tab w:leader="none" w:pos="760" w:val="left"/>
        </w:tabs>
        <w:numPr>
          <w:ilvl w:val="0"/>
          <w:numId w:val="7"/>
        </w:numPr>
        <w:rPr>
          <w:rFonts w:ascii="Arial" w:cs="Arial" w:eastAsia="Arial" w:hAnsi="Arial"/>
          <w:sz w:val="18"/>
          <w:szCs w:val="18"/>
          <w:color w:val="auto"/>
        </w:rPr>
      </w:pPr>
      <w:r>
        <w:rPr>
          <w:rFonts w:ascii="Arial" w:cs="Arial" w:eastAsia="Arial" w:hAnsi="Arial"/>
          <w:sz w:val="20"/>
          <w:szCs w:val="20"/>
          <w:color w:val="auto"/>
        </w:rPr>
        <w:t>The company forecasts completion of enrollment of the SHAPE study in the first half of 2023.</w:t>
      </w:r>
    </w:p>
    <w:p>
      <w:pPr>
        <w:spacing w:after="0" w:line="207" w:lineRule="exact"/>
        <w:rPr>
          <w:sz w:val="20"/>
          <w:szCs w:val="20"/>
          <w:color w:val="auto"/>
        </w:rPr>
      </w:pPr>
    </w:p>
    <w:p>
      <w:pPr>
        <w:ind w:right="460"/>
        <w:spacing w:after="0" w:line="252" w:lineRule="auto"/>
        <w:rPr>
          <w:sz w:val="20"/>
          <w:szCs w:val="20"/>
          <w:color w:val="auto"/>
        </w:rPr>
      </w:pPr>
      <w:r>
        <w:rPr>
          <w:rFonts w:ascii="Arial" w:cs="Arial" w:eastAsia="Arial" w:hAnsi="Arial"/>
          <w:sz w:val="20"/>
          <w:szCs w:val="20"/>
          <w:b w:val="1"/>
          <w:bCs w:val="1"/>
          <w:color w:val="auto"/>
        </w:rPr>
        <w:t xml:space="preserve">ATH-1020 </w:t>
      </w:r>
      <w:r>
        <w:rPr>
          <w:rFonts w:ascii="Arial" w:cs="Arial" w:eastAsia="Arial" w:hAnsi="Arial"/>
          <w:sz w:val="20"/>
          <w:szCs w:val="20"/>
          <w:color w:val="auto"/>
        </w:rPr>
        <w:t>is an orally available, brain-penetrant small molecule designed to enhance the HGF/MET system that is being advanced as a</w:t>
      </w:r>
      <w:r>
        <w:rPr>
          <w:rFonts w:ascii="Arial" w:cs="Arial" w:eastAsia="Arial" w:hAnsi="Arial"/>
          <w:sz w:val="20"/>
          <w:szCs w:val="20"/>
          <w:b w:val="1"/>
          <w:bCs w:val="1"/>
          <w:color w:val="auto"/>
        </w:rPr>
        <w:t xml:space="preserve"> </w:t>
      </w:r>
      <w:r>
        <w:rPr>
          <w:rFonts w:ascii="Arial" w:cs="Arial" w:eastAsia="Arial" w:hAnsi="Arial"/>
          <w:sz w:val="20"/>
          <w:szCs w:val="20"/>
          <w:color w:val="auto"/>
        </w:rPr>
        <w:t>potential treatment candidate for neuropsychiatric indications.</w:t>
      </w:r>
    </w:p>
    <w:p>
      <w:pPr>
        <w:spacing w:after="0" w:line="19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Phase 1 Study in Healthy Volunteers (NCT05169671)</w:t>
      </w:r>
    </w:p>
    <w:p>
      <w:pPr>
        <w:spacing w:after="0" w:line="2" w:lineRule="exact"/>
        <w:rPr>
          <w:sz w:val="20"/>
          <w:szCs w:val="20"/>
          <w:color w:val="auto"/>
        </w:rPr>
      </w:pPr>
    </w:p>
    <w:p>
      <w:pPr>
        <w:jc w:val="both"/>
        <w:ind w:left="760" w:right="80" w:hanging="378"/>
        <w:spacing w:after="0" w:line="225" w:lineRule="auto"/>
        <w:tabs>
          <w:tab w:leader="none" w:pos="760" w:val="left"/>
        </w:tabs>
        <w:numPr>
          <w:ilvl w:val="0"/>
          <w:numId w:val="8"/>
        </w:numPr>
        <w:rPr>
          <w:rFonts w:ascii="Arial" w:cs="Arial" w:eastAsia="Arial" w:hAnsi="Arial"/>
          <w:sz w:val="18"/>
          <w:szCs w:val="18"/>
          <w:color w:val="auto"/>
        </w:rPr>
      </w:pPr>
      <w:r>
        <w:rPr>
          <w:rFonts w:ascii="Arial" w:cs="Arial" w:eastAsia="Arial" w:hAnsi="Arial"/>
          <w:sz w:val="20"/>
          <w:szCs w:val="20"/>
          <w:color w:val="auto"/>
        </w:rPr>
        <w:t>Athira submitted an Investigational New Drug application for ATH-1020 in the fourth quarter of 2021 and received FDA clearance in January. The Phase 1 study will evaluate the safety, tolerability, and pharmacokinetics of ATH-1020 in approximately 68 healthy young and elderly volunteers.</w:t>
      </w:r>
    </w:p>
    <w:p>
      <w:pPr>
        <w:spacing w:after="0" w:line="1" w:lineRule="exact"/>
        <w:rPr>
          <w:rFonts w:ascii="Arial" w:cs="Arial" w:eastAsia="Arial" w:hAnsi="Arial"/>
          <w:sz w:val="18"/>
          <w:szCs w:val="18"/>
          <w:color w:val="auto"/>
        </w:rPr>
      </w:pPr>
    </w:p>
    <w:p>
      <w:pPr>
        <w:ind w:left="760" w:hanging="378"/>
        <w:spacing w:after="0"/>
        <w:tabs>
          <w:tab w:leader="none" w:pos="760" w:val="left"/>
        </w:tabs>
        <w:numPr>
          <w:ilvl w:val="0"/>
          <w:numId w:val="8"/>
        </w:numPr>
        <w:rPr>
          <w:rFonts w:ascii="Arial" w:cs="Arial" w:eastAsia="Arial" w:hAnsi="Arial"/>
          <w:sz w:val="18"/>
          <w:szCs w:val="18"/>
          <w:color w:val="auto"/>
        </w:rPr>
      </w:pPr>
      <w:r>
        <w:rPr>
          <w:rFonts w:ascii="Arial" w:cs="Arial" w:eastAsia="Arial" w:hAnsi="Arial"/>
          <w:sz w:val="20"/>
          <w:szCs w:val="20"/>
          <w:color w:val="auto"/>
        </w:rPr>
        <w:t>The company initiated the Phase 1 clinical trial for ATH-1020 in the first quarter of 2022.</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Other Highlights</w:t>
      </w:r>
    </w:p>
    <w:p>
      <w:pPr>
        <w:spacing w:after="0" w:line="244" w:lineRule="exact"/>
        <w:rPr>
          <w:sz w:val="20"/>
          <w:szCs w:val="20"/>
          <w:color w:val="auto"/>
        </w:rPr>
      </w:pPr>
    </w:p>
    <w:p>
      <w:pPr>
        <w:spacing w:after="0"/>
        <w:rPr>
          <w:sz w:val="20"/>
          <w:szCs w:val="20"/>
          <w:color w:val="auto"/>
        </w:rPr>
      </w:pPr>
      <w:r>
        <w:rPr>
          <w:rFonts w:ascii="Arial" w:cs="Arial" w:eastAsia="Arial" w:hAnsi="Arial"/>
          <w:sz w:val="20"/>
          <w:szCs w:val="20"/>
          <w:color w:val="auto"/>
        </w:rPr>
        <w:t>Expanded the senior management team with new hires and promotions, including the:</w:t>
      </w:r>
    </w:p>
    <w:p>
      <w:pPr>
        <w:spacing w:after="0" w:line="2" w:lineRule="exact"/>
        <w:rPr>
          <w:sz w:val="20"/>
          <w:szCs w:val="20"/>
          <w:color w:val="auto"/>
        </w:rPr>
      </w:pPr>
    </w:p>
    <w:p>
      <w:pPr>
        <w:ind w:left="760" w:right="400" w:hanging="378"/>
        <w:spacing w:after="0" w:line="225" w:lineRule="auto"/>
        <w:tabs>
          <w:tab w:leader="none" w:pos="760" w:val="left"/>
        </w:tabs>
        <w:numPr>
          <w:ilvl w:val="0"/>
          <w:numId w:val="9"/>
        </w:numPr>
        <w:rPr>
          <w:rFonts w:ascii="Arial" w:cs="Arial" w:eastAsia="Arial" w:hAnsi="Arial"/>
          <w:sz w:val="18"/>
          <w:szCs w:val="18"/>
          <w:color w:val="auto"/>
        </w:rPr>
      </w:pPr>
      <w:r>
        <w:rPr>
          <w:rFonts w:ascii="Arial" w:cs="Arial" w:eastAsia="Arial" w:hAnsi="Arial"/>
          <w:sz w:val="20"/>
          <w:szCs w:val="20"/>
          <w:color w:val="auto"/>
        </w:rPr>
        <w:t>Promotion of Josh Pan, Ph.D. to Vice President Corporate Development. Dr. Pan has been with Athira since 2015 and has been instrumental in supporting and leading several activities including private and public financings, business development, communications and new product planning.</w:t>
      </w:r>
    </w:p>
    <w:p>
      <w:pPr>
        <w:spacing w:after="0" w:line="1" w:lineRule="exact"/>
        <w:rPr>
          <w:rFonts w:ascii="Arial" w:cs="Arial" w:eastAsia="Arial" w:hAnsi="Arial"/>
          <w:sz w:val="18"/>
          <w:szCs w:val="18"/>
          <w:color w:val="auto"/>
        </w:rPr>
      </w:pPr>
    </w:p>
    <w:p>
      <w:pPr>
        <w:ind w:left="760" w:right="40" w:hanging="378"/>
        <w:spacing w:after="0" w:line="225" w:lineRule="auto"/>
        <w:tabs>
          <w:tab w:leader="none" w:pos="760" w:val="left"/>
        </w:tabs>
        <w:numPr>
          <w:ilvl w:val="0"/>
          <w:numId w:val="9"/>
        </w:numPr>
        <w:rPr>
          <w:rFonts w:ascii="Arial" w:cs="Arial" w:eastAsia="Arial" w:hAnsi="Arial"/>
          <w:sz w:val="18"/>
          <w:szCs w:val="18"/>
          <w:color w:val="auto"/>
        </w:rPr>
      </w:pPr>
      <w:r>
        <w:rPr>
          <w:rFonts w:ascii="Arial" w:cs="Arial" w:eastAsia="Arial" w:hAnsi="Arial"/>
          <w:sz w:val="20"/>
          <w:szCs w:val="20"/>
          <w:color w:val="auto"/>
        </w:rPr>
        <w:t>Promotion of Robert Renninger to Vice President Finance &amp; Accounting. Mr. Renninger has been with Athira since 2020. He has led the development of our finance department to support Athira’s growth and brings a wealth of knowledge having worked as both a public auditor and finance professional throughout his career.</w:t>
      </w:r>
    </w:p>
    <w:p>
      <w:pPr>
        <w:spacing w:after="0" w:line="1" w:lineRule="exact"/>
        <w:rPr>
          <w:rFonts w:ascii="Arial" w:cs="Arial" w:eastAsia="Arial" w:hAnsi="Arial"/>
          <w:sz w:val="18"/>
          <w:szCs w:val="18"/>
          <w:color w:val="auto"/>
        </w:rPr>
      </w:pPr>
    </w:p>
    <w:p>
      <w:pPr>
        <w:ind w:left="760" w:right="320" w:hanging="378"/>
        <w:spacing w:after="0" w:line="225" w:lineRule="auto"/>
        <w:tabs>
          <w:tab w:leader="none" w:pos="760" w:val="left"/>
        </w:tabs>
        <w:numPr>
          <w:ilvl w:val="0"/>
          <w:numId w:val="9"/>
        </w:numPr>
        <w:rPr>
          <w:rFonts w:ascii="Arial" w:cs="Arial" w:eastAsia="Arial" w:hAnsi="Arial"/>
          <w:sz w:val="18"/>
          <w:szCs w:val="18"/>
          <w:color w:val="auto"/>
        </w:rPr>
      </w:pPr>
      <w:r>
        <w:rPr>
          <w:rFonts w:ascii="Arial" w:cs="Arial" w:eastAsia="Arial" w:hAnsi="Arial"/>
          <w:sz w:val="20"/>
          <w:szCs w:val="20"/>
          <w:color w:val="auto"/>
        </w:rPr>
        <w:t>Addition of Simon Daggett as Vice President Clinical Operations. Mr. Daggett brings more than 30 years drug development experience, including 19 years at Allergan. He has considerable global expertise leading all aspects of clinical studies from pre-IND through Phase 3 to approval.</w:t>
      </w:r>
    </w:p>
    <w:p>
      <w:pPr>
        <w:spacing w:after="0" w:line="1" w:lineRule="exact"/>
        <w:rPr>
          <w:rFonts w:ascii="Arial" w:cs="Arial" w:eastAsia="Arial" w:hAnsi="Arial"/>
          <w:sz w:val="18"/>
          <w:szCs w:val="18"/>
          <w:color w:val="auto"/>
        </w:rPr>
      </w:pPr>
    </w:p>
    <w:p>
      <w:pPr>
        <w:ind w:left="760" w:hanging="378"/>
        <w:spacing w:after="0" w:line="231" w:lineRule="auto"/>
        <w:tabs>
          <w:tab w:leader="none" w:pos="760" w:val="left"/>
        </w:tabs>
        <w:numPr>
          <w:ilvl w:val="0"/>
          <w:numId w:val="9"/>
        </w:numPr>
        <w:rPr>
          <w:rFonts w:ascii="Arial" w:cs="Arial" w:eastAsia="Arial" w:hAnsi="Arial"/>
          <w:sz w:val="18"/>
          <w:szCs w:val="18"/>
          <w:color w:val="auto"/>
        </w:rPr>
      </w:pPr>
      <w:r>
        <w:rPr>
          <w:rFonts w:ascii="Arial" w:cs="Arial" w:eastAsia="Arial" w:hAnsi="Arial"/>
          <w:sz w:val="20"/>
          <w:szCs w:val="20"/>
          <w:color w:val="auto"/>
        </w:rPr>
        <w:t>Addition of Lana Gloukhova, M.D, as Vice President Drug Safety and Pharmacovigilance. Dr. Gloukhova has a proven track record leading global safety and clinical teams at multinational pharmaceutical companies including CSL Behring, AbbVie, Merck and Schering-Plough.</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Financial Results</w:t>
      </w:r>
    </w:p>
    <w:p>
      <w:pPr>
        <w:spacing w:after="0" w:line="27" w:lineRule="exact"/>
        <w:rPr>
          <w:sz w:val="20"/>
          <w:szCs w:val="20"/>
          <w:color w:val="auto"/>
        </w:rPr>
      </w:pPr>
    </w:p>
    <w:p>
      <w:pPr>
        <w:ind w:left="760" w:right="40" w:hanging="378"/>
        <w:spacing w:after="0" w:line="232" w:lineRule="auto"/>
        <w:tabs>
          <w:tab w:leader="none" w:pos="760" w:val="left"/>
        </w:tabs>
        <w:numPr>
          <w:ilvl w:val="0"/>
          <w:numId w:val="10"/>
        </w:numPr>
        <w:rPr>
          <w:rFonts w:ascii="Arial" w:cs="Arial" w:eastAsia="Arial" w:hAnsi="Arial"/>
          <w:sz w:val="18"/>
          <w:szCs w:val="18"/>
          <w:color w:val="auto"/>
        </w:rPr>
      </w:pPr>
      <w:r>
        <w:rPr>
          <w:rFonts w:ascii="Arial" w:cs="Arial" w:eastAsia="Arial" w:hAnsi="Arial"/>
          <w:sz w:val="20"/>
          <w:szCs w:val="20"/>
          <w:b w:val="1"/>
          <w:bCs w:val="1"/>
          <w:color w:val="auto"/>
        </w:rPr>
        <w:t>Cash Position</w:t>
      </w:r>
      <w:r>
        <w:rPr>
          <w:rFonts w:ascii="Arial" w:cs="Arial" w:eastAsia="Arial" w:hAnsi="Arial"/>
          <w:sz w:val="20"/>
          <w:szCs w:val="20"/>
          <w:color w:val="auto"/>
        </w:rPr>
        <w:t>. Cash, cash equivalents and investments were $319.7 million as of December 31, 2021, compared with $268.2</w:t>
      </w:r>
      <w:r>
        <w:rPr>
          <w:rFonts w:ascii="Arial" w:cs="Arial" w:eastAsia="Arial" w:hAnsi="Arial"/>
          <w:sz w:val="20"/>
          <w:szCs w:val="20"/>
          <w:b w:val="1"/>
          <w:bCs w:val="1"/>
          <w:color w:val="auto"/>
        </w:rPr>
        <w:t xml:space="preserve"> </w:t>
      </w:r>
      <w:r>
        <w:rPr>
          <w:rFonts w:ascii="Arial" w:cs="Arial" w:eastAsia="Arial" w:hAnsi="Arial"/>
          <w:sz w:val="20"/>
          <w:szCs w:val="20"/>
          <w:color w:val="auto"/>
        </w:rPr>
        <w:t>million as of December 31, 2020. Cash used in operations was $43.1 million for the year ended December 31, 2021, compared with $24.1 million for the year ended December 31, 2020.</w:t>
      </w:r>
    </w:p>
    <w:p>
      <w:pPr>
        <w:spacing w:after="0" w:line="177" w:lineRule="exact"/>
        <w:rPr>
          <w:rFonts w:ascii="Arial" w:cs="Arial" w:eastAsia="Arial" w:hAnsi="Arial"/>
          <w:sz w:val="18"/>
          <w:szCs w:val="18"/>
          <w:color w:val="auto"/>
        </w:rPr>
      </w:pPr>
    </w:p>
    <w:p>
      <w:pPr>
        <w:ind w:left="760" w:hanging="378"/>
        <w:spacing w:after="0" w:line="258" w:lineRule="auto"/>
        <w:tabs>
          <w:tab w:leader="none" w:pos="760" w:val="left"/>
        </w:tabs>
        <w:numPr>
          <w:ilvl w:val="0"/>
          <w:numId w:val="10"/>
        </w:numPr>
        <w:rPr>
          <w:rFonts w:ascii="Arial" w:cs="Arial" w:eastAsia="Arial" w:hAnsi="Arial"/>
          <w:sz w:val="17"/>
          <w:szCs w:val="17"/>
          <w:color w:val="auto"/>
        </w:rPr>
      </w:pPr>
      <w:r>
        <w:rPr>
          <w:rFonts w:ascii="Arial" w:cs="Arial" w:eastAsia="Arial" w:hAnsi="Arial"/>
          <w:sz w:val="19"/>
          <w:szCs w:val="19"/>
          <w:b w:val="1"/>
          <w:bCs w:val="1"/>
          <w:color w:val="auto"/>
        </w:rPr>
        <w:t>Research and Development (R&amp;D) Expenses</w:t>
      </w:r>
      <w:r>
        <w:rPr>
          <w:rFonts w:ascii="Arial" w:cs="Arial" w:eastAsia="Arial" w:hAnsi="Arial"/>
          <w:sz w:val="19"/>
          <w:szCs w:val="19"/>
          <w:color w:val="auto"/>
        </w:rPr>
        <w:t>. R&amp;D expenses were $42.8 million for the year ended December 31, 2021,</w:t>
      </w:r>
      <w:r>
        <w:rPr>
          <w:rFonts w:ascii="Arial" w:cs="Arial" w:eastAsia="Arial" w:hAnsi="Arial"/>
          <w:sz w:val="19"/>
          <w:szCs w:val="19"/>
          <w:b w:val="1"/>
          <w:bCs w:val="1"/>
          <w:color w:val="auto"/>
        </w:rPr>
        <w:t xml:space="preserve"> </w:t>
      </w:r>
      <w:r>
        <w:rPr>
          <w:rFonts w:ascii="Arial" w:cs="Arial" w:eastAsia="Arial" w:hAnsi="Arial"/>
          <w:sz w:val="19"/>
          <w:szCs w:val="19"/>
          <w:color w:val="auto"/>
        </w:rPr>
        <w:t>compared with $13.3 million for the year ended December 31, 2020. The increase was driven primarily by costs related to increased clinical trial activities, expanded personnel, and increased preclinical research and development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308610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68" w:right="359" w:bottom="1440" w:gutter="0" w:footer="0" w:header="0"/>
        </w:sectPr>
      </w:pPr>
    </w:p>
    <w:bookmarkStart w:id="6" w:name="page7"/>
    <w:bookmarkEnd w:id="6"/>
    <w:p>
      <w:pPr>
        <w:ind w:left="760" w:right="40" w:hanging="378"/>
        <w:spacing w:after="0" w:line="235" w:lineRule="auto"/>
        <w:tabs>
          <w:tab w:leader="none" w:pos="760" w:val="left"/>
        </w:tabs>
        <w:numPr>
          <w:ilvl w:val="0"/>
          <w:numId w:val="11"/>
        </w:numPr>
        <w:rPr>
          <w:rFonts w:ascii="Arial" w:cs="Arial" w:eastAsia="Arial" w:hAnsi="Arial"/>
          <w:sz w:val="18"/>
          <w:szCs w:val="18"/>
          <w:color w:val="auto"/>
        </w:rPr>
      </w:pPr>
      <w:r>
        <w:rPr>
          <w:rFonts w:ascii="Arial" w:cs="Arial" w:eastAsia="Arial" w:hAnsi="Arial"/>
          <w:sz w:val="20"/>
          <w:szCs w:val="20"/>
          <w:b w:val="1"/>
          <w:bCs w:val="1"/>
          <w:color w:val="auto"/>
        </w:rPr>
        <w:t xml:space="preserve">General and Administrative (G&amp;A) Expenses. </w:t>
      </w:r>
      <w:r>
        <w:rPr>
          <w:rFonts w:ascii="Arial" w:cs="Arial" w:eastAsia="Arial" w:hAnsi="Arial"/>
          <w:sz w:val="20"/>
          <w:szCs w:val="20"/>
          <w:color w:val="auto"/>
        </w:rPr>
        <w:t>G&amp;A expenses were $21.2 million for the year ended December 31, 2021,</w:t>
      </w:r>
      <w:r>
        <w:rPr>
          <w:rFonts w:ascii="Arial" w:cs="Arial" w:eastAsia="Arial" w:hAnsi="Arial"/>
          <w:sz w:val="20"/>
          <w:szCs w:val="20"/>
          <w:b w:val="1"/>
          <w:bCs w:val="1"/>
          <w:color w:val="auto"/>
        </w:rPr>
        <w:t xml:space="preserve"> </w:t>
      </w:r>
      <w:r>
        <w:rPr>
          <w:rFonts w:ascii="Arial" w:cs="Arial" w:eastAsia="Arial" w:hAnsi="Arial"/>
          <w:sz w:val="20"/>
          <w:szCs w:val="20"/>
          <w:color w:val="auto"/>
        </w:rPr>
        <w:t>compared with $6.7 million for the year ended December 31, 2020, primarily due to increased personnel expense as the Company’s headcount expanded to support its continued growth. In addition, increases to G&amp;A expenses in 2021 were the result of increases related to insurance, legal, facilities, and investor relations costs.</w:t>
      </w:r>
    </w:p>
    <w:p>
      <w:pPr>
        <w:spacing w:after="0" w:line="179" w:lineRule="exact"/>
        <w:rPr>
          <w:rFonts w:ascii="Arial" w:cs="Arial" w:eastAsia="Arial" w:hAnsi="Arial"/>
          <w:sz w:val="18"/>
          <w:szCs w:val="18"/>
          <w:color w:val="auto"/>
        </w:rPr>
      </w:pPr>
    </w:p>
    <w:p>
      <w:pPr>
        <w:ind w:left="760" w:right="80" w:hanging="378"/>
        <w:spacing w:after="0" w:line="252" w:lineRule="auto"/>
        <w:tabs>
          <w:tab w:leader="none" w:pos="760" w:val="left"/>
        </w:tabs>
        <w:numPr>
          <w:ilvl w:val="0"/>
          <w:numId w:val="11"/>
        </w:numPr>
        <w:rPr>
          <w:rFonts w:ascii="Arial" w:cs="Arial" w:eastAsia="Arial" w:hAnsi="Arial"/>
          <w:sz w:val="18"/>
          <w:szCs w:val="18"/>
          <w:color w:val="auto"/>
        </w:rPr>
      </w:pPr>
      <w:r>
        <w:rPr>
          <w:rFonts w:ascii="Arial" w:cs="Arial" w:eastAsia="Arial" w:hAnsi="Arial"/>
          <w:sz w:val="20"/>
          <w:szCs w:val="20"/>
          <w:b w:val="1"/>
          <w:bCs w:val="1"/>
          <w:color w:val="auto"/>
        </w:rPr>
        <w:t>Net Loss</w:t>
      </w:r>
      <w:r>
        <w:rPr>
          <w:rFonts w:ascii="Arial" w:cs="Arial" w:eastAsia="Arial" w:hAnsi="Arial"/>
          <w:sz w:val="20"/>
          <w:szCs w:val="20"/>
          <w:color w:val="auto"/>
        </w:rPr>
        <w:t>. Net loss was $54.9 million, or $1.49 per share, for the year ended December 31, 2021, compared with a net loss of $19.9</w:t>
      </w:r>
      <w:r>
        <w:rPr>
          <w:rFonts w:ascii="Arial" w:cs="Arial" w:eastAsia="Arial" w:hAnsi="Arial"/>
          <w:sz w:val="20"/>
          <w:szCs w:val="20"/>
          <w:b w:val="1"/>
          <w:bCs w:val="1"/>
          <w:color w:val="auto"/>
        </w:rPr>
        <w:t xml:space="preserve"> </w:t>
      </w:r>
      <w:r>
        <w:rPr>
          <w:rFonts w:ascii="Arial" w:cs="Arial" w:eastAsia="Arial" w:hAnsi="Arial"/>
          <w:sz w:val="20"/>
          <w:szCs w:val="20"/>
          <w:color w:val="auto"/>
        </w:rPr>
        <w:t>million, or $1.67 per share, for the year ended December 31, 2020.</w:t>
      </w:r>
    </w:p>
    <w:p>
      <w:pPr>
        <w:spacing w:after="0" w:line="22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Conference Call Details</w:t>
      </w:r>
    </w:p>
    <w:p>
      <w:pPr>
        <w:spacing w:after="0" w:line="28" w:lineRule="exact"/>
        <w:rPr>
          <w:sz w:val="20"/>
          <w:szCs w:val="20"/>
          <w:color w:val="auto"/>
        </w:rPr>
      </w:pPr>
    </w:p>
    <w:p>
      <w:pPr>
        <w:spacing w:after="0" w:line="274" w:lineRule="auto"/>
        <w:rPr>
          <w:sz w:val="20"/>
          <w:szCs w:val="20"/>
          <w:color w:val="auto"/>
        </w:rPr>
      </w:pPr>
      <w:r>
        <w:rPr>
          <w:rFonts w:ascii="Arial" w:cs="Arial" w:eastAsia="Arial" w:hAnsi="Arial"/>
          <w:sz w:val="20"/>
          <w:szCs w:val="20"/>
          <w:color w:val="auto"/>
        </w:rPr>
        <w:t>Athira management will host a conference call to discuss the Company’s progress today at 4:30 pm Eastern time. In order to participate in the conference call, please dial 833-614-1520 (domestic) or 516-575-8710 (international) and refer to conference ID 3597642. A live webcast of the conference call can be accessed under "Events &amp; Presentations" in the Investor Relations section of the Company's website at www.athira.com, where it will also be archived.</w:t>
      </w:r>
    </w:p>
    <w:p>
      <w:pPr>
        <w:spacing w:after="0" w:line="22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Athira Pharma, Inc.</w:t>
      </w:r>
    </w:p>
    <w:p>
      <w:pPr>
        <w:spacing w:after="0" w:line="33" w:lineRule="exact"/>
        <w:rPr>
          <w:sz w:val="20"/>
          <w:szCs w:val="20"/>
          <w:color w:val="auto"/>
        </w:rPr>
      </w:pPr>
    </w:p>
    <w:p>
      <w:pPr>
        <w:ind w:right="20"/>
        <w:spacing w:after="0" w:line="290" w:lineRule="auto"/>
        <w:rPr>
          <w:sz w:val="20"/>
          <w:szCs w:val="20"/>
          <w:color w:val="auto"/>
        </w:rPr>
      </w:pPr>
      <w:r>
        <w:rPr>
          <w:rFonts w:ascii="Arial" w:cs="Arial" w:eastAsia="Arial" w:hAnsi="Arial"/>
          <w:sz w:val="19"/>
          <w:szCs w:val="19"/>
          <w:color w:val="auto"/>
        </w:rPr>
        <w:t>Athira Pharma Inc., headquartered in the Seattle area, is a late clinical-stage biopharmaceutical company focused on developing small molecules to restore neuronal health and slow neurodegeneration. Athira aims to provide rapid cognitive improvement and alter the course of neurological diseases with its novel mechanism of action. Athira is currently advancing its lead therapeutic candidate, fosgonimeton, a novel small molecule for Alzheimer’s and Parkinson’s disease dementia and Dementia with Lewy bodies. For more information, visit www.athira.com. You can also follow Athira on Facebook, LinkedIn and @athirapharma on Twitter and Instagram.</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Forward-Looking Statements</w:t>
      </w:r>
    </w:p>
    <w:p>
      <w:pPr>
        <w:spacing w:after="0" w:line="33" w:lineRule="exact"/>
        <w:rPr>
          <w:sz w:val="20"/>
          <w:szCs w:val="20"/>
          <w:color w:val="auto"/>
        </w:rPr>
      </w:pPr>
    </w:p>
    <w:p>
      <w:pPr>
        <w:spacing w:after="0" w:line="301" w:lineRule="auto"/>
        <w:rPr>
          <w:sz w:val="20"/>
          <w:szCs w:val="20"/>
          <w:color w:val="auto"/>
        </w:rPr>
      </w:pPr>
      <w:r>
        <w:rPr>
          <w:rFonts w:ascii="Arial" w:cs="Arial" w:eastAsia="Arial" w:hAnsi="Arial"/>
          <w:sz w:val="18"/>
          <w:szCs w:val="18"/>
          <w:color w:val="auto"/>
        </w:rPr>
        <w:t>This release contains “forward-looking statements” within the meaning of Section 27A of the Securities Act of 1933, Section 21E of the Securities Exchange Act of 1934 and the Private Securities Litigation Reform Act of 1995. These forward-looking statements are not based on historical fact and include statements regarding fosgonimeton as a potential treatment for Alzheimer’s disease, Parkinson’s disease dementia, Dementia with Lewy bodies, and other dementias; Athira’s platform technology and potential therapies; future development plans; clinical and regulatory objectives and the timing thereof, including the timing of the ACT-AD and LIFT-AD clinical trials and the timing of the Phase 2 clinical trial of fosgonimeton for treatment of Parkinson’s disease dementia; interactions with regulators and the timing thereof, including anticipated timing of IND or equivalent submissions; expectations regarding the potential efficacy and commercial potential of Athira’s product candidates; the anticipated reporting of data; and Athira’s ability to advance its product candidates into later stages of development. Forward-looking statements generally include statements that are predictive in nature and depend upon or refer to future events or conditions, and include words such as “may,” “will,” “should,” “on track,” “would,” “expect,” “plan,” “believe,” “intend,” “pursue,” “continue,” and other similar expressions, among others. Any forward-looking statements are based on management’s current expectations of future events and are subject to a number of risks and uncertainties that could cause actual results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171450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19" w:right="359" w:bottom="1440" w:gutter="0" w:footer="0" w:header="0"/>
        </w:sectPr>
      </w:pPr>
    </w:p>
    <w:bookmarkStart w:id="7" w:name="page8"/>
    <w:bookmarkEnd w:id="7"/>
    <w:p>
      <w:pPr>
        <w:spacing w:after="0" w:line="300" w:lineRule="auto"/>
        <w:rPr>
          <w:sz w:val="20"/>
          <w:szCs w:val="20"/>
          <w:color w:val="auto"/>
        </w:rPr>
      </w:pPr>
      <w:r>
        <w:rPr>
          <w:rFonts w:ascii="Arial" w:cs="Arial" w:eastAsia="Arial" w:hAnsi="Arial"/>
          <w:sz w:val="18"/>
          <w:szCs w:val="18"/>
          <w:color w:val="auto"/>
        </w:rPr>
        <w:t>differ materially and adversely from those set forth in or implied by such forward-looking statements. These risks and uncertainties include, but are not limited to, the preliminary data for Athira’s fosgonimeton product candidate from the Phase 1a/b trials will not continue or persist in current or planned clinical trials; cessation or delay of any of the ongoing clinical trials and/or Athira’s development of fosgonimeton and other product candidates may occur; future potential regulatory milestones of fosgonimeton and other product candidates, including those related to current and planned clinical studies may be insufficient to support regulatory submissions or approval; the impact of the COVID-19 pandemic on Athira’s business, research and clinical development plans and timelines and results of operations, including impact on Athira’s clinical trial sites and contractors who act for or on Athira’s behalf, may be more severe and more prolonged than currently anticipated; the regulatory process for Athira product candidates; the outcome of legal proceedings which have been or may in the future be instituted against us and certain of our directors and officers; clinical trials may not demonstrate safety and efficacy of any of Athira’s product candidates; Athira’s assumptions regarding the sufficiency of its cash, cash equivalents and investments to fund its planned operations may be incorrect; Athira’s research and development efforts and its ability to advance product candidates into later stages of development may fail; any one or more of Athira’s product candidates may not be successfully developed, approved or commercialized; adverse conditions in the general domestic and global economic markets; the impact of competition; while P300 latency is a functional measure that is highly correlated with cognition, Athira may not successfully establish a connection between these P300 latency results and improved cognition; regulatory agencies may be delayed in reviewing, commenting on or approving any of Athira’s clinical development plans as a result of the COVID-19 pandemic, which could further delay development timelines; the impact of competition; the impact of expanded product development and clinical activities on operating expenses; the impact of new or changing laws and regulations; as well as the other risks detailed in Athira’s filings with the Securities and Exchange Commission. These forward-looking statements speak only as of the date hereof and Athira undertakes no obligation to update forward-looking statements. Athira may not actually achieve the plans, intentions, or expectations disclosed in its forward-looking statements, and you should not place undue reliance on the forward-looking statements.</w:t>
      </w: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Investor &amp; Media Contact</w:t>
      </w:r>
      <w:r>
        <w:rPr>
          <w:rFonts w:ascii="Arial" w:cs="Arial" w:eastAsia="Arial" w:hAnsi="Arial"/>
          <w:sz w:val="20"/>
          <w:szCs w:val="20"/>
          <w:color w:val="auto"/>
        </w:rPr>
        <w:t>:</w:t>
      </w:r>
    </w:p>
    <w:p>
      <w:pPr>
        <w:spacing w:after="0" w:line="33" w:lineRule="exact"/>
        <w:rPr>
          <w:sz w:val="20"/>
          <w:szCs w:val="20"/>
          <w:color w:val="auto"/>
        </w:rPr>
      </w:pPr>
    </w:p>
    <w:p>
      <w:pPr>
        <w:spacing w:after="0"/>
        <w:rPr>
          <w:sz w:val="20"/>
          <w:szCs w:val="20"/>
          <w:color w:val="auto"/>
        </w:rPr>
      </w:pPr>
      <w:r>
        <w:rPr>
          <w:rFonts w:ascii="Arial" w:cs="Arial" w:eastAsia="Arial" w:hAnsi="Arial"/>
          <w:sz w:val="20"/>
          <w:szCs w:val="20"/>
          <w:color w:val="auto"/>
        </w:rPr>
        <w:t>Julie Rathbun</w:t>
      </w:r>
    </w:p>
    <w:p>
      <w:pPr>
        <w:spacing w:after="0" w:line="27" w:lineRule="exact"/>
        <w:rPr>
          <w:sz w:val="20"/>
          <w:szCs w:val="20"/>
          <w:color w:val="auto"/>
        </w:rPr>
      </w:pPr>
    </w:p>
    <w:p>
      <w:pPr>
        <w:spacing w:after="0"/>
        <w:rPr>
          <w:sz w:val="20"/>
          <w:szCs w:val="20"/>
          <w:color w:val="auto"/>
        </w:rPr>
      </w:pPr>
      <w:r>
        <w:rPr>
          <w:rFonts w:ascii="Arial" w:cs="Arial" w:eastAsia="Arial" w:hAnsi="Arial"/>
          <w:sz w:val="20"/>
          <w:szCs w:val="20"/>
          <w:color w:val="auto"/>
        </w:rPr>
        <w:t>Athira Pharma</w:t>
      </w:r>
    </w:p>
    <w:p>
      <w:pPr>
        <w:spacing w:after="0" w:line="27" w:lineRule="exact"/>
        <w:rPr>
          <w:sz w:val="20"/>
          <w:szCs w:val="20"/>
          <w:color w:val="auto"/>
        </w:rPr>
      </w:pPr>
    </w:p>
    <w:p>
      <w:pPr>
        <w:spacing w:after="0"/>
        <w:rPr>
          <w:sz w:val="20"/>
          <w:szCs w:val="20"/>
          <w:color w:val="auto"/>
        </w:rPr>
      </w:pPr>
      <w:r>
        <w:rPr>
          <w:rFonts w:ascii="Arial" w:cs="Arial" w:eastAsia="Arial" w:hAnsi="Arial"/>
          <w:sz w:val="20"/>
          <w:szCs w:val="20"/>
          <w:color w:val="auto"/>
        </w:rPr>
        <w:t>Julie.rathbun@athira.com</w:t>
      </w:r>
    </w:p>
    <w:p>
      <w:pPr>
        <w:spacing w:after="0" w:line="27" w:lineRule="exact"/>
        <w:rPr>
          <w:sz w:val="20"/>
          <w:szCs w:val="20"/>
          <w:color w:val="auto"/>
        </w:rPr>
      </w:pPr>
    </w:p>
    <w:p>
      <w:pPr>
        <w:spacing w:after="0"/>
        <w:rPr>
          <w:sz w:val="20"/>
          <w:szCs w:val="20"/>
          <w:color w:val="auto"/>
        </w:rPr>
      </w:pPr>
      <w:r>
        <w:rPr>
          <w:rFonts w:ascii="Arial" w:cs="Arial" w:eastAsia="Arial" w:hAnsi="Arial"/>
          <w:sz w:val="20"/>
          <w:szCs w:val="20"/>
          <w:color w:val="auto"/>
        </w:rPr>
        <w:t>206-769-9219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666115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339" w:right="41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Athira Pharma, Inc.</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(Amounts in thousands)</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760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200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4"/>
                <w:szCs w:val="14"/>
                <w:b w:val="1"/>
                <w:bCs w:val="1"/>
                <w:color w:val="auto"/>
              </w:rPr>
              <w:t>December 31,</w:t>
            </w:r>
          </w:p>
        </w:tc>
        <w:tc>
          <w:tcPr>
            <w:tcW w:w="11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7600" w:type="dxa"/>
            <w:vAlign w:val="bottom"/>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tcPr>
          <w:p>
            <w:pPr>
              <w:jc w:val="right"/>
              <w:ind w:right="553"/>
              <w:spacing w:after="0" w:line="142" w:lineRule="exact"/>
              <w:rPr>
                <w:sz w:val="20"/>
                <w:szCs w:val="20"/>
                <w:color w:val="auto"/>
              </w:rPr>
            </w:pPr>
            <w:r>
              <w:rPr>
                <w:rFonts w:ascii="Arial" w:cs="Arial" w:eastAsia="Arial" w:hAnsi="Arial"/>
                <w:sz w:val="14"/>
                <w:szCs w:val="14"/>
                <w:b w:val="1"/>
                <w:bCs w:val="1"/>
                <w:color w:val="auto"/>
              </w:rPr>
              <w:t>2021</w:t>
            </w:r>
          </w:p>
        </w:tc>
        <w:tc>
          <w:tcPr>
            <w:tcW w:w="320" w:type="dxa"/>
            <w:vAlign w:val="bottom"/>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ind w:right="552"/>
              <w:spacing w:after="0" w:line="142" w:lineRule="exact"/>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2"/>
        </w:trPr>
        <w:tc>
          <w:tcPr>
            <w:tcW w:w="760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Assets</w:t>
            </w:r>
          </w:p>
        </w:tc>
        <w:tc>
          <w:tcPr>
            <w:tcW w:w="400" w:type="dxa"/>
            <w:vAlign w:val="bottom"/>
            <w:shd w:val="clear" w:color="auto" w:fill="CFF0FC"/>
          </w:tcPr>
          <w:p>
            <w:pPr>
              <w:spacing w:after="0"/>
              <w:rPr>
                <w:sz w:val="20"/>
                <w:szCs w:val="20"/>
                <w:color w:val="auto"/>
              </w:rPr>
            </w:pPr>
          </w:p>
        </w:tc>
        <w:tc>
          <w:tcPr>
            <w:tcW w:w="122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460" w:type="dxa"/>
            <w:vAlign w:val="bottom"/>
            <w:shd w:val="clear" w:color="auto" w:fill="CFF0FC"/>
          </w:tcPr>
          <w:p>
            <w:pPr>
              <w:spacing w:after="0"/>
              <w:rPr>
                <w:sz w:val="20"/>
                <w:szCs w:val="20"/>
                <w:color w:val="auto"/>
              </w:rPr>
            </w:pPr>
          </w:p>
        </w:tc>
        <w:tc>
          <w:tcPr>
            <w:tcW w:w="11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26"/>
        </w:trPr>
        <w:tc>
          <w:tcPr>
            <w:tcW w:w="7600" w:type="dxa"/>
            <w:vAlign w:val="bottom"/>
            <w:shd w:val="clear" w:color="auto" w:fill="CFF0FC"/>
          </w:tcPr>
          <w:p>
            <w:pPr>
              <w:spacing w:after="0"/>
              <w:rPr>
                <w:sz w:val="10"/>
                <w:szCs w:val="10"/>
                <w:color w:val="auto"/>
              </w:rPr>
            </w:pPr>
          </w:p>
        </w:tc>
        <w:tc>
          <w:tcPr>
            <w:tcW w:w="400" w:type="dxa"/>
            <w:vAlign w:val="bottom"/>
            <w:shd w:val="clear" w:color="auto" w:fill="CFF0FC"/>
          </w:tcPr>
          <w:p>
            <w:pPr>
              <w:spacing w:after="0"/>
              <w:rPr>
                <w:sz w:val="10"/>
                <w:szCs w:val="10"/>
                <w:color w:val="auto"/>
              </w:rPr>
            </w:pPr>
          </w:p>
        </w:tc>
        <w:tc>
          <w:tcPr>
            <w:tcW w:w="1220" w:type="dxa"/>
            <w:vAlign w:val="bottom"/>
            <w:shd w:val="clear" w:color="auto" w:fill="CFF0FC"/>
          </w:tcPr>
          <w:p>
            <w:pPr>
              <w:spacing w:after="0"/>
              <w:rPr>
                <w:sz w:val="10"/>
                <w:szCs w:val="10"/>
                <w:color w:val="auto"/>
              </w:rPr>
            </w:pPr>
          </w:p>
        </w:tc>
        <w:tc>
          <w:tcPr>
            <w:tcW w:w="320" w:type="dxa"/>
            <w:vAlign w:val="bottom"/>
            <w:shd w:val="clear" w:color="auto" w:fill="CFF0FC"/>
          </w:tcPr>
          <w:p>
            <w:pPr>
              <w:spacing w:after="0"/>
              <w:rPr>
                <w:sz w:val="10"/>
                <w:szCs w:val="10"/>
                <w:color w:val="auto"/>
              </w:rPr>
            </w:pPr>
          </w:p>
        </w:tc>
        <w:tc>
          <w:tcPr>
            <w:tcW w:w="460" w:type="dxa"/>
            <w:vAlign w:val="bottom"/>
            <w:shd w:val="clear" w:color="auto" w:fill="CFF0FC"/>
          </w:tcPr>
          <w:p>
            <w:pPr>
              <w:spacing w:after="0"/>
              <w:rPr>
                <w:sz w:val="10"/>
                <w:szCs w:val="10"/>
                <w:color w:val="auto"/>
              </w:rPr>
            </w:pPr>
          </w:p>
        </w:tc>
        <w:tc>
          <w:tcPr>
            <w:tcW w:w="11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217"/>
        </w:trPr>
        <w:tc>
          <w:tcPr>
            <w:tcW w:w="7600" w:type="dxa"/>
            <w:vAlign w:val="bottom"/>
          </w:tcPr>
          <w:p>
            <w:pPr>
              <w:ind w:left="120"/>
              <w:spacing w:after="0"/>
              <w:rPr>
                <w:sz w:val="20"/>
                <w:szCs w:val="20"/>
                <w:color w:val="auto"/>
              </w:rPr>
            </w:pPr>
            <w:r>
              <w:rPr>
                <w:rFonts w:ascii="Arial" w:cs="Arial" w:eastAsia="Arial" w:hAnsi="Arial"/>
                <w:sz w:val="18"/>
                <w:szCs w:val="18"/>
                <w:color w:val="auto"/>
              </w:rPr>
              <w:t>Cash and cash equivalents</w:t>
            </w:r>
          </w:p>
        </w:tc>
        <w:tc>
          <w:tcPr>
            <w:tcW w:w="400" w:type="dxa"/>
            <w:vAlign w:val="bottom"/>
            <w:vMerge w:val="restart"/>
          </w:tcPr>
          <w:p>
            <w:pPr>
              <w:jc w:val="right"/>
              <w:ind w:right="190"/>
              <w:spacing w:after="0"/>
              <w:rPr>
                <w:sz w:val="20"/>
                <w:szCs w:val="20"/>
                <w:color w:val="auto"/>
              </w:rPr>
            </w:pPr>
            <w:r>
              <w:rPr>
                <w:rFonts w:ascii="Arial" w:cs="Arial" w:eastAsia="Arial" w:hAnsi="Arial"/>
                <w:sz w:val="18"/>
                <w:szCs w:val="18"/>
                <w:color w:val="auto"/>
                <w:w w:val="99"/>
              </w:rPr>
              <w:t>$</w:t>
            </w:r>
          </w:p>
        </w:tc>
        <w:tc>
          <w:tcPr>
            <w:tcW w:w="1220" w:type="dxa"/>
            <w:vAlign w:val="bottom"/>
            <w:vMerge w:val="restart"/>
          </w:tcPr>
          <w:p>
            <w:pPr>
              <w:jc w:val="right"/>
              <w:spacing w:after="0"/>
              <w:rPr>
                <w:sz w:val="20"/>
                <w:szCs w:val="20"/>
                <w:color w:val="auto"/>
              </w:rPr>
            </w:pPr>
            <w:r>
              <w:rPr>
                <w:rFonts w:ascii="Arial" w:cs="Arial" w:eastAsia="Arial" w:hAnsi="Arial"/>
                <w:sz w:val="18"/>
                <w:szCs w:val="18"/>
                <w:color w:val="auto"/>
              </w:rPr>
              <w:t>110,537</w:t>
            </w:r>
          </w:p>
        </w:tc>
        <w:tc>
          <w:tcPr>
            <w:tcW w:w="780" w:type="dxa"/>
            <w:vAlign w:val="bottom"/>
            <w:gridSpan w:val="2"/>
            <w:vMerge w:val="restart"/>
          </w:tcPr>
          <w:p>
            <w:pPr>
              <w:jc w:val="right"/>
              <w:ind w:right="250"/>
              <w:spacing w:after="0"/>
              <w:rPr>
                <w:sz w:val="20"/>
                <w:szCs w:val="20"/>
                <w:color w:val="auto"/>
              </w:rPr>
            </w:pPr>
            <w:r>
              <w:rPr>
                <w:rFonts w:ascii="Arial" w:cs="Arial" w:eastAsia="Arial" w:hAnsi="Arial"/>
                <w:sz w:val="18"/>
                <w:szCs w:val="18"/>
                <w:color w:val="auto"/>
              </w:rPr>
              <w:t>$</w:t>
            </w:r>
          </w:p>
        </w:tc>
        <w:tc>
          <w:tcPr>
            <w:tcW w:w="1140" w:type="dxa"/>
            <w:vAlign w:val="bottom"/>
            <w:vMerge w:val="restart"/>
          </w:tcPr>
          <w:p>
            <w:pPr>
              <w:jc w:val="right"/>
              <w:spacing w:after="0"/>
              <w:rPr>
                <w:sz w:val="20"/>
                <w:szCs w:val="20"/>
                <w:color w:val="auto"/>
              </w:rPr>
            </w:pPr>
            <w:r>
              <w:rPr>
                <w:rFonts w:ascii="Arial" w:cs="Arial" w:eastAsia="Arial" w:hAnsi="Arial"/>
                <w:sz w:val="18"/>
                <w:szCs w:val="18"/>
                <w:color w:val="auto"/>
              </w:rPr>
              <w:t>60,625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8"/>
        </w:trPr>
        <w:tc>
          <w:tcPr>
            <w:tcW w:w="7600" w:type="dxa"/>
            <w:vAlign w:val="bottom"/>
          </w:tcPr>
          <w:p>
            <w:pPr>
              <w:spacing w:after="0"/>
              <w:rPr>
                <w:sz w:val="12"/>
                <w:szCs w:val="12"/>
                <w:color w:val="auto"/>
              </w:rPr>
            </w:pPr>
          </w:p>
        </w:tc>
        <w:tc>
          <w:tcPr>
            <w:tcW w:w="400" w:type="dxa"/>
            <w:vAlign w:val="bottom"/>
            <w:vMerge w:val="continue"/>
          </w:tcPr>
          <w:p>
            <w:pPr>
              <w:spacing w:after="0"/>
              <w:rPr>
                <w:sz w:val="12"/>
                <w:szCs w:val="12"/>
                <w:color w:val="auto"/>
              </w:rPr>
            </w:pPr>
          </w:p>
        </w:tc>
        <w:tc>
          <w:tcPr>
            <w:tcW w:w="1220" w:type="dxa"/>
            <w:vAlign w:val="bottom"/>
            <w:vMerge w:val="continue"/>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11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7"/>
        </w:trPr>
        <w:tc>
          <w:tcPr>
            <w:tcW w:w="7600" w:type="dxa"/>
            <w:vAlign w:val="bottom"/>
            <w:shd w:val="clear" w:color="auto" w:fill="CFF0FC"/>
          </w:tcPr>
          <w:p>
            <w:pPr>
              <w:ind w:left="120"/>
              <w:spacing w:after="0"/>
              <w:rPr>
                <w:sz w:val="20"/>
                <w:szCs w:val="20"/>
                <w:color w:val="auto"/>
              </w:rPr>
            </w:pPr>
            <w:r>
              <w:rPr>
                <w:rFonts w:ascii="Arial" w:cs="Arial" w:eastAsia="Arial" w:hAnsi="Arial"/>
                <w:sz w:val="18"/>
                <w:szCs w:val="18"/>
                <w:color w:val="auto"/>
              </w:rPr>
              <w:t>Short-term investments</w:t>
            </w:r>
          </w:p>
        </w:tc>
        <w:tc>
          <w:tcPr>
            <w:tcW w:w="400" w:type="dxa"/>
            <w:vAlign w:val="bottom"/>
            <w:shd w:val="clear" w:color="auto" w:fill="CFF0FC"/>
          </w:tcPr>
          <w:p>
            <w:pPr>
              <w:spacing w:after="0"/>
              <w:rPr>
                <w:sz w:val="18"/>
                <w:szCs w:val="18"/>
                <w:color w:val="auto"/>
              </w:rPr>
            </w:pPr>
          </w:p>
        </w:tc>
        <w:tc>
          <w:tcPr>
            <w:tcW w:w="122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143,222</w:t>
            </w:r>
          </w:p>
        </w:tc>
        <w:tc>
          <w:tcPr>
            <w:tcW w:w="32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14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124,057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48"/>
        </w:trPr>
        <w:tc>
          <w:tcPr>
            <w:tcW w:w="760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1220" w:type="dxa"/>
            <w:vAlign w:val="bottom"/>
            <w:vMerge w:val="continue"/>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1140" w:type="dxa"/>
            <w:vAlign w:val="bottom"/>
            <w:vMerge w:val="continue"/>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217"/>
        </w:trPr>
        <w:tc>
          <w:tcPr>
            <w:tcW w:w="7600" w:type="dxa"/>
            <w:vAlign w:val="bottom"/>
          </w:tcPr>
          <w:p>
            <w:pPr>
              <w:ind w:left="120"/>
              <w:spacing w:after="0"/>
              <w:rPr>
                <w:sz w:val="20"/>
                <w:szCs w:val="20"/>
                <w:color w:val="auto"/>
              </w:rPr>
            </w:pPr>
            <w:r>
              <w:rPr>
                <w:rFonts w:ascii="Arial" w:cs="Arial" w:eastAsia="Arial" w:hAnsi="Arial"/>
                <w:sz w:val="18"/>
                <w:szCs w:val="18"/>
                <w:color w:val="auto"/>
              </w:rPr>
              <w:t>Other short-term assets</w:t>
            </w:r>
          </w:p>
        </w:tc>
        <w:tc>
          <w:tcPr>
            <w:tcW w:w="400" w:type="dxa"/>
            <w:vAlign w:val="bottom"/>
          </w:tcPr>
          <w:p>
            <w:pPr>
              <w:spacing w:after="0"/>
              <w:rPr>
                <w:sz w:val="18"/>
                <w:szCs w:val="18"/>
                <w:color w:val="auto"/>
              </w:rPr>
            </w:pPr>
          </w:p>
        </w:tc>
        <w:tc>
          <w:tcPr>
            <w:tcW w:w="1220" w:type="dxa"/>
            <w:vAlign w:val="bottom"/>
            <w:vMerge w:val="restart"/>
          </w:tcPr>
          <w:p>
            <w:pPr>
              <w:jc w:val="right"/>
              <w:spacing w:after="0"/>
              <w:rPr>
                <w:sz w:val="20"/>
                <w:szCs w:val="20"/>
                <w:color w:val="auto"/>
              </w:rPr>
            </w:pPr>
            <w:r>
              <w:rPr>
                <w:rFonts w:ascii="Arial" w:cs="Arial" w:eastAsia="Arial" w:hAnsi="Arial"/>
                <w:sz w:val="18"/>
                <w:szCs w:val="18"/>
                <w:color w:val="auto"/>
              </w:rPr>
              <w:t>7,040</w:t>
            </w:r>
          </w:p>
        </w:tc>
        <w:tc>
          <w:tcPr>
            <w:tcW w:w="3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40" w:type="dxa"/>
            <w:vAlign w:val="bottom"/>
            <w:vMerge w:val="restart"/>
          </w:tcPr>
          <w:p>
            <w:pPr>
              <w:jc w:val="right"/>
              <w:spacing w:after="0"/>
              <w:rPr>
                <w:sz w:val="20"/>
                <w:szCs w:val="20"/>
                <w:color w:val="auto"/>
              </w:rPr>
            </w:pPr>
            <w:r>
              <w:rPr>
                <w:rFonts w:ascii="Arial" w:cs="Arial" w:eastAsia="Arial" w:hAnsi="Arial"/>
                <w:sz w:val="18"/>
                <w:szCs w:val="18"/>
                <w:color w:val="auto"/>
              </w:rPr>
              <w:t>7,655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8"/>
        </w:trPr>
        <w:tc>
          <w:tcPr>
            <w:tcW w:w="76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20" w:type="dxa"/>
            <w:vAlign w:val="bottom"/>
            <w:vMerge w:val="continue"/>
          </w:tcPr>
          <w:p>
            <w:pPr>
              <w:spacing w:after="0"/>
              <w:rPr>
                <w:sz w:val="12"/>
                <w:szCs w:val="12"/>
                <w:color w:val="auto"/>
              </w:rPr>
            </w:pPr>
          </w:p>
        </w:tc>
        <w:tc>
          <w:tcPr>
            <w:tcW w:w="3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7"/>
        </w:trPr>
        <w:tc>
          <w:tcPr>
            <w:tcW w:w="7600" w:type="dxa"/>
            <w:vAlign w:val="bottom"/>
            <w:shd w:val="clear" w:color="auto" w:fill="CFF0FC"/>
          </w:tcPr>
          <w:p>
            <w:pPr>
              <w:ind w:left="120"/>
              <w:spacing w:after="0"/>
              <w:rPr>
                <w:sz w:val="20"/>
                <w:szCs w:val="20"/>
                <w:color w:val="auto"/>
              </w:rPr>
            </w:pPr>
            <w:r>
              <w:rPr>
                <w:rFonts w:ascii="Arial" w:cs="Arial" w:eastAsia="Arial" w:hAnsi="Arial"/>
                <w:sz w:val="18"/>
                <w:szCs w:val="18"/>
                <w:color w:val="auto"/>
              </w:rPr>
              <w:t>Long-term investments</w:t>
            </w:r>
          </w:p>
        </w:tc>
        <w:tc>
          <w:tcPr>
            <w:tcW w:w="400" w:type="dxa"/>
            <w:vAlign w:val="bottom"/>
            <w:shd w:val="clear" w:color="auto" w:fill="CFF0FC"/>
          </w:tcPr>
          <w:p>
            <w:pPr>
              <w:spacing w:after="0"/>
              <w:rPr>
                <w:sz w:val="18"/>
                <w:szCs w:val="18"/>
                <w:color w:val="auto"/>
              </w:rPr>
            </w:pPr>
          </w:p>
        </w:tc>
        <w:tc>
          <w:tcPr>
            <w:tcW w:w="122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65,936</w:t>
            </w:r>
          </w:p>
        </w:tc>
        <w:tc>
          <w:tcPr>
            <w:tcW w:w="32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14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83,509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48"/>
        </w:trPr>
        <w:tc>
          <w:tcPr>
            <w:tcW w:w="760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1220" w:type="dxa"/>
            <w:vAlign w:val="bottom"/>
            <w:vMerge w:val="continue"/>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1140" w:type="dxa"/>
            <w:vAlign w:val="bottom"/>
            <w:vMerge w:val="continue"/>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217"/>
        </w:trPr>
        <w:tc>
          <w:tcPr>
            <w:tcW w:w="7600" w:type="dxa"/>
            <w:vAlign w:val="bottom"/>
          </w:tcPr>
          <w:p>
            <w:pPr>
              <w:ind w:left="120"/>
              <w:spacing w:after="0"/>
              <w:rPr>
                <w:sz w:val="20"/>
                <w:szCs w:val="20"/>
                <w:color w:val="auto"/>
              </w:rPr>
            </w:pPr>
            <w:r>
              <w:rPr>
                <w:rFonts w:ascii="Arial" w:cs="Arial" w:eastAsia="Arial" w:hAnsi="Arial"/>
                <w:sz w:val="18"/>
                <w:szCs w:val="18"/>
                <w:color w:val="auto"/>
              </w:rPr>
              <w:t>Other long-term assets</w:t>
            </w:r>
          </w:p>
        </w:tc>
        <w:tc>
          <w:tcPr>
            <w:tcW w:w="400" w:type="dxa"/>
            <w:vAlign w:val="bottom"/>
          </w:tcPr>
          <w:p>
            <w:pPr>
              <w:spacing w:after="0"/>
              <w:rPr>
                <w:sz w:val="18"/>
                <w:szCs w:val="18"/>
                <w:color w:val="auto"/>
              </w:rPr>
            </w:pPr>
          </w:p>
        </w:tc>
        <w:tc>
          <w:tcPr>
            <w:tcW w:w="1220" w:type="dxa"/>
            <w:vAlign w:val="bottom"/>
            <w:vMerge w:val="restart"/>
          </w:tcPr>
          <w:p>
            <w:pPr>
              <w:jc w:val="right"/>
              <w:spacing w:after="0"/>
              <w:rPr>
                <w:sz w:val="20"/>
                <w:szCs w:val="20"/>
                <w:color w:val="auto"/>
              </w:rPr>
            </w:pPr>
            <w:r>
              <w:rPr>
                <w:rFonts w:ascii="Arial" w:cs="Arial" w:eastAsia="Arial" w:hAnsi="Arial"/>
                <w:sz w:val="18"/>
                <w:szCs w:val="18"/>
                <w:color w:val="auto"/>
              </w:rPr>
              <w:t>5,273</w:t>
            </w:r>
          </w:p>
        </w:tc>
        <w:tc>
          <w:tcPr>
            <w:tcW w:w="3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40" w:type="dxa"/>
            <w:vAlign w:val="bottom"/>
            <w:vMerge w:val="restart"/>
          </w:tcPr>
          <w:p>
            <w:pPr>
              <w:jc w:val="right"/>
              <w:spacing w:after="0"/>
              <w:rPr>
                <w:sz w:val="20"/>
                <w:szCs w:val="20"/>
                <w:color w:val="auto"/>
              </w:rPr>
            </w:pPr>
            <w:r>
              <w:rPr>
                <w:rFonts w:ascii="Arial" w:cs="Arial" w:eastAsia="Arial" w:hAnsi="Arial"/>
                <w:sz w:val="18"/>
                <w:szCs w:val="18"/>
                <w:color w:val="auto"/>
              </w:rPr>
              <w:t>3,717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4"/>
        </w:trPr>
        <w:tc>
          <w:tcPr>
            <w:tcW w:w="7600" w:type="dxa"/>
            <w:vAlign w:val="bottom"/>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1220" w:type="dxa"/>
            <w:vAlign w:val="bottom"/>
            <w:tcBorders>
              <w:bottom w:val="single" w:sz="8" w:color="auto"/>
            </w:tcBorders>
            <w:vMerge w:val="continue"/>
          </w:tcPr>
          <w:p>
            <w:pPr>
              <w:spacing w:after="0"/>
              <w:rPr>
                <w:sz w:val="11"/>
                <w:szCs w:val="11"/>
                <w:color w:val="auto"/>
              </w:rPr>
            </w:pPr>
          </w:p>
        </w:tc>
        <w:tc>
          <w:tcPr>
            <w:tcW w:w="320" w:type="dxa"/>
            <w:vAlign w:val="bottom"/>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1140" w:type="dxa"/>
            <w:vAlign w:val="bottom"/>
            <w:tcBorders>
              <w:bottom w:val="single" w:sz="8" w:color="auto"/>
            </w:tcBorders>
            <w:vMerge w:val="continue"/>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0"/>
        </w:trPr>
        <w:tc>
          <w:tcPr>
            <w:tcW w:w="7600" w:type="dxa"/>
            <w:vAlign w:val="bottom"/>
            <w:shd w:val="clear" w:color="auto" w:fill="CFF0FC"/>
          </w:tcPr>
          <w:p>
            <w:pPr>
              <w:ind w:left="20"/>
              <w:spacing w:after="0"/>
              <w:rPr>
                <w:sz w:val="20"/>
                <w:szCs w:val="20"/>
                <w:color w:val="auto"/>
              </w:rPr>
            </w:pPr>
            <w:r>
              <w:rPr>
                <w:rFonts w:ascii="Arial" w:cs="Arial" w:eastAsia="Arial" w:hAnsi="Arial"/>
                <w:sz w:val="18"/>
                <w:szCs w:val="18"/>
                <w:color w:val="auto"/>
              </w:rPr>
              <w:t>Total assets</w:t>
            </w:r>
          </w:p>
        </w:tc>
        <w:tc>
          <w:tcPr>
            <w:tcW w:w="400" w:type="dxa"/>
            <w:vAlign w:val="bottom"/>
            <w:vMerge w:val="restart"/>
            <w:shd w:val="clear" w:color="auto" w:fill="CFF0FC"/>
          </w:tcPr>
          <w:p>
            <w:pPr>
              <w:jc w:val="right"/>
              <w:ind w:right="190"/>
              <w:spacing w:after="0"/>
              <w:rPr>
                <w:sz w:val="20"/>
                <w:szCs w:val="20"/>
                <w:color w:val="auto"/>
              </w:rPr>
            </w:pPr>
            <w:r>
              <w:rPr>
                <w:rFonts w:ascii="Arial" w:cs="Arial" w:eastAsia="Arial" w:hAnsi="Arial"/>
                <w:sz w:val="18"/>
                <w:szCs w:val="18"/>
                <w:color w:val="auto"/>
                <w:w w:val="99"/>
              </w:rPr>
              <w:t>$</w:t>
            </w:r>
          </w:p>
        </w:tc>
        <w:tc>
          <w:tcPr>
            <w:tcW w:w="122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332,008</w:t>
            </w:r>
          </w:p>
        </w:tc>
        <w:tc>
          <w:tcPr>
            <w:tcW w:w="780" w:type="dxa"/>
            <w:vAlign w:val="bottom"/>
            <w:gridSpan w:val="2"/>
            <w:vMerge w:val="restart"/>
            <w:shd w:val="clear" w:color="auto" w:fill="CFF0FC"/>
          </w:tcPr>
          <w:p>
            <w:pPr>
              <w:jc w:val="right"/>
              <w:ind w:right="250"/>
              <w:spacing w:after="0"/>
              <w:rPr>
                <w:sz w:val="20"/>
                <w:szCs w:val="20"/>
                <w:color w:val="auto"/>
              </w:rPr>
            </w:pPr>
            <w:r>
              <w:rPr>
                <w:rFonts w:ascii="Arial" w:cs="Arial" w:eastAsia="Arial" w:hAnsi="Arial"/>
                <w:sz w:val="18"/>
                <w:szCs w:val="18"/>
                <w:color w:val="auto"/>
              </w:rPr>
              <w:t>$</w:t>
            </w:r>
          </w:p>
        </w:tc>
        <w:tc>
          <w:tcPr>
            <w:tcW w:w="114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279,563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7600" w:type="dxa"/>
            <w:vAlign w:val="bottom"/>
            <w:shd w:val="clear" w:color="auto" w:fill="CFF0FC"/>
          </w:tcPr>
          <w:p>
            <w:pPr>
              <w:spacing w:after="0"/>
              <w:rPr>
                <w:sz w:val="16"/>
                <w:szCs w:val="16"/>
                <w:color w:val="auto"/>
              </w:rPr>
            </w:pPr>
          </w:p>
        </w:tc>
        <w:tc>
          <w:tcPr>
            <w:tcW w:w="400" w:type="dxa"/>
            <w:vAlign w:val="bottom"/>
            <w:vMerge w:val="continue"/>
            <w:shd w:val="clear" w:color="auto" w:fill="CFF0FC"/>
          </w:tcPr>
          <w:p>
            <w:pPr>
              <w:spacing w:after="0"/>
              <w:rPr>
                <w:sz w:val="16"/>
                <w:szCs w:val="16"/>
                <w:color w:val="auto"/>
              </w:rPr>
            </w:pPr>
          </w:p>
        </w:tc>
        <w:tc>
          <w:tcPr>
            <w:tcW w:w="1220" w:type="dxa"/>
            <w:vAlign w:val="bottom"/>
            <w:vMerge w:val="continue"/>
            <w:shd w:val="clear" w:color="auto" w:fill="CFF0FC"/>
          </w:tcPr>
          <w:p>
            <w:pPr>
              <w:spacing w:after="0"/>
              <w:rPr>
                <w:sz w:val="16"/>
                <w:szCs w:val="16"/>
                <w:color w:val="auto"/>
              </w:rPr>
            </w:pPr>
          </w:p>
        </w:tc>
        <w:tc>
          <w:tcPr>
            <w:tcW w:w="780" w:type="dxa"/>
            <w:vAlign w:val="bottom"/>
            <w:gridSpan w:val="2"/>
            <w:vMerge w:val="continue"/>
            <w:shd w:val="clear" w:color="auto" w:fill="CFF0FC"/>
          </w:tcPr>
          <w:p>
            <w:pPr>
              <w:spacing w:after="0"/>
              <w:rPr>
                <w:sz w:val="16"/>
                <w:szCs w:val="16"/>
                <w:color w:val="auto"/>
              </w:rPr>
            </w:pPr>
          </w:p>
        </w:tc>
        <w:tc>
          <w:tcPr>
            <w:tcW w:w="1140" w:type="dxa"/>
            <w:vAlign w:val="bottom"/>
            <w:vMerge w:val="continue"/>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7600" w:type="dxa"/>
            <w:vAlign w:val="bottom"/>
            <w:tcBorders>
              <w:top w:val="single" w:sz="8" w:color="CFF0FC"/>
            </w:tcBorders>
          </w:tcPr>
          <w:p>
            <w:pPr>
              <w:ind w:left="20"/>
              <w:spacing w:after="0"/>
              <w:rPr>
                <w:sz w:val="20"/>
                <w:szCs w:val="20"/>
                <w:color w:val="auto"/>
              </w:rPr>
            </w:pPr>
            <w:r>
              <w:rPr>
                <w:rFonts w:ascii="Arial" w:cs="Arial" w:eastAsia="Arial" w:hAnsi="Arial"/>
                <w:sz w:val="18"/>
                <w:szCs w:val="18"/>
                <w:b w:val="1"/>
                <w:bCs w:val="1"/>
                <w:color w:val="auto"/>
              </w:rPr>
              <w:t>Liabilities and stockholders' equity</w:t>
            </w:r>
          </w:p>
        </w:tc>
        <w:tc>
          <w:tcPr>
            <w:tcW w:w="40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spacing w:after="0"/>
              <w:rPr>
                <w:sz w:val="19"/>
                <w:szCs w:val="19"/>
                <w:color w:val="auto"/>
              </w:rPr>
            </w:pPr>
          </w:p>
        </w:tc>
        <w:tc>
          <w:tcPr>
            <w:tcW w:w="320" w:type="dxa"/>
            <w:vAlign w:val="bottom"/>
            <w:tcBorders>
              <w:top w:val="single" w:sz="8" w:color="CFF0FC"/>
            </w:tcBorders>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100" w:type="dxa"/>
            <w:vAlign w:val="bottom"/>
            <w:tcBorders>
              <w:top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126"/>
        </w:trPr>
        <w:tc>
          <w:tcPr>
            <w:tcW w:w="76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7"/>
        </w:trPr>
        <w:tc>
          <w:tcPr>
            <w:tcW w:w="7600" w:type="dxa"/>
            <w:vAlign w:val="bottom"/>
            <w:shd w:val="clear" w:color="auto" w:fill="CFF0FC"/>
          </w:tcPr>
          <w:p>
            <w:pPr>
              <w:ind w:left="120"/>
              <w:spacing w:after="0"/>
              <w:rPr>
                <w:sz w:val="20"/>
                <w:szCs w:val="20"/>
                <w:color w:val="auto"/>
              </w:rPr>
            </w:pPr>
            <w:r>
              <w:rPr>
                <w:rFonts w:ascii="Arial" w:cs="Arial" w:eastAsia="Arial" w:hAnsi="Arial"/>
                <w:sz w:val="18"/>
                <w:szCs w:val="18"/>
                <w:color w:val="auto"/>
              </w:rPr>
              <w:t>Current liabilities</w:t>
            </w:r>
          </w:p>
        </w:tc>
        <w:tc>
          <w:tcPr>
            <w:tcW w:w="400" w:type="dxa"/>
            <w:vAlign w:val="bottom"/>
            <w:vMerge w:val="restart"/>
            <w:shd w:val="clear" w:color="auto" w:fill="CFF0FC"/>
          </w:tcPr>
          <w:p>
            <w:pPr>
              <w:jc w:val="right"/>
              <w:ind w:right="190"/>
              <w:spacing w:after="0"/>
              <w:rPr>
                <w:sz w:val="20"/>
                <w:szCs w:val="20"/>
                <w:color w:val="auto"/>
              </w:rPr>
            </w:pPr>
            <w:r>
              <w:rPr>
                <w:rFonts w:ascii="Arial" w:cs="Arial" w:eastAsia="Arial" w:hAnsi="Arial"/>
                <w:sz w:val="18"/>
                <w:szCs w:val="18"/>
                <w:color w:val="auto"/>
                <w:w w:val="99"/>
              </w:rPr>
              <w:t>$</w:t>
            </w:r>
          </w:p>
        </w:tc>
        <w:tc>
          <w:tcPr>
            <w:tcW w:w="122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9,292</w:t>
            </w:r>
          </w:p>
        </w:tc>
        <w:tc>
          <w:tcPr>
            <w:tcW w:w="780" w:type="dxa"/>
            <w:vAlign w:val="bottom"/>
            <w:gridSpan w:val="2"/>
            <w:vMerge w:val="restart"/>
            <w:shd w:val="clear" w:color="auto" w:fill="CFF0FC"/>
          </w:tcPr>
          <w:p>
            <w:pPr>
              <w:jc w:val="right"/>
              <w:ind w:right="250"/>
              <w:spacing w:after="0"/>
              <w:rPr>
                <w:sz w:val="20"/>
                <w:szCs w:val="20"/>
                <w:color w:val="auto"/>
              </w:rPr>
            </w:pPr>
            <w:r>
              <w:rPr>
                <w:rFonts w:ascii="Arial" w:cs="Arial" w:eastAsia="Arial" w:hAnsi="Arial"/>
                <w:sz w:val="18"/>
                <w:szCs w:val="18"/>
                <w:color w:val="auto"/>
              </w:rPr>
              <w:t>$</w:t>
            </w:r>
          </w:p>
        </w:tc>
        <w:tc>
          <w:tcPr>
            <w:tcW w:w="114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4,405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48"/>
        </w:trPr>
        <w:tc>
          <w:tcPr>
            <w:tcW w:w="7600" w:type="dxa"/>
            <w:vAlign w:val="bottom"/>
            <w:shd w:val="clear" w:color="auto" w:fill="CFF0FC"/>
          </w:tcPr>
          <w:p>
            <w:pPr>
              <w:spacing w:after="0"/>
              <w:rPr>
                <w:sz w:val="12"/>
                <w:szCs w:val="12"/>
                <w:color w:val="auto"/>
              </w:rPr>
            </w:pPr>
          </w:p>
        </w:tc>
        <w:tc>
          <w:tcPr>
            <w:tcW w:w="400" w:type="dxa"/>
            <w:vAlign w:val="bottom"/>
            <w:vMerge w:val="continue"/>
            <w:shd w:val="clear" w:color="auto" w:fill="CFF0FC"/>
          </w:tcPr>
          <w:p>
            <w:pPr>
              <w:spacing w:after="0"/>
              <w:rPr>
                <w:sz w:val="12"/>
                <w:szCs w:val="12"/>
                <w:color w:val="auto"/>
              </w:rPr>
            </w:pPr>
          </w:p>
        </w:tc>
        <w:tc>
          <w:tcPr>
            <w:tcW w:w="1220" w:type="dxa"/>
            <w:vAlign w:val="bottom"/>
            <w:vMerge w:val="continue"/>
            <w:shd w:val="clear" w:color="auto" w:fill="CFF0FC"/>
          </w:tcPr>
          <w:p>
            <w:pPr>
              <w:spacing w:after="0"/>
              <w:rPr>
                <w:sz w:val="12"/>
                <w:szCs w:val="12"/>
                <w:color w:val="auto"/>
              </w:rPr>
            </w:pPr>
          </w:p>
        </w:tc>
        <w:tc>
          <w:tcPr>
            <w:tcW w:w="780" w:type="dxa"/>
            <w:vAlign w:val="bottom"/>
            <w:gridSpan w:val="2"/>
            <w:vMerge w:val="continue"/>
            <w:shd w:val="clear" w:color="auto" w:fill="CFF0FC"/>
          </w:tcPr>
          <w:p>
            <w:pPr>
              <w:spacing w:after="0"/>
              <w:rPr>
                <w:sz w:val="12"/>
                <w:szCs w:val="12"/>
                <w:color w:val="auto"/>
              </w:rPr>
            </w:pPr>
          </w:p>
        </w:tc>
        <w:tc>
          <w:tcPr>
            <w:tcW w:w="1140" w:type="dxa"/>
            <w:vAlign w:val="bottom"/>
            <w:vMerge w:val="continue"/>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217"/>
        </w:trPr>
        <w:tc>
          <w:tcPr>
            <w:tcW w:w="7600" w:type="dxa"/>
            <w:vAlign w:val="bottom"/>
          </w:tcPr>
          <w:p>
            <w:pPr>
              <w:ind w:left="120"/>
              <w:spacing w:after="0"/>
              <w:rPr>
                <w:sz w:val="20"/>
                <w:szCs w:val="20"/>
                <w:color w:val="auto"/>
              </w:rPr>
            </w:pPr>
            <w:r>
              <w:rPr>
                <w:rFonts w:ascii="Arial" w:cs="Arial" w:eastAsia="Arial" w:hAnsi="Arial"/>
                <w:sz w:val="18"/>
                <w:szCs w:val="18"/>
                <w:color w:val="auto"/>
              </w:rPr>
              <w:t>Long-term liabilities</w:t>
            </w:r>
          </w:p>
        </w:tc>
        <w:tc>
          <w:tcPr>
            <w:tcW w:w="400" w:type="dxa"/>
            <w:vAlign w:val="bottom"/>
          </w:tcPr>
          <w:p>
            <w:pPr>
              <w:spacing w:after="0"/>
              <w:rPr>
                <w:sz w:val="18"/>
                <w:szCs w:val="18"/>
                <w:color w:val="auto"/>
              </w:rPr>
            </w:pPr>
          </w:p>
        </w:tc>
        <w:tc>
          <w:tcPr>
            <w:tcW w:w="1220" w:type="dxa"/>
            <w:vAlign w:val="bottom"/>
            <w:vMerge w:val="restart"/>
          </w:tcPr>
          <w:p>
            <w:pPr>
              <w:jc w:val="right"/>
              <w:spacing w:after="0"/>
              <w:rPr>
                <w:sz w:val="20"/>
                <w:szCs w:val="20"/>
                <w:color w:val="auto"/>
              </w:rPr>
            </w:pPr>
            <w:r>
              <w:rPr>
                <w:rFonts w:ascii="Arial" w:cs="Arial" w:eastAsia="Arial" w:hAnsi="Arial"/>
                <w:sz w:val="18"/>
                <w:szCs w:val="18"/>
                <w:color w:val="auto"/>
              </w:rPr>
              <w:t>1,632</w:t>
            </w:r>
          </w:p>
        </w:tc>
        <w:tc>
          <w:tcPr>
            <w:tcW w:w="3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40" w:type="dxa"/>
            <w:vAlign w:val="bottom"/>
            <w:vMerge w:val="restart"/>
          </w:tcPr>
          <w:p>
            <w:pPr>
              <w:jc w:val="right"/>
              <w:spacing w:after="0"/>
              <w:rPr>
                <w:sz w:val="20"/>
                <w:szCs w:val="20"/>
                <w:color w:val="auto"/>
              </w:rPr>
            </w:pPr>
            <w:r>
              <w:rPr>
                <w:rFonts w:ascii="Arial" w:cs="Arial" w:eastAsia="Arial" w:hAnsi="Arial"/>
                <w:sz w:val="18"/>
                <w:szCs w:val="18"/>
                <w:color w:val="auto"/>
              </w:rPr>
              <w:t>876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8"/>
        </w:trPr>
        <w:tc>
          <w:tcPr>
            <w:tcW w:w="76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20" w:type="dxa"/>
            <w:vAlign w:val="bottom"/>
            <w:vMerge w:val="continue"/>
          </w:tcPr>
          <w:p>
            <w:pPr>
              <w:spacing w:after="0"/>
              <w:rPr>
                <w:sz w:val="12"/>
                <w:szCs w:val="12"/>
                <w:color w:val="auto"/>
              </w:rPr>
            </w:pPr>
          </w:p>
        </w:tc>
        <w:tc>
          <w:tcPr>
            <w:tcW w:w="3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7"/>
        </w:trPr>
        <w:tc>
          <w:tcPr>
            <w:tcW w:w="7600" w:type="dxa"/>
            <w:vAlign w:val="bottom"/>
            <w:shd w:val="clear" w:color="auto" w:fill="CFF0FC"/>
          </w:tcPr>
          <w:p>
            <w:pPr>
              <w:ind w:left="20"/>
              <w:spacing w:after="0"/>
              <w:rPr>
                <w:sz w:val="20"/>
                <w:szCs w:val="20"/>
                <w:color w:val="auto"/>
              </w:rPr>
            </w:pPr>
            <w:r>
              <w:rPr>
                <w:rFonts w:ascii="Arial" w:cs="Arial" w:eastAsia="Arial" w:hAnsi="Arial"/>
                <w:sz w:val="18"/>
                <w:szCs w:val="18"/>
                <w:color w:val="auto"/>
              </w:rPr>
              <w:t>Total liabilities</w:t>
            </w:r>
          </w:p>
        </w:tc>
        <w:tc>
          <w:tcPr>
            <w:tcW w:w="400" w:type="dxa"/>
            <w:vAlign w:val="bottom"/>
            <w:shd w:val="clear" w:color="auto" w:fill="CFF0FC"/>
          </w:tcPr>
          <w:p>
            <w:pPr>
              <w:spacing w:after="0"/>
              <w:rPr>
                <w:sz w:val="18"/>
                <w:szCs w:val="18"/>
                <w:color w:val="auto"/>
              </w:rPr>
            </w:pPr>
          </w:p>
        </w:tc>
        <w:tc>
          <w:tcPr>
            <w:tcW w:w="122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10,924</w:t>
            </w:r>
          </w:p>
        </w:tc>
        <w:tc>
          <w:tcPr>
            <w:tcW w:w="32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14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5,281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48"/>
        </w:trPr>
        <w:tc>
          <w:tcPr>
            <w:tcW w:w="760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1220" w:type="dxa"/>
            <w:vAlign w:val="bottom"/>
            <w:vMerge w:val="continue"/>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1140" w:type="dxa"/>
            <w:vAlign w:val="bottom"/>
            <w:vMerge w:val="continue"/>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217"/>
        </w:trPr>
        <w:tc>
          <w:tcPr>
            <w:tcW w:w="7600" w:type="dxa"/>
            <w:vAlign w:val="bottom"/>
          </w:tcPr>
          <w:p>
            <w:pPr>
              <w:ind w:left="20"/>
              <w:spacing w:after="0"/>
              <w:rPr>
                <w:sz w:val="20"/>
                <w:szCs w:val="20"/>
                <w:color w:val="auto"/>
              </w:rPr>
            </w:pPr>
            <w:r>
              <w:rPr>
                <w:rFonts w:ascii="Arial" w:cs="Arial" w:eastAsia="Arial" w:hAnsi="Arial"/>
                <w:sz w:val="18"/>
                <w:szCs w:val="18"/>
                <w:color w:val="auto"/>
              </w:rPr>
              <w:t>Stockholders' equity</w:t>
            </w:r>
          </w:p>
        </w:tc>
        <w:tc>
          <w:tcPr>
            <w:tcW w:w="400" w:type="dxa"/>
            <w:vAlign w:val="bottom"/>
          </w:tcPr>
          <w:p>
            <w:pPr>
              <w:spacing w:after="0"/>
              <w:rPr>
                <w:sz w:val="18"/>
                <w:szCs w:val="18"/>
                <w:color w:val="auto"/>
              </w:rPr>
            </w:pPr>
          </w:p>
        </w:tc>
        <w:tc>
          <w:tcPr>
            <w:tcW w:w="1220" w:type="dxa"/>
            <w:vAlign w:val="bottom"/>
            <w:vMerge w:val="restart"/>
          </w:tcPr>
          <w:p>
            <w:pPr>
              <w:jc w:val="right"/>
              <w:spacing w:after="0"/>
              <w:rPr>
                <w:sz w:val="20"/>
                <w:szCs w:val="20"/>
                <w:color w:val="auto"/>
              </w:rPr>
            </w:pPr>
            <w:r>
              <w:rPr>
                <w:rFonts w:ascii="Arial" w:cs="Arial" w:eastAsia="Arial" w:hAnsi="Arial"/>
                <w:sz w:val="18"/>
                <w:szCs w:val="18"/>
                <w:color w:val="auto"/>
              </w:rPr>
              <w:t>321,084</w:t>
            </w:r>
          </w:p>
        </w:tc>
        <w:tc>
          <w:tcPr>
            <w:tcW w:w="3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40" w:type="dxa"/>
            <w:vAlign w:val="bottom"/>
            <w:vMerge w:val="restart"/>
          </w:tcPr>
          <w:p>
            <w:pPr>
              <w:jc w:val="right"/>
              <w:spacing w:after="0"/>
              <w:rPr>
                <w:sz w:val="20"/>
                <w:szCs w:val="20"/>
                <w:color w:val="auto"/>
              </w:rPr>
            </w:pPr>
            <w:r>
              <w:rPr>
                <w:rFonts w:ascii="Arial" w:cs="Arial" w:eastAsia="Arial" w:hAnsi="Arial"/>
                <w:sz w:val="18"/>
                <w:szCs w:val="18"/>
                <w:color w:val="auto"/>
              </w:rPr>
              <w:t>274,282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4"/>
        </w:trPr>
        <w:tc>
          <w:tcPr>
            <w:tcW w:w="7600" w:type="dxa"/>
            <w:vAlign w:val="bottom"/>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1220" w:type="dxa"/>
            <w:vAlign w:val="bottom"/>
            <w:tcBorders>
              <w:bottom w:val="single" w:sz="8" w:color="auto"/>
            </w:tcBorders>
            <w:vMerge w:val="continue"/>
          </w:tcPr>
          <w:p>
            <w:pPr>
              <w:spacing w:after="0"/>
              <w:rPr>
                <w:sz w:val="11"/>
                <w:szCs w:val="11"/>
                <w:color w:val="auto"/>
              </w:rPr>
            </w:pPr>
          </w:p>
        </w:tc>
        <w:tc>
          <w:tcPr>
            <w:tcW w:w="320" w:type="dxa"/>
            <w:vAlign w:val="bottom"/>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1140" w:type="dxa"/>
            <w:vAlign w:val="bottom"/>
            <w:tcBorders>
              <w:bottom w:val="single" w:sz="8" w:color="auto"/>
            </w:tcBorders>
            <w:vMerge w:val="continue"/>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23"/>
        </w:trPr>
        <w:tc>
          <w:tcPr>
            <w:tcW w:w="7600" w:type="dxa"/>
            <w:vAlign w:val="bottom"/>
            <w:tcBorders>
              <w:bottom w:val="single" w:sz="8" w:color="CFF0FC"/>
            </w:tcBorders>
            <w:shd w:val="clear" w:color="auto" w:fill="CFF0FC"/>
          </w:tcPr>
          <w:p>
            <w:pPr>
              <w:ind w:left="20"/>
              <w:spacing w:after="0" w:line="182" w:lineRule="exact"/>
              <w:rPr>
                <w:sz w:val="20"/>
                <w:szCs w:val="20"/>
                <w:color w:val="auto"/>
              </w:rPr>
            </w:pPr>
            <w:r>
              <w:rPr>
                <w:rFonts w:ascii="Arial" w:cs="Arial" w:eastAsia="Arial" w:hAnsi="Arial"/>
                <w:sz w:val="18"/>
                <w:szCs w:val="18"/>
                <w:color w:val="auto"/>
              </w:rPr>
              <w:t>Total liabilities and stockholders' equity</w:t>
            </w:r>
          </w:p>
        </w:tc>
        <w:tc>
          <w:tcPr>
            <w:tcW w:w="400" w:type="dxa"/>
            <w:vAlign w:val="bottom"/>
            <w:tcBorders>
              <w:bottom w:val="single" w:sz="8" w:color="auto"/>
            </w:tcBorders>
            <w:shd w:val="clear" w:color="auto" w:fill="CFF0FC"/>
          </w:tcPr>
          <w:p>
            <w:pPr>
              <w:jc w:val="right"/>
              <w:ind w:right="190"/>
              <w:spacing w:after="0" w:line="182" w:lineRule="exact"/>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332,008</w:t>
            </w:r>
          </w:p>
        </w:tc>
        <w:tc>
          <w:tcPr>
            <w:tcW w:w="320" w:type="dxa"/>
            <w:vAlign w:val="bottom"/>
            <w:tcBorders>
              <w:bottom w:val="single" w:sz="8" w:color="CFF0FC"/>
            </w:tcBorders>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jc w:val="right"/>
              <w:ind w:right="250"/>
              <w:spacing w:after="0" w:line="182" w:lineRule="exact"/>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279,563</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744"/>
        </w:trPr>
        <w:tc>
          <w:tcPr>
            <w:tcW w:w="760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5859780</wp:posOffset>
            </wp:positionH>
            <wp:positionV relativeFrom="paragraph">
              <wp:posOffset>-1824990</wp:posOffset>
            </wp:positionV>
            <wp:extent cx="1276985" cy="25717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6985" cy="257175"/>
                    </a:xfrm>
                    <a:prstGeom prst="rect">
                      <a:avLst/>
                    </a:prstGeom>
                    <a:noFill/>
                  </pic:spPr>
                </pic:pic>
              </a:graphicData>
            </a:graphic>
          </wp:anchor>
        </w:drawing>
        <w:drawing>
          <wp:anchor simplePos="0" relativeHeight="251657728" behindDoc="1" locked="0" layoutInCell="0" allowOverlap="1">
            <wp:simplePos x="0" y="0"/>
            <wp:positionH relativeFrom="column">
              <wp:posOffset>5859780</wp:posOffset>
            </wp:positionH>
            <wp:positionV relativeFrom="paragraph">
              <wp:posOffset>-522605</wp:posOffset>
            </wp:positionV>
            <wp:extent cx="7683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5859780</wp:posOffset>
            </wp:positionH>
            <wp:positionV relativeFrom="paragraph">
              <wp:posOffset>-504825</wp:posOffset>
            </wp:positionV>
            <wp:extent cx="7683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-522605</wp:posOffset>
            </wp:positionV>
            <wp:extent cx="6858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-504825</wp:posOffset>
            </wp:positionV>
            <wp:extent cx="6858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Athira Pharma, Inc.</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 of Comprehensive Loss</w:t>
      </w:r>
    </w:p>
    <w:p>
      <w:pPr>
        <w:spacing w:after="0" w:line="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(Amounts in thousands, except share and per share amounts)</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76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260" w:type="dxa"/>
            <w:vAlign w:val="bottom"/>
            <w:gridSpan w:val="5"/>
          </w:tcPr>
          <w:p>
            <w:pPr>
              <w:jc w:val="right"/>
              <w:ind w:right="921"/>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42"/>
        </w:trPr>
        <w:tc>
          <w:tcPr>
            <w:tcW w:w="7600" w:type="dxa"/>
            <w:vAlign w:val="bottom"/>
          </w:tcPr>
          <w:p>
            <w:pPr>
              <w:spacing w:after="0"/>
              <w:rPr>
                <w:sz w:val="12"/>
                <w:szCs w:val="12"/>
                <w:color w:val="auto"/>
              </w:rPr>
            </w:pPr>
          </w:p>
        </w:tc>
        <w:tc>
          <w:tcPr>
            <w:tcW w:w="380" w:type="dxa"/>
            <w:vAlign w:val="bottom"/>
            <w:tcBorders>
              <w:top w:val="single" w:sz="8" w:color="auto"/>
              <w:bottom w:val="single" w:sz="8" w:color="auto"/>
            </w:tcBorders>
          </w:tcPr>
          <w:p>
            <w:pPr>
              <w:spacing w:after="0"/>
              <w:rPr>
                <w:sz w:val="12"/>
                <w:szCs w:val="12"/>
                <w:color w:val="auto"/>
              </w:rPr>
            </w:pPr>
          </w:p>
        </w:tc>
        <w:tc>
          <w:tcPr>
            <w:tcW w:w="1240" w:type="dxa"/>
            <w:vAlign w:val="bottom"/>
            <w:tcBorders>
              <w:top w:val="single" w:sz="8" w:color="auto"/>
              <w:bottom w:val="single" w:sz="8" w:color="auto"/>
            </w:tcBorders>
          </w:tcPr>
          <w:p>
            <w:pPr>
              <w:jc w:val="right"/>
              <w:ind w:right="553"/>
              <w:spacing w:after="0" w:line="142" w:lineRule="exact"/>
              <w:rPr>
                <w:sz w:val="20"/>
                <w:szCs w:val="20"/>
                <w:color w:val="auto"/>
              </w:rPr>
            </w:pPr>
            <w:r>
              <w:rPr>
                <w:rFonts w:ascii="Arial" w:cs="Arial" w:eastAsia="Arial" w:hAnsi="Arial"/>
                <w:sz w:val="14"/>
                <w:szCs w:val="14"/>
                <w:b w:val="1"/>
                <w:bCs w:val="1"/>
                <w:color w:val="auto"/>
              </w:rPr>
              <w:t>2021</w:t>
            </w:r>
          </w:p>
        </w:tc>
        <w:tc>
          <w:tcPr>
            <w:tcW w:w="300" w:type="dxa"/>
            <w:vAlign w:val="bottom"/>
            <w:tcBorders>
              <w:top w:val="single" w:sz="8" w:color="auto"/>
            </w:tcBorders>
          </w:tcPr>
          <w:p>
            <w:pPr>
              <w:spacing w:after="0"/>
              <w:rPr>
                <w:sz w:val="12"/>
                <w:szCs w:val="12"/>
                <w:color w:val="auto"/>
              </w:rPr>
            </w:pPr>
          </w:p>
        </w:tc>
        <w:tc>
          <w:tcPr>
            <w:tcW w:w="380" w:type="dxa"/>
            <w:vAlign w:val="bottom"/>
            <w:tcBorders>
              <w:top w:val="single" w:sz="8" w:color="auto"/>
              <w:bottom w:val="single" w:sz="8" w:color="auto"/>
            </w:tcBorders>
          </w:tcPr>
          <w:p>
            <w:pPr>
              <w:spacing w:after="0"/>
              <w:rPr>
                <w:sz w:val="12"/>
                <w:szCs w:val="12"/>
                <w:color w:val="auto"/>
              </w:rPr>
            </w:pPr>
          </w:p>
        </w:tc>
        <w:tc>
          <w:tcPr>
            <w:tcW w:w="1240" w:type="dxa"/>
            <w:vAlign w:val="bottom"/>
            <w:tcBorders>
              <w:top w:val="single" w:sz="8" w:color="auto"/>
              <w:bottom w:val="single" w:sz="8" w:color="auto"/>
            </w:tcBorders>
          </w:tcPr>
          <w:p>
            <w:pPr>
              <w:jc w:val="right"/>
              <w:ind w:right="572"/>
              <w:spacing w:after="0" w:line="142" w:lineRule="exact"/>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7600" w:type="dxa"/>
            <w:vAlign w:val="bottom"/>
            <w:shd w:val="clear" w:color="auto" w:fill="CFF0FC"/>
          </w:tcPr>
          <w:p>
            <w:pPr>
              <w:ind w:left="20"/>
              <w:spacing w:after="0"/>
              <w:rPr>
                <w:sz w:val="20"/>
                <w:szCs w:val="20"/>
                <w:color w:val="auto"/>
              </w:rPr>
            </w:pPr>
            <w:r>
              <w:rPr>
                <w:rFonts w:ascii="Arial" w:cs="Arial" w:eastAsia="Arial" w:hAnsi="Arial"/>
                <w:sz w:val="18"/>
                <w:szCs w:val="18"/>
                <w:color w:val="auto"/>
              </w:rPr>
              <w:t>Operating expenses:</w:t>
            </w:r>
          </w:p>
        </w:tc>
        <w:tc>
          <w:tcPr>
            <w:tcW w:w="38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48"/>
        </w:trPr>
        <w:tc>
          <w:tcPr>
            <w:tcW w:w="760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124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12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217"/>
        </w:trPr>
        <w:tc>
          <w:tcPr>
            <w:tcW w:w="7600" w:type="dxa"/>
            <w:vAlign w:val="bottom"/>
          </w:tcPr>
          <w:p>
            <w:pPr>
              <w:ind w:left="260"/>
              <w:spacing w:after="0"/>
              <w:rPr>
                <w:sz w:val="20"/>
                <w:szCs w:val="20"/>
                <w:color w:val="auto"/>
              </w:rPr>
            </w:pPr>
            <w:r>
              <w:rPr>
                <w:rFonts w:ascii="Arial" w:cs="Arial" w:eastAsia="Arial" w:hAnsi="Arial"/>
                <w:sz w:val="18"/>
                <w:szCs w:val="18"/>
                <w:color w:val="auto"/>
              </w:rPr>
              <w:t>Research and development</w:t>
            </w:r>
          </w:p>
        </w:tc>
        <w:tc>
          <w:tcPr>
            <w:tcW w:w="380" w:type="dxa"/>
            <w:vAlign w:val="bottom"/>
            <w:vMerge w:val="restart"/>
          </w:tcPr>
          <w:p>
            <w:pPr>
              <w:jc w:val="right"/>
              <w:ind w:right="190"/>
              <w:spacing w:after="0"/>
              <w:rPr>
                <w:sz w:val="20"/>
                <w:szCs w:val="20"/>
                <w:color w:val="auto"/>
              </w:rPr>
            </w:pPr>
            <w:r>
              <w:rPr>
                <w:rFonts w:ascii="Arial" w:cs="Arial" w:eastAsia="Arial" w:hAnsi="Arial"/>
                <w:sz w:val="18"/>
                <w:szCs w:val="18"/>
                <w:color w:val="auto"/>
                <w:w w:val="79"/>
              </w:rPr>
              <w:t>$</w:t>
            </w:r>
          </w:p>
        </w:tc>
        <w:tc>
          <w:tcPr>
            <w:tcW w:w="1240" w:type="dxa"/>
            <w:vAlign w:val="bottom"/>
            <w:vMerge w:val="restart"/>
          </w:tcPr>
          <w:p>
            <w:pPr>
              <w:jc w:val="right"/>
              <w:spacing w:after="0"/>
              <w:rPr>
                <w:sz w:val="20"/>
                <w:szCs w:val="20"/>
                <w:color w:val="auto"/>
              </w:rPr>
            </w:pPr>
            <w:r>
              <w:rPr>
                <w:rFonts w:ascii="Arial" w:cs="Arial" w:eastAsia="Arial" w:hAnsi="Arial"/>
                <w:sz w:val="18"/>
                <w:szCs w:val="18"/>
                <w:color w:val="auto"/>
              </w:rPr>
              <w:t>42,794</w:t>
            </w:r>
          </w:p>
        </w:tc>
        <w:tc>
          <w:tcPr>
            <w:tcW w:w="300" w:type="dxa"/>
            <w:vAlign w:val="bottom"/>
          </w:tcPr>
          <w:p>
            <w:pPr>
              <w:spacing w:after="0"/>
              <w:rPr>
                <w:sz w:val="18"/>
                <w:szCs w:val="18"/>
                <w:color w:val="auto"/>
              </w:rPr>
            </w:pPr>
          </w:p>
        </w:tc>
        <w:tc>
          <w:tcPr>
            <w:tcW w:w="380" w:type="dxa"/>
            <w:vAlign w:val="bottom"/>
            <w:vMerge w:val="restart"/>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vMerge w:val="restart"/>
          </w:tcPr>
          <w:p>
            <w:pPr>
              <w:jc w:val="right"/>
              <w:spacing w:after="0"/>
              <w:rPr>
                <w:sz w:val="20"/>
                <w:szCs w:val="20"/>
                <w:color w:val="auto"/>
              </w:rPr>
            </w:pPr>
            <w:r>
              <w:rPr>
                <w:rFonts w:ascii="Arial" w:cs="Arial" w:eastAsia="Arial" w:hAnsi="Arial"/>
                <w:sz w:val="18"/>
                <w:szCs w:val="18"/>
                <w:color w:val="auto"/>
              </w:rPr>
              <w:t>13,286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8"/>
        </w:trPr>
        <w:tc>
          <w:tcPr>
            <w:tcW w:w="7600" w:type="dxa"/>
            <w:vAlign w:val="bottom"/>
          </w:tcPr>
          <w:p>
            <w:pPr>
              <w:spacing w:after="0"/>
              <w:rPr>
                <w:sz w:val="12"/>
                <w:szCs w:val="12"/>
                <w:color w:val="auto"/>
              </w:rPr>
            </w:pPr>
          </w:p>
        </w:tc>
        <w:tc>
          <w:tcPr>
            <w:tcW w:w="380" w:type="dxa"/>
            <w:vAlign w:val="bottom"/>
            <w:vMerge w:val="continue"/>
          </w:tcPr>
          <w:p>
            <w:pPr>
              <w:spacing w:after="0"/>
              <w:rPr>
                <w:sz w:val="12"/>
                <w:szCs w:val="12"/>
                <w:color w:val="auto"/>
              </w:rPr>
            </w:pPr>
          </w:p>
        </w:tc>
        <w:tc>
          <w:tcPr>
            <w:tcW w:w="124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380" w:type="dxa"/>
            <w:vAlign w:val="bottom"/>
            <w:vMerge w:val="continue"/>
          </w:tcPr>
          <w:p>
            <w:pPr>
              <w:spacing w:after="0"/>
              <w:rPr>
                <w:sz w:val="12"/>
                <w:szCs w:val="12"/>
                <w:color w:val="auto"/>
              </w:rPr>
            </w:pPr>
          </w:p>
        </w:tc>
        <w:tc>
          <w:tcPr>
            <w:tcW w:w="12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7"/>
        </w:trPr>
        <w:tc>
          <w:tcPr>
            <w:tcW w:w="76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General and administrative</w:t>
            </w:r>
          </w:p>
        </w:tc>
        <w:tc>
          <w:tcPr>
            <w:tcW w:w="380" w:type="dxa"/>
            <w:vAlign w:val="bottom"/>
            <w:vMerge w:val="restart"/>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124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21,228</w:t>
            </w:r>
          </w:p>
        </w:tc>
        <w:tc>
          <w:tcPr>
            <w:tcW w:w="300" w:type="dxa"/>
            <w:vAlign w:val="bottom"/>
            <w:shd w:val="clear" w:color="auto" w:fill="CFF0FC"/>
          </w:tcPr>
          <w:p>
            <w:pPr>
              <w:spacing w:after="0"/>
              <w:rPr>
                <w:sz w:val="18"/>
                <w:szCs w:val="18"/>
                <w:color w:val="auto"/>
              </w:rPr>
            </w:pPr>
          </w:p>
        </w:tc>
        <w:tc>
          <w:tcPr>
            <w:tcW w:w="380" w:type="dxa"/>
            <w:vAlign w:val="bottom"/>
            <w:vMerge w:val="restart"/>
            <w:shd w:val="clear" w:color="auto" w:fill="CFF0FC"/>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6,709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34"/>
        </w:trPr>
        <w:tc>
          <w:tcPr>
            <w:tcW w:w="7600" w:type="dxa"/>
            <w:vAlign w:val="bottom"/>
            <w:tcBorders>
              <w:bottom w:val="single" w:sz="8" w:color="CFF0FC"/>
            </w:tcBorders>
            <w:shd w:val="clear" w:color="auto" w:fill="CFF0FC"/>
          </w:tcPr>
          <w:p>
            <w:pPr>
              <w:spacing w:after="0"/>
              <w:rPr>
                <w:sz w:val="11"/>
                <w:szCs w:val="11"/>
                <w:color w:val="auto"/>
              </w:rPr>
            </w:pPr>
          </w:p>
        </w:tc>
        <w:tc>
          <w:tcPr>
            <w:tcW w:w="380" w:type="dxa"/>
            <w:vAlign w:val="bottom"/>
            <w:tcBorders>
              <w:bottom w:val="single" w:sz="8" w:color="auto"/>
            </w:tcBorders>
            <w:vMerge w:val="continue"/>
            <w:shd w:val="clear" w:color="auto" w:fill="CFF0FC"/>
          </w:tcPr>
          <w:p>
            <w:pPr>
              <w:spacing w:after="0"/>
              <w:rPr>
                <w:sz w:val="11"/>
                <w:szCs w:val="11"/>
                <w:color w:val="auto"/>
              </w:rPr>
            </w:pPr>
          </w:p>
        </w:tc>
        <w:tc>
          <w:tcPr>
            <w:tcW w:w="1240" w:type="dxa"/>
            <w:vAlign w:val="bottom"/>
            <w:tcBorders>
              <w:bottom w:val="single" w:sz="8" w:color="auto"/>
            </w:tcBorders>
            <w:vMerge w:val="continue"/>
            <w:shd w:val="clear" w:color="auto" w:fill="CFF0FC"/>
          </w:tcPr>
          <w:p>
            <w:pPr>
              <w:spacing w:after="0"/>
              <w:rPr>
                <w:sz w:val="11"/>
                <w:szCs w:val="11"/>
                <w:color w:val="auto"/>
              </w:rPr>
            </w:pPr>
          </w:p>
        </w:tc>
        <w:tc>
          <w:tcPr>
            <w:tcW w:w="300" w:type="dxa"/>
            <w:vAlign w:val="bottom"/>
            <w:tcBorders>
              <w:bottom w:val="single" w:sz="8" w:color="CFF0FC"/>
            </w:tcBorders>
            <w:shd w:val="clear" w:color="auto" w:fill="CFF0FC"/>
          </w:tcPr>
          <w:p>
            <w:pPr>
              <w:spacing w:after="0"/>
              <w:rPr>
                <w:sz w:val="11"/>
                <w:szCs w:val="11"/>
                <w:color w:val="auto"/>
              </w:rPr>
            </w:pPr>
          </w:p>
        </w:tc>
        <w:tc>
          <w:tcPr>
            <w:tcW w:w="380" w:type="dxa"/>
            <w:vAlign w:val="bottom"/>
            <w:tcBorders>
              <w:bottom w:val="single" w:sz="8" w:color="auto"/>
            </w:tcBorders>
            <w:vMerge w:val="continue"/>
            <w:shd w:val="clear" w:color="auto" w:fill="CFF0FC"/>
          </w:tcPr>
          <w:p>
            <w:pPr>
              <w:spacing w:after="0"/>
              <w:rPr>
                <w:sz w:val="11"/>
                <w:szCs w:val="11"/>
                <w:color w:val="auto"/>
              </w:rPr>
            </w:pPr>
          </w:p>
        </w:tc>
        <w:tc>
          <w:tcPr>
            <w:tcW w:w="1240" w:type="dxa"/>
            <w:vAlign w:val="bottom"/>
            <w:tcBorders>
              <w:bottom w:val="single" w:sz="8" w:color="auto"/>
            </w:tcBorders>
            <w:vMerge w:val="continue"/>
            <w:shd w:val="clear" w:color="auto" w:fill="CFF0FC"/>
          </w:tcPr>
          <w:p>
            <w:pPr>
              <w:spacing w:after="0"/>
              <w:rPr>
                <w:sz w:val="11"/>
                <w:szCs w:val="11"/>
                <w:color w:val="auto"/>
              </w:rPr>
            </w:pPr>
          </w:p>
        </w:tc>
        <w:tc>
          <w:tcPr>
            <w:tcW w:w="100" w:type="dxa"/>
            <w:vAlign w:val="bottom"/>
            <w:tcBorders>
              <w:bottom w:val="single" w:sz="8" w:color="CFF0FC"/>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210"/>
        </w:trPr>
        <w:tc>
          <w:tcPr>
            <w:tcW w:w="7600" w:type="dxa"/>
            <w:vAlign w:val="bottom"/>
          </w:tcPr>
          <w:p>
            <w:pPr>
              <w:ind w:left="520"/>
              <w:spacing w:after="0"/>
              <w:rPr>
                <w:sz w:val="20"/>
                <w:szCs w:val="20"/>
                <w:color w:val="auto"/>
              </w:rPr>
            </w:pPr>
            <w:r>
              <w:rPr>
                <w:rFonts w:ascii="Arial" w:cs="Arial" w:eastAsia="Arial" w:hAnsi="Arial"/>
                <w:sz w:val="18"/>
                <w:szCs w:val="18"/>
                <w:color w:val="auto"/>
              </w:rPr>
              <w:t>Total operating expenses</w:t>
            </w:r>
          </w:p>
        </w:tc>
        <w:tc>
          <w:tcPr>
            <w:tcW w:w="380" w:type="dxa"/>
            <w:vAlign w:val="bottom"/>
          </w:tcPr>
          <w:p>
            <w:pPr>
              <w:spacing w:after="0"/>
              <w:rPr>
                <w:sz w:val="18"/>
                <w:szCs w:val="18"/>
                <w:color w:val="auto"/>
              </w:rPr>
            </w:pPr>
          </w:p>
        </w:tc>
        <w:tc>
          <w:tcPr>
            <w:tcW w:w="1240" w:type="dxa"/>
            <w:vAlign w:val="bottom"/>
            <w:vMerge w:val="restart"/>
          </w:tcPr>
          <w:p>
            <w:pPr>
              <w:jc w:val="right"/>
              <w:spacing w:after="0"/>
              <w:rPr>
                <w:sz w:val="20"/>
                <w:szCs w:val="20"/>
                <w:color w:val="auto"/>
              </w:rPr>
            </w:pPr>
            <w:r>
              <w:rPr>
                <w:rFonts w:ascii="Arial" w:cs="Arial" w:eastAsia="Arial" w:hAnsi="Arial"/>
                <w:sz w:val="18"/>
                <w:szCs w:val="18"/>
                <w:color w:val="auto"/>
              </w:rPr>
              <w:t>64,022</w:t>
            </w: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vMerge w:val="restart"/>
          </w:tcPr>
          <w:p>
            <w:pPr>
              <w:jc w:val="right"/>
              <w:spacing w:after="0"/>
              <w:rPr>
                <w:sz w:val="20"/>
                <w:szCs w:val="20"/>
                <w:color w:val="auto"/>
              </w:rPr>
            </w:pPr>
            <w:r>
              <w:rPr>
                <w:rFonts w:ascii="Arial" w:cs="Arial" w:eastAsia="Arial" w:hAnsi="Arial"/>
                <w:sz w:val="18"/>
                <w:szCs w:val="18"/>
                <w:color w:val="auto"/>
              </w:rPr>
              <w:t>19,995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4"/>
        </w:trPr>
        <w:tc>
          <w:tcPr>
            <w:tcW w:w="7600" w:type="dxa"/>
            <w:vAlign w:val="bottom"/>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1240" w:type="dxa"/>
            <w:vAlign w:val="bottom"/>
            <w:tcBorders>
              <w:bottom w:val="single" w:sz="8" w:color="auto"/>
            </w:tcBorders>
            <w:vMerge w:val="continue"/>
          </w:tcPr>
          <w:p>
            <w:pPr>
              <w:spacing w:after="0"/>
              <w:rPr>
                <w:sz w:val="11"/>
                <w:szCs w:val="11"/>
                <w:color w:val="auto"/>
              </w:rPr>
            </w:pPr>
          </w:p>
        </w:tc>
        <w:tc>
          <w:tcPr>
            <w:tcW w:w="300" w:type="dxa"/>
            <w:vAlign w:val="bottom"/>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1240" w:type="dxa"/>
            <w:vAlign w:val="bottom"/>
            <w:tcBorders>
              <w:bottom w:val="single" w:sz="8" w:color="auto"/>
            </w:tcBorders>
            <w:vMerge w:val="continue"/>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3"/>
        </w:trPr>
        <w:tc>
          <w:tcPr>
            <w:tcW w:w="7600" w:type="dxa"/>
            <w:vAlign w:val="bottom"/>
            <w:shd w:val="clear" w:color="auto" w:fill="CFF0FC"/>
          </w:tcPr>
          <w:p>
            <w:pPr>
              <w:ind w:left="20"/>
              <w:spacing w:after="0" w:line="182" w:lineRule="exact"/>
              <w:rPr>
                <w:sz w:val="20"/>
                <w:szCs w:val="20"/>
                <w:color w:val="auto"/>
              </w:rPr>
            </w:pPr>
            <w:r>
              <w:rPr>
                <w:rFonts w:ascii="Arial" w:cs="Arial" w:eastAsia="Arial" w:hAnsi="Arial"/>
                <w:sz w:val="18"/>
                <w:szCs w:val="18"/>
                <w:color w:val="auto"/>
              </w:rPr>
              <w:t>Loss from operations</w:t>
            </w:r>
          </w:p>
        </w:tc>
        <w:tc>
          <w:tcPr>
            <w:tcW w:w="380" w:type="dxa"/>
            <w:vAlign w:val="bottom"/>
            <w:shd w:val="clear" w:color="auto" w:fill="CFF0FC"/>
          </w:tcPr>
          <w:p>
            <w:pPr>
              <w:spacing w:after="0"/>
              <w:rPr>
                <w:sz w:val="15"/>
                <w:szCs w:val="15"/>
                <w:color w:val="auto"/>
              </w:rPr>
            </w:pPr>
          </w:p>
        </w:tc>
        <w:tc>
          <w:tcPr>
            <w:tcW w:w="1240" w:type="dxa"/>
            <w:vAlign w:val="bottom"/>
            <w:shd w:val="clear" w:color="auto" w:fill="CFF0FC"/>
          </w:tcPr>
          <w:p>
            <w:pPr>
              <w:jc w:val="right"/>
              <w:spacing w:after="0" w:line="182" w:lineRule="exact"/>
              <w:rPr>
                <w:sz w:val="20"/>
                <w:szCs w:val="20"/>
                <w:color w:val="auto"/>
              </w:rPr>
            </w:pPr>
            <w:r>
              <w:rPr>
                <w:rFonts w:ascii="Arial" w:cs="Arial" w:eastAsia="Arial" w:hAnsi="Arial"/>
                <w:sz w:val="18"/>
                <w:szCs w:val="18"/>
                <w:color w:val="auto"/>
              </w:rPr>
              <w:t>(64,022</w:t>
            </w:r>
          </w:p>
        </w:tc>
        <w:tc>
          <w:tcPr>
            <w:tcW w:w="300" w:type="dxa"/>
            <w:vAlign w:val="bottom"/>
            <w:shd w:val="clear" w:color="auto" w:fill="CFF0FC"/>
          </w:tcPr>
          <w:p>
            <w:pPr>
              <w:jc w:val="right"/>
              <w:ind w:right="130"/>
              <w:spacing w:after="0" w:line="182" w:lineRule="exact"/>
              <w:rPr>
                <w:sz w:val="20"/>
                <w:szCs w:val="20"/>
                <w:color w:val="auto"/>
              </w:rPr>
            </w:pPr>
            <w:r>
              <w:rPr>
                <w:rFonts w:ascii="Arial" w:cs="Arial" w:eastAsia="Arial" w:hAnsi="Arial"/>
                <w:sz w:val="18"/>
                <w:szCs w:val="18"/>
                <w:color w:val="auto"/>
                <w:w w:val="99"/>
              </w:rPr>
              <w:t>)</w:t>
            </w:r>
          </w:p>
        </w:tc>
        <w:tc>
          <w:tcPr>
            <w:tcW w:w="380" w:type="dxa"/>
            <w:vAlign w:val="bottom"/>
            <w:shd w:val="clear" w:color="auto" w:fill="CFF0FC"/>
          </w:tcPr>
          <w:p>
            <w:pPr>
              <w:spacing w:after="0"/>
              <w:rPr>
                <w:sz w:val="15"/>
                <w:szCs w:val="15"/>
                <w:color w:val="auto"/>
              </w:rPr>
            </w:pPr>
          </w:p>
        </w:tc>
        <w:tc>
          <w:tcPr>
            <w:tcW w:w="1240" w:type="dxa"/>
            <w:vAlign w:val="bottom"/>
            <w:shd w:val="clear" w:color="auto" w:fill="CFF0FC"/>
          </w:tcPr>
          <w:p>
            <w:pPr>
              <w:jc w:val="right"/>
              <w:spacing w:after="0" w:line="182" w:lineRule="exact"/>
              <w:rPr>
                <w:sz w:val="20"/>
                <w:szCs w:val="20"/>
                <w:color w:val="auto"/>
              </w:rPr>
            </w:pPr>
            <w:r>
              <w:rPr>
                <w:rFonts w:ascii="Arial" w:cs="Arial" w:eastAsia="Arial" w:hAnsi="Arial"/>
                <w:sz w:val="18"/>
                <w:szCs w:val="18"/>
                <w:color w:val="auto"/>
              </w:rPr>
              <w:t>(19,995</w:t>
            </w:r>
          </w:p>
        </w:tc>
        <w:tc>
          <w:tcPr>
            <w:tcW w:w="10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7"/>
        </w:trPr>
        <w:tc>
          <w:tcPr>
            <w:tcW w:w="7600" w:type="dxa"/>
            <w:vAlign w:val="bottom"/>
          </w:tcPr>
          <w:p>
            <w:pPr>
              <w:ind w:left="20"/>
              <w:spacing w:after="0"/>
              <w:rPr>
                <w:sz w:val="20"/>
                <w:szCs w:val="20"/>
                <w:color w:val="auto"/>
              </w:rPr>
            </w:pPr>
            <w:r>
              <w:rPr>
                <w:rFonts w:ascii="Arial" w:cs="Arial" w:eastAsia="Arial" w:hAnsi="Arial"/>
                <w:sz w:val="18"/>
                <w:szCs w:val="18"/>
                <w:color w:val="auto"/>
              </w:rPr>
              <w:t>Grant income</w:t>
            </w:r>
          </w:p>
        </w:tc>
        <w:tc>
          <w:tcPr>
            <w:tcW w:w="380" w:type="dxa"/>
            <w:vAlign w:val="bottom"/>
          </w:tcPr>
          <w:p>
            <w:pPr>
              <w:spacing w:after="0"/>
              <w:rPr>
                <w:sz w:val="18"/>
                <w:szCs w:val="18"/>
                <w:color w:val="auto"/>
              </w:rPr>
            </w:pPr>
          </w:p>
        </w:tc>
        <w:tc>
          <w:tcPr>
            <w:tcW w:w="1240" w:type="dxa"/>
            <w:vAlign w:val="bottom"/>
            <w:vMerge w:val="restart"/>
          </w:tcPr>
          <w:p>
            <w:pPr>
              <w:jc w:val="right"/>
              <w:spacing w:after="0"/>
              <w:rPr>
                <w:sz w:val="20"/>
                <w:szCs w:val="20"/>
                <w:color w:val="auto"/>
              </w:rPr>
            </w:pPr>
            <w:r>
              <w:rPr>
                <w:rFonts w:ascii="Arial" w:cs="Arial" w:eastAsia="Arial" w:hAnsi="Arial"/>
                <w:sz w:val="18"/>
                <w:szCs w:val="18"/>
                <w:color w:val="auto"/>
              </w:rPr>
              <w:t>8,835</w:t>
            </w: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vMerge w:val="restart"/>
          </w:tcPr>
          <w:p>
            <w:pPr>
              <w:jc w:val="right"/>
              <w:spacing w:after="0"/>
              <w:rPr>
                <w:sz w:val="20"/>
                <w:szCs w:val="20"/>
                <w:color w:val="auto"/>
              </w:rPr>
            </w:pPr>
            <w:r>
              <w:rPr>
                <w:rFonts w:ascii="Arial" w:cs="Arial" w:eastAsia="Arial" w:hAnsi="Arial"/>
                <w:sz w:val="18"/>
                <w:szCs w:val="18"/>
                <w:color w:val="auto"/>
              </w:rPr>
              <w:t>1,321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8"/>
        </w:trPr>
        <w:tc>
          <w:tcPr>
            <w:tcW w:w="76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4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7600" w:type="dxa"/>
            <w:vAlign w:val="bottom"/>
            <w:shd w:val="clear" w:color="auto" w:fill="CFF0FC"/>
          </w:tcPr>
          <w:p>
            <w:pPr>
              <w:ind w:left="20"/>
              <w:spacing w:after="0" w:line="176" w:lineRule="exact"/>
              <w:rPr>
                <w:sz w:val="20"/>
                <w:szCs w:val="20"/>
                <w:color w:val="auto"/>
              </w:rPr>
            </w:pPr>
            <w:r>
              <w:rPr>
                <w:rFonts w:ascii="Arial" w:cs="Arial" w:eastAsia="Arial" w:hAnsi="Arial"/>
                <w:sz w:val="18"/>
                <w:szCs w:val="18"/>
                <w:color w:val="auto"/>
              </w:rPr>
              <w:t>Other income (expense), net</w:t>
            </w:r>
          </w:p>
        </w:tc>
        <w:tc>
          <w:tcPr>
            <w:tcW w:w="380" w:type="dxa"/>
            <w:vAlign w:val="bottom"/>
            <w:shd w:val="clear" w:color="auto" w:fill="CFF0FC"/>
          </w:tcPr>
          <w:p>
            <w:pPr>
              <w:spacing w:after="0"/>
              <w:rPr>
                <w:sz w:val="15"/>
                <w:szCs w:val="15"/>
                <w:color w:val="auto"/>
              </w:rPr>
            </w:pPr>
          </w:p>
        </w:tc>
        <w:tc>
          <w:tcPr>
            <w:tcW w:w="1240" w:type="dxa"/>
            <w:vAlign w:val="bottom"/>
            <w:shd w:val="clear" w:color="auto" w:fill="CFF0FC"/>
          </w:tcPr>
          <w:p>
            <w:pPr>
              <w:jc w:val="right"/>
              <w:spacing w:after="0" w:line="176" w:lineRule="exact"/>
              <w:rPr>
                <w:sz w:val="20"/>
                <w:szCs w:val="20"/>
                <w:color w:val="auto"/>
              </w:rPr>
            </w:pPr>
            <w:r>
              <w:rPr>
                <w:rFonts w:ascii="Arial" w:cs="Arial" w:eastAsia="Arial" w:hAnsi="Arial"/>
                <w:sz w:val="18"/>
                <w:szCs w:val="18"/>
                <w:color w:val="auto"/>
              </w:rPr>
              <w:t>334</w:t>
            </w:r>
          </w:p>
        </w:tc>
        <w:tc>
          <w:tcPr>
            <w:tcW w:w="30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1340" w:type="dxa"/>
            <w:vAlign w:val="bottom"/>
            <w:gridSpan w:val="2"/>
            <w:shd w:val="clear" w:color="auto" w:fill="CFF0FC"/>
          </w:tcPr>
          <w:p>
            <w:pPr>
              <w:jc w:val="right"/>
              <w:spacing w:after="0" w:line="176" w:lineRule="exact"/>
              <w:rPr>
                <w:sz w:val="20"/>
                <w:szCs w:val="20"/>
                <w:color w:val="auto"/>
              </w:rPr>
            </w:pPr>
            <w:r>
              <w:rPr>
                <w:rFonts w:ascii="Arial" w:cs="Arial" w:eastAsia="Arial" w:hAnsi="Arial"/>
                <w:sz w:val="18"/>
                <w:szCs w:val="18"/>
                <w:color w:val="auto"/>
              </w:rPr>
              <w:t>(1,281 )</w:t>
            </w:r>
          </w:p>
        </w:tc>
        <w:tc>
          <w:tcPr>
            <w:tcW w:w="0" w:type="dxa"/>
            <w:vAlign w:val="bottom"/>
          </w:tcPr>
          <w:p>
            <w:pPr>
              <w:spacing w:after="0"/>
              <w:rPr>
                <w:sz w:val="1"/>
                <w:szCs w:val="1"/>
                <w:color w:val="auto"/>
              </w:rPr>
            </w:pPr>
          </w:p>
        </w:tc>
      </w:tr>
      <w:tr>
        <w:trPr>
          <w:trHeight w:val="20"/>
        </w:trPr>
        <w:tc>
          <w:tcPr>
            <w:tcW w:w="7600" w:type="dxa"/>
            <w:vAlign w:val="bottom"/>
            <w:shd w:val="clear" w:color="auto" w:fill="CFF0FC"/>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600" w:type="dxa"/>
            <w:vAlign w:val="bottom"/>
          </w:tcPr>
          <w:p>
            <w:pPr>
              <w:ind w:left="20"/>
              <w:spacing w:after="0" w:line="182" w:lineRule="exact"/>
              <w:rPr>
                <w:sz w:val="20"/>
                <w:szCs w:val="20"/>
                <w:color w:val="auto"/>
              </w:rPr>
            </w:pPr>
            <w:r>
              <w:rPr>
                <w:rFonts w:ascii="Arial" w:cs="Arial" w:eastAsia="Arial" w:hAnsi="Arial"/>
                <w:sz w:val="18"/>
                <w:szCs w:val="18"/>
                <w:color w:val="auto"/>
              </w:rPr>
              <w:t>Net loss</w:t>
            </w:r>
          </w:p>
        </w:tc>
        <w:tc>
          <w:tcPr>
            <w:tcW w:w="380" w:type="dxa"/>
            <w:vAlign w:val="bottom"/>
          </w:tcPr>
          <w:p>
            <w:pPr>
              <w:jc w:val="right"/>
              <w:ind w:right="190"/>
              <w:spacing w:after="0" w:line="182" w:lineRule="exact"/>
              <w:rPr>
                <w:sz w:val="20"/>
                <w:szCs w:val="20"/>
                <w:color w:val="auto"/>
              </w:rPr>
            </w:pPr>
            <w:r>
              <w:rPr>
                <w:rFonts w:ascii="Arial" w:cs="Arial" w:eastAsia="Arial" w:hAnsi="Arial"/>
                <w:sz w:val="18"/>
                <w:szCs w:val="18"/>
                <w:color w:val="auto"/>
                <w:w w:val="79"/>
              </w:rPr>
              <w:t>$</w:t>
            </w:r>
          </w:p>
        </w:tc>
        <w:tc>
          <w:tcPr>
            <w:tcW w:w="1540" w:type="dxa"/>
            <w:vAlign w:val="bottom"/>
            <w:gridSpan w:val="2"/>
          </w:tcPr>
          <w:p>
            <w:pPr>
              <w:jc w:val="right"/>
              <w:ind w:right="130"/>
              <w:spacing w:after="0" w:line="182" w:lineRule="exact"/>
              <w:rPr>
                <w:sz w:val="20"/>
                <w:szCs w:val="20"/>
                <w:color w:val="auto"/>
              </w:rPr>
            </w:pPr>
            <w:r>
              <w:rPr>
                <w:rFonts w:ascii="Arial" w:cs="Arial" w:eastAsia="Arial" w:hAnsi="Arial"/>
                <w:sz w:val="18"/>
                <w:szCs w:val="18"/>
                <w:color w:val="auto"/>
              </w:rPr>
              <w:t>(54,853 )</w:t>
            </w:r>
          </w:p>
        </w:tc>
        <w:tc>
          <w:tcPr>
            <w:tcW w:w="380" w:type="dxa"/>
            <w:vAlign w:val="bottom"/>
          </w:tcPr>
          <w:p>
            <w:pPr>
              <w:jc w:val="right"/>
              <w:ind w:right="170"/>
              <w:spacing w:after="0" w:line="182" w:lineRule="exact"/>
              <w:rPr>
                <w:sz w:val="20"/>
                <w:szCs w:val="20"/>
                <w:color w:val="auto"/>
              </w:rPr>
            </w:pPr>
            <w:r>
              <w:rPr>
                <w:rFonts w:ascii="Arial" w:cs="Arial" w:eastAsia="Arial" w:hAnsi="Arial"/>
                <w:sz w:val="18"/>
                <w:szCs w:val="18"/>
                <w:color w:val="auto"/>
                <w:w w:val="99"/>
              </w:rPr>
              <w:t>$</w:t>
            </w:r>
          </w:p>
        </w:tc>
        <w:tc>
          <w:tcPr>
            <w:tcW w:w="134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(19,955 )</w:t>
            </w:r>
          </w:p>
        </w:tc>
        <w:tc>
          <w:tcPr>
            <w:tcW w:w="0" w:type="dxa"/>
            <w:vAlign w:val="bottom"/>
          </w:tcPr>
          <w:p>
            <w:pPr>
              <w:spacing w:after="0"/>
              <w:rPr>
                <w:sz w:val="1"/>
                <w:szCs w:val="1"/>
                <w:color w:val="auto"/>
              </w:rPr>
            </w:pPr>
          </w:p>
        </w:tc>
      </w:tr>
      <w:tr>
        <w:trPr>
          <w:trHeight w:val="20"/>
        </w:trPr>
        <w:tc>
          <w:tcPr>
            <w:tcW w:w="76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7600" w:type="dxa"/>
            <w:vAlign w:val="bottom"/>
            <w:shd w:val="clear" w:color="auto" w:fill="CFF0FC"/>
          </w:tcPr>
          <w:p>
            <w:pPr>
              <w:ind w:left="20"/>
              <w:spacing w:after="0"/>
              <w:rPr>
                <w:sz w:val="20"/>
                <w:szCs w:val="20"/>
                <w:color w:val="auto"/>
              </w:rPr>
            </w:pPr>
            <w:r>
              <w:rPr>
                <w:rFonts w:ascii="Arial" w:cs="Arial" w:eastAsia="Arial" w:hAnsi="Arial"/>
                <w:sz w:val="18"/>
                <w:szCs w:val="18"/>
                <w:color w:val="auto"/>
              </w:rPr>
              <w:t>Unrealized (loss) gain on available-for-sale securities</w:t>
            </w:r>
          </w:p>
        </w:tc>
        <w:tc>
          <w:tcPr>
            <w:tcW w:w="380" w:type="dxa"/>
            <w:vAlign w:val="bottom"/>
            <w:shd w:val="clear" w:color="auto" w:fill="CFF0FC"/>
          </w:tcPr>
          <w:p>
            <w:pPr>
              <w:spacing w:after="0"/>
              <w:rPr>
                <w:sz w:val="22"/>
                <w:szCs w:val="22"/>
                <w:color w:val="auto"/>
              </w:rPr>
            </w:pPr>
          </w:p>
        </w:tc>
        <w:tc>
          <w:tcPr>
            <w:tcW w:w="1540" w:type="dxa"/>
            <w:vAlign w:val="bottom"/>
            <w:gridSpan w:val="2"/>
            <w:vMerge w:val="restart"/>
            <w:shd w:val="clear" w:color="auto" w:fill="CFF0FC"/>
          </w:tcPr>
          <w:p>
            <w:pPr>
              <w:jc w:val="right"/>
              <w:ind w:right="130"/>
              <w:spacing w:after="0"/>
              <w:rPr>
                <w:sz w:val="20"/>
                <w:szCs w:val="20"/>
                <w:color w:val="auto"/>
              </w:rPr>
            </w:pPr>
            <w:r>
              <w:rPr>
                <w:rFonts w:ascii="Arial" w:cs="Arial" w:eastAsia="Arial" w:hAnsi="Arial"/>
                <w:sz w:val="18"/>
                <w:szCs w:val="18"/>
                <w:color w:val="auto"/>
              </w:rPr>
              <w:t>(421 )</w:t>
            </w:r>
          </w:p>
        </w:tc>
        <w:tc>
          <w:tcPr>
            <w:tcW w:w="380" w:type="dxa"/>
            <w:vAlign w:val="bottom"/>
            <w:shd w:val="clear" w:color="auto" w:fill="CFF0FC"/>
          </w:tcPr>
          <w:p>
            <w:pPr>
              <w:spacing w:after="0"/>
              <w:rPr>
                <w:sz w:val="22"/>
                <w:szCs w:val="22"/>
                <w:color w:val="auto"/>
              </w:rPr>
            </w:pPr>
          </w:p>
        </w:tc>
        <w:tc>
          <w:tcPr>
            <w:tcW w:w="124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33</w:t>
            </w:r>
          </w:p>
        </w:tc>
        <w:tc>
          <w:tcPr>
            <w:tcW w:w="10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68"/>
        </w:trPr>
        <w:tc>
          <w:tcPr>
            <w:tcW w:w="7600" w:type="dxa"/>
            <w:vAlign w:val="bottom"/>
            <w:shd w:val="clear" w:color="auto" w:fill="CFF0FC"/>
          </w:tcPr>
          <w:p>
            <w:pPr>
              <w:spacing w:after="0"/>
              <w:rPr>
                <w:sz w:val="5"/>
                <w:szCs w:val="5"/>
                <w:color w:val="auto"/>
              </w:rPr>
            </w:pPr>
          </w:p>
        </w:tc>
        <w:tc>
          <w:tcPr>
            <w:tcW w:w="380" w:type="dxa"/>
            <w:vAlign w:val="bottom"/>
            <w:shd w:val="clear" w:color="auto" w:fill="CFF0FC"/>
          </w:tcPr>
          <w:p>
            <w:pPr>
              <w:spacing w:after="0"/>
              <w:rPr>
                <w:sz w:val="5"/>
                <w:szCs w:val="5"/>
                <w:color w:val="auto"/>
              </w:rPr>
            </w:pPr>
          </w:p>
        </w:tc>
        <w:tc>
          <w:tcPr>
            <w:tcW w:w="1540" w:type="dxa"/>
            <w:vAlign w:val="bottom"/>
            <w:gridSpan w:val="2"/>
            <w:vMerge w:val="continue"/>
            <w:shd w:val="clear" w:color="auto" w:fill="CFF0FC"/>
          </w:tcPr>
          <w:p>
            <w:pPr>
              <w:spacing w:after="0"/>
              <w:rPr>
                <w:sz w:val="5"/>
                <w:szCs w:val="5"/>
                <w:color w:val="auto"/>
              </w:rPr>
            </w:pPr>
          </w:p>
        </w:tc>
        <w:tc>
          <w:tcPr>
            <w:tcW w:w="380" w:type="dxa"/>
            <w:vAlign w:val="bottom"/>
            <w:shd w:val="clear" w:color="auto" w:fill="CFF0FC"/>
          </w:tcPr>
          <w:p>
            <w:pPr>
              <w:spacing w:after="0"/>
              <w:rPr>
                <w:sz w:val="5"/>
                <w:szCs w:val="5"/>
                <w:color w:val="auto"/>
              </w:rPr>
            </w:pPr>
          </w:p>
        </w:tc>
        <w:tc>
          <w:tcPr>
            <w:tcW w:w="1240" w:type="dxa"/>
            <w:vAlign w:val="bottom"/>
            <w:vMerge w:val="continue"/>
            <w:shd w:val="clear" w:color="auto" w:fill="CFF0FC"/>
          </w:tcPr>
          <w:p>
            <w:pPr>
              <w:spacing w:after="0"/>
              <w:rPr>
                <w:sz w:val="5"/>
                <w:szCs w:val="5"/>
                <w:color w:val="auto"/>
              </w:rPr>
            </w:pPr>
          </w:p>
        </w:tc>
        <w:tc>
          <w:tcPr>
            <w:tcW w:w="100" w:type="dxa"/>
            <w:vAlign w:val="bottom"/>
            <w:shd w:val="clear" w:color="auto" w:fill="CFF0FC"/>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7600" w:type="dxa"/>
            <w:vAlign w:val="bottom"/>
            <w:shd w:val="clear" w:color="auto" w:fill="CFF0FC"/>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600" w:type="dxa"/>
            <w:vAlign w:val="bottom"/>
          </w:tcPr>
          <w:p>
            <w:pPr>
              <w:ind w:left="20"/>
              <w:spacing w:after="0" w:line="182" w:lineRule="exact"/>
              <w:rPr>
                <w:sz w:val="20"/>
                <w:szCs w:val="20"/>
                <w:color w:val="auto"/>
              </w:rPr>
            </w:pPr>
            <w:r>
              <w:rPr>
                <w:rFonts w:ascii="Arial" w:cs="Arial" w:eastAsia="Arial" w:hAnsi="Arial"/>
                <w:sz w:val="18"/>
                <w:szCs w:val="18"/>
                <w:color w:val="auto"/>
              </w:rPr>
              <w:t>Comprehensive loss attributable to common stockholders</w:t>
            </w:r>
          </w:p>
        </w:tc>
        <w:tc>
          <w:tcPr>
            <w:tcW w:w="380" w:type="dxa"/>
            <w:vAlign w:val="bottom"/>
          </w:tcPr>
          <w:p>
            <w:pPr>
              <w:jc w:val="right"/>
              <w:ind w:right="190"/>
              <w:spacing w:after="0" w:line="182" w:lineRule="exact"/>
              <w:rPr>
                <w:sz w:val="20"/>
                <w:szCs w:val="20"/>
                <w:color w:val="auto"/>
              </w:rPr>
            </w:pPr>
            <w:r>
              <w:rPr>
                <w:rFonts w:ascii="Arial" w:cs="Arial" w:eastAsia="Arial" w:hAnsi="Arial"/>
                <w:sz w:val="18"/>
                <w:szCs w:val="18"/>
                <w:color w:val="auto"/>
                <w:w w:val="79"/>
              </w:rPr>
              <w:t>$</w:t>
            </w:r>
          </w:p>
        </w:tc>
        <w:tc>
          <w:tcPr>
            <w:tcW w:w="1540" w:type="dxa"/>
            <w:vAlign w:val="bottom"/>
            <w:gridSpan w:val="2"/>
          </w:tcPr>
          <w:p>
            <w:pPr>
              <w:jc w:val="right"/>
              <w:ind w:right="130"/>
              <w:spacing w:after="0" w:line="182" w:lineRule="exact"/>
              <w:rPr>
                <w:sz w:val="20"/>
                <w:szCs w:val="20"/>
                <w:color w:val="auto"/>
              </w:rPr>
            </w:pPr>
            <w:r>
              <w:rPr>
                <w:rFonts w:ascii="Arial" w:cs="Arial" w:eastAsia="Arial" w:hAnsi="Arial"/>
                <w:sz w:val="18"/>
                <w:szCs w:val="18"/>
                <w:color w:val="auto"/>
              </w:rPr>
              <w:t>(55,274 )</w:t>
            </w:r>
          </w:p>
        </w:tc>
        <w:tc>
          <w:tcPr>
            <w:tcW w:w="380" w:type="dxa"/>
            <w:vAlign w:val="bottom"/>
          </w:tcPr>
          <w:p>
            <w:pPr>
              <w:jc w:val="right"/>
              <w:ind w:right="170"/>
              <w:spacing w:after="0" w:line="182" w:lineRule="exact"/>
              <w:rPr>
                <w:sz w:val="20"/>
                <w:szCs w:val="20"/>
                <w:color w:val="auto"/>
              </w:rPr>
            </w:pPr>
            <w:r>
              <w:rPr>
                <w:rFonts w:ascii="Arial" w:cs="Arial" w:eastAsia="Arial" w:hAnsi="Arial"/>
                <w:sz w:val="18"/>
                <w:szCs w:val="18"/>
                <w:color w:val="auto"/>
                <w:w w:val="99"/>
              </w:rPr>
              <w:t>$</w:t>
            </w:r>
          </w:p>
        </w:tc>
        <w:tc>
          <w:tcPr>
            <w:tcW w:w="134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(19,922 )</w:t>
            </w:r>
          </w:p>
        </w:tc>
        <w:tc>
          <w:tcPr>
            <w:tcW w:w="0" w:type="dxa"/>
            <w:vAlign w:val="bottom"/>
          </w:tcPr>
          <w:p>
            <w:pPr>
              <w:spacing w:after="0"/>
              <w:rPr>
                <w:sz w:val="1"/>
                <w:szCs w:val="1"/>
                <w:color w:val="auto"/>
              </w:rPr>
            </w:pPr>
          </w:p>
        </w:tc>
      </w:tr>
      <w:tr>
        <w:trPr>
          <w:trHeight w:val="20"/>
        </w:trPr>
        <w:tc>
          <w:tcPr>
            <w:tcW w:w="76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7600" w:type="dxa"/>
            <w:vAlign w:val="bottom"/>
            <w:shd w:val="clear" w:color="auto" w:fill="CFF0FC"/>
          </w:tcPr>
          <w:p>
            <w:pPr>
              <w:ind w:left="20"/>
              <w:spacing w:after="0" w:line="142" w:lineRule="exact"/>
              <w:rPr>
                <w:sz w:val="20"/>
                <w:szCs w:val="20"/>
                <w:color w:val="auto"/>
              </w:rPr>
            </w:pPr>
            <w:r>
              <w:rPr>
                <w:rFonts w:ascii="Arial" w:cs="Arial" w:eastAsia="Arial" w:hAnsi="Arial"/>
                <w:sz w:val="16"/>
                <w:szCs w:val="16"/>
                <w:color w:val="auto"/>
              </w:rPr>
              <w:t>Net loss per share attributable to common stockholders,</w:t>
            </w:r>
          </w:p>
        </w:tc>
        <w:tc>
          <w:tcPr>
            <w:tcW w:w="380" w:type="dxa"/>
            <w:vAlign w:val="bottom"/>
            <w:vMerge w:val="restart"/>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1540" w:type="dxa"/>
            <w:vAlign w:val="bottom"/>
            <w:gridSpan w:val="2"/>
            <w:vMerge w:val="restart"/>
            <w:shd w:val="clear" w:color="auto" w:fill="CFF0FC"/>
          </w:tcPr>
          <w:p>
            <w:pPr>
              <w:jc w:val="right"/>
              <w:ind w:right="130"/>
              <w:spacing w:after="0"/>
              <w:rPr>
                <w:sz w:val="20"/>
                <w:szCs w:val="20"/>
                <w:color w:val="auto"/>
              </w:rPr>
            </w:pPr>
            <w:r>
              <w:rPr>
                <w:rFonts w:ascii="Arial" w:cs="Arial" w:eastAsia="Arial" w:hAnsi="Arial"/>
                <w:sz w:val="18"/>
                <w:szCs w:val="18"/>
                <w:color w:val="auto"/>
              </w:rPr>
              <w:t>(1.49 )</w:t>
            </w:r>
          </w:p>
        </w:tc>
        <w:tc>
          <w:tcPr>
            <w:tcW w:w="380" w:type="dxa"/>
            <w:vAlign w:val="bottom"/>
            <w:vMerge w:val="restart"/>
            <w:shd w:val="clear" w:color="auto" w:fill="CFF0FC"/>
          </w:tcPr>
          <w:p>
            <w:pPr>
              <w:jc w:val="right"/>
              <w:ind w:right="170"/>
              <w:spacing w:after="0"/>
              <w:rPr>
                <w:sz w:val="20"/>
                <w:szCs w:val="20"/>
                <w:color w:val="auto"/>
              </w:rPr>
            </w:pPr>
            <w:r>
              <w:rPr>
                <w:rFonts w:ascii="Arial" w:cs="Arial" w:eastAsia="Arial" w:hAnsi="Arial"/>
                <w:sz w:val="18"/>
                <w:szCs w:val="18"/>
                <w:color w:val="auto"/>
                <w:w w:val="99"/>
              </w:rPr>
              <w:t>$</w:t>
            </w:r>
          </w:p>
        </w:tc>
        <w:tc>
          <w:tcPr>
            <w:tcW w:w="1340" w:type="dxa"/>
            <w:vAlign w:val="bottom"/>
            <w:gridSpan w:val="2"/>
            <w:vMerge w:val="restart"/>
            <w:shd w:val="clear" w:color="auto" w:fill="CFF0FC"/>
          </w:tcPr>
          <w:p>
            <w:pPr>
              <w:jc w:val="right"/>
              <w:spacing w:after="0"/>
              <w:rPr>
                <w:sz w:val="20"/>
                <w:szCs w:val="20"/>
                <w:color w:val="auto"/>
              </w:rPr>
            </w:pPr>
            <w:r>
              <w:rPr>
                <w:rFonts w:ascii="Arial" w:cs="Arial" w:eastAsia="Arial" w:hAnsi="Arial"/>
                <w:sz w:val="18"/>
                <w:szCs w:val="18"/>
                <w:color w:val="auto"/>
              </w:rPr>
              <w:t>(1.67 )</w:t>
            </w:r>
          </w:p>
        </w:tc>
        <w:tc>
          <w:tcPr>
            <w:tcW w:w="0" w:type="dxa"/>
            <w:vAlign w:val="bottom"/>
          </w:tcPr>
          <w:p>
            <w:pPr>
              <w:spacing w:after="0"/>
              <w:rPr>
                <w:sz w:val="1"/>
                <w:szCs w:val="1"/>
                <w:color w:val="auto"/>
              </w:rPr>
            </w:pPr>
          </w:p>
        </w:tc>
      </w:tr>
      <w:tr>
        <w:trPr>
          <w:trHeight w:val="203"/>
        </w:trPr>
        <w:tc>
          <w:tcPr>
            <w:tcW w:w="7600" w:type="dxa"/>
            <w:vAlign w:val="bottom"/>
            <w:shd w:val="clear" w:color="auto" w:fill="CFF0FC"/>
          </w:tcPr>
          <w:p>
            <w:pPr>
              <w:ind w:left="180"/>
              <w:spacing w:after="0" w:line="143" w:lineRule="exact"/>
              <w:rPr>
                <w:sz w:val="20"/>
                <w:szCs w:val="20"/>
                <w:color w:val="auto"/>
              </w:rPr>
            </w:pPr>
            <w:r>
              <w:rPr>
                <w:rFonts w:ascii="Arial" w:cs="Arial" w:eastAsia="Arial" w:hAnsi="Arial"/>
                <w:sz w:val="16"/>
                <w:szCs w:val="16"/>
                <w:color w:val="auto"/>
              </w:rPr>
              <w:t>basic and diluted</w:t>
            </w:r>
          </w:p>
        </w:tc>
        <w:tc>
          <w:tcPr>
            <w:tcW w:w="380" w:type="dxa"/>
            <w:vAlign w:val="bottom"/>
            <w:vMerge w:val="continue"/>
            <w:shd w:val="clear" w:color="auto" w:fill="CFF0FC"/>
          </w:tcPr>
          <w:p>
            <w:pPr>
              <w:spacing w:after="0"/>
              <w:rPr>
                <w:sz w:val="17"/>
                <w:szCs w:val="17"/>
                <w:color w:val="auto"/>
              </w:rPr>
            </w:pPr>
          </w:p>
        </w:tc>
        <w:tc>
          <w:tcPr>
            <w:tcW w:w="1540" w:type="dxa"/>
            <w:vAlign w:val="bottom"/>
            <w:gridSpan w:val="2"/>
            <w:vMerge w:val="continue"/>
            <w:shd w:val="clear" w:color="auto" w:fill="CFF0FC"/>
          </w:tcPr>
          <w:p>
            <w:pPr>
              <w:spacing w:after="0"/>
              <w:rPr>
                <w:sz w:val="17"/>
                <w:szCs w:val="17"/>
                <w:color w:val="auto"/>
              </w:rPr>
            </w:pPr>
          </w:p>
        </w:tc>
        <w:tc>
          <w:tcPr>
            <w:tcW w:w="380" w:type="dxa"/>
            <w:vAlign w:val="bottom"/>
            <w:vMerge w:val="continue"/>
            <w:shd w:val="clear" w:color="auto" w:fill="CFF0FC"/>
          </w:tcPr>
          <w:p>
            <w:pPr>
              <w:spacing w:after="0"/>
              <w:rPr>
                <w:sz w:val="17"/>
                <w:szCs w:val="17"/>
                <w:color w:val="auto"/>
              </w:rPr>
            </w:pPr>
          </w:p>
        </w:tc>
        <w:tc>
          <w:tcPr>
            <w:tcW w:w="1340" w:type="dxa"/>
            <w:vAlign w:val="bottom"/>
            <w:gridSpan w:val="2"/>
            <w:vMerge w:val="continue"/>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42"/>
        </w:trPr>
        <w:tc>
          <w:tcPr>
            <w:tcW w:w="7600" w:type="dxa"/>
            <w:vAlign w:val="bottom"/>
            <w:tcBorders>
              <w:top w:val="single" w:sz="8" w:color="CFF0FC"/>
            </w:tcBorders>
          </w:tcPr>
          <w:p>
            <w:pPr>
              <w:ind w:left="20"/>
              <w:spacing w:after="0" w:line="142" w:lineRule="exact"/>
              <w:rPr>
                <w:sz w:val="20"/>
                <w:szCs w:val="20"/>
                <w:color w:val="auto"/>
              </w:rPr>
            </w:pPr>
            <w:r>
              <w:rPr>
                <w:rFonts w:ascii="Arial" w:cs="Arial" w:eastAsia="Arial" w:hAnsi="Arial"/>
                <w:sz w:val="16"/>
                <w:szCs w:val="16"/>
                <w:color w:val="auto"/>
              </w:rPr>
              <w:t>Weighted-average shares used in computing net loss per</w:t>
            </w:r>
          </w:p>
        </w:tc>
        <w:tc>
          <w:tcPr>
            <w:tcW w:w="380" w:type="dxa"/>
            <w:vAlign w:val="bottom"/>
            <w:tcBorders>
              <w:top w:val="single" w:sz="8" w:color="auto"/>
            </w:tcBorders>
          </w:tcPr>
          <w:p>
            <w:pPr>
              <w:spacing w:after="0"/>
              <w:rPr>
                <w:sz w:val="12"/>
                <w:szCs w:val="12"/>
                <w:color w:val="auto"/>
              </w:rPr>
            </w:pPr>
          </w:p>
        </w:tc>
        <w:tc>
          <w:tcPr>
            <w:tcW w:w="1240" w:type="dxa"/>
            <w:vAlign w:val="bottom"/>
            <w:tcBorders>
              <w:top w:val="single" w:sz="8" w:color="auto"/>
            </w:tcBorders>
          </w:tcPr>
          <w:p>
            <w:pPr>
              <w:spacing w:after="0"/>
              <w:rPr>
                <w:sz w:val="12"/>
                <w:szCs w:val="12"/>
                <w:color w:val="auto"/>
              </w:rPr>
            </w:pPr>
          </w:p>
        </w:tc>
        <w:tc>
          <w:tcPr>
            <w:tcW w:w="300" w:type="dxa"/>
            <w:vAlign w:val="bottom"/>
            <w:tcBorders>
              <w:top w:val="single" w:sz="8" w:color="CFF0FC"/>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1240" w:type="dxa"/>
            <w:vAlign w:val="bottom"/>
            <w:tcBorders>
              <w:top w:val="single" w:sz="8" w:color="auto"/>
            </w:tcBorders>
          </w:tcPr>
          <w:p>
            <w:pPr>
              <w:spacing w:after="0"/>
              <w:rPr>
                <w:sz w:val="12"/>
                <w:szCs w:val="12"/>
                <w:color w:val="auto"/>
              </w:rPr>
            </w:pPr>
          </w:p>
        </w:tc>
        <w:tc>
          <w:tcPr>
            <w:tcW w:w="100" w:type="dxa"/>
            <w:vAlign w:val="bottom"/>
            <w:tcBorders>
              <w:top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7600" w:type="dxa"/>
            <w:vAlign w:val="bottom"/>
          </w:tcPr>
          <w:p>
            <w:pPr>
              <w:ind w:left="180"/>
              <w:spacing w:after="0" w:line="176" w:lineRule="exact"/>
              <w:rPr>
                <w:sz w:val="20"/>
                <w:szCs w:val="20"/>
                <w:color w:val="auto"/>
              </w:rPr>
            </w:pPr>
            <w:r>
              <w:rPr>
                <w:rFonts w:ascii="Arial" w:cs="Arial" w:eastAsia="Arial" w:hAnsi="Arial"/>
                <w:sz w:val="18"/>
                <w:szCs w:val="18"/>
                <w:color w:val="auto"/>
              </w:rPr>
              <w:t>share attributable to common stockholders, basic</w:t>
            </w:r>
          </w:p>
        </w:tc>
        <w:tc>
          <w:tcPr>
            <w:tcW w:w="380" w:type="dxa"/>
            <w:vAlign w:val="bottom"/>
          </w:tcPr>
          <w:p>
            <w:pPr>
              <w:spacing w:after="0"/>
              <w:rPr>
                <w:sz w:val="15"/>
                <w:szCs w:val="15"/>
                <w:color w:val="auto"/>
              </w:rPr>
            </w:pPr>
          </w:p>
        </w:tc>
        <w:tc>
          <w:tcPr>
            <w:tcW w:w="1240" w:type="dxa"/>
            <w:vAlign w:val="bottom"/>
            <w:vMerge w:val="restart"/>
          </w:tcPr>
          <w:p>
            <w:pPr>
              <w:jc w:val="right"/>
              <w:spacing w:after="0"/>
              <w:rPr>
                <w:sz w:val="20"/>
                <w:szCs w:val="20"/>
                <w:color w:val="auto"/>
              </w:rPr>
            </w:pPr>
            <w:r>
              <w:rPr>
                <w:rFonts w:ascii="Arial" w:cs="Arial" w:eastAsia="Arial" w:hAnsi="Arial"/>
                <w:sz w:val="18"/>
                <w:szCs w:val="18"/>
                <w:color w:val="auto"/>
              </w:rPr>
              <w:t>36,921,172</w:t>
            </w:r>
          </w:p>
        </w:tc>
        <w:tc>
          <w:tcPr>
            <w:tcW w:w="3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40" w:type="dxa"/>
            <w:vAlign w:val="bottom"/>
            <w:vMerge w:val="restart"/>
          </w:tcPr>
          <w:p>
            <w:pPr>
              <w:jc w:val="right"/>
              <w:spacing w:after="0"/>
              <w:rPr>
                <w:sz w:val="20"/>
                <w:szCs w:val="20"/>
                <w:color w:val="auto"/>
              </w:rPr>
            </w:pPr>
            <w:r>
              <w:rPr>
                <w:rFonts w:ascii="Arial" w:cs="Arial" w:eastAsia="Arial" w:hAnsi="Arial"/>
                <w:sz w:val="18"/>
                <w:szCs w:val="18"/>
                <w:color w:val="auto"/>
              </w:rPr>
              <w:t>11,966,912</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3"/>
        </w:trPr>
        <w:tc>
          <w:tcPr>
            <w:tcW w:w="7600" w:type="dxa"/>
            <w:vAlign w:val="bottom"/>
          </w:tcPr>
          <w:p>
            <w:pPr>
              <w:ind w:left="180"/>
              <w:spacing w:after="0" w:line="143" w:lineRule="exact"/>
              <w:rPr>
                <w:sz w:val="20"/>
                <w:szCs w:val="20"/>
                <w:color w:val="auto"/>
              </w:rPr>
            </w:pPr>
            <w:r>
              <w:rPr>
                <w:rFonts w:ascii="Arial" w:cs="Arial" w:eastAsia="Arial" w:hAnsi="Arial"/>
                <w:sz w:val="16"/>
                <w:szCs w:val="16"/>
                <w:color w:val="auto"/>
              </w:rPr>
              <w:t>and diluted</w:t>
            </w:r>
          </w:p>
        </w:tc>
        <w:tc>
          <w:tcPr>
            <w:tcW w:w="38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vMerge w:val="continue"/>
          </w:tcPr>
          <w:p>
            <w:pPr>
              <w:spacing w:after="0"/>
              <w:rPr>
                <w:sz w:val="14"/>
                <w:szCs w:val="14"/>
                <w:color w:val="auto"/>
              </w:rPr>
            </w:pPr>
          </w:p>
        </w:tc>
        <w:tc>
          <w:tcPr>
            <w:tcW w:w="30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6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1"/>
        </w:trPr>
        <w:tc>
          <w:tcPr>
            <w:tcW w:w="760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5859780</wp:posOffset>
            </wp:positionH>
            <wp:positionV relativeFrom="paragraph">
              <wp:posOffset>-2171065</wp:posOffset>
            </wp:positionV>
            <wp:extent cx="76835" cy="23431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6835" cy="2343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-2171065</wp:posOffset>
            </wp:positionV>
            <wp:extent cx="68580" cy="23431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234315"/>
                    </a:xfrm>
                    <a:prstGeom prst="rect">
                      <a:avLst/>
                    </a:prstGeom>
                    <a:noFill/>
                  </pic:spPr>
                </pic:pic>
              </a:graphicData>
            </a:graphic>
          </wp:anchor>
        </w:drawing>
        <w:drawing>
          <wp:anchor simplePos="0" relativeHeight="251657728" behindDoc="1" locked="0" layoutInCell="0" allowOverlap="1">
            <wp:simplePos x="0" y="0"/>
            <wp:positionH relativeFrom="column">
              <wp:posOffset>5859780</wp:posOffset>
            </wp:positionH>
            <wp:positionV relativeFrom="paragraph">
              <wp:posOffset>-1468120</wp:posOffset>
            </wp:positionV>
            <wp:extent cx="76835" cy="148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6835" cy="1485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-1468120</wp:posOffset>
            </wp:positionV>
            <wp:extent cx="68580" cy="148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148590"/>
                    </a:xfrm>
                    <a:prstGeom prst="rect">
                      <a:avLst/>
                    </a:prstGeom>
                    <a:noFill/>
                  </pic:spPr>
                </pic:pic>
              </a:graphicData>
            </a:graphic>
          </wp:anchor>
        </w:drawing>
        <w:drawing>
          <wp:anchor simplePos="0" relativeHeight="251657728" behindDoc="1" locked="0" layoutInCell="0" allowOverlap="1">
            <wp:simplePos x="0" y="0"/>
            <wp:positionH relativeFrom="column">
              <wp:posOffset>5859780</wp:posOffset>
            </wp:positionH>
            <wp:positionV relativeFrom="paragraph">
              <wp:posOffset>-1090930</wp:posOffset>
            </wp:positionV>
            <wp:extent cx="76835" cy="148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6835" cy="1485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-1090930</wp:posOffset>
            </wp:positionV>
            <wp:extent cx="68580" cy="148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148590"/>
                    </a:xfrm>
                    <a:prstGeom prst="rect">
                      <a:avLst/>
                    </a:prstGeom>
                    <a:noFill/>
                  </pic:spPr>
                </pic:pic>
              </a:graphicData>
            </a:graphic>
          </wp:anchor>
        </w:drawing>
        <w:drawing>
          <wp:anchor simplePos="0" relativeHeight="251657728" behindDoc="1" locked="0" layoutInCell="0" allowOverlap="1">
            <wp:simplePos x="0" y="0"/>
            <wp:positionH relativeFrom="column">
              <wp:posOffset>5859780</wp:posOffset>
            </wp:positionH>
            <wp:positionV relativeFrom="paragraph">
              <wp:posOffset>-736600</wp:posOffset>
            </wp:positionV>
            <wp:extent cx="1276985" cy="3683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76985" cy="36830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0" w:name="page11"/>
    <w:bookmarkEnd w:id="10"/>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
      <w:numFmt w:val="bullet"/>
      <w:start w:val="1"/>
    </w:lvl>
  </w:abstractNum>
  <w:abstractNum w:abstractNumId="3">
    <w:nsid w:val="79E2A9E3"/>
    <w:multiLevelType w:val="hybridMultilevel"/>
    <w:lvl w:ilvl="0">
      <w:lvlJc w:val="left"/>
      <w:lvlText w:val="•"/>
      <w:numFmt w:val="bullet"/>
      <w:start w:val="1"/>
    </w:lvl>
  </w:abstractNum>
  <w:abstractNum w:abstractNumId="4">
    <w:nsid w:val="7545E146"/>
    <w:multiLevelType w:val="hybridMultilevel"/>
    <w:lvl w:ilvl="0">
      <w:lvlJc w:val="left"/>
      <w:lvlText w:val="•"/>
      <w:numFmt w:val="bullet"/>
      <w:start w:val="1"/>
    </w:lvl>
  </w:abstractNum>
  <w:abstractNum w:abstractNumId="5">
    <w:nsid w:val="515F007C"/>
    <w:multiLevelType w:val="hybridMultilevel"/>
    <w:lvl w:ilvl="0">
      <w:lvlJc w:val="left"/>
      <w:lvlText w:val="•"/>
      <w:numFmt w:val="bullet"/>
      <w:start w:val="1"/>
    </w:lvl>
  </w:abstractNum>
  <w:abstractNum w:abstractNumId="6">
    <w:nsid w:val="5BD062C2"/>
    <w:multiLevelType w:val="hybridMultilevel"/>
    <w:lvl w:ilvl="0">
      <w:lvlJc w:val="left"/>
      <w:lvlText w:val="•"/>
      <w:numFmt w:val="bullet"/>
      <w:start w:val="1"/>
    </w:lvl>
  </w:abstractNum>
  <w:abstractNum w:abstractNumId="7">
    <w:nsid w:val="12200854"/>
    <w:multiLevelType w:val="hybridMultilevel"/>
    <w:lvl w:ilvl="0">
      <w:lvlJc w:val="left"/>
      <w:lvlText w:val="•"/>
      <w:numFmt w:val="bullet"/>
      <w:start w:val="1"/>
    </w:lvl>
  </w:abstractNum>
  <w:abstractNum w:abstractNumId="8">
    <w:nsid w:val="4DB127F8"/>
    <w:multiLevelType w:val="hybridMultilevel"/>
    <w:lvl w:ilvl="0">
      <w:lvlJc w:val="left"/>
      <w:lvlText w:val="•"/>
      <w:numFmt w:val="bullet"/>
      <w:start w:val="1"/>
    </w:lvl>
  </w:abstractNum>
  <w:abstractNum w:abstractNumId="9">
    <w:nsid w:val="216231B"/>
    <w:multiLevelType w:val="hybridMultilevel"/>
    <w:lvl w:ilvl="0">
      <w:lvlJc w:val="left"/>
      <w:lvlText w:val="•"/>
      <w:numFmt w:val="bullet"/>
      <w:start w:val="1"/>
    </w:lvl>
  </w:abstractNum>
  <w:abstractNum w:abstractNumId="10">
    <w:nsid w:val="1F16E9E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2022-03-24T15:16:13Z</dcterms:created>
  <dcterms:modified xsi:type="dcterms:W3CDTF">2022-03-24T15:16:13Z</dcterms:modified>
</cp:coreProperties>
</file>