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4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(Rule 14A-101)</w:t>
      </w:r>
    </w:p>
    <w:p>
      <w:pPr>
        <w:jc w:val="center"/>
        <w:ind w:right="-1004"/>
        <w:spacing w:after="0" w:line="230" w:lineRule="auto"/>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4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Athira Pharma, Inc.</w:t>
      </w:r>
    </w:p>
    <w:p>
      <w:pPr>
        <w:spacing w:after="0" w:line="45" w:lineRule="exact"/>
        <w:rPr>
          <w:sz w:val="24"/>
          <w:szCs w:val="24"/>
          <w:color w:val="auto"/>
        </w:rPr>
      </w:pPr>
    </w:p>
    <w:p>
      <w:pPr>
        <w:ind w:left="368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99" w:lineRule="exact"/>
        <w:rPr>
          <w:sz w:val="24"/>
          <w:szCs w:val="24"/>
          <w:color w:val="auto"/>
        </w:rPr>
      </w:pPr>
    </w:p>
    <w:p>
      <w:pPr>
        <w:ind w:left="3304"/>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1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are texts of emails sent by representatives of Athira Pharma,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 [NAME]:</w:t>
      </w:r>
    </w:p>
    <w:p>
      <w:pPr>
        <w:spacing w:after="0" w:line="11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 trust this finds you well. As you may have seen, we filed a definitive proxy statement in support of our proposed slate of directors, including Joe Edelman of Perceptive Advisors, who I am sure you know. I have attached the proxy and our first press release on the matter in case you haven’t seen them. I am happy to touch base with you should you have any questions.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Rachel Lenington, Athira’s COO, and I will be in NY on April 21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and 22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and would look forward to catching up with you if you are available. As you know, we have published and presented some interesting data and started two new studies during the first quarter. Importantly, we are gearing up to report the topline from ACT-AD later in this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Quarter. So, a lot to catch up 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 me know if you would like to meet in NY or have a call or Zoom meeting. I have cc’d Stern IR here to sort out logistics.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 regards,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Litton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 [NAME]:</w:t>
      </w:r>
    </w:p>
    <w:p>
      <w:pPr>
        <w:spacing w:after="0" w:line="11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 trust this finds you well. As you may have seen, we filed a definitive proxy statement in support of our proposed slate of directors, including Joe Edelman of Perceptive Advisors, who I am sure you know. I have attached the proxy and our first press release on the matter in case you haven’t seen them. I am happy to touch base with you should you have any questions.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you know, we have published and presented some interesting data and started two new studies during the first quarter. Importantly, we are gearing up to report the topline results from ACT-AD later in this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Quarter. So, a lot to catch up 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 me know if you would like to have a call or Zoom meeting. I have cc’d Stern IR here to sort out logistics.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 regards,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Litton</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2022-04-11T15:39:41Z</dcterms:created>
  <dcterms:modified xsi:type="dcterms:W3CDTF">2022-04-11T15:39:41Z</dcterms:modified>
</cp:coreProperties>
</file>