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2023</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ectPr>
          <w:pgSz w:w="11900" w:h="16838" w:orient="portrait"/>
          <w:cols w:equalWidth="0" w:num="1">
            <w:col w:w="11240"/>
          </w:cols>
          <w:pgMar w:left="320" w:top="1101" w:right="339" w:bottom="1440" w:gutter="0" w:footer="0" w:header="0"/>
        </w:sectPr>
      </w:pPr>
    </w:p>
    <w:p>
      <w:pPr>
        <w:spacing w:after="0" w:line="4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spacing w:after="0" w:line="17"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45-3368487</w:t>
      </w:r>
    </w:p>
    <w:p>
      <w:pPr>
        <w:spacing w:after="0" w:line="3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48" w:lineRule="exact"/>
        <w:rPr>
          <w:sz w:val="24"/>
          <w:szCs w:val="24"/>
          <w:color w:val="auto"/>
        </w:rPr>
      </w:pPr>
    </w:p>
    <w:p>
      <w:pPr>
        <w:sectPr>
          <w:pgSz w:w="11900" w:h="16838" w:orient="portrait"/>
          <w:cols w:equalWidth="0" w:num="2">
            <w:col w:w="7600" w:space="300"/>
            <w:col w:w="3340"/>
          </w:cols>
          <w:pgMar w:left="320" w:top="1101"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18706 North Creek Parkway, Suite 104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Bothell, Washington 98011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7"/>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400" w:type="dxa"/>
            <w:vAlign w:val="bottom"/>
          </w:tcPr>
          <w:p>
            <w:pPr>
              <w:jc w:val="center"/>
              <w:spacing w:after="0" w:line="143" w:lineRule="exact"/>
              <w:rPr>
                <w:sz w:val="20"/>
                <w:szCs w:val="20"/>
                <w:color w:val="auto"/>
              </w:rPr>
            </w:pPr>
            <w:r>
              <w:rPr>
                <w:rFonts w:ascii="Arial" w:cs="Arial" w:eastAsia="Arial" w:hAnsi="Arial"/>
                <w:sz w:val="13"/>
                <w:szCs w:val="13"/>
                <w:color w:val="auto"/>
              </w:rPr>
              <w:t>Common Stock, $0.0001 par value per share</w:t>
            </w:r>
          </w:p>
        </w:tc>
        <w:tc>
          <w:tcPr>
            <w:tcW w:w="120" w:type="dxa"/>
            <w:vAlign w:val="bottom"/>
          </w:tcPr>
          <w:p>
            <w:pPr>
              <w:spacing w:after="0"/>
              <w:rPr>
                <w:sz w:val="12"/>
                <w:szCs w:val="12"/>
                <w:color w:val="auto"/>
              </w:rPr>
            </w:pPr>
          </w:p>
        </w:tc>
        <w:tc>
          <w:tcPr>
            <w:tcW w:w="2240" w:type="dxa"/>
            <w:vAlign w:val="bottom"/>
          </w:tcPr>
          <w:p>
            <w:pPr>
              <w:jc w:val="center"/>
              <w:spacing w:after="0" w:line="143" w:lineRule="exact"/>
              <w:rPr>
                <w:sz w:val="20"/>
                <w:szCs w:val="20"/>
                <w:color w:val="auto"/>
              </w:rPr>
            </w:pPr>
            <w:r>
              <w:rPr>
                <w:rFonts w:ascii="Arial" w:cs="Arial" w:eastAsia="Arial" w:hAnsi="Arial"/>
                <w:sz w:val="13"/>
                <w:szCs w:val="13"/>
                <w:color w:val="auto"/>
              </w:rPr>
              <w:t>ATHA</w:t>
            </w:r>
          </w:p>
        </w:tc>
        <w:tc>
          <w:tcPr>
            <w:tcW w:w="100" w:type="dxa"/>
            <w:vAlign w:val="bottom"/>
          </w:tcPr>
          <w:p>
            <w:pPr>
              <w:spacing w:after="0"/>
              <w:rPr>
                <w:sz w:val="12"/>
                <w:szCs w:val="12"/>
                <w:color w:val="auto"/>
              </w:rPr>
            </w:pPr>
          </w:p>
        </w:tc>
        <w:tc>
          <w:tcPr>
            <w:tcW w:w="4380" w:type="dxa"/>
            <w:vAlign w:val="bottom"/>
          </w:tcPr>
          <w:p>
            <w:pPr>
              <w:jc w:val="center"/>
              <w:spacing w:after="0" w:line="143" w:lineRule="exact"/>
              <w:rPr>
                <w:sz w:val="20"/>
                <w:szCs w:val="20"/>
                <w:color w:val="auto"/>
              </w:rPr>
            </w:pPr>
            <w:r>
              <w:rPr>
                <w:rFonts w:ascii="Arial" w:cs="Arial" w:eastAsia="Arial" w:hAnsi="Arial"/>
                <w:sz w:val="13"/>
                <w:szCs w:val="13"/>
                <w:color w:val="auto"/>
              </w:rPr>
              <w:t>The Nasdaq Stock Market LLC</w:t>
            </w: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Global Select Market)</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ind w:right="3340"/>
        <w:spacing w:after="0" w:line="22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26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89"/>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27"/>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87"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21"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4" w:lineRule="exact"/>
        <w:rPr>
          <w:sz w:val="24"/>
          <w:szCs w:val="24"/>
          <w:color w:val="auto"/>
        </w:rPr>
      </w:pPr>
    </w:p>
    <w:p>
      <w:pPr>
        <w:jc w:val="both"/>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2" w:lineRule="exact"/>
        <w:rPr>
          <w:sz w:val="24"/>
          <w:szCs w:val="24"/>
          <w:color w:val="auto"/>
        </w:rPr>
      </w:pPr>
    </w:p>
    <w:p>
      <w:pPr>
        <w:jc w:val="both"/>
        <w:spacing w:after="0" w:line="252"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June 30, 2023 (the last business day of the registrant’s most recently completed second fiscal quarter) as reported by The Nasdaq Stock Market LLC on such date was approximately $96.3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19, 2024 was 38,326,652.</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9"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Portions of the definitive proxy statement to be delivered to stockholders in connection with the 2024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700405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0"/>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560" w:type="dxa"/>
            <w:vAlign w:val="bottom"/>
            <w:gridSpan w:val="4"/>
            <w:vMerge w:val="restart"/>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58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8"/>
              </w:rPr>
              <w:t>Business</w:t>
            </w:r>
          </w:p>
        </w:tc>
        <w:tc>
          <w:tcPr>
            <w:tcW w:w="856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1A.</w:t>
            </w:r>
          </w:p>
        </w:tc>
        <w:tc>
          <w:tcPr>
            <w:tcW w:w="93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70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1C.</w:t>
            </w:r>
          </w:p>
        </w:tc>
        <w:tc>
          <w:tcPr>
            <w:tcW w:w="9300" w:type="dxa"/>
            <w:vAlign w:val="bottom"/>
            <w:gridSpan w:val="23"/>
          </w:tcPr>
          <w:p>
            <w:pPr>
              <w:spacing w:after="0"/>
              <w:rPr>
                <w:sz w:val="20"/>
                <w:szCs w:val="20"/>
                <w:color w:val="auto"/>
              </w:rPr>
            </w:pPr>
            <w:r>
              <w:rPr>
                <w:rFonts w:ascii="Arial" w:cs="Arial" w:eastAsia="Arial" w:hAnsi="Arial"/>
                <w:sz w:val="18"/>
                <w:szCs w:val="18"/>
                <w:color w:val="0000FF"/>
              </w:rPr>
              <w:t>Cybersecurity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2.</w:t>
            </w:r>
          </w:p>
        </w:tc>
        <w:tc>
          <w:tcPr>
            <w:tcW w:w="1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Properties</w:t>
            </w:r>
          </w:p>
        </w:tc>
        <w:tc>
          <w:tcPr>
            <w:tcW w:w="82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78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4.</w:t>
            </w:r>
          </w:p>
        </w:tc>
        <w:tc>
          <w:tcPr>
            <w:tcW w:w="93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439"/>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5.</w:t>
            </w:r>
          </w:p>
        </w:tc>
        <w:tc>
          <w:tcPr>
            <w:tcW w:w="9300" w:type="dxa"/>
            <w:vAlign w:val="bottom"/>
            <w:gridSpan w:val="2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98"/>
              </w:rPr>
              <w:t>[Reserved]</w:t>
            </w:r>
          </w:p>
        </w:tc>
        <w:tc>
          <w:tcPr>
            <w:tcW w:w="8000" w:type="dxa"/>
            <w:vAlign w:val="bottom"/>
            <w:tcBorders>
              <w:top w:val="single" w:sz="8" w:color="0000EE"/>
            </w:tcBorders>
            <w:gridSpan w:val="19"/>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7.</w:t>
            </w:r>
          </w:p>
        </w:tc>
        <w:tc>
          <w:tcPr>
            <w:tcW w:w="930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EE"/>
            </w:tcBorders>
            <w:gridSpan w:val="3"/>
          </w:tcPr>
          <w:p>
            <w:pPr>
              <w:spacing w:after="0"/>
              <w:rPr>
                <w:sz w:val="18"/>
                <w:szCs w:val="18"/>
                <w:color w:val="auto"/>
              </w:rPr>
            </w:pPr>
          </w:p>
        </w:tc>
        <w:tc>
          <w:tcPr>
            <w:tcW w:w="22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8.</w:t>
            </w:r>
          </w:p>
        </w:tc>
        <w:tc>
          <w:tcPr>
            <w:tcW w:w="930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w:t>
            </w:r>
          </w:p>
        </w:tc>
        <w:tc>
          <w:tcPr>
            <w:tcW w:w="930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9A.</w:t>
            </w:r>
          </w:p>
        </w:tc>
        <w:tc>
          <w:tcPr>
            <w:tcW w:w="20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140" w:type="dxa"/>
            <w:vAlign w:val="bottom"/>
            <w:tcBorders>
              <w:top w:val="single" w:sz="8" w:color="0000EE"/>
            </w:tcBorders>
            <w:gridSpan w:val="10"/>
          </w:tcPr>
          <w:p>
            <w:pPr>
              <w:spacing w:after="0"/>
              <w:rPr>
                <w:sz w:val="18"/>
                <w:szCs w:val="18"/>
                <w:color w:val="auto"/>
              </w:rPr>
            </w:pPr>
          </w:p>
        </w:tc>
        <w:tc>
          <w:tcPr>
            <w:tcW w:w="21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9B.</w:t>
            </w:r>
          </w:p>
        </w:tc>
        <w:tc>
          <w:tcPr>
            <w:tcW w:w="930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9C.</w:t>
            </w:r>
          </w:p>
        </w:tc>
        <w:tc>
          <w:tcPr>
            <w:tcW w:w="930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39"/>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FF"/>
                <w:w w:val="95"/>
              </w:rPr>
              <w:t>PART III</w:t>
            </w:r>
          </w:p>
        </w:tc>
        <w:tc>
          <w:tcPr>
            <w:tcW w:w="46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10.</w:t>
            </w:r>
          </w:p>
        </w:tc>
        <w:tc>
          <w:tcPr>
            <w:tcW w:w="930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tcBorders>
              <w:top w:val="single" w:sz="8" w:color="0000EE"/>
            </w:tcBorders>
            <w:gridSpan w:val="5"/>
          </w:tcPr>
          <w:p>
            <w:pPr>
              <w:spacing w:after="0"/>
              <w:rPr>
                <w:sz w:val="18"/>
                <w:szCs w:val="18"/>
                <w:color w:val="auto"/>
              </w:rPr>
            </w:pPr>
          </w:p>
        </w:tc>
        <w:tc>
          <w:tcPr>
            <w:tcW w:w="48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13.</w:t>
            </w:r>
          </w:p>
        </w:tc>
        <w:tc>
          <w:tcPr>
            <w:tcW w:w="930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14.</w:t>
            </w:r>
          </w:p>
        </w:tc>
        <w:tc>
          <w:tcPr>
            <w:tcW w:w="608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FF"/>
              </w:rPr>
              <w:t>Principal Accounting Fees and Services</w:t>
            </w:r>
          </w:p>
        </w:tc>
        <w:tc>
          <w:tcPr>
            <w:tcW w:w="32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39"/>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FF"/>
                <w:w w:val="95"/>
              </w:rPr>
              <w:t>PART IV</w:t>
            </w:r>
          </w:p>
        </w:tc>
        <w:tc>
          <w:tcPr>
            <w:tcW w:w="4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FF"/>
                <w:w w:val="99"/>
              </w:rPr>
              <w:t>Exhibits, Financial Statement Schedules</w:t>
            </w:r>
          </w:p>
        </w:tc>
        <w:tc>
          <w:tcPr>
            <w:tcW w:w="60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99"/>
              </w:rPr>
              <w:t>Form 10-K Summary</w:t>
            </w:r>
          </w:p>
        </w:tc>
        <w:tc>
          <w:tcPr>
            <w:tcW w:w="76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8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fosgonimeton may never lead to a marketable drug product.</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and peripheral nervous system, or PNS, degenerative disorders, a field that has seen very limited success in product development.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drug candidates would be adversely affected.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8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drug candidates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drug candidate before and may lack the necessary expertise, personnel and resources to successfully commercialize any drug products on our own or together with suitable collaborators.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or retention of patients in clinical trials, our regulatory submissions or receipt of necessary marketing approvals could be delayed or prevented.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has been and may continue to be volatile, which could result in substantial losses for investors.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and certain of our directors and executive officers have been, and may in the future be, named as defendants in lawsuits that could result in substantial costs and divert management’s attention.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have in the past been, and may in the future be, disruptive and could cause uncertainty about the strategic direction of our business.</w:t>
      </w:r>
    </w:p>
    <w:p>
      <w:pPr>
        <w:spacing w:after="0" w:line="19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7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learnings from our ACT-AD and SHAPE trials and LIFT-AD independent unblinded interim efficacy and futility analysis and their ability to inform and improve future clinical development plans;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of LIFT-AD to show clinical benefits of fosgonimeton;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drug candidates, if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drug candidates for which we obtain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drug candidates, if approved;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85" w:lineRule="exact"/>
        <w:rPr>
          <w:sz w:val="20"/>
          <w:szCs w:val="20"/>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drug candidates, and for the manufacture of our drug candidates for nonclinical studies and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drug candidates in the United States and other jurisdictions, and any related restrictions, limitations or warnings in the label of any approved drug candidate;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capacity and capability relating to the further development and manufacturing of our drug candidates, including additional indications for which we may pursue regulatory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by activist stockholders, which have in the past been, and may in the future be, disruptive and could cause uncertainty about the strategic direction of our business;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drug candidates, if approved for commercial use, and our ability to serve those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assert, to the fullest extent under applicable law, our or the rights of the applicable licensors to these trademarks, trade names, and service marks.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 and its wholly-owned subsidiary.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 Athira, our scientific philosophy is rooted in the need for a healthy neuronal network to help build, restore, and maintain connections. Loss of neuronal network connections can be an underlying cause for numerous neurological diseases, which in turn may result in the loss of personal connections for people afflicted by these diseases. Our mission is to restore these neuronal networks and, in turn, personal connections by advancing bold therapies for neuronal health, thoughtfully and urgently.</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PNS.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Over time, the body’s innate ability to heal itself deteriorates due to a variety of factors associated with the normal aging process and other internal and external factors leading to various injuries and insults at the cellular and molecular level. In the case of neurodegenerative diseases, where neuronal networks may be damaged due to inflammation, oxidative stress, protein pathologies, excitotoxicity, or synaptic dysfunction, the neurotrophic HGF system function is often reduced, thereby limiting the body’s ability to protect and repair neurodegeneration. Hallmarks of neurodegeneration include neuronal damage, loss of network connectivity, loss of function and, ultimately, disease progression.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Scientific evidence supporting the neurotrophic HGF system as a naturally occurring repair mechanism is backed by over 30 years of research, which includes establishing its multimodal mechanism of action and critical role to healthy nervous system functioning. HGF’s receptor, known as MET, is one of the most stably expressed genes in the adult human brain and is a signature of a healthy, viable nervous system. In Alzheimer’s disease, or AD, neuronal MET expression is reduced in the brains of patients by approximately 25% and 75% in the frontal cortex and hippocampus, respectively. And although evidence supports the HGF/MET signaling system as an attractive target with its multimodal mechanism of action for combating neurodegenerative diseases, it has proven a difficult drug target. There are approved and in-development gene therapy approaches to increase HGF expression beyond normal physiological levels, but these are limited primarily due to challenges with delivery. Athira has chosen a different approach. Athira’s novel approach is to positively modulate the neurotrophic HGF system through our proprietary small molecules.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developed and tested preclinically a series of novel small molecule drug candidates, of which three candidates are in, or nearing, clinical phase, that we believe show promising evidence in modulating the neurotrophic HGF system and producing potential multimodal downstream effects. Our pipeline consists of both BBB permeable and peripherally restricted drug candidates for CNS, PNS and other indications. Today, our most advanced drug candidate is fosgonimeton (formerly known as ATH-1017), which is currently being evaluated in a Phase 2/3 clinical trial for mild-to-moderate AD, and has recently completed an exploratory Phase 2 clinical trial for Parkinson’s disease dementia, or PDD, and dementia with Lewy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bodies, or DLB. We are also evaluating other drug candidates for the potential treatment of neuropathic pain, amyotrophic lateral sclerosis, or ALS, Parkinson’s disease, or PD, and other neurodegenerative diseases. For example, ATH-1020 completed a Phase 1 single ascending dose, or SAD, evaluation in healthy volunteers and is under consideration for further testing in neuropathic pain and/or neurodegenerative diseases and we expect to submit an Investigational New Drug, or IND, application for ATH-1105 in ALS and initiate a Phase 1 clinical trial in the first half of 2024.</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Pipeline</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Figure 1 below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proprietary ATH compounds in additional indications in the CNS and PNS as we aim to improve neuronal health in multiple neurodegenerative diseases. Our drug discovery efforts are focused on designing and testing new early compounds to enhance the neurotrophic HGF system for a variety of clinical applications.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76200</wp:posOffset>
            </wp:positionV>
            <wp:extent cx="5280660" cy="2280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066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Fosgonimeton (ATH-1017)</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lead drug candidate, fosgonimeton, is a potentially first-in-class small molecule designed to positively modulate the neurotrophic HGF system for potential treatment of CNS disorders.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Alzheimer’s Disease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effects of fosgonimeton in its primary target indication, AD, are currently being evaluated in multiple clinical trials:</w:t>
      </w:r>
    </w:p>
    <w:p>
      <w:pPr>
        <w:spacing w:after="0" w:line="212" w:lineRule="exact"/>
        <w:rPr>
          <w:sz w:val="20"/>
          <w:szCs w:val="20"/>
          <w:color w:val="auto"/>
        </w:rPr>
      </w:pPr>
    </w:p>
    <w:p>
      <w:pPr>
        <w:jc w:val="both"/>
        <w:ind w:left="76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 vitro studies in primary neuron cultures with fosgonimeton active metabolite, or fosgo-AM, showed enhanced synaptogenesis and neurite outgrowth, supporting the neurotrophic effects of positively modulating the neurotrophic HGF system. Treatment of primary neuron cultures with fosgo-AM prevented neuron death when exposed to several neurotoxic insults, supporting the neuroprotective effects of positively modulating the neurotrophic HGF system. In an animal model of cognitive deficit and dementia, treatment with fosgo-AM rescued this cognitive impairment. In a separate inflammation-induced animal model of cognitive impairment, fosgonimeton also reversed cognitive deficits. These study results were published in Neurotherapeutics in December 2022 and support the therapeutic potential of fosgonimeton to promote neuroprotective and anti-inflammatory effects and procognitive benefits in animal models of dementia.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3" w:lineRule="exact"/>
        <w:rPr>
          <w:sz w:val="20"/>
          <w:szCs w:val="20"/>
          <w:color w:val="auto"/>
        </w:rPr>
      </w:pPr>
    </w:p>
    <w:p>
      <w:pPr>
        <w:jc w:val="both"/>
        <w:ind w:left="380" w:hanging="378"/>
        <w:spacing w:after="0" w:line="239"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Fosgonimeton was assessed in a Phase 1a/b clinical trial and was well tolerated in healthy young and elderly volunteers and AD subjects, without serious adverse events. This clinical trial recruited a total of 88 participants, including 11 with mild to moderate AD, who were randomly assigned to active and placebo groups. Findings from the Phase 1 trial provided safety data, as well as translational and supportive evidence of fosgonimeton crossing the BBB and improving brain network activity by significantly improved event-related potential, or ERP, P300 latency. P300 latency is a functional measure that is highly correlated with cognition; however, we have not yet established a connection between these ERP P300 latency results and improved cognition. Trial results were published in the Journal of Alzheimer’s Disease in April 2022, and helped inform the study design of our exploratory Phase 2 ACT-AD and Phase 2/3 LIFT-AD trials.</w:t>
      </w:r>
    </w:p>
    <w:p>
      <w:pPr>
        <w:spacing w:after="0" w:line="186" w:lineRule="exact"/>
        <w:rPr>
          <w:rFonts w:ascii="Times New Roman" w:cs="Times New Roman" w:eastAsia="Times New Roman" w:hAnsi="Times New Roman"/>
          <w:sz w:val="18"/>
          <w:szCs w:val="18"/>
          <w:color w:val="auto"/>
        </w:rPr>
      </w:pPr>
    </w:p>
    <w:p>
      <w:pPr>
        <w:jc w:val="both"/>
        <w:ind w:left="380" w:hanging="378"/>
        <w:spacing w:after="0" w:line="238"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184" w:lineRule="exact"/>
        <w:rPr>
          <w:rFonts w:ascii="Times New Roman" w:cs="Times New Roman" w:eastAsia="Times New Roman" w:hAnsi="Times New Roman"/>
          <w:sz w:val="18"/>
          <w:szCs w:val="18"/>
          <w:color w:val="auto"/>
        </w:rPr>
      </w:pPr>
    </w:p>
    <w:p>
      <w:pPr>
        <w:jc w:val="both"/>
        <w:ind w:left="380" w:hanging="378"/>
        <w:spacing w:after="0" w:line="236"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LIFT-AD is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or DMC,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as the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In January 2024 we announced the completion of enrollment with a total of approximately 315 patients randomized. We expect to report topline LIFT-AD results in the second half of 2024. In July 2023, we completed an end of Phase 2 meeting with the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neurofilament light chain, or NfL, and the statistical analysis plan, or SAP.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spacing w:after="0" w:line="200" w:lineRule="exact"/>
        <w:rPr>
          <w:sz w:val="20"/>
          <w:szCs w:val="20"/>
          <w:color w:val="auto"/>
        </w:rPr>
      </w:pPr>
    </w:p>
    <w:p>
      <w:pPr>
        <w:spacing w:after="0" w:line="2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9" w:name="page10"/>
    <w:bookmarkEnd w:id="9"/>
    <w:p>
      <w:pPr>
        <w:spacing w:after="0" w:line="193" w:lineRule="exact"/>
        <w:rPr>
          <w:sz w:val="20"/>
          <w:szCs w:val="20"/>
          <w:color w:val="auto"/>
        </w:rPr>
      </w:pPr>
    </w:p>
    <w:p>
      <w:pPr>
        <w:jc w:val="both"/>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July 2021, we announced that we are enrolling participants into a 26-week open-label extension trial*, or OLEX*, for our LIFT-AD and ACT-AD clinical trials, allowing us to collect up to a total of one year of safety data with fosgonimeton. In May 2022, we announced that we extended the 26-week OLEX for our LIFT-AD and ACT-AD clinical trials for an additional 12 months, enabling eligible participants who have completed either trial and elect to participate in the ongoing OLEX to receive up to 18 months of open-label treatment with fosgonimeton. In May 2023, we amended the OLEX to further extend the trial by an additional 12 months. Eligible participants who have completed the LIFT-AD or ACT-AD trials and elect to participate in the ongoing OLEX may now receive up to 30 months of open-label treatment, which allows us to collect up to 36 months total of long-term exposure data.</w:t>
      </w:r>
    </w:p>
    <w:p>
      <w:pPr>
        <w:spacing w:after="0" w:line="185" w:lineRule="exact"/>
        <w:rPr>
          <w:rFonts w:ascii="Times New Roman" w:cs="Times New Roman" w:eastAsia="Times New Roman" w:hAnsi="Times New Roman"/>
          <w:sz w:val="18"/>
          <w:szCs w:val="18"/>
          <w:color w:val="auto"/>
        </w:rPr>
      </w:pPr>
    </w:p>
    <w:p>
      <w:pPr>
        <w:jc w:val="both"/>
        <w:ind w:left="760"/>
        <w:spacing w:after="0" w:line="252" w:lineRule="auto"/>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PD-relevant cellular and animal models, treatment with fosgonimeton or fosgo-AM resulted in significant neuroprotective and neurotrophic effects as well as improvements in motor function. Fosgo-AM significantly protected against neurotoxic insults and reduced PD-related toxic protein (α-synuclein) aggregation in neuron-based models of disease. Neurotrophic effects, with or without neurotoxic insults, were significantly enhanced following fosgo-AM treatment. Cellular effects translated to improvements in motor function in an animal model, including improved coordination, balance and strength. These data were presented at the Society for Neuroscience Annual Conference in November 2022, the American Society for Experimental Neurotherapeutics Annual Meeting in March 2023, and at the AD/PD Conference in March 2023.</w:t>
      </w:r>
    </w:p>
    <w:p>
      <w:pPr>
        <w:spacing w:after="0" w:line="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2023, we announced the completion of the 28-patient exploratory Phase 2 SHAPE trial, which tested 40 and 70 mg fosgonimeton doses versus placebo in PDD and DLB. The primary endpoint of the trial, a composite score of the change in ERP P300 latency and cognitive assessment (ADAS-Cog13), was not met by protocoled analysis compared with placebo. Directionally positive results were observed for the 40 mg fosgonimeton dose group with improvements in cognitive, functional and biomarker measurements. In particular, the five patients in the modified intent to treat (mITT) population treated with fosgonimeton 40 mg once daily saw improvement in ADAS-Cog13 individually, and collectively improved compared with placebo (n=7 mITT, one-sided p=0.0321). Results for patients in the 70 mg dose group were inconsistent.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ATH-1105</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ATH-1105 is a novel, orally available, next generation, small molecule drug candidate designed to positively modulate the neurotrophic HGF system.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Amyotrophic Lateral Sclerosis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preclinical models of ALS, treatment with ATH-1105 resulted in improvements in motor neuron survival and function. In vitro, ATH-1105 treatment protected spinal motor neurons from glutamate toxicity and prevented accumulation of toxic protein aggregates. In a preclinical mouse model of ALS, treatment with ATH-1105 significantly prevented loss of body weight, and improved motor function including balance, coordination and muscle strength. We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Weight loss, motor deficits, inflammation, loss of functional nerve signaling, and motor neurondegeneration and demyelination are all hallmarks of ALS disease; treatment with ATH-1105 significantly improved all of these aspects in the preclinical models tested. We expect to submit our IND application for ATH-1105 and initiate a Phase 1 clinical trial in the first half of 2024.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ATH-1020 is a novel, orally available, next generation, small molecule drug candidate designed to positively modulate the neurotrophic HGF system. We filed an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preclinical models of diabetic neuropathic pain, we demonstrated significant improvements in two aspects of disease that are prominent symptoms in people suffering from neuropathic pain: increased sensitivity to mechanical and thermal stimulation. The significant improvements in neuropathic pain were partially sustained after seven days of not receiving ATH-1020, suggesting persistent and potentially disease-modifying effects. Data from these studies were presented at the Society for Neuroscience Annual Conference in November 2022 and the American Society for Experimental Neurotherapeutics in March 2023. We have completed the SAD escalation portion of our Phase 1 trial, in which ATH-1020 demonstrated a favorable safety profile and which was well-tolerated in healthy volunteers. We plan to evaluate options with this compound and will consider its advancement in relation to other opportunities and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Compounds</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to the compounds described above, we have several other compounds in preclinical discovery and development for neurodegenerative diseases and other indications where we believe positive modulation of the neurotrophic HGF system may have therapeutic potential.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Pipeline Milestones</w:t>
      </w:r>
    </w:p>
    <w:p>
      <w:pPr>
        <w:spacing w:after="0" w:line="210" w:lineRule="exact"/>
        <w:rPr>
          <w:sz w:val="20"/>
          <w:szCs w:val="20"/>
          <w:color w:val="auto"/>
        </w:rPr>
      </w:pPr>
    </w:p>
    <w:p>
      <w:pPr>
        <w:jc w:val="both"/>
        <w:ind w:left="102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AD, we anticipate reporting topline data for our Phase 2/3 LIFT-AD trial in the second half of 2024. At the end of 2023, our ongoing OLEX trial for completers of ACT-AD and LIFT-AD had a greater than 85% participation rate. As with any voluntary clinical trial, participant dropout in the OLEX has also been observed. In 2024, we anticipate continuation of the OLEX trial and continued collection of long-term fosgonimeton safety data.</w:t>
      </w:r>
    </w:p>
    <w:p>
      <w:pPr>
        <w:spacing w:after="0" w:line="1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file an IND application and initiate first-in-human studies of ATH-1105 as a treatment for ALS in the first half of 2024.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strategic imperative and responsibility to people with neurological diseases is to advance our pipeline of small molecule drug candidates designed to target and enhance this naturally occurring repair mechanism to help build, restore, and maintain healthy neuronal connections. The multimodal mechanism of action of the neurotrophic HGF system has the potential to address complex multifactorial neurological diseases. We are encouraged by the scientific evidence we have generated thus far and will continue adding to the scientific foundation behind this neuroprotective and reparative approach with the potential to transform the treatment paradigm and provide meaningful therapeutic options for AD, PD, ALS, neuropathic pain, and other neurodegenerative diseases and neurological disorders, where limited effective options exist today. Key aspects of our business strategy to achieve these goals are to:</w:t>
      </w:r>
    </w:p>
    <w:p>
      <w:pPr>
        <w:spacing w:after="0" w:line="185" w:lineRule="exact"/>
        <w:rPr>
          <w:sz w:val="20"/>
          <w:szCs w:val="20"/>
          <w:color w:val="auto"/>
        </w:rPr>
      </w:pPr>
    </w:p>
    <w:p>
      <w:pPr>
        <w:jc w:val="both"/>
        <w:ind w:left="1020" w:hanging="503"/>
        <w:spacing w:after="0" w:line="238"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Advance fosgonimeton through clinical development for mild-to-moderate AD. </w:t>
      </w:r>
      <w:r>
        <w:rPr>
          <w:rFonts w:ascii="Arial" w:cs="Arial" w:eastAsia="Arial" w:hAnsi="Arial"/>
          <w:sz w:val="18"/>
          <w:szCs w:val="18"/>
          <w:color w:val="auto"/>
        </w:rPr>
        <w:t>We believe fosgonimeton has the potential to</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improve cognition and function to help improve the lives of the millions of people suffering from AD who currently have limited therapeutic options. We initiated both the exploratory Phase 2 ACT-AD trial and the ongoing Phase 2/3 LIFT-AD trial in 2020 and have applied learnings from the completed ACT-AD trial to help inform the LIFT-AD trial. The topline results for our ACT-AD trial were announced in June 2022 and are discussed in further detail in the section of this Annual Report on Form 10-K titled “Business—Our Pipeline.” While the primary and secondary endpoints were not achieved, encouraging results from our post hoc analyses of a subgroup in the ACT-AD trial informed our decision to proactively amend LIFT-AD to focus on participants not on background AChEIs and the independent unblinded interim analysis further supported our decision. We announced completed enrollment for the LIFT-AD trial in January 2024 and anticipate reporting topline data in the second half of 2024.</w:t>
      </w:r>
    </w:p>
    <w:p>
      <w:pPr>
        <w:spacing w:after="0" w:line="187"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Expand the development of fosgonimeton to maximize opportunities in AD. </w:t>
      </w:r>
      <w:r>
        <w:rPr>
          <w:rFonts w:ascii="Arial" w:cs="Arial" w:eastAsia="Arial" w:hAnsi="Arial"/>
          <w:sz w:val="18"/>
          <w:szCs w:val="18"/>
          <w:color w:val="auto"/>
        </w:rPr>
        <w:t>We are developing fosgonimeton as a treatment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mild-to-moderate AD, but over time we aim to expand development of fosgonimeton to cover more stages of AD, either delivered alone or in combination with other approved therapies.</w:t>
      </w:r>
    </w:p>
    <w:p>
      <w:pPr>
        <w:spacing w:after="0" w:line="170"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Advance innovative research to expand and develop our ATH pipeline of small molecule drug candidates. </w:t>
      </w:r>
      <w:r>
        <w:rPr>
          <w:rFonts w:ascii="Arial" w:cs="Arial" w:eastAsia="Arial" w:hAnsi="Arial"/>
          <w:sz w:val="18"/>
          <w:szCs w:val="18"/>
          <w:color w:val="auto"/>
        </w:rPr>
        <w:t>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drug candidates that show both strong pharmacokinetics and pharmacodynamics, or PK/PD, translation and early predictive clinical data. We plan to continue growing our discovery organization across neurological disorders in general, but with a near-term focus on neurodegenerative diseases, by building upon the strong foundational knowledge of our ATH positive modulators and enhancing the multimodal mechanism of action through the neurotrophic HGF system. It is our goal to advance our pipeline of next generation ATH positive modulators, designed to enhance the body’s naturally occurring repair mechanism. With several drug candidates in development, we will prioritize development to potentially address a wide range of clinical applications ranging from CNS and PNS diseases to other indications. Our ATH-1105 program targeting ALS is our next priority beyond fosgonimeton, with an IND application and first-in-human studies expected to be initiated in the first half of 2024.</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Optimize the value of fosgonimeton and next-generation positive modulators of the neurotrophic HGF system in major markets. </w:t>
      </w:r>
      <w:r>
        <w:rPr>
          <w:rFonts w:ascii="Arial" w:cs="Arial" w:eastAsia="Arial" w:hAnsi="Arial"/>
          <w:sz w:val="18"/>
          <w:szCs w:val="18"/>
          <w:color w:val="auto"/>
        </w:rPr>
        <w:t>We own worldwide rights to fosgonimeton as well as our pipeline of next generation, proprietary small molecule drug candidates. We plan to develop and pursue approval of fosgonimeton and other future drug candidates across major markets. Where appropriate, we may use strategic collaborations or partnerships to accelerate development and maximize the commercial potential of our programs.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Disease</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Scientific evidence supporting the neurotrophic HGF system as a naturally occurring repair mechanism is backed by over 30 years of research. MET is one of the most stably expressed genes in the adult human brain and is a signature of a healthy, viable nervous system, In AD, neuronal MET expression is reduced in the brains of participants by approximately 25% and 75% in the frontal cortex and hippocampus, respectively. And although evidence supports the neurotrophic HGF system as an attractive target for combating neurodegenerative diseases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 due to more invasive delivery requirements, such as intrathecal or intravenous, or locally restricted to the periphery, such as via intramuscular routes of administration.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We believe that to address such complex and multifactorial diseases requires a novel multimodal approach, such as targeting the neurotrophic HGF system through non-invasive or minimally invasive small molecules that enhance innate levels of HGF system activation to protect and repair neuronal networks.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Action</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developed a pipeline of proprietary small molecule compounds, or ATH positive modulators, designed to enhance the neurotrophic HGF system and promote its neuroprotective, neurotrophic and anti-inflammatory effects, including protection of neurons from a variety of insults. Our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Figure 2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76200</wp:posOffset>
            </wp:positionV>
            <wp:extent cx="5349240" cy="3103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ATH positive modulators interact with the HGF system,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that one of the key mechanisms of action of ATH positive modulators is through activation of ERK and AKT via MET activation.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3. Enhancement of HGF/MET by Fosgo-AM Activates ERK and AKT Signaling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76200</wp:posOffset>
            </wp:positionV>
            <wp:extent cx="5349240" cy="1783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One-way ANOVA with Tukey’s multiple comparisons.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 p&lt;0.01; *** p&lt;0.001 vs. HGF only.</w:t>
      </w:r>
    </w:p>
    <w:p>
      <w:pPr>
        <w:spacing w:after="0" w:line="1"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6A6A6"/>
        </w:rPr>
        <w:t>AKT, protein kinase B; ERK, extracellular-signal regulated kinase; Fosgo-AM, fosgonimeton active metabolite; GSK3b, glycogen synthase kinase-3 beta; HGF, hepatocyte growth factor.</w:t>
      </w:r>
    </w:p>
    <w:p>
      <w:pPr>
        <w:spacing w:after="0" w:line="2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Positively modulating the neurotrophic HGF system promotes its multimodal effects, which we believe can potentially address the complex pathology in neurodegenerative diseases. These positive multimodal effects taken together may lead to improvement in function. Figure 4 below illustrates the therapeutic potential of enhancing the neurotrophic HGF system to protect and repair neurons.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4. ATH Compounds are Designed to Protect and Repair Neuronal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76200</wp:posOffset>
            </wp:positionV>
            <wp:extent cx="4928870" cy="3223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887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Fosgonimeton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Fosgonimeton is being assessed in multiple preclinical and clinical studies of neurodegenerative diseases, including AD and PD.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Fosgonimeton for AD - Clinical Trials and FDA Interaction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Clinical Trial</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IND application for fosgonimeton in AD was submitted in September 2017. Since then, we have completed our Phase 1 clinical trial, which enrolled a total of 88 participants, including 48 healthy young male participants (mean age = 33.4 ± 6.3), 29 healthy elderly participants (mean age = 63.8 ± 4.0; 14 male, 15 female), and 11 AD participants (mean age = 69.2 ± 7.1; 5 male, 6 female, median [range] Mini-Mental State Exam, or MMSE, = 20 [5–29]) was completed in 2019. In both the SAD and multiple ascending dose, or MAD, parts of the trial, fosgonimeton was well tolerated, without serious adverse events. All participants were randomly assigned to active and control groups. Findings from the Phase 1 trial provided safety data, as well as translational and supportive evidence in the form of quantitative electroencephalography, or qEEG, measures to evaluate effects of fosgonimeton on brain activity in study participants. Results from qEEG measures demonstrated fosgonimeton crossing the BBB and improving brain network activity by significantly improved ERP P300 latency, a measure of working memory processing speed, over 8-days. Trial results were published in the Journal of Alzheimer’s Disease in April 2022, and helped inform the study design of our exploratory Phase 2 ACT-AD and Phase 2/3 LIFT-AD trials.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ACT-AD Trial*</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ACT-AD was a randomized, double-blind, placebo-controlled, parallel-group 26-week trial evaluating fosgonimeton in participants with mild-to-moderate AD. The trial enrolled 77 participants in the United States and Australia (age 55 to 85 years, MMSE score of 14-24 and Clinical Dementia Rating, or CDR, scale global score of 1 or 2). Participants were allowed to continue receiving background AChEIs; 60% remained on stable doses of AChEIs and 40% were not receiving AChEIs during the study. Participants were randomized 1:1:1 to receive placebo or fosgonimeton at either 40 mg/day or 70 mg/day. The primary endpoint for ACT-AD was ERP P300 latency, a measure of working memory processing speed, measured by change from baseline, or CFB, averaged over Weeks 12, 16, 20, and 26. Secondary endpoints included correlation of CFB in ERP P300 latency with a composite score of cognition and executive memory defined by ADAS-Cog11, and the Controlled Oral Word Association Test, or COWAT; various composite scores of clinical assessments as measured by the GST, Alzheimer’s Disease Cooperative Study-Clinical Global Impression of Change, or ADCS-CGIC, a measure of global clinical change; and ADCS-ADL23, a measure of functional change as well as measures of caregiver burden, quality of life, resource utilization, and psychiatric symptoms. Plasma samples were also bio banked for future analysis. Safety data was evaluated throughout.</w:t>
      </w:r>
    </w:p>
    <w:p>
      <w:pPr>
        <w:spacing w:after="0" w:line="7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ACT-AD was completed in 2022; topline data was reported in June 2022, later presented at the Alzheimer’s Association International Conference in August 2022, and in early 2023 was finalized. The finalized data show some numerical differences from the previously reported preliminary topline data, which we had reported were not statistically significant (n.s.). As reported previously, we did not meet the primary endpoint of a statistically significant change in ERP P300 latency by protocoled analysis nor did we meet the secondary endpoints. However, the data showed a numerical improvement in the functional measure of ADCS-ADL23, which evaluates participants’ activities of daily living as assessed by their caregivers, compared to placebo at 26 weeks (41% or +1.7 points improvement, n.s.). Although not statistically significant, a post hoc analysis of results from ACT-AD in a pre-specified subgroup suggested positive effects on measures of working memory processing speed and cognition, plus improvements in plasma biomarkers of neurodegeneration, inflammation and AD-specific protein pathologies in participants taking fosgonimeton alone without background AChEIs. All data and analyses presented are from pooled 40mg and 70mg of fosgonimeton. During the ACT-AD trial, fosgonimeton, at either dose, was generally well tolerated with a favorable safety profile, and there were no treatment related serious adverse events or deaths observed.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In participants treated with fosgonimeton alone, a potentially beneficial change in ERP P300 latency (-28 milliseconds, n.s.), as well as cognitive improvement, as measured by ADAS-Cog11 (74% or -3.0 points, n.s.), compared with placebo at 26 weeks was observed post hoc (Figure 5).</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5. Treatment with Fosgonimeton Results in Consistent Directional Improvements in Working Memory Processing Speed and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41910</wp:posOffset>
            </wp:positionV>
            <wp:extent cx="5349240" cy="2005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Data from ACT-AD were additionally analyzed post hoc for effects across plasma biomarkers in participants treated with fosgonimeton without background AChEIs. In concert with the multimodal mechanism of action, targeting the neurotrophic HGF system with fosgonimeton resulted in directional improvements across plasma biomarkers of inflammation and AD-specific protein pathologies, and a statistically significant improvement in neurodegeneration, all of which are pending further analysis and clinical investigation in our ongoing Phase 2/3 LIFT-AD clinical trial.</w:t>
      </w:r>
    </w:p>
    <w:p>
      <w:pPr>
        <w:spacing w:after="0" w:line="6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Figure 6 below shows that treatment with fosgonimeton appears to improve neuroinflammation in mild-to-moderate AD as measured by glial fibrillary acidic protein, or GFAP, and chitinase-3-like protein 1, or YKL-40. The observed nominal GFAP improvement and statistical trend in YKL-40 improvement, plus the magnitude of decrease below baseline for those on active treatment is encouraging in this continuously progressive condition and indicates the translation of the anti-inflammatory effects of fosgonimeton.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6. Treatment with Fosgonimeton Appears to Improve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76200</wp:posOffset>
            </wp:positionV>
            <wp:extent cx="5023485" cy="2125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2348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Treatment with fosgonimeton additionally resulted in a statistical trend and directional improvements in plasma biomarkers of AD-specific protein pathologies, Aβ and pTau, respectively. The changes observed, as shown in Figure 7, continue to support the relevance of targeting the neurotrophic HGF system and its relevance to AD, with a potentially disease-modifying effect by impacting these protein pathologies.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7. Treatment with Fosgonimeton Induces Directional Improvements in Protein Hallmarks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76200</wp:posOffset>
            </wp:positionV>
            <wp:extent cx="5186045" cy="2237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Supportive of the potentially neuroprotective mechanism of action of the neurotrophic HGF system, treatment with fosgonimeton showed a statistically significant improvement in NfL (an objective marker of neurodegeneration) levels, even to the extent of improvement below baseline (Figure 8). This decrease of NfL below baseline levels (-6.49 pg/mL, p=0.0241), is suggestive of repair in this continuously progressive condition.</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8. Treatment with Fosgonimeton Shows Neuroprotective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76200</wp:posOffset>
            </wp:positionV>
            <wp:extent cx="3077210" cy="257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With the potential of fosgonimeton to be both neuroprotective and anti-inflammatory for AD, we assessed the relevance or predictive value of these biomarkers potentially translating to clinical effects. A correlation analysis of NfL and GFAP with the GST, a composite endpoint of cognition (ADAS-Cog11), and function (ADCS-ADL23), and the primary endpoint of our ongoing Phase 2/3 LIFT-AD trial was performed. In Figure 9, scatterplots from the full ACT-AD trial population are shown with the CFB in the GST on the Y axis and on the X axis, CFB in NfL on the left and GFAP on the right, respectively. From this analysis, we showed the statistically significant correlation between clinical and plasma biomarker improvements, and despite the limited trial size, these data support the interpretation of the clinical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9. Decreases in Disease-State Biomarkers Significantly Correlate with Improvements in Cognitive and Functional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76200</wp:posOffset>
            </wp:positionV>
            <wp:extent cx="5349240" cy="237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consistent clinical effects and plasma biomarker data from this exploratory Phase 2 ACT-AD trial clinical effects and plasma biomarkers continue to support the multimodal mechanism of action by enhancing the neurotrophic HGF system through fosgonimeton and suggests that fosgonimeton may have potential benefit for Alzheimer’s patients.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2/3 LIFT-AD Trial</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LIFT-AD is a randomized, double-blind, placebo-controlled, parallel-group 26-week Phase 2/3 clinical trial with fosgonimeton for the treatment of mild-to-moderate AD. In September 2020, we began site initiation and patient screening. The primary endpoint for LIFT-AD will be measured by the GST, which is a composite score of cognition (ADAS-Cog11) and function (ADCS-ADL23). Guided by the results from the completed exploratory Phase 2 ACT-AD trial, in September 2022, we proactively amended LIFT-AD to focus on participants not on background AChEIs. An unblinded adjudication of drug safety was performed by the drug safety monitoring board, which resulted in no serious adverse findings to date for both participants on or off background AChEIs.</w:t>
      </w:r>
    </w:p>
    <w:p>
      <w:pPr>
        <w:spacing w:after="0" w:line="7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 independent DMC consisting of one neurologist and two biostatisticians, performed an unblinded efficacy and futility interim analysis using a 2011 published method by Mehta and Pocock. This adaptive method enables a sample-size re-estimation using actual observed interim data based on our co-key secondary endpoints, ADAS-Cog11 and ADCS-ADL23, which these two endpoints inform our primary endpoint, GST.</w:t>
      </w:r>
    </w:p>
    <w:p>
      <w:pPr>
        <w:spacing w:after="0" w:line="6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Pre-specified constraints were protocolled in the interim SAP which consisted of a sample size range with a maximum enrollment limit, and a minimum target power. The formal efficacy analysis was then based on approximately 100 completers at week 26 (end of the double-blind treatment period) without background AChEIs. The primary analysis used was a mixed model for repeated measures, or MMRM, to compare the CFB in the GST between fosgonimeton treatment and placebo. Two potential outcomes were also pre-specified: 1) to stop the study for futility or 2) to continue the enrollment within the pre-specified range to achieve an adequate target power for the primary endpoint.</w:t>
      </w:r>
    </w:p>
    <w:p>
      <w:pPr>
        <w:spacing w:after="0" w:line="68"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Following this interim analysis, the DMC recommended to “continue LIFT-AD study” and also determined that, with the additional enrollment of fewer than 150 participants for a total enrollment of less than 300 participants without background AChEIs, the study will be well-powered for the primary endpoint given the preliminary effect size observed.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Figure 10 below shows the pre-specified decision framework and potential outcomes for the primary GST composite endpoint of cognition (ADAS-Cog11) and function (ADCS-ADL23). The shaded area in grey was pre-determined as the futility zone where the recommended sample size would exceed Athira's pre-specified maximum and shaded in green are the GST combinations resulting in a recommendation from the DMC to continue the study.</w:t>
      </w:r>
    </w:p>
    <w:p>
      <w:pPr>
        <w:spacing w:after="0" w:line="68" w:lineRule="exact"/>
        <w:rPr>
          <w:sz w:val="20"/>
          <w:szCs w:val="20"/>
          <w:color w:val="auto"/>
        </w:rPr>
      </w:pPr>
    </w:p>
    <w:p>
      <w:pPr>
        <w:jc w:val="both"/>
        <w:ind w:right="20" w:firstLine="509"/>
        <w:spacing w:after="0" w:line="269" w:lineRule="auto"/>
        <w:rPr>
          <w:sz w:val="20"/>
          <w:szCs w:val="20"/>
          <w:color w:val="auto"/>
        </w:rPr>
      </w:pPr>
      <w:r>
        <w:rPr>
          <w:rFonts w:ascii="Arial" w:cs="Arial" w:eastAsia="Arial" w:hAnsi="Arial"/>
          <w:sz w:val="18"/>
          <w:szCs w:val="18"/>
          <w:i w:val="1"/>
          <w:iCs w:val="1"/>
          <w:color w:val="auto"/>
        </w:rPr>
        <w:t>Figure 10. Independent DMC Recommends to Continue LIFT-AD after Unblinded Interim Analysis Using a Published Methodology and Pre-Specified Decision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41910</wp:posOffset>
            </wp:positionV>
            <wp:extent cx="5349240" cy="213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60"/>
        <w:spacing w:after="0" w:line="236" w:lineRule="auto"/>
        <w:rPr>
          <w:sz w:val="20"/>
          <w:szCs w:val="20"/>
          <w:color w:val="auto"/>
        </w:rPr>
      </w:pPr>
      <w:r>
        <w:rPr>
          <w:rFonts w:ascii="Arial" w:cs="Arial" w:eastAsia="Arial" w:hAnsi="Arial"/>
          <w:sz w:val="14"/>
          <w:szCs w:val="14"/>
          <w:color w:val="A6A6A6"/>
        </w:rPr>
        <w:t xml:space="preserve">Conducted by DMC: Chair neurologist (MD) and two biostatisticians (PhD); </w:t>
      </w:r>
      <w:r>
        <w:rPr>
          <w:rFonts w:ascii="Arial" w:cs="Arial" w:eastAsia="Arial" w:hAnsi="Arial"/>
          <w:sz w:val="19"/>
          <w:szCs w:val="19"/>
          <w:color w:val="A6A6A6"/>
          <w:vertAlign w:val="superscript"/>
        </w:rPr>
        <w:t>1</w:t>
      </w:r>
      <w:r>
        <w:rPr>
          <w:rFonts w:ascii="Arial" w:cs="Arial" w:eastAsia="Arial" w:hAnsi="Arial"/>
          <w:sz w:val="14"/>
          <w:szCs w:val="14"/>
          <w:color w:val="A6A6A6"/>
        </w:rPr>
        <w:t>Primary endpoint is the global statistical test, an unweighted composite of ADAS-Cog11 and ADCS-ADL23. AD, Alzheimer’s disease; ADAS-Cog11, Alzheimer’s Disease Assessment Scale–Cognitive Subscale; ADCS-ADL23, Alzheimer’s Disease Cooperative Study–Activities of Daily Living; DMC, data monitoring committee.</w:t>
      </w:r>
    </w:p>
    <w:p>
      <w:pPr>
        <w:spacing w:after="0" w:line="7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results from the DMC unblinded analysis give us confidence in a potentially positive outcome for LIFT-AD. Stringent evaluation criteria were applied based on validated and clinically meaningful cognitive and functional outcomes, which support the potential clinical benefits and underscores the rationale for continued development of fosgonimeton.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2023, we amended the LIFT-AD trial to focus ongoing enrollment and the primary analysis on the 40 mg dose versus placebo. Enrollment of the 70 mg arm of the trial was discontinued. The dose selection was based on a review of the totality of the data across preclinical and clinical studies, observations from the OLEX and in consultation with independent regulatory and biostatistical experts based on patients treated with 40 mg fosgonimeton without concomitant AChEIs.</w:t>
      </w:r>
    </w:p>
    <w:p>
      <w:pPr>
        <w:spacing w:after="0" w:line="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July 2023, we completed an end of Phase 2 meeting with the FDA to gain alignment on our plans for the continued clinical development of fosgonimeton as a potential treatment for mild-to-moderate AD. We provided an update and discussed with the FDA the ongoing LIFT-AD trial including use of the 40 mg dose, concomitant AChEI use, biomarker analyses including NfL, and the SAP.</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LIFT-AD trial is ongoing with the completion of enrollment announced in January 2024 and topline data expected in the second half of 2024.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Label Extension Trial*</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2021, we announced that we are enrolling patients into an optional 26-week OLEX for our LIFT-AD and ACT-AD clinical trials. In May 2022 and again in May 2023, we announced extensions of the 26-week OLEX for our LIFT-AD and ACT-AD clinical trials for a total of 24 additional months. These extensions enable eligible participants who have completed either trial, and elect to participate in the ongoing OLEX, to now receive up to 30 months of open-label treatment with fosgonimeton, which will allow us to collect up to a total of three years of safety data with fosgonimeton. As of year-end 2023, greater than 85% of patients who have completed either study have elected to participate in the OLEX and currently more than 60 patients have continued on OLEX beyond 18 months of investigational treatment.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Fosgonimeton for PD</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PD-relevant cellular and animal models, treatment with fosgonimeton or fosgo-AM demonstrated significant neuroprotective, neurotrophic and motor function improvements. Data supporting these findings were presented at the Society for Neuroscience Annual Conference in November 2022, the American Society for Experimental Neurotherapeutics Annual Meeting in March 2023, and at the AD/PD Conference in March 2023.</w:t>
      </w:r>
    </w:p>
    <w:p>
      <w:pPr>
        <w:spacing w:after="0" w:line="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Fosgo-AM significantly protected against neurotoxic insults and minimized PD-related toxic protein buildup in neuron-based models of disease. Figure 11 below shows results from cell models of PD exposed to the neurotoxin rotenone. Tyrosine hydroxylase, or TH+, staining in green identifies dopaminergic neurons, the neurons primarily affected in PD, and α-synuclein staining in red identifies the toxic aggregates found in PD pathology. The leftmost image shows cultures not exposed to rotenone toxin where TH+ dopaminergic neurons are abundant with robust neurites and minimal accumulation of α-synuclein within the cell. In the rightmost image, treatment with fosgo-AM significantly preserved the number of healthy dopaminergic neurons and reduced toxic α-synuclein aggregation in rotenone-toxic conditions, compared to the middle image showing cultures exposed to rotenone but treated with vehicle only. Quantification of fosgo-AM effects on reducing rotenone-induced dopaminergic neuron death and α-synuclein aggregation are shown in the bar charts.</w:t>
      </w:r>
    </w:p>
    <w:p>
      <w:pPr>
        <w:spacing w:after="0" w:line="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11. Fosgo-AM Reduces α-synuclein Aggregation and Protects Dopaminergic Neurons from Degeneration Induced by the Neurotoxin Rotenone in Primary Mesencephalic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41910</wp:posOffset>
            </wp:positionV>
            <wp:extent cx="5349240" cy="2048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Fisher least significant difference test. ***p&lt;0.001 versus Rotenone Control. Scale bar = 100 μm. n=5-6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per group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α-syn; alpha synuclein; fosgo-AM, fosgonimeton active metabolite; TH, tyrosine hydroxylase.</w:t>
      </w:r>
    </w:p>
    <w:p>
      <w:pPr>
        <w:spacing w:after="0" w:line="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Cellular improvements translated to improvements in motor function in several behavioral assessments, including improved coordination, balance and strength. Figure 12 below are two examples of improved motor function in a 6-hydroxydopamine, or 6-OHDA, rat model of PD, where treatment with fosgonimeton rescues muscular strength in the grip test, balance and coordination deficits in the rotarod test.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12. Fosgonimeton Rescues Grip Strength and Balance and Coordination Deficits in a Rat Model of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76200</wp:posOffset>
            </wp:positionV>
            <wp:extent cx="5349240" cy="2451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6A6A6"/>
        </w:rPr>
        <w:t>Data presented as means ± SEM. Statistics applied: 2-way ANOVA with Dunnett test. Statistical significance indicated with * represent sham control versus disease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6A6A6"/>
        </w:rPr>
        <w:t>control; # represent fosgonimeton versus disease control. For all symbols: *p&lt;0.05; **p&lt;0.01; ***p&lt;0.001; ****p&lt;0.0001 versus disease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6-OHDA, 6-hydroxydopamine.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Exploratory Phase 2 SHAPE Trial</w:t>
      </w:r>
    </w:p>
    <w:p>
      <w:pPr>
        <w:spacing w:after="0" w:line="3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exploratory Phase 2 clinical trial, SHAPE, tested 40 and 70 mg fosgonimeton doses versus placebo in PDD and DLB. The trial enrolled 28 participants and we reported topline results in December 2023. The primary endpoint of the trial, a composite score of the change in ERP P300 latency and cognitive assessment (ADAS-Cog13), was not met by protocoled analysis compared with placebo. Directionally positive results were observed for the 40 mg fosgonimeton dose group with improvements in cognitive, functional and biomarker measurements. In particular (see Figure 13 below), the five patients in the mITT population treated with fosgonimeton 40 mg once daily saw improvement in ADAS-Cog13 individually, and collectively improved compared with placebo (n=7 mITT, one-sided p=0.0321). Results for patients in the 70 mg dose group were inconsistent.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13. ADAS-Cog13 Score Change from Baseline in mITT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76200</wp:posOffset>
            </wp:positionV>
            <wp:extent cx="4817745" cy="2991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1774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6A6A6"/>
        </w:rPr>
        <w:t>ADAS-Cog13: Alzheimer’s Disease Assessment Scale – Cognitive Subscale 13-item version; CI: Confident Interval; Baseline is defined as the mean of the pre-dose measurements. Multiple efficacy assessments are averaged if they fall at the same visit.</w:t>
      </w:r>
    </w:p>
    <w:p>
      <w:pPr>
        <w:spacing w:after="0" w:line="2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believe the totality of the preclinical and clinical evidence supports continued testing of neurotrophic HGF system modulators in PD. In the future we will consider how best to progress fosgonimeton or another of our neurotrophic HGF system modulators in clinical testing for this complex disease.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ATH-1105</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ATH-1105 Preclinical Evidence for ALS</w:t>
      </w:r>
    </w:p>
    <w:p>
      <w:pPr>
        <w:spacing w:after="0" w:line="21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ATH-1105 is a novel oral small molecule drug candidate being assessed as a potential treatment for ALS. In a spinal motor neuron model, ATH-1105 significantly protected against neuron death by glutamate-induced excitotoxicity, while reducing pathological aggregation of TAR DNA-binding protein 43, or TDP-43. Figure 14 summarizes the data with images of microtubule-associated protein-2, or MAP-2-labeled spinal motor neurons in green, and extranuclear TDP-43 in red. In the control image on the left with no excitotoxic insult (glutamate), there is minimal overlap of MAP-2 neurons with extranuclear TDP-43. When glutamate is applied to the motor neuron cultures, there’s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14. ATH-1105 is Neuroprotective Against Excitotoxic Insult and Reduces Extranuclear TDP-43 Levels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76200</wp:posOffset>
            </wp:positionV>
            <wp:extent cx="5349240" cy="21513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Fisher least significant difference test. *p&lt;0.05; **p&lt;0.01; ***p&lt;0.001 versus Glutamate Control. Scale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bar: 100 µm. n=5-6 per group.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MAP-2, microtubule-associated protein-2; TDP-43, TAR DNA-binding protein 43.</w:t>
      </w:r>
    </w:p>
    <w:p>
      <w:pPr>
        <w:spacing w:after="0" w:line="2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Plasma biomarkers of inflammation and neurodegeneration were significantly reduced following treatment with ATH-1105 in a transgenic TDP-43-driven mouse model of ALS (Figure 15). These results support the anti-inflammatory and neuroprotective effects of ATH-1105 through enhancement of neurotrophic HGF system signaling. In the TDP-43-driven ALS model, significant increases in the proinflammatory cytokines tumor necrosis factor alpha, or TNF-alpha, and interleukin 6, or IL-6, were observed compared to healthy wild-type, or WT, control animals. When ALS-model mice, or ALS mice, were treated with ATH-1105 significant reductions in both TNF-alpha and IL-6 were observed, demonstrating anti -inflammatory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15. ATH-1105 Improves Biomarkers of Inflammation and Neurodegeneration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76200</wp:posOffset>
            </wp:positionV>
            <wp:extent cx="4509135" cy="1499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913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20"/>
        <w:spacing w:after="0" w:line="263" w:lineRule="auto"/>
        <w:rPr>
          <w:sz w:val="20"/>
          <w:szCs w:val="20"/>
          <w:color w:val="auto"/>
        </w:rPr>
      </w:pPr>
      <w:r>
        <w:rPr>
          <w:rFonts w:ascii="Arial" w:cs="Arial" w:eastAsia="Arial" w:hAnsi="Arial"/>
          <w:sz w:val="14"/>
          <w:szCs w:val="14"/>
          <w:color w:val="A6A6A6"/>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 ALS, amyotrophic lateral sclerosis; IL-6, interleukin 6; NfL, neurofilament light chain; TNF-α, tumor necrosis factor alpha; WT, wild-type.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Treatment with ATH-1105 in a mouse model of ALS protected against axon degeneration and demyelination as observed from histological examination of cross-sections of the sciatic nerve. Figure 16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16. Treatment with ATH-1105 Protected Against Axon Degeneration and Demyelination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76200</wp:posOffset>
            </wp:positionV>
            <wp:extent cx="4465955" cy="2846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6595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6A6A6"/>
        </w:rPr>
        <w:t>Histology images of sciatic nerve cross-sections stained with toluidine blue to label myelin. Scale is 10 μm (all panels). Graphical representation of the number of axons (per 100 µm2),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 ALS, amyotrophic lateral sclerosis; WT, wild-type.</w:t>
      </w:r>
    </w:p>
    <w:p>
      <w:pPr>
        <w:spacing w:after="0" w:line="26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analyses of electrophysiological and behavioral assessments indicated the protection of the motor neurons with ATH-1105 translated to improved nerve and motor function (Figure 17). Compound muscle action potential, or CMAP, and nerve conduction velocity, or NCV, are two electrophysiological measures of functional nerve signaling. Treatment with ATH-1105 in a mouse model of ALS demonstrated consistent and significant improvements of nerve function compared to ALS disease control animals.</w:t>
      </w:r>
    </w:p>
    <w:p>
      <w:pPr>
        <w:spacing w:after="0" w:line="6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17. Treatment with ATH-1105 Improves Nerve and Motor Function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76200</wp:posOffset>
            </wp:positionV>
            <wp:extent cx="4011930" cy="4029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1193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6A6A6"/>
        </w:rPr>
        <w:t>Graphical representation of CMAP amplitude, NCV, rotarod latency, and grip strength at baseline and after one and two months of treatment. Data presented as mean ± SEM.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Statistical significance was determined by 2-way ANOVA with the Dunnett’s test versus ALS + vehicle. **p&lt;0.01; ***p&lt;0.001; ****p&lt;0.0001. N=10 per group.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CMAP, compound muscle action potential; NCV, nerve conduction velocity; WT, wild-type.</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above study results, depicted in Figure 17, were presented at the American Academy of Neurology, or AAN, in April 2023, and the ALS Drug Development Summit in May 2023.</w:t>
      </w:r>
    </w:p>
    <w:p>
      <w:pPr>
        <w:spacing w:after="0" w:line="4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Treatment with ATH-1105 in a mouse model of ALS extends survival and improves other disease-related measures. Figure 18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18. ATH-1105 Significantly Improved Survival in a Mouse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76200</wp:posOffset>
            </wp:positionV>
            <wp:extent cx="3694430" cy="2512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9443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Kaplan-Meier curve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Statistics applied: Log-rank (Mantel-Cox) test for survival curve comparison, **p&lt;0.01. n=20 mice per group at start</w:t>
      </w:r>
    </w:p>
    <w:p>
      <w:pPr>
        <w:spacing w:after="0" w:line="2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Treatment with ATH-1105 in a mouse model of ALS outperforms treatment with riluzole under the conditions tested in assessments of motor function, nerve function, and in reducing disease-related plasma biomarkers. Figure 19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These findings were reported at the Northeast ALS Consortium meeting in October 2023, and the Motor Neurone Disease Association conference in December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19. ATH-1105 Preserves Motor and Nerve Function and Reduces Plasma NfL Compared with Riluzole in a Mouse Model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66040</wp:posOffset>
            </wp:positionV>
            <wp:extent cx="5349240" cy="254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6A6A6"/>
        </w:rPr>
        <w:t>Graphical representation of change from baseline following two months of treatment in grip test, CMAP amplitude, and Plasma Nfl. Data presented as mean ± SEM, or box-and-whisker plots</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6A6A6"/>
        </w:rPr>
        <w:t>Statistics applied: One-way ANOVA with Dunnett’s test. *p&lt;0.05; **p&lt;0.01; *** p&lt;0.001; **** p&lt;0.0001. n=10 mice per group; Abbreviations: CFB, change from baseline, CMAP, compound muscle action potential, NfL, neurofilament light chain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ATH-1105 in ALS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Weight loss, motor deficits, inflammatory effects, loss of muscle integrity, nerve degeneration and demyelination are all classical hallmarks of disease in people with ALS; treatment with ATH-1105 significantly improved all of these deficits preclinically. We expect to submit an IND application to the FDA and commence ATH-1105 clinical testing in healthy volunteers in the first half of 2024. In this single ascending dose and multiple ascending dose, or SAD/MAD, Phase 1 trial, we expect to evaluate and establish safety and determine one or more doses for further potential testing in ALS patients.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ATH-1020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 Preclinical Evidence for Neuropathic Pain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ATH-1020 is a novel, orally available, next generation, small molecule drug candidate designed to positively modulate the neurotrophic HGF system. Enhancing HGF/MET signaling promotes neuroprotective, neurotrophic, and anti-inflammatory effects, and as neuropathic pain disorders, including diabetic neuropathy, or DNP,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2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This compound was originally assessed for neuropsychiatric indications in preclinical models as presented at the American Society for Experimental Therapeutics Annual Conference in February 2022.</w:t>
      </w:r>
    </w:p>
    <w:p>
      <w:pPr>
        <w:spacing w:after="0" w:line="24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animal models of DNP hypersensitivity to mechanical and thermal pain are commonly experienced, which are also representative of symptoms in people with neuropathic pain. Shown in Figure 20 below, treatment with ATH-1020 significantly reduced pain behaviors over the testing period compared to DNP controls alone.</w:t>
      </w:r>
    </w:p>
    <w:p>
      <w:pPr>
        <w:spacing w:after="0" w:line="6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i w:val="1"/>
          <w:iCs w:val="1"/>
          <w:color w:val="auto"/>
        </w:rPr>
        <w:t>Figure 20. Reduced Mechanical and Thermal Pain-Related Behaviors Following ATH-1020 Treatment in a Rat Model of Diabetic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41910</wp:posOffset>
            </wp:positionV>
            <wp:extent cx="5134610" cy="1748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3461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****p&lt;0.0001 using one-way ANOVA with Dunnett test vs DNP control.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24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Persistence of reduced pain behaviors following ATH-1020 treatment were assessed after a short-term (23-hour) or a long-term (7-day) washout period. Study results demonstrated that even after short- and long-term washout periods, where no drug is present, the effects of ATH-1020 reduction of pain behaviors remained persistent, suggesting a potential disease modifying effect (Figure 21).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21.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76200</wp:posOffset>
            </wp:positionV>
            <wp:extent cx="5066030" cy="1654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603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*p&lt;0.05; **p&lt;0.01; ****p&lt;0.0001 using one-way ANOVA with Dunnett test vs DNP control.</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 Clinical - Phase 1 Trial in Healthy Volunteers</w:t>
      </w:r>
    </w:p>
    <w:p>
      <w:pPr>
        <w:spacing w:after="0" w:line="102"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We filed an IND application with the FDA for ATH-1020 at the end of 2021 and received notice of acceptance in January 2022. In September 2022, we completed the single-ascending dose escalation portion of the Phase 1 trial. ATH-1020 demonstrated a favorable safety profile and was well-tolerated in healthy volunteers. We plan to evaluate options with this drug candidate for future testing in either neuropathic pain or other neurodegenerative diseases.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believe fosgonimeton has the potential as a viable treatment option across all stages of AD but is initially being developed for mild-to-moderate stage of disease. Stages of this progressive disorder start with mild cognitive impairment, or MCI, mild AD, moderate AD, and finally severe AD. The AD dementia market, as last reported in 2023, consists of approximately 6.7 million Americans age 65 and older and is projected to reach nearly 13 million by 2050 in the U.S. alone. Worldwide, as many as 55 million people are estimated to have AD and other dementias, and this number is projected to grow to nearly 140 million by 2050. AD may account for an approximate 60-70% of all diagnosed dementia cases, however, with the continued innovation of diagnostic approaches coupled with better understanding of the disease pathology, diagnosis of AD and overall cases could continue to grow.</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shown in Figure 22 below, our initial focus is on mild-to-moderate AD as this stage has been identified where disease may progress rapidly and currently available therapies are few with only modest effects. Currently 81% of all diagnosed cases of AD are mild-to-moderate, and with many new therapies under development targeting earlier stages in AD, this is a highly underserved population with a high unmet need. Fosgonimeton is initially being developed for mild-to-moderate AD, but as we continue to advance fosgonimeton, and with our multimodal mechanism of action, we believe we will have the opportunity to address all stages of AD as well as expand into other dementias.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22. Significant Opportunity for Fosgonimeton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76200</wp:posOffset>
            </wp:positionV>
            <wp:extent cx="5340350" cy="2031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0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next potential target indications for our small molecule positive modulators include PD, ALS and neuropathic pain. PD is the second most common neurodegenerative disease after AD with a prevalence of nearly one million people and more than 10 million people in the United States and worldwide living with PD, respectively. Growth projections of United States cases of PD are expected to reach 1.2 million in the United States by 2030.</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 estimated 16,000 Americans are affected with ALS while global estimates exceed 150,000 (1.9 per 100,000 to 6 per 100,000). Currently, there are only four approved drugs that are specifically indicated for the treatment of ALS, of which none target neurotrophic factor systems with a multimodal mechanism of action with the potential to offer neuroprotective, anti-inflammatory and potentially disease modifying effects.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Fosgonimeton is our proprietary, potentially first-in-class small molecule drug candidate designed to promote the neurotrophic HGF system, which activates neuroprotective, neurotrophic and anti-inflammatory pathways in the CNS, and is initially being developed in mild-to-moderate AD. For this patient population, our commercialization strategy will consider the following key elements:</w:t>
      </w:r>
    </w:p>
    <w:p>
      <w:pPr>
        <w:spacing w:after="0" w:line="6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first-line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therapeutic option for patients who are not suitable for AChEIs;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therapeutic option for patients who have stopped AChEIs due to loss of effect or side effects.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will initially target launching fosgonimeton in the US with plans to expand into the European Union, or EU, and Asian markets as part of our global strategy. Beyond our regional launch plans, and because of our multimodal mechanism of action, we also expect to advance fosgonimeton beyond the mild-to-moderate AD stage into both earlier and later stages of disease.</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aim to establish the potential value of fosgonimeton by demonstrating improvement in cognition, independence, and markers of neurodegeneration, inflammation and AD protein pathology, which could result in improved outcomes and reduced total healthcare costs for this progressive and potentially fatal disease.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drug candidates. We utilize third-party contract development and manufacturing organizations, or CDMOs, to manufacture and supply our preclinical and clinical materials during the development of our drug candidates. We and various regulatory bodies have audited the CDMOs we contract with, and they have a proven track record of FDA-compliant manufacturing with an infrastructure to support both clinical supplies and subsequent large and commercial scale manufacturing.</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 robust fosgonimeton clinical supply chain to ensure sufficient supply for our LIFT-AD Phase 2/3 clinical trial in AD and the open-label extension of our LIFT-AD and ACT-AD clinical trials. We believe the synthesis of fosgonimeton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Fosgonimeton is purified as a stable solid and then released to additional CDMOs for formulation and packaging into final drug product for use in clinical testing.</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fosgonimeton. The syringes utilize materials and components that are readily available commercially. The fosgonimeton drug product has shown extended stability (at least two years) in the proposed prefilled syringe supporting use of the drug product under refrigerated conditions as well as short-term dispensation and at-home storage in ambient conditions. Room temperature short-term storage allows patients to avoid cumbersome storage requirements and reduces overall burden.</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plan to maintain our focus to identify and develop small molecule drug candidates that are expected to have cost-effective manufacturing using third party CDMOs.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expect to use similar contract resources for commercialization of our drug candidates, at least until our resources and operations are at a scale that potentially justifies investment in internal manufacturing capabilities.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late clinical-stage biopharmaceutical company developing small molecules to restore neuronal health and slow neurodegeneration, with our most advanced drug candidate focused on the treatment of AD, we face, and in the future may face, increased competitive pressures from both large and small pharmaceutical companies and from established and emerging biotechnology companies, as well as academic, government, and public and private research institutions. Any drug candidates that we successfully develop and commercialize will compete with current treatments and new treatments that may become available in the future. With the advancement of fosgonimeton as a novel small molecule therapeutic that positively modulates the neurotrophic HGF system, we must consider companies as competitors who are developing other novel approaches, including those that target other neurotrophic systems to address AD and other neurological diseases. Additionally, because fosgonimeton is being advanced as a once daily liquid formulation for subcutaneous delivery, we must also consider as competitors companies developing AD therapies as subcutaneous or other routes of administration, including oral formulations, and dosing frequency.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fosgonimeton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drug products. In geographies that are critical to our commercial success, competitors may also obtain regulatory approvals before us, resulting in our competitors building a strong market position in advance of the entry of our drug candidates. In addition, our ability to compete may be affected in many cases by insurers or other third-party payors seeking to encourage the use of other treatments.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AD market is experiencing a significant transformation where innovation and drug approvals have been limited for nearly 20 years. With the approval of two new monoclonal antibody therapies since 2021 (Biogen’s Aduhelm and Biogen/Eisai’s Leqembi), the potential approval of Eli Lilly's Donanemab this year, and the increased attention on novel approaches to AD, we are focused on strategically positioning ourselves in the evolving landscape to maximize our competitive advantage. Key competitive forces that could potentially affect the success of our drug candidates, if approved, are safety, efficacy, price, adoption, convenience, time-to-market, level of promotional activity, intellectual property protection, and reimbursement likelihood from government and private payors. Despite these forces, we view our competitive advantage in not only our lead drug candidate, fosgonimeton, but also our novel pipeline of therapeutics targeting the neurotrophic HGF system with a focus on overall neuronal health. In particular, the following summarizes certain categories of our potential competition.</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direct competitors can potentially be viewed through two different lenses – stage of disease and mechanism of action, or MOA. While the AD space has just recently seen two new approvals specifically addressing earlier stages of disease, MCI and mild AD, limited options exist for the mild-to-moderate disease stage. Companies developing therapies for mild-to-moderate AD, such as AB Science, Annovis Bio, Biomed Industries, BioVie Pharma, or Cassava Sciences, may emerge as direct competitors if they are quicker to market, demonstrate superior clinical effects, are safe and offer treatment options to our same initial target patient population.</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Monoclonal antibody therapies have been the focus of drug developers over the past several decades, and though the recent approval of Leqembi provides an option for those in early AD, more novel approaches and treatment options are needed. Through the MOA lens, companies developing non-amyloid, non-tau, or NANT, therapies may be direct competitors as well. Companies developing NANT therapies include those targeting other neurotrophic systems such as Alzecure, anti-inflammation such as AB Science, translational inhibitors such as Annovis Bio, and several other companies developing assets with novel targets like Cassava Sciences and BioVie Pharma.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Specific to targeting HGF/MET however, we are not aware of any direct competitors currently developing small molecules targeting the neurotrophic HGF system for neurological conditions. We are aware of several companies developing HGF/MET-directed therapies for other disease indications, including ANG-3777, an HGF mimetic, developed by Angion for the treatment of kidney injury; KP-100, a recombinant HGF protein, developed by Kringle Pharma for acute spinal cord injury and ALS; and Collategene developed by Mitsubishi Tanabe and AnGes as a gene therapy for the treatment of critical limb ischemia. Although ANG-3777 was reported to not have reached primary endpoints for their Phase 2 and 3 trials in 2021, the scientific basis remains unchanged, and the company is evaluating next steps for the program. KP-100 is currently in Phase 3 studies for acute spinal cord injury and Phase 2 studies for ALS. Collategene was launched in Japan in the third quarter of 2019. In addition, we are aware of VM-202, a regenerative plasmid DNA therapy candidate in Phase 3 development by Helixmith for the treatment of diabetic peripheral neuropathy and diabetic foot ulcers. VM-202 is in Phase 2 trials for Claudication and ALS.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Fosgonimeton has the potential to offer neuroprotective and anti-inflammatory effects by targeting the HGF/MET system. Our preclinical and clinical data have demonstrated this multimodal approach may have positive benefits across several biological and clinical measures. While several potential direct competitors may exist, we have not yet identified any competitive asset that has demonstrated consistent and congruent positive effects offering neuroprotection, anti-inflammation, reducing disease-specific protein pathologies, neurotrophic, and functional benefits. AD is a complex multifactorial disease, and we view our opportunity with fosgonimeton as potentially complementary to several approaches, including the recently approved monoclonal antibody therapies.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drug candidates, including related manufacturing processes and technologies.</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of December 31, 2023, our patent portfolio includes our exclusively owned intellectual property, including one issued U.S. patent, four pending U.S. patent applications, six issued patents in jurisdictions outside of the United States (not including certain European country validations or other registrations), forty-four pending patent applications in jurisdictions outside of the United States, and six pending international patent applications filed under the Patent Cooperation Treaty. The patents and patent applications issued and pending outside the United States are counterparts to the foregoing U.S. patents and patent applications and are generally held in Europe, Canada, Japan, Argentina, Australia, Brazil, China, Hong Kong, India, New Zealand, Singapore, South Africa, South Korea and Taiwan. Our owned patents and patent applications have claims directed to fosgonimeton and our other small molecule drug candidates, including ATH-1020 and ATH-1105, as compositions of matter and methods of use thereof. Our patent portfolio also includes seven issued U.S. patents and nine patents issued in jurisdictions outside of the United States (not including European country validations) that are exclusively licensed to us by WSU. Our in-licensed patents include, among others, claims directed to dihexa, the active metabolite of fosgonimeton, and its use.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or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extensions, the availability of legal remedies in a particular country, and the validity and enforceability of the patent. Our in-licensed issued patents will expire on dates ranging from 2027 to 2035, exclusive of any patent term adjustment or patent term extension. Our owned issued patents will expire in 2037, exclusive of any patent term adjustment or patent term extension. If patents are issued on our owned pending non-provisional patent applications, the resulting patents are projected to expire on dates ranging from 2037 to 2043, exclusive of any patent term adjustment or patent term extension.</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Our trademark portfolio includes issued trademark registrations for Athira Pharma and other pending trademark applications in the United States and internationally.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WSU License Agreement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are party to an amended and restated exclusive license agreement with sublicensing terms with WSU that we entered into in 2015. Under this agreement, we have an exclusive license to make, use, sell, and offer for sale products covered by certain licensed patents, including dihexa, the chemical compound into which fosgonimeton metabolizes following administration.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 of the agreement will continue until the earlier of (1) the date that no valid claim in a licensed patent remains enforceable and</w:t>
      </w:r>
    </w:p>
    <w:p>
      <w:pPr>
        <w:spacing w:after="0" w:line="14" w:lineRule="exact"/>
        <w:rPr>
          <w:sz w:val="20"/>
          <w:szCs w:val="20"/>
          <w:color w:val="auto"/>
        </w:rPr>
      </w:pPr>
    </w:p>
    <w:p>
      <w:pPr>
        <w:jc w:val="both"/>
        <w:ind w:firstLine="8"/>
        <w:spacing w:after="0" w:line="237"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drug candidates to which the patents relate are approved for commercial sale, our obligations to pay royalties would commence upon net sales of such approved drug candidates and cease no later than the date that no valid claim in a licensed patent remains enforceable.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material breach of the agreement and our failure to cure any such breach within 90 days of our receipt of notice of such breach from WSU (or within 30 days in the case of our failure to make a timely payment owed to WSU).</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December 2020, we accepted a grant from the National Institute on Aging, or NIA, of the National Institutes of Health, or NIH, to support our ACT-AD Phase 2 clinical trial for fosgonimeton (then-named ATH-1017), our lead drug candidate being developed for the treatment of individuals with mild-to-moderate AD. Under the terms of the agreement and approval received from the NIH, we were awarded an aggregate of $ 15.2 million, all of which had been received as of December 31, 2023. Post award, we received approval from NIA to use these grant funds to support our open label extension of the ACT-AD trial. As this grant involves federally funded research, per the Bayh-Dole Act of 1980, or the Bayh-Dole Act, we are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drug candidates existing prior to the receipt of such grant. We also are expected to commercialize any inventions we file patent protection on for the benefit of public health. For more information see the section of this report titled “Risk Factors—Risks Relating to Our Intellectual Property. Intellectual property discovered or developed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or GLP, requirements and other applicable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or IRB, ethics committee, either centralized or with respect to each clinical site, before each clinical trial may be initiated;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New Drug Application, or NDA, after completion of all pivotal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or cGMP, requirements to ensure that the facilities, methods and controls are adequate to preserve the drug’s identity, strength, quality, and purity, and of selected clinical investigation sites to assess compliance with GCPs; and</w:t>
      </w:r>
    </w:p>
    <w:p>
      <w:pPr>
        <w:spacing w:after="0" w:line="68"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5"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color w:val="auto"/>
        </w:rPr>
        <w:t>effectiveness. In the case of some products for severe or life-threatening diseases, especially when the product may be too inherently toxic to ethically administer to healthy volunteers, the initial human testing is often conducted in patients.</w:t>
      </w:r>
    </w:p>
    <w:p>
      <w:pPr>
        <w:spacing w:after="0" w:line="46" w:lineRule="exact"/>
        <w:rPr>
          <w:sz w:val="20"/>
          <w:szCs w:val="20"/>
          <w:color w:val="auto"/>
        </w:rPr>
      </w:pPr>
    </w:p>
    <w:p>
      <w:pPr>
        <w:jc w:val="both"/>
        <w:ind w:left="10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drug 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or HIPAA, thus complicating compliance efforts.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 a third-party payor not to cover a product could reduce physician usage and patient demand for the product.</w:t>
      </w:r>
    </w:p>
    <w:p>
      <w:pPr>
        <w:spacing w:after="0" w:line="2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or COVID-19, relief legislation. Moreover, there has recently been heightened governmental scrutiny over the manner in which manufacturers set prices for their marketed products, which has resulted in several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drug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2023, we had 67 employees, 65 of whom were full-time and 45 of whom were engaged in research and development activities. Twenty-five of our employees hold Ph.D. or M.D. degrees. None of our employees is represented by a labor union or covered under a collective bargaining agreement. We consider our relationship with our employees to be good.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and is not incorporated into, this report, and the inclusion of our website address in this report is an inactive textual reference only.</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Annual Report on Form 10-K</w:t>
      </w:r>
      <w:r>
        <w:rPr>
          <w:rFonts w:ascii="Arial" w:cs="Arial" w:eastAsia="Arial" w:hAnsi="Arial"/>
          <w:sz w:val="18"/>
          <w:szCs w:val="18"/>
          <w:color w:val="231F20"/>
        </w:rPr>
        <w:t>, including the “Management’s Discussion and Analysis of Financial Condition and Results of Operations” section</w:t>
      </w:r>
      <w:r>
        <w:rPr>
          <w:rFonts w:ascii="Arial" w:cs="Arial" w:eastAsia="Arial" w:hAnsi="Arial"/>
          <w:sz w:val="18"/>
          <w:szCs w:val="18"/>
          <w:i w:val="1"/>
          <w:iCs w:val="1"/>
          <w:color w:val="231F20"/>
        </w:rPr>
        <w:t xml:space="preserve">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Drug Candidates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2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fosgonimeton or any of our other drug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(including potential confirmatory or Phase 3 registrational trials). Even if regulatory approval is secured for any of our drug candidates, the terms of such approval may limit the scope and use of our drug candidate, which may also limit its commercial potential.</w:t>
      </w:r>
    </w:p>
    <w:p>
      <w:pPr>
        <w:spacing w:after="0" w:line="21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fosgonimeton and one or more of our other future drug candidates. Our ability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generate revenue and achieve profitability depends significantly on our ability to achieve a number of objectives, including:</w:t>
      </w:r>
    </w:p>
    <w:p>
      <w:pPr>
        <w:spacing w:after="0" w:line="104" w:lineRule="exact"/>
        <w:rPr>
          <w:sz w:val="20"/>
          <w:szCs w:val="20"/>
          <w:color w:val="auto"/>
        </w:rPr>
      </w:pPr>
    </w:p>
    <w:p>
      <w:pPr>
        <w:ind w:left="1020" w:right="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drug candidates and any future drug candidates, as well as the associated costs, including any unforeseen costs;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drug candidates and any future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timely submission of application for and receipt of marketing approvals from applicable regulatory authorities for any drug candidates for which we successfully complete clinical development;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drug candidates, including obtaining finished products that are appropriately packaged for sale;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drug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drug candidates that we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5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1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require additional clinical trials, including bridging studies and potential confirmatory or Phase 3 registrational trials, to demonstrate consistent and continued safety and efficacy.</w:t>
      </w:r>
    </w:p>
    <w:p>
      <w:pPr>
        <w:spacing w:after="0" w:line="1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not previously submitted an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fosgonimeton may never lead to a marketable product.</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and SHAPE trials were not met by protocoled analysis. While we are continuing with the LIFT-AD study, we may not succeed in demonstrating safety and efficacy of fosgonimeton in our LIFT-AD trial or in other clinical trials.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fosgonimeton as a small molecule aimed at restoring neuronal health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6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discovered and are developing a platform of small molecule drug candidates from which we have selected our lead drug candidate, fosgonimeton, which is under development to treat AD, PDD, and DLB.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patients or that our clinical trials will provide sufficient evidence that our design approach results in the intended therapeutic effect.</w:t>
      </w:r>
    </w:p>
    <w:p>
      <w:pPr>
        <w:spacing w:after="0" w:line="23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primary and all secondary endpoints of our Phase 2 ACT-AD clinical trial in AD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DMC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2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mITT population treated with fosgonimeton 40 mg once daily saw improvement in ADAS-Cog13 individually, and collectively improved compared with placebo (n=7 mITT, one-sided p=0.0321). Results for patients in the 70 mg dose group were inconsistent.</w:t>
      </w:r>
    </w:p>
    <w:p>
      <w:pPr>
        <w:spacing w:after="0" w:line="20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drug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drug product platform. We may spend substantial funds attempting to develop these drug candidates and never succeed in doing so.</w:t>
      </w:r>
    </w:p>
    <w:p>
      <w:pPr>
        <w:spacing w:after="0" w:line="221"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drug candidates for treating CNS and peripheral disorders. Developing and, if approved, commercializing our drug candidates for treatment of CNS and peripheral disorders subjects us to a number of challenges, including ensuring that we have selected the optimal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doses, executing an appropriate clinical trial to test for efficacy and obtaining regulatory approval from the FDA and other regulatory authorities.</w:t>
      </w:r>
    </w:p>
    <w:p>
      <w:pPr>
        <w:spacing w:after="0" w:line="18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0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drug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spacing w:after="0" w:line="20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and may in the future be, named as defendants in lawsuits that could result in substantial costs and divert management’s attention</w:t>
      </w:r>
      <w:r>
        <w:rPr>
          <w:rFonts w:ascii="Arial" w:cs="Arial" w:eastAsia="Arial" w:hAnsi="Arial"/>
          <w:sz w:val="18"/>
          <w:szCs w:val="18"/>
          <w:color w:val="auto"/>
        </w:rPr>
        <w:t>,” and in “Part I, Item 3—Legal Proceedings,” lawsuits have been filed against us and certain of our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30"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WSU has undertaken a review of claims of potential research misconduct involving our former chief executive officer’s doctoral research at WSU.</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8"/>
          <w:szCs w:val="18"/>
          <w:i w:val="1"/>
          <w:iCs w:val="1"/>
          <w:color w:val="auto"/>
        </w:rPr>
        <w:t>An independent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r>
        <w:rPr>
          <w:rFonts w:ascii="Arial" w:cs="Arial" w:eastAsia="Arial" w:hAnsi="Arial"/>
          <w:sz w:val="18"/>
          <w:szCs w:val="18"/>
          <w:color w:val="auto"/>
        </w:rPr>
        <w:t>”. The conclusions from WSU’s investigation could have a material adverse impact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3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0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2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lead drug candidate, fosgonimeton, is in clinical development for the potential treatment of AD, PDD and DLB. Our additional early drug candidates, including ATH-1105 for ALS, are in preclinical development. It is impossible to predict when or if any of our drug candidates will prove to be effective and safe in humans or will receive regulatory approval.</w:t>
      </w:r>
    </w:p>
    <w:p>
      <w:pPr>
        <w:spacing w:after="0" w:line="20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Before obtaining regulatory approvals for the commercial sale of our drug candidates, we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in AD,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AChEIs, we cannot be sure that data from future trials will support our earlier findings or demonstrate the safety and effectiveness of fosgonimeton for treatment of AD to the satisfaction of the FDA and other regulatory authorities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1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2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July 6, 2021, we announced the initiation of an open-label extension for the LIFT-AD and ACT-AD trials and in May 2022 we announced the extension of the open label extension for an additional 12 months. In May 2023, we amended the open-label extension trial to further extend the trial by an additional 12 months. Upon completion of the 26-week treatment period during the LIFT-AD or ACT-AD trials, patients may continue on the open-label extension and receive treatment with fosgonimeton for up to an additional 30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spacing w:after="0" w:line="6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 on a timely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drug candidates may be larger than we anticipate;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by us or our CROs in qualifying or analyzing patient data at the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drug candidate;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supply of drug candidate for use in nonclinical studies or clinical trials from third-party suppliers.</w:t>
      </w:r>
    </w:p>
    <w:p>
      <w:pPr>
        <w:spacing w:after="0" w:line="26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 conducting clinical trials in foreign countries, as we intend to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3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spacing w:after="0" w:line="21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drug candidates, if we do not meet the clinical endpoints with statistical and clinically meaningful significance, or if there are safety concerns associated with our drug candidates, we may:</w:t>
      </w:r>
    </w:p>
    <w:p>
      <w:pPr>
        <w:spacing w:after="0" w:line="61"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drug candidate is administered;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drug product or impose restrictions on its distribution in the form of a modified REMS;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26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34"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For example, in October 2022 we announced that an independent DMC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19" w:lineRule="exact"/>
        <w:rPr>
          <w:sz w:val="20"/>
          <w:szCs w:val="20"/>
          <w:color w:val="auto"/>
        </w:rPr>
      </w:pPr>
    </w:p>
    <w:p>
      <w:pPr>
        <w:jc w:val="both"/>
        <w:ind w:firstLine="515"/>
        <w:spacing w:after="0" w:line="238"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26" w:lineRule="exact"/>
        <w:rPr>
          <w:sz w:val="20"/>
          <w:szCs w:val="20"/>
          <w:color w:val="auto"/>
        </w:rPr>
      </w:pPr>
    </w:p>
    <w:p>
      <w:pPr>
        <w:jc w:val="both"/>
        <w:ind w:firstLine="515"/>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spacing w:after="0" w:line="22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or retention of patients in clinical trials, our regulatory submissions or receipt of necessary marketing approvals could be delayed or prevented.</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2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 -19 pandemic, including governmental restrictions imposed in Australia, where certain of our clinical trial sites are located. In our ACT-AD clinical trial, this slowed recruitment resulted in a change in the timing of topline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p>
    <w:p>
      <w:pPr>
        <w:spacing w:after="0" w:line="20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spacing w:after="0" w:line="22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Drug candidates that we may successfully develop and commercialize will compete with existing therapies and new therapies that may become available in the future. For example, the FDA recently granted traditional approval for lecanemab, a drug developed by Biogen Inc. and Eisai Co., Ltd., and Eli Lilly and Company is also developing drug candidates for AD.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For example, CMS announced a two-part National Coverage Determination, or NCD, under which Medicare will cover monoclonal antibodies that target amyloid (or plaque) for the treatment of AD that receive traditional approval from the FDA under coverage with evidence development.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report titled “Part I, Item 1 – Business—Competition”.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3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drug candidates that we identify for specific indications. As a result, we may forego or delay pursuit of opportunities with other therapeutic platforms or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drug candidates in combination with other therapies, which exposes us to additional risks.</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spacing w:after="0" w:line="20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spacing w:after="0" w:line="22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drug candidates, which may fail in development or suffer delays that adversely affect their commercial viability.</w:t>
      </w:r>
    </w:p>
    <w:p>
      <w:pPr>
        <w:spacing w:after="0" w:line="18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drug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drug candidate for use in clinical trials;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5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spacing w:after="0" w:line="2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0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drug product and development candidates in Australia. Due to the geographical distance and lack of employees currently in Australia, as well as our lack of experience operating in Australia, we may not be able to efficiently or successfully monitor, develop and commercialize our drug product and development candidates in Australia, including conducting clinical trials. Furthermore, we have no assurance that the results of any clinical trials that we conduct for our drug candidates in Australia will be accepted by the FDA or foreign regulatory authorities for development and commercialization approvals.</w:t>
      </w:r>
    </w:p>
    <w:p>
      <w:pPr>
        <w:spacing w:after="0" w:line="20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operations may be adversely affected.</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5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Health Epidemics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potential effects of health epidemics could adversely impact our business, including our nonclinical studies and clinical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trials.</w:t>
      </w:r>
    </w:p>
    <w:p>
      <w:pPr>
        <w:spacing w:after="0" w:line="23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such diseases on cognition of the subjects enrolled in our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drug candidates from our contract manufacturing organizations due to staffing shortages, production slowdowns or stoppages and disruptions in delivery systems;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some or all of our employees working remotely;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example, 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 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spacing w:after="0" w:line="2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5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1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not generated any revenue from drug product sales and our drug candidates will require substantial additional investment before they may provide us with any revenue. We had net losses of $117.7 million and $95.6 million for the years ended December 31, 2023 and 2022</w:t>
      </w:r>
      <w:r>
        <w:rPr>
          <w:rFonts w:ascii="Arial" w:cs="Arial" w:eastAsia="Arial" w:hAnsi="Arial"/>
          <w:sz w:val="18"/>
          <w:szCs w:val="18"/>
          <w:color w:val="212529"/>
        </w:rPr>
        <w:t>, respectively, and an accumulated deficit of $309.2 million as of December 31, 2023.</w:t>
      </w:r>
    </w:p>
    <w:p>
      <w:pPr>
        <w:spacing w:after="0" w:line="20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drug candidates;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drug candidates, including any potentially pivotal trials with respect to fosgonimeton for the treatment of mild-to-moderate AD in addition to LIFT-AD, and continue the open label extension of the ACT-AD and LIFT-AD trials;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drug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expand our facilities and lab space;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drug candidates and technologies or engage in other strategic transactions;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drug products for which we may obtain marketing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drug product development and planned future commercialization efforts;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incur expenses in connection with legal proceedings, and addressing potential stockholder activism;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6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p>
    <w:p>
      <w:pPr>
        <w:spacing w:after="0" w:line="20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cs="Arial" w:eastAsia="Arial" w:hAnsi="Arial"/>
          <w:sz w:val="18"/>
          <w:szCs w:val="18"/>
          <w:color w:val="212529"/>
        </w:rPr>
        <w:t>obtain marketing approval for fosgonimeton or any future drug candidates, we expect to incur significant commercialization expenses</w:t>
      </w:r>
      <w:r>
        <w:rPr>
          <w:rFonts w:ascii="Arial" w:cs="Arial" w:eastAsia="Arial" w:hAnsi="Arial"/>
          <w:sz w:val="18"/>
          <w:szCs w:val="18"/>
          <w:color w:val="auto"/>
        </w:rPr>
        <w:t xml:space="preserve"> </w:t>
      </w:r>
      <w:r>
        <w:rPr>
          <w:rFonts w:ascii="Arial" w:cs="Arial" w:eastAsia="Arial" w:hAnsi="Arial"/>
          <w:sz w:val="18"/>
          <w:szCs w:val="18"/>
          <w:color w:val="212529"/>
        </w:rPr>
        <w:t>related to sales, marketing, manufacturing, and distribution. Furthermore, we expect to continue to incur additional costs associated with operating as a public company.</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December 31, 2023, we had cash, cash equivalents and investments of $ 147.4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3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fosgonimeton, including for potential additional indications that we are pursuing beyond AD, such as PDD, DLB, and the continuation of the open label extension of the ACT-AD and LIFT-AD trials;</w:t>
      </w:r>
    </w:p>
    <w:p>
      <w:pPr>
        <w:spacing w:after="0" w:line="62"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drug candidates that we pursue;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drug candidates and technologies;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drug candidates and other market developments;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8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 xml:space="preserve">unable </w:t>
      </w:r>
      <w:r>
        <w:rPr>
          <w:rFonts w:ascii="Arial" w:cs="Arial" w:eastAsia="Arial" w:hAnsi="Arial"/>
          <w:sz w:val="18"/>
          <w:szCs w:val="18"/>
          <w:color w:val="000000"/>
        </w:rPr>
        <w:t>to obtain funding on a timely basis, we may be required to significantly curtail or abandon one or more of our research or development</w:t>
      </w:r>
      <w:r>
        <w:rPr>
          <w:rFonts w:ascii="Arial" w:cs="Arial" w:eastAsia="Arial" w:hAnsi="Arial"/>
          <w:sz w:val="18"/>
          <w:szCs w:val="18"/>
          <w:color w:val="212529"/>
        </w:rPr>
        <w:t xml:space="preserve"> </w:t>
      </w:r>
      <w:r>
        <w:rPr>
          <w:rFonts w:ascii="Arial" w:cs="Arial" w:eastAsia="Arial" w:hAnsi="Arial"/>
          <w:sz w:val="18"/>
          <w:szCs w:val="18"/>
          <w:color w:val="000000"/>
        </w:rPr>
        <w:t>programs. We also could be required to seek funds through arrangements with collaborative partners or otherwise that may require us to relinquish rights to some of our technologies or drug candidates or otherwise agree to terms unfavorable to us.</w:t>
      </w:r>
    </w:p>
    <w:p>
      <w:pPr>
        <w:spacing w:after="0" w:line="2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w:t>
      </w:r>
    </w:p>
    <w:p>
      <w:pPr>
        <w:spacing w:after="0" w:line="2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For example, the current inflationary economic environment, health epidemics,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by, among other things, SEC rules and regulations impacting the eligibility of smaller companies to use Form S-3 for primary offerings of securities.</w:t>
      </w:r>
    </w:p>
    <w:p>
      <w:pPr>
        <w:spacing w:after="0" w:line="22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Adverse events or perceptions affecting the financial services industry could adversely affect our operating results, liquidity, financial condition and prospects.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spacing w:after="0" w:line="7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0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24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obligations, including U.S. federal and state wage laws and contracts that required them to maintain letters or credit or other credit support arrangements; and</w:t>
      </w:r>
    </w:p>
    <w:p>
      <w:pPr>
        <w:spacing w:after="0" w:line="24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or delays in accessing or actual loss of funds subject to cash management arrangements.</w:t>
      </w:r>
    </w:p>
    <w:p>
      <w:pPr>
        <w:spacing w:after="0" w:line="3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commercial agreements may be unable to satisfy their obligations to, or enter into new commercial arrangements with, us.</w:t>
      </w:r>
    </w:p>
    <w:p>
      <w:pPr>
        <w:spacing w:after="0" w:line="2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Concerns regarding the U.S. or international financial systems could impact the availability and cost of financing, thereby making it more difficult for us to acquire financing on acceptable terms or at all.</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risks could materially impact our operating results, liquidity, financial condition and prospects.</w:t>
      </w:r>
    </w:p>
    <w:p>
      <w:pPr>
        <w:spacing w:after="0" w:line="2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212529"/>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spacing w:after="0" w:line="18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spacing w:after="0" w:line="21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3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As of December 31, 2023, we had federal net operating loss carryforwards, or NOLs, to offset future taxable income of approximately $9.5 million and federal tax credit carryforwards of approximately $12.4 million, which expire over a period of 8 to 14 years. Federal NOLs of $138.7 million were generated after 2017, and therefore do not expire. At December 31, 2023, we also had state NOLs of $3.3 million, which expire over a period of 18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3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Changes in tax laws could have a material adverse effect on our business, cash flows, results of operations or financial condition.</w:t>
      </w:r>
    </w:p>
    <w:p>
      <w:pPr>
        <w:spacing w:after="0" w:line="16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are subject to the tax laws, regulations, and policies of several taxing jurisdictions. Changes in tax laws, as well as other factors,</w:t>
      </w:r>
      <w:r>
        <w:rPr>
          <w:rFonts w:ascii="Arial" w:cs="Arial" w:eastAsia="Arial" w:hAnsi="Arial"/>
          <w:sz w:val="18"/>
          <w:szCs w:val="18"/>
          <w:color w:val="212529"/>
        </w:rPr>
        <w:t xml:space="preserve"> </w:t>
      </w:r>
      <w:r>
        <w:rPr>
          <w:rFonts w:ascii="Arial" w:cs="Arial" w:eastAsia="Arial" w:hAnsi="Arial"/>
          <w:sz w:val="18"/>
          <w:szCs w:val="18"/>
          <w:color w:val="000000"/>
        </w:rPr>
        <w:t>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cs="Arial" w:eastAsia="Arial" w:hAnsi="Arial"/>
          <w:sz w:val="18"/>
          <w:szCs w:val="18"/>
          <w:color w:val="212529"/>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5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19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p>
    <w:p>
      <w:pPr>
        <w:spacing w:after="0" w:line="21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drug candidates could fail to receive regulatory approval for many reasons, including the following:</w:t>
      </w:r>
    </w:p>
    <w:p>
      <w:pPr>
        <w:spacing w:after="0" w:line="104" w:lineRule="exact"/>
        <w:rPr>
          <w:sz w:val="20"/>
          <w:szCs w:val="20"/>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5" w:lineRule="exact"/>
        <w:rPr>
          <w:sz w:val="20"/>
          <w:szCs w:val="20"/>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drug candidate’s risk-benefit ratio for its proposed indication is acceptable;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2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spacing w:after="0" w:line="2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06" w:lineRule="exact"/>
        <w:rPr>
          <w:sz w:val="20"/>
          <w:szCs w:val="20"/>
          <w:color w:val="auto"/>
        </w:rPr>
      </w:pPr>
    </w:p>
    <w:p>
      <w:pPr>
        <w:jc w:val="both"/>
        <w:ind w:firstLine="515"/>
        <w:spacing w:after="0"/>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25"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8"/>
          <w:szCs w:val="18"/>
          <w:color w:val="auto"/>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us from achieving or maintaining market acceptance of the affected drug candidate and may harm our business, financial condition and prospects significantly.</w:t>
      </w:r>
    </w:p>
    <w:p>
      <w:pPr>
        <w:spacing w:after="0" w:line="194" w:lineRule="exact"/>
        <w:rPr>
          <w:sz w:val="20"/>
          <w:szCs w:val="20"/>
          <w:color w:val="auto"/>
        </w:rPr>
      </w:pPr>
    </w:p>
    <w:p>
      <w:pPr>
        <w:jc w:val="both"/>
        <w:ind w:firstLine="515"/>
        <w:spacing w:after="0" w:line="238"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 but may still impact the success of our clinical trials, including, for example, by interfering with the effects of our drug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26" w:lineRule="exact"/>
        <w:rPr>
          <w:sz w:val="20"/>
          <w:szCs w:val="20"/>
          <w:color w:val="auto"/>
        </w:rPr>
      </w:pPr>
    </w:p>
    <w:p>
      <w:pPr>
        <w:jc w:val="both"/>
        <w:ind w:firstLine="515"/>
        <w:spacing w:after="0" w:line="239" w:lineRule="auto"/>
        <w:rPr>
          <w:sz w:val="20"/>
          <w:szCs w:val="20"/>
          <w:color w:val="auto"/>
        </w:rPr>
      </w:pPr>
      <w:r>
        <w:rPr>
          <w:rFonts w:ascii="Arial" w:cs="Arial" w:eastAsia="Arial" w:hAnsi="Arial"/>
          <w:sz w:val="18"/>
          <w:szCs w:val="18"/>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20" w:lineRule="exact"/>
        <w:rPr>
          <w:sz w:val="20"/>
          <w:szCs w:val="20"/>
          <w:color w:val="auto"/>
        </w:rPr>
      </w:pPr>
    </w:p>
    <w:p>
      <w:pPr>
        <w:jc w:val="both"/>
        <w:ind w:firstLine="515"/>
        <w:spacing w:after="0" w:line="244" w:lineRule="auto"/>
        <w:rPr>
          <w:sz w:val="20"/>
          <w:szCs w:val="20"/>
          <w:color w:val="auto"/>
        </w:rPr>
      </w:pPr>
      <w:r>
        <w:rPr>
          <w:rFonts w:ascii="Arial" w:cs="Arial" w:eastAsia="Arial" w:hAnsi="Arial"/>
          <w:sz w:val="18"/>
          <w:szCs w:val="18"/>
          <w:color w:val="auto"/>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spacing w:after="0" w:line="2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2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drug candidates, withdrawal of the drug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drug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drug candidates;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6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addition,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spacing w:after="0" w:line="20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p>
    <w:p>
      <w:pPr>
        <w:spacing w:after="0" w:line="2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1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17"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8"/>
          <w:szCs w:val="18"/>
          <w:color w:val="auto"/>
        </w:rPr>
        <w:t>To the extent the FDA’s normal operations are disrupted or delayed, for example due to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21" w:lineRule="exact"/>
        <w:rPr>
          <w:sz w:val="20"/>
          <w:szCs w:val="20"/>
          <w:color w:val="auto"/>
        </w:rPr>
      </w:pPr>
    </w:p>
    <w:p>
      <w:pPr>
        <w:jc w:val="both"/>
        <w:ind w:firstLine="515"/>
        <w:spacing w:after="0" w:line="243"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12" w:lineRule="exact"/>
        <w:rPr>
          <w:sz w:val="20"/>
          <w:szCs w:val="20"/>
          <w:color w:val="auto"/>
        </w:rPr>
      </w:pPr>
    </w:p>
    <w:p>
      <w:pPr>
        <w:jc w:val="both"/>
        <w:ind w:firstLine="515"/>
        <w:spacing w:after="0" w:line="247" w:lineRule="auto"/>
        <w:rPr>
          <w:sz w:val="20"/>
          <w:szCs w:val="20"/>
          <w:color w:val="auto"/>
        </w:rPr>
      </w:pPr>
      <w:r>
        <w:rPr>
          <w:rFonts w:ascii="Arial" w:cs="Arial" w:eastAsia="Arial" w:hAnsi="Arial"/>
          <w:sz w:val="18"/>
          <w:szCs w:val="18"/>
          <w:color w:val="auto"/>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2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spacing w:after="0" w:line="21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AD and our clinical development programs.</w:t>
      </w:r>
    </w:p>
    <w:p>
      <w:pPr>
        <w:spacing w:after="0" w:line="22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p>
    <w:p>
      <w:pPr>
        <w:spacing w:after="0" w:line="6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drug product labeling;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drug products; or</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95"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2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3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April 2022, CMS released a finalized national policy for coverage of aducanumab, or Aduhelm, and any future monoclonal antibodies directed against amyloid approved by the FDA with an indication for use in treating AD. According to the two-part NCD, Medicare will cover monoclonal antibodies that target amyloid (or plaque) for the treatment of AD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spacing w:after="0" w:line="21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1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drug candidates, if we obtain regulatory approval;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drug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drug product;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2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jc w:val="both"/>
        <w:ind w:left="1020" w:hanging="503"/>
        <w:spacing w:after="0" w:line="238"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5" w:lineRule="exact"/>
        <w:rPr>
          <w:sz w:val="20"/>
          <w:szCs w:val="20"/>
          <w:color w:val="auto"/>
        </w:rPr>
      </w:pPr>
    </w:p>
    <w:p>
      <w:pPr>
        <w:jc w:val="both"/>
        <w:ind w:left="503"/>
        <w:spacing w:after="0" w:line="237" w:lineRule="auto"/>
        <w:rPr>
          <w:sz w:val="20"/>
          <w:szCs w:val="20"/>
          <w:color w:val="auto"/>
        </w:rPr>
      </w:pPr>
      <w:r>
        <w:rPr>
          <w:rFonts w:ascii="Arial" w:cs="Arial" w:eastAsia="Arial" w:hAnsi="Arial"/>
          <w:sz w:val="18"/>
          <w:szCs w:val="18"/>
          <w:color w:val="auto"/>
        </w:rPr>
        <w:t>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81" w:lineRule="exact"/>
        <w:rPr>
          <w:sz w:val="20"/>
          <w:szCs w:val="20"/>
          <w:color w:val="auto"/>
        </w:rPr>
      </w:pPr>
    </w:p>
    <w:p>
      <w:pPr>
        <w:jc w:val="both"/>
        <w:ind w:left="503" w:hanging="503"/>
        <w:spacing w:after="0"/>
        <w:tabs>
          <w:tab w:leader="none" w:pos="5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39" w:lineRule="auto"/>
        <w:tabs>
          <w:tab w:leader="none" w:pos="5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8" w:lineRule="exact"/>
        <w:rPr>
          <w:rFonts w:ascii="Times New Roman" w:cs="Times New Roman" w:eastAsia="Times New Roman" w:hAnsi="Times New Roman"/>
          <w:sz w:val="18"/>
          <w:szCs w:val="18"/>
          <w:color w:val="auto"/>
        </w:rPr>
      </w:pPr>
    </w:p>
    <w:p>
      <w:pPr>
        <w:jc w:val="both"/>
        <w:ind w:left="503" w:hanging="503"/>
        <w:spacing w:after="0"/>
        <w:tabs>
          <w:tab w:leader="none" w:pos="5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6"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w:t>
      </w:r>
    </w:p>
    <w:p>
      <w:pPr>
        <w:spacing w:after="0" w:line="38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77" w:name="page78"/>
    <w:bookmarkEnd w:id="77"/>
    <w:p>
      <w:pPr>
        <w:spacing w:after="0" w:line="85" w:lineRule="exact"/>
        <w:rPr>
          <w:sz w:val="20"/>
          <w:szCs w:val="20"/>
          <w:color w:val="auto"/>
        </w:rPr>
      </w:pPr>
    </w:p>
    <w:p>
      <w:pPr>
        <w:jc w:val="both"/>
        <w:ind w:left="1020"/>
        <w:spacing w:after="0" w:line="239" w:lineRule="auto"/>
        <w:rPr>
          <w:sz w:val="20"/>
          <w:szCs w:val="20"/>
          <w:color w:val="auto"/>
        </w:rPr>
      </w:pPr>
      <w:r>
        <w:rPr>
          <w:rFonts w:ascii="Arial" w:cs="Arial" w:eastAsia="Arial" w:hAnsi="Arial"/>
          <w:sz w:val="18"/>
          <w:szCs w:val="18"/>
          <w:color w:val="auto"/>
        </w:rPr>
        <w:t>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2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0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3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2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spacing w:after="0" w:line="22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11"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9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6" w:lineRule="exact"/>
        <w:rPr>
          <w:sz w:val="20"/>
          <w:szCs w:val="20"/>
          <w:color w:val="auto"/>
        </w:rPr>
      </w:pPr>
    </w:p>
    <w:p>
      <w:pPr>
        <w:jc w:val="both"/>
        <w:ind w:left="10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drug candidates according to our specifications;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5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spacing w:after="0" w:line="23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or termination of our clinical programs and suspension or withdrawal of any regulatory approvals.</w:t>
      </w:r>
    </w:p>
    <w:p>
      <w:pPr>
        <w:spacing w:after="0" w:line="23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spacing w:after="0" w:line="225"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0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0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1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engaged in a 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papers co-authored by our former chief executive officer in connection with her doctoral research at WSU. The special committee’s findings included that (1)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 WSU has undertaken a review of claims of potential research misconduct involving our former chief executive officer’s doctoral research at WSU. We cannot predict when WSU’s investigation will be completed or what conclusions WSU will reach</w:t>
      </w:r>
      <w:r>
        <w:rPr>
          <w:rFonts w:ascii="Arial" w:cs="Arial" w:eastAsia="Arial" w:hAnsi="Arial"/>
          <w:sz w:val="18"/>
          <w:szCs w:val="18"/>
          <w:color w:val="auto"/>
        </w:rPr>
        <w:t>,” may discourage potential counterparties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entering into relationships with us.</w:t>
      </w:r>
    </w:p>
    <w:p>
      <w:pPr>
        <w:spacing w:after="0" w:line="20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Even if we are successful in entering into collaborations involving our drug candidates, these relationships are subject to numerous risks, which may include the following:</w:t>
      </w:r>
    </w:p>
    <w:p>
      <w:pPr>
        <w:spacing w:after="0" w:line="46"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drug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drug products may not commit sufficient resources to their marketing and distribution;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drug candidates;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drug products that results from our collaborating with them, and in such cases, we would not have the exclusive right to commercialize such intellectual property.</w:t>
      </w:r>
    </w:p>
    <w:p>
      <w:pPr>
        <w:spacing w:after="0" w:line="195"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spacing w:after="0" w:line="20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6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Ability to Commercialize our Drug Product</w:t>
      </w:r>
    </w:p>
    <w:p>
      <w:pPr>
        <w:spacing w:after="0" w:line="25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Even if approved, our drug candidates may not achieve adequate market acceptance among physicians, patients, healthcare payors and others in the medical community necessary for commercial success.</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spacing w:after="0" w:line="6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drug candidate as well as competitive products;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drug candidate is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of physician acceptance of FDA-approved therapies for AD or other target indications;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drug candidates, such as boxed warnings or contraindications in labeling, or a REMS,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our drug candidates over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drug candidate for use as a combination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drug products or drug candidates or similar approved products or product candidates in development by third parties;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19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have never commercialized a drug candidate before and may lack the necessary expertise, personnel and resources to successfully commercialize any drug products on our own or together with suitable collaborators.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We have never commercialized a drug candidate. We may license certain rights with respect to our drug candidates to collaborators, and, if so, we will rely on the assistance and guidance of those collaborators. For drug candidates for </w:t>
      </w:r>
      <w:r>
        <w:rPr>
          <w:rFonts w:ascii="Arial" w:cs="Arial" w:eastAsia="Arial" w:hAnsi="Arial"/>
          <w:sz w:val="18"/>
          <w:szCs w:val="18"/>
          <w:color w:val="212529"/>
        </w:rPr>
        <w:t>which we retain commercialization</w:t>
      </w:r>
      <w:r>
        <w:rPr>
          <w:rFonts w:ascii="Arial" w:cs="Arial" w:eastAsia="Arial" w:hAnsi="Arial"/>
          <w:sz w:val="18"/>
          <w:szCs w:val="18"/>
          <w:color w:val="auto"/>
        </w:rPr>
        <w:t xml:space="preserve"> </w:t>
      </w:r>
      <w:r>
        <w:rPr>
          <w:rFonts w:ascii="Arial" w:cs="Arial" w:eastAsia="Arial" w:hAnsi="Arial"/>
          <w:sz w:val="18"/>
          <w:szCs w:val="18"/>
          <w:color w:val="212529"/>
        </w:rPr>
        <w:t>rights and marketing approval, we will have to develop our own sales, marketing and supply organization or outsource these activities to a third party.</w:t>
      </w:r>
    </w:p>
    <w:p>
      <w:pPr>
        <w:spacing w:after="0" w:line="21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529"/>
        </w:rPr>
        <w:t xml:space="preserve">Factors that may affect our ability to commercialize our drug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p>
    <w:p>
      <w:pPr>
        <w:spacing w:after="0" w:line="20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market opportunity for any drug candidate that we develop is smaller than we believe, our revenue may be adversely affected and our business may suffer.</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For example, pre-specified subgroup analysis based on topline data from our ACT-AD clinical trial identified a potential diminished effect of the combination of standard-of-care (AChEIs) and fosgonimeton. If such hypothesis is supported by additional research, patients receiving AChEIs could be excluded from the addressable patient population for fosgonimeton.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spacing w:after="0" w:line="20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drug candidates.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drug candidates and will face an even greater risk if we commercialize any drug products. For example, we may be sued if our drug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drug candidates or drug products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drug 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drug candidate;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6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us to indemnification against losses, such indemnification may not be available or adequate should any claim arise.</w:t>
      </w:r>
    </w:p>
    <w:p>
      <w:pPr>
        <w:spacing w:after="0" w:line="24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p>
    <w:p>
      <w:pPr>
        <w:spacing w:after="0" w:line="2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0"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51"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7"/>
          <w:szCs w:val="17"/>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7"/>
          <w:szCs w:val="17"/>
          <w:color w:val="212529"/>
        </w:rPr>
        <w:t>prices</w:t>
      </w:r>
      <w:r>
        <w:rPr>
          <w:rFonts w:ascii="Arial" w:cs="Arial" w:eastAsia="Arial" w:hAnsi="Arial"/>
          <w:sz w:val="17"/>
          <w:szCs w:val="17"/>
          <w:color w:val="auto"/>
        </w:rPr>
        <w:t xml:space="preserve"> of medicines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spacing w:after="0" w:line="20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cs="Arial" w:eastAsia="Arial" w:hAnsi="Arial"/>
          <w:sz w:val="18"/>
          <w:szCs w:val="18"/>
          <w:color w:val="212529"/>
        </w:rPr>
        <w:t>.</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drug candidate that we</w:t>
      </w:r>
      <w:r>
        <w:rPr>
          <w:rFonts w:ascii="Arial" w:cs="Arial" w:eastAsia="Arial" w:hAnsi="Arial"/>
          <w:sz w:val="18"/>
          <w:szCs w:val="18"/>
          <w:color w:val="212529"/>
        </w:rPr>
        <w:t xml:space="preserve"> </w:t>
      </w:r>
      <w:r>
        <w:rPr>
          <w:rFonts w:ascii="Arial" w:cs="Arial" w:eastAsia="Arial" w:hAnsi="Arial"/>
          <w:sz w:val="18"/>
          <w:szCs w:val="18"/>
          <w:color w:val="000000"/>
        </w:rPr>
        <w:t>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36" w:lineRule="exact"/>
        <w:rPr>
          <w:sz w:val="20"/>
          <w:szCs w:val="20"/>
          <w:color w:val="auto"/>
        </w:rPr>
      </w:pPr>
    </w:p>
    <w:p>
      <w:pPr>
        <w:ind w:firstLine="509"/>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marketing our drug candidates internationally may materially adversely affect our business.</w:t>
      </w:r>
    </w:p>
    <w:p>
      <w:pPr>
        <w:spacing w:after="0" w:line="16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We plan to eventually seek regulatory approval of our drug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46" w:lineRule="exact"/>
        <w:rPr>
          <w:sz w:val="20"/>
          <w:szCs w:val="20"/>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health epidemics, including COVID-19, on our ability to produce our drug candidates and conduct clinical trials in foreign countries;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6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5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spacing w:after="0" w:line="2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spacing w:after="0" w:line="20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 patentable by the USPTO courts in the United States or by the patent offices and courts in foreign countries, nor can we be certain that the claims in our owned or in-licensed patents will not be found invalid or unenforceable if challenged.</w:t>
      </w:r>
    </w:p>
    <w:p>
      <w:pPr>
        <w:spacing w:after="0" w:line="20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spacing w:after="0" w:line="61" w:lineRule="exact"/>
        <w:rPr>
          <w:sz w:val="20"/>
          <w:szCs w:val="20"/>
          <w:color w:val="auto"/>
        </w:rPr>
      </w:pPr>
    </w:p>
    <w:p>
      <w:pPr>
        <w:jc w:val="both"/>
        <w:ind w:left="1020" w:right="20" w:hanging="503"/>
        <w:spacing w:after="0" w:line="252"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terms or scope of patents;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5" w:lineRule="exact"/>
        <w:rPr>
          <w:sz w:val="20"/>
          <w:szCs w:val="20"/>
          <w:color w:val="auto"/>
        </w:rPr>
      </w:pPr>
    </w:p>
    <w:p>
      <w:pPr>
        <w:jc w:val="both"/>
        <w:ind w:left="1020" w:hanging="503"/>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0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spacing w:after="0" w:line="21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6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spacing w:after="0" w:line="21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p>
    <w:p>
      <w:pPr>
        <w:spacing w:after="0" w:line="20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and may in the future be, named as defendants in lawsuits that could result in substantial costs and divert management’s attention</w:t>
      </w:r>
      <w:r>
        <w:rPr>
          <w:rFonts w:ascii="Arial" w:cs="Arial" w:eastAsia="Arial" w:hAnsi="Arial"/>
          <w:sz w:val="18"/>
          <w:szCs w:val="18"/>
          <w:color w:val="auto"/>
        </w:rPr>
        <w:t>,” and in “Part I, Item 3—Legal Proceedings,” third parties may challenge the validity or</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spacing w:after="0" w:line="2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though we own patents and patent applications covering fosgonimeton and its use,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3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6" w:lineRule="exact"/>
        <w:rPr>
          <w:sz w:val="20"/>
          <w:szCs w:val="20"/>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drug candidates but that are not covered by the claims of the patents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3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75"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drug candidates until the asserted patent expires or is held finally invalid or not infringed in a court of law;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material adverse effect on our ability to raise additional funds or otherwise have a material adverse effect on our business, results of operations, financial condition and prospects.</w:t>
      </w:r>
    </w:p>
    <w:p>
      <w:pPr>
        <w:spacing w:after="0" w:line="18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drug candidates through acquisitions and in-licenses.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22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drug candidates that we may develop. Such a loss of patent protection would have a material adverse impact on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3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drug product and practicing our own patented technology.</w:t>
      </w:r>
    </w:p>
    <w:p>
      <w:pPr>
        <w:spacing w:after="0" w:line="19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stock to decline.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3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spacing w:after="0" w:line="22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0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spacing w:after="0" w:line="21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1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3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drug candidates.</w:t>
      </w:r>
    </w:p>
    <w:p>
      <w:pPr>
        <w:spacing w:after="0" w:line="1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The option of a Unitary Patent is a significant change in European patent practice. As the UPC is a new court system, there is no precedent for the court, increasing the uncertainty of any litigation in the UPC.</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3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drug candidates for an adequate amount of time.</w:t>
      </w:r>
    </w:p>
    <w:p>
      <w:pPr>
        <w:spacing w:after="0" w:line="2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drug candidates, our business may be materially harmed.</w:t>
      </w:r>
    </w:p>
    <w:p>
      <w:pPr>
        <w:spacing w:after="0" w:line="25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5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spacing w:after="0" w:line="22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3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25" w:lineRule="exact"/>
        <w:rPr>
          <w:sz w:val="20"/>
          <w:szCs w:val="20"/>
          <w:color w:val="auto"/>
        </w:rPr>
      </w:pPr>
    </w:p>
    <w:p>
      <w:pPr>
        <w:jc w:val="both"/>
        <w:ind w:firstLine="515"/>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00" w:lineRule="exact"/>
        <w:rPr>
          <w:sz w:val="20"/>
          <w:szCs w:val="20"/>
          <w:color w:val="auto"/>
        </w:rPr>
      </w:pPr>
    </w:p>
    <w:p>
      <w:pPr>
        <w:jc w:val="both"/>
        <w:ind w:firstLine="515"/>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26" w:lineRule="exact"/>
        <w:rPr>
          <w:sz w:val="20"/>
          <w:szCs w:val="20"/>
          <w:color w:val="auto"/>
        </w:rPr>
      </w:pPr>
    </w:p>
    <w:p>
      <w:pPr>
        <w:jc w:val="both"/>
        <w:ind w:firstLine="515"/>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3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2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 of third parties.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2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6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drug candidates. Many of these consultants, and many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1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drug candidates may be subject, in part, to the terms and conditions of licenses granted to us by others.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spacing w:after="0" w:line="21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3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18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4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drug candidates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to third parties;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6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spacing w:after="0" w:line="2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drug candidates may be dependent on third parties.</w:t>
      </w:r>
    </w:p>
    <w:p>
      <w:pPr>
        <w:spacing w:after="0" w:line="25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3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affected or prejudiced by actions or inactions of our licensees, our licensors and their counsel that took place prior to the date upon which we assumed control over patent prosecution.</w:t>
      </w:r>
    </w:p>
    <w:p>
      <w:pPr>
        <w:spacing w:after="0" w:line="18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spacing w:after="0" w:line="20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entered an exclusive license agreement with WSU for certain licensed patents that include intellectual property that was generated through the use of U.S. government funding, and we received a grant from the NIA of the NIH to support our ACT-AD clinical trial. Pursuant to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Act requirements were delayed for the patent family directed to methods of treating AD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Cybersecurity</w:t>
      </w:r>
    </w:p>
    <w:p>
      <w:pPr>
        <w:spacing w:after="0" w:line="24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3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systems, infrastructure and data, including mobile technologies, to operate our business. The multitude and complexity of our computer systems may fail or suffer security breaches.</w:t>
      </w:r>
    </w:p>
    <w:p>
      <w:pPr>
        <w:spacing w:after="0" w:line="1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discussed in this report in "Part I, Item I.C—Cybersecurity,”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22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20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2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p>
    <w:p>
      <w:pPr>
        <w:spacing w:after="0" w:line="2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22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3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1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described elsewhere in this report in “Part I, Item 3—Legal Proceedings,” we and certain of our executive officers and directors have been named as defendants in a class action lawsuit that generally alleges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have also been named as defendants in derivative actions, which are based on similar allegations, and generally allege that defendants breached their fiduciary duties to us, among other things. We are named as a nominal defendant in these derivative proceedings. These complaints seek unspecified compensatory and punitive damages, and reasonable costs and expenses, including attorneys’ fees, and other relief.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24" w:lineRule="exact"/>
        <w:rPr>
          <w:sz w:val="20"/>
          <w:szCs w:val="20"/>
          <w:color w:val="auto"/>
        </w:rPr>
      </w:pPr>
    </w:p>
    <w:p>
      <w:pPr>
        <w:ind w:right="460" w:firstLine="509"/>
        <w:spacing w:after="0" w:line="278" w:lineRule="auto"/>
        <w:rPr>
          <w:sz w:val="20"/>
          <w:szCs w:val="20"/>
          <w:color w:val="auto"/>
        </w:rPr>
      </w:pPr>
      <w:r>
        <w:rPr>
          <w:rFonts w:ascii="Arial" w:cs="Arial" w:eastAsia="Arial" w:hAnsi="Arial"/>
          <w:sz w:val="18"/>
          <w:szCs w:val="18"/>
          <w:b w:val="1"/>
          <w:bCs w:val="1"/>
          <w:i w:val="1"/>
          <w:iCs w:val="1"/>
          <w:color w:val="auto"/>
        </w:rPr>
        <w:t>Actions by activist stockholders have in the past been, and may in the future be, disruptive and could cause uncertainty about the strategic direction of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p>
    <w:p>
      <w:pPr>
        <w:spacing w:after="0" w:line="20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may interfere with any efforts that we undertake in the future to raise capital;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19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16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p>
    <w:p>
      <w:pPr>
        <w:spacing w:after="0" w:line="21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which could result in substantial losses for investors.</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4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85"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health epidemics, including COVID-19, on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drug candidates and any future drug candidates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drug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drug candidates;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drug candidates of our competitors, or announcements about new research programs or drug candidates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negative press coverage;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status of ongoing litigation and government investigations and potential commencement of additional litigation or investigations;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drug candidates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drug candidates or drug products;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 including, but not limited to, under our ATM offering;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with the banking system;</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“Part I, Item 1A—Risk Factors” section.</w:t>
      </w:r>
    </w:p>
    <w:p>
      <w:pPr>
        <w:spacing w:after="0" w:line="26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p>
    <w:p>
      <w:pPr>
        <w:spacing w:after="0" w:line="21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as of December 31, 2023, the holders of approximately 5.7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08"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substantial amount of our outstanding common stock as of December 31, 2023.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1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the Sarbanes-Oxley Act of 2002, or the Sarbanes-Oxley Act,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Failure to build and maintain our finance infrastructure and improve our accounting systems and controls could impair our ability to comply with the financial reporting and internal controls requirements for publicly traded companies.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2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68" w:lineRule="exact"/>
        <w:rPr>
          <w:sz w:val="20"/>
          <w:szCs w:val="20"/>
          <w:color w:val="auto"/>
        </w:rPr>
      </w:pPr>
    </w:p>
    <w:p>
      <w:pPr>
        <w:ind w:left="1020" w:right="2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5" w:lineRule="exact"/>
        <w:rPr>
          <w:sz w:val="20"/>
          <w:szCs w:val="20"/>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95"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is uncertainty as to whether other courts would enforce such provisions and that investors cannot waive compliance with the federal securities laws and the rules and regulations thereunder.</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99"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6"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3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3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Sarbanes-Oxley Act Section 404, which require annual management assessments of the effectiveness of our internal control over financial reporting.</w:t>
      </w:r>
    </w:p>
    <w:p>
      <w:pPr>
        <w:spacing w:after="0" w:line="16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84"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8"/>
          <w:szCs w:val="18"/>
          <w:b w:val="1"/>
          <w:bCs w:val="1"/>
          <w:i w:val="1"/>
          <w:iCs w:val="1"/>
          <w:color w:val="auto"/>
        </w:rPr>
        <w:t>Attention to ESG (environmental, social and governance) matters may cause us to incur additional costs or expose us to additional risks.</w:t>
      </w:r>
    </w:p>
    <w:p>
      <w:pPr>
        <w:spacing w:after="0" w:line="3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Strategy</w:t>
      </w:r>
    </w:p>
    <w:p>
      <w:pPr>
        <w:spacing w:after="0" w:line="104" w:lineRule="exact"/>
        <w:rPr>
          <w:sz w:val="20"/>
          <w:szCs w:val="20"/>
          <w:color w:val="auto"/>
        </w:rPr>
      </w:pPr>
    </w:p>
    <w:p>
      <w:pPr>
        <w:jc w:val="both"/>
        <w:ind w:firstLine="909"/>
        <w:spacing w:after="0" w:line="253" w:lineRule="auto"/>
        <w:rPr>
          <w:sz w:val="20"/>
          <w:szCs w:val="20"/>
          <w:color w:val="auto"/>
        </w:rPr>
      </w:pPr>
      <w:r>
        <w:rPr>
          <w:rFonts w:ascii="Arial" w:cs="Arial" w:eastAsia="Arial" w:hAnsi="Arial"/>
          <w:sz w:val="18"/>
          <w:szCs w:val="18"/>
          <w:color w:val="auto"/>
        </w:rPr>
        <w:t>We have implemented various processes and policies for identifying, assessing, and managing material risks from cybersecurity threats. Our cybersecurity risk management strategy is designed following the Cybersecurity Framework set by the National Institute of Standard and Technology, or NIST.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assess our information technology, or IT, environment against the NIST Cybersecurity Framework, as well as various cyber-attack vectors, working to identify and remediate risks. We implement reasonable administrative, technical and procedural safeguards to manage cybersecurity risks, for example, by enforcing single sign-on or multi-factor authentication where supported, and the use of mobile device management to secure company resources on employee personal devices. Additionally, we engage third-party cybersecurity experts to assess the security of our network and perform continuous system monitoring, and we engage a third party to perform internal audits of our IT General Controls, or ITGCs. We have implemented certain processes to oversee and identify risks from cybersecurity threats associated with our use of third-party service providers, for example, by evaluating such service providers’ own cybersecurity processes and reviewing available certification and audit reports, including International Organization for Standardization, or ISO, certifications for information security management systems, and System and Organization Controls, or SOC, reports.</w:t>
      </w:r>
    </w:p>
    <w:p>
      <w:pPr>
        <w:spacing w:after="0" w:line="7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At this time, we have not experienced cybersecurity incidents, or are aware of any risks from cybersecurity threats, that have materially affected or are reasonably likely to materially affect us, including our business strategy, results of operations,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Board of Directors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board of directors is responsible for general oversight and regular review of information regarding our risks, including cybersecurity risks. Members of management communicate an overview of our current cybersecurity environment to our board of directors at least annually and provide updates to our board of directors regarding cybersecurity matters periodically throughout the year. Additionally, our third-party auditors inform the audit committee of our board of directors of our ITGC framework and control testing results, which include controls related to cybersecurity risks. Further, management has established cybersecurity incident response processes for escalating the communication of cybersecurity incidents up to the board of directors, as appropriate.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Material risks from cybersecurity threats are assessed and managed by a dedicated team comprised of internal and external IT professionals experienced in cybersecurity threat risk management, who ultimately report to our chief operating officer. Our chief operating officer has extensive strategic and operational experience at several life sciences companies, leading a wide range of business functions, including IT. Our technology team leader has over 20 years of experience with IT and cybersecurity risk management, having served in senior executive-level IT positions at multiple Fortune 500 companies and companies within the life sciences industry.</w:t>
      </w:r>
    </w:p>
    <w:p>
      <w:pPr>
        <w:spacing w:after="0" w:line="6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technology team leader oversees our internal team of IT professionals, which continuously monitors our IT environment for cybersecurity threats and incidents. Our IT professionals routinely report on cybersecurity incident prevention, detection, mitigation, and remediation efforts to our technology team leader and chief operating officer. Additionally, we have established policies addressing processes for responding to potential cybersecurity incidents, including assessment, communication, and remediation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protocols. Our incident response processes further provide for the escalation of cybersecurity incidents to our executive management team and board of directors, as appropriate.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 in which we are involved.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Exchange Act, and SEC Rule 10b-5,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asserts violations of Sections 11 and 15 of the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cs="Arial" w:eastAsia="Arial" w:hAnsi="Arial"/>
          <w:sz w:val="18"/>
          <w:szCs w:val="18"/>
          <w:i w:val="1"/>
          <w:iCs w:val="1"/>
          <w:color w:val="auto"/>
        </w:rPr>
        <w:t xml:space="preserve">Jawandha </w:t>
      </w:r>
      <w:r>
        <w:rPr>
          <w:rFonts w:ascii="Arial" w:cs="Arial" w:eastAsia="Arial" w:hAnsi="Arial"/>
          <w:sz w:val="18"/>
          <w:szCs w:val="18"/>
          <w:color w:val="auto"/>
        </w:rPr>
        <w:t>plaintiff seeks unspecified compensatory damages, and reasonable costs and expenses, including attorneys’ fees.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19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March 10, 2023, following a mediation and the parties’ agreement in principle to settle the securities class action for $10.0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a result of the foregoing, we recorded a legal settlement expense of $10.0 million in operating expenses in the fourth quarter of 2022 and an accrued liability of $10.0 million on the accompanying consolidated balance sheets. Additionally, we recorded an insurance recovery of $1.6 million in operating expenses in the fourth quarter of 2023 and an insurance recovery receivable of $1.6 million on the accompanying consolidated balance sheets. This insurance recovery represents the amount of the settlement to be covered by our insurers.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Derivative 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cs="Arial" w:eastAsia="Arial" w:hAnsi="Arial"/>
          <w:sz w:val="18"/>
          <w:szCs w:val="18"/>
          <w:i w:val="1"/>
          <w:iCs w:val="1"/>
          <w:color w:val="auto"/>
        </w:rPr>
        <w:t>Bushansky v. Kawas et al.</w:t>
      </w:r>
      <w:r>
        <w:rPr>
          <w:rFonts w:ascii="Arial" w:cs="Arial" w:eastAsia="Arial" w:hAnsi="Arial"/>
          <w:sz w:val="18"/>
          <w:szCs w:val="18"/>
          <w:color w:val="auto"/>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 We believe we have adequate reserves related to this matter as of the balance sheet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Investigations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February 2023, the SEC sent us a subpoena seeking documents and information relating to, among other things, our former chief executive officer's alterations of images in certain research papers. We are cooperating with the SEC with respect to the subpoena.</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cannot predict the outcome of these lawsuits or government investigations. Failure by us to obtain a favorable resolution of these actions could have a material adverse effect on our business,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20"/>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jc w:val="both"/>
        <w:ind w:firstLine="509"/>
        <w:spacing w:after="0" w:line="271" w:lineRule="auto"/>
        <w:rPr>
          <w:sz w:val="20"/>
          <w:szCs w:val="20"/>
          <w:color w:val="auto"/>
        </w:rPr>
      </w:pPr>
      <w:r>
        <w:rPr>
          <w:rFonts w:ascii="Arial" w:cs="Arial" w:eastAsia="Arial" w:hAnsi="Arial"/>
          <w:sz w:val="18"/>
          <w:szCs w:val="18"/>
          <w:color w:val="auto"/>
        </w:rPr>
        <w:t>Our common stock began trading on The Nasdaq Global Select Market under the symbol “ATHA” on September 18, 2020. Prior to that date, there was no public trading market for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February 16, 2024, there were approximately 42 holders of record of our common stock. Because many of our shares are held by brokers and other institutions on behalf of shareholders, we are unable to estimate the total number of shareholders represented by these record 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currently intend to retain all available funds and future earnings to fund the development and growth of our business and we do not anticipate paying any cash dividends in the foreseeable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201(e)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late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CNS, by crossing the BBB, or the PNS.</w:t>
      </w:r>
    </w:p>
    <w:p>
      <w:pPr>
        <w:spacing w:after="0" w:line="18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lead drug candidate, fosgonimeton, is a potentially first-in-class, small molecule drug candidate designed to positively modulate the neurotrophic HGF system for potential treatment of CNS disorders. The effects of fosgonimeton in its primary target indication, AD, are currently being evaluated in multiple clinical trials:</w:t>
      </w:r>
    </w:p>
    <w:p>
      <w:pPr>
        <w:spacing w:after="0" w:line="169" w:lineRule="exact"/>
        <w:rPr>
          <w:sz w:val="20"/>
          <w:szCs w:val="20"/>
          <w:color w:val="auto"/>
        </w:rPr>
      </w:pPr>
    </w:p>
    <w:p>
      <w:pPr>
        <w:jc w:val="both"/>
        <w:ind w:left="760" w:hanging="378"/>
        <w:spacing w:after="0" w:line="238" w:lineRule="auto"/>
        <w:tabs>
          <w:tab w:leader="none" w:pos="7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LIFT-AD is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GST, which is a composite score that combines the scores from cognition (ADAS-Cog11), and function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DMC recommended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193" w:lineRule="exact"/>
        <w:rPr>
          <w:sz w:val="20"/>
          <w:szCs w:val="20"/>
          <w:color w:val="auto"/>
        </w:rPr>
      </w:pPr>
    </w:p>
    <w:p>
      <w:pPr>
        <w:jc w:val="both"/>
        <w:ind w:left="760"/>
        <w:spacing w:after="0" w:line="237" w:lineRule="auto"/>
        <w:rPr>
          <w:sz w:val="20"/>
          <w:szCs w:val="20"/>
          <w:color w:val="auto"/>
        </w:rPr>
      </w:pPr>
      <w:r>
        <w:rPr>
          <w:rFonts w:ascii="Arial" w:cs="Arial" w:eastAsia="Arial" w:hAnsi="Arial"/>
          <w:sz w:val="18"/>
          <w:szCs w:val="18"/>
          <w:color w:val="auto"/>
        </w:rPr>
        <w:t>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In May 2023, we further amended LIFT-AD to focus on 40 mg dosing, which we have selected for further development and as the potential dose for regulatory approval of fosgonimeton in this indication. This selection was based on a review of the totality of the preclinical and clinical data, biomarker results, observations from the open label extension study and in consultation with independent regulatory and biostatistical consultants based on patients treated with 40 mg fosgonimeton without concomitant AChEIs. In January 2024 we announced the completion of enrollment with a total of 318 patients randomized. We expect to report topline LIFT-AD results in the second half of 2024. In July 2023, we completed an end of Phase 2 meeting with the FDA to gain alignment on our plans for the continued clinical development of fosgonimeton as a treatment for mild-to-moderate AD. During this meeting we provided an update and discussed with the FDA the ongoing LIFT-AD trial, including use of the 40 mg dose, concomitant AChEIs use, biomarker analyses including NfL, and the SAP. The FDA noted the importance of showing effects on both cognition (ADAS-Cog11) and function (ADCS-ADL23) in the trial population. The FDA is open to ongoing dialogue with us regarding the LIFT-AD trial once completed as well as other aspects of our program to develop fosgonimeton as a potential treatment for mild-to-moderate AD.</w:t>
      </w:r>
    </w:p>
    <w:p>
      <w:pPr>
        <w:spacing w:after="0" w:line="189" w:lineRule="exact"/>
        <w:rPr>
          <w:sz w:val="20"/>
          <w:szCs w:val="20"/>
          <w:color w:val="auto"/>
        </w:rPr>
      </w:pPr>
    </w:p>
    <w:p>
      <w:pPr>
        <w:jc w:val="both"/>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 July 2021, we announced that we are enrolling participants into a 26-week OLEX trial* for our LIFT-AD and ACT-AD clinical trials, allowing us to collect up to a total of one year of safety data with fosgonimeton. In May 2022, we announced that we extended the 26-week OLEX for our LIFT-AD and ACT-AD clinical trials for an additional 12 months, enabling eligible participants who have completed either trial and elect to participate in the ongoing OLEX to receive up to 18 months of open-label treatment with fosgonimeton. In May 2023, we amended the OLEX to further extend the trial by an additional 12 months. Eligible participants who have completed the LIFT-AD or ACT-AD trials and elect to participate in the ongoing OLEX may now receive up to 30 months of open-label treatment, which allows us to collect up to 36 months total of long-term exposure data.</w:t>
      </w:r>
    </w:p>
    <w:p>
      <w:pPr>
        <w:spacing w:after="0" w:line="186"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i w:val="1"/>
          <w:iCs w:val="1"/>
          <w:color w:val="auto"/>
        </w:rPr>
        <w:t>*The ACT-AD trial and the related OLEX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17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following figure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multiple neurodegenerative diseases. Our drug discovery efforts are focused on designing and testing new early compounds to enhance the HGF/MET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100965</wp:posOffset>
            </wp:positionV>
            <wp:extent cx="5349240" cy="2306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drug candidates. We utilize third-party CMOs to manufacture and supply our preclinical and clinical materials during the development of our drug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drug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public offering, the sale and issuance of convertible preferred stock, common stock warrants, and convertible notes, and to a lesser extent from grant income and stock option exercises. From inception to December 31, 2023,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$117.7 million and $95.6 million for the years ended December 30, 2023 and 2022, respectively. As of December 31, 2023, we had an accumulated deficit of $309.2 million and cash, cash equivalents and investments of $147.4 million.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380" w:hanging="372"/>
        <w:spacing w:after="0" w:line="270" w:lineRule="auto"/>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fosgonimeton and our other drug candidates through preclinical studies and clinical trials, and continue the open label extension of the ACT-AD and LIFT-AD trials;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laboratory and office facilities;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and maintain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drug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drug candidate for which we may obtain marketing approval; and</w:t>
      </w:r>
    </w:p>
    <w:p>
      <w:pPr>
        <w:spacing w:after="0" w:line="4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incur legal expenses associated with ongoing litigation, as further described in “Part I, Item 3—Legal Proceedings,” and elsewhere in this report.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and Grant Agreements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WSU License Agreement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party to an amended and restated exclusive license agreement with sublicensing terms with WSU that we entered into in 2015. Under this agreement, we have an exclusive license to make, use, sell, and offer for sale products covered by certain licensed patents, including dihexa, the chemical compound into which fosgonimeton metabolizes following administration. The term of the license continues until the earlier of the date in which no valid claim remains enforceable and the payment of royalties ceases for more than four consecutive quarters after such royalty payments begin.</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paid in full as of December 31, 2020.</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2020, we accepted a grant from the NIH to support our ACT-AD Phase 2 clinical trial for fosgonimeton. Under the terms of the agreement and approval received from the NIH, we were awarded an aggregate of $15.2 million, all of which had been received as of December 31, 2023. For additional information regarding this grant, see the section of this report titled “Business—Our Collaboration and Grant Agreements.” We recognized $0.2 million and $5.2 million of income related to our NIH grant during the years ended December 31, 2023 and 2022, respectively. During the years ended December 31, 2023 and 2022, we received cash of $1.4 million and $6.3 million, respectively, in connection with the NIH grant. As of December 31, 2022, we had incurred qualifying expenses in excess of cash received of approximately $ 1.2 million, which is included in unbilled grant receivable on the consolidated balance sheets. As of December 31, 2023, we had recognized aggregate grant income of $15.2 million in connection with the NIH grant, equal to the total grant amount approved. We will not recognize any additional grant income in connection with the NIH grant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drug candidates, as our drug candidates advance into later stages of development, as we conduct larger clinical trials, as we seek regulatory approvals for any drug candidates that successfully complete clinical trials, as we expand our drug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p>
    <w:p>
      <w:pPr>
        <w:spacing w:after="0" w:line="61"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 (including any potential confirmatory or Phase 3 registrational trials);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continuation of the open label extension of the ACT-AD and LIFT-AD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5"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health epidemics, including COVID-19, on timelines and clinical operations, which may lead to increased costs;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change in the outcome of any of these variables with respect to the development of any of our drug candidates could significantly change the costs and timing associated with the development of that drug candidate.</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Settlement and Insurance Recovery Related to Legal Settlement</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Legal settlement expense and insurance recovery related to legal settlement consist of the proposed settlement of the securities class action litigation and the amount to be covered by our insurers. For more information see Part I, Item 3 “Legal Proceedings—Securities Class 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Grant income consists of income related to the NIH grant and is recognized as qualifying expenses under the grant agreement are incurred. As of December 31, 2023, we had recognized aggregate grant income of $15.2 million in connection with the NIH grant, equal to the total grant amount approved. We will not recognize additional grant income in connection with the NIH grant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Dollar</w:t>
            </w: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80" w:type="dxa"/>
            <w:vAlign w:val="bottom"/>
            <w:gridSpan w:val="2"/>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93,790</w:t>
            </w:r>
          </w:p>
        </w:tc>
        <w:tc>
          <w:tcPr>
            <w:tcW w:w="16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61,464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32,326</w:t>
            </w: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Legal settlement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Insurance recovery related to legal settlement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(1,628 )</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(1,628 )</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r>
      <w:tr>
        <w:trPr>
          <w:trHeight w:val="223"/>
        </w:trPr>
        <w:tc>
          <w:tcPr>
            <w:tcW w:w="52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125,466</w:t>
            </w:r>
          </w:p>
        </w:tc>
        <w:tc>
          <w:tcPr>
            <w:tcW w:w="16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104,016</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21,450</w:t>
            </w:r>
          </w:p>
        </w:tc>
        <w:tc>
          <w:tcPr>
            <w:tcW w:w="18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FF0FC"/>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(125,466 )</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(104,016 )</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(21,450 )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Grant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(5,004 )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19"/>
                <w:szCs w:val="19"/>
                <w:color w:val="auto"/>
              </w:rPr>
            </w:pPr>
          </w:p>
        </w:tc>
      </w:tr>
      <w:tr>
        <w:trPr>
          <w:trHeight w:val="229"/>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(117,672 )</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(95,639 )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(22,033 )</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-779145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-779145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-779145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-179705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-179705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-179705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6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66,524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39,416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27,108</w:t>
            </w:r>
          </w:p>
        </w:tc>
        <w:tc>
          <w:tcPr>
            <w:tcW w:w="2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(1,170 )</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26,579</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Indirect costs: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464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Personnel-related costs, including stock-</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93,790</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32,326</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-753745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-753745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-753745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expenses increased by $32.3 million, from $61.5 million for the year ended December 31, 2022 to $93.8 million for the year ended December 31, 2023. The increase was driven primarily by an increase in expenses for fosgonimeton of $27.1 million related to continued patient enrollment and clinical site visit activity for our Phase 2/3 clinical trial and the corresponding open-label extension for our Phase 2 and Phase 2/3 clinical trials, as well as higher costs relating to manufacturing process development and increases in manufacturing batch size capabilities, an increase in personnel-related costs of $5.3 million due to changes in headcount and an increase in stock-based compensation expense in connection with current period equity grants to new hires and existing employees, an increase in preclinical research and development expenses of $0.6 million, and an increase of $0.4 million related to facilities and other indirect costs, partially offset by a decrease in ATH-1020 program expenses of $1.2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General and administrative expenses increased by $0.7 million, from $32.6 million for the year ended December 31, 2022 to $33.3 million for the year ended December 31, 2023. The increase was primarily due to an increase in personnel-related expenses of $1.0 million driven by changes in headcount, an increase in consulting and professional services expenses of $0.7 million, an increase in business development expenses of $0.4 million, and an increase in facilities expenses of $0.3 million, partially offset by a decrease in general corporate expenses of $0.9 million and a decrease in legal costs of $0.8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Expense and Insurance Recovery Related to Legal Settlement</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connection with the proposed settlement of the securities class action litigation, we recorded a legal settlement expense of $10.0 million for the year ended December 31, 2022. Additionally, we recorded an insurance recovery of $1.6 million for the year ended December 31, 2023, representing the amount of the settlement to be covered by our insurers. For more information see the section of this report titled “Legal Proceedings—Securities Class 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Grant income decreased by $5.0 million, from $5.2 million for the year ended December 31, 2022 to $0.2 million for the year ended December 31, 2023. Grant income recognized during the year ended December 31, 2023 of $0.2 million represented the remaining balance of the total $15.2 million approved grant amount available at the beginning of the year, all of which was recognized during the three months ended March 31, 2023.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Other income, net, increased by $4.4 million, from $3.2 million for the year ended December 31, 2022 to $7.6 million for the year ended December 31, 2023 due to higher income from accretion of discounts on debt securities purchased below par value and held to maturity, in addition to higher interest income earned on our available-for-sale securities resulting from rising interest rates on debt securities.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2023, we have raised aggregate net cash proceeds of $407.4 million primarily from the issuance of our common stock (excluding option exercises), convertible preferred stock, common stock warrants, and convertible notes.</w:t>
      </w:r>
    </w:p>
    <w:p>
      <w:pPr>
        <w:spacing w:after="0" w:line="20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December 31, 2023, we had $147.4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material cash requirements include our operating leases for laboratory and office facilities. As of December 31, 2023, we had lease payment obligations of $ 1.8 million, with $0.5 million payable within 12 months. For additional information regarding our lease commitments, see Note 7 to our consolidated financial statements included elsewhere in this report. We are contingently committed to $0.9 million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drug candidates through clinical trials, increase our headcount to support our operations, and incur legal and other professional expenses related to our ongoing legal proceedings. We cannot predict with certainty the amount and timing of these increased expenses.</w:t>
      </w:r>
    </w:p>
    <w:p>
      <w:pPr>
        <w:spacing w:after="0" w:line="7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Based upon our current operating plan, we estimate that our $147.4 million of cash, cash equivalents and investments at December 31, 2023 will be sufficient to fund our operating expenses and capital expenditure requirements through at least the next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6"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drug candidates;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116"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drug candidates that we may pursue;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5" w:lineRule="exact"/>
        <w:rPr>
          <w:sz w:val="20"/>
          <w:szCs w:val="20"/>
          <w:color w:val="auto"/>
        </w:rPr>
      </w:pPr>
    </w:p>
    <w:p>
      <w:pPr>
        <w:ind w:left="380" w:hanging="372"/>
        <w:spacing w:after="0" w:line="270" w:lineRule="auto"/>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drug candidates;</w:t>
      </w:r>
    </w:p>
    <w:p>
      <w:pPr>
        <w:spacing w:after="0" w:line="116"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drug product manufacturing, marketing, sales and distribution, for any of our drug candidates for which we receive marketing approval;</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related to ongoing legal proceedings;</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expanding our laboratory and office facilities; and</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 or engage in other strategic transactions.</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1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183"/>
        </w:trPr>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(100,753 )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(72,469 )</w:t>
            </w: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57,664</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9"/>
                <w:szCs w:val="19"/>
                <w:color w:val="auto"/>
              </w:rPr>
            </w:pPr>
          </w:p>
        </w:tc>
      </w:tr>
      <w:tr>
        <w:trPr>
          <w:trHeight w:val="24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(5,171 )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(14,151 )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During the year ended December 31, 2023, net cash used in operating activities was $100.8 million. This consisted primarily of a net loss of $117.7 million, partially offset by non-cash charges of $10.4 million and a decrease in our net operating assets of $ 6.5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and an increase in accounts payable and accrued expenses, partially offset by the recognition of an insurance recovery receivable related to the securities class action litigation.</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2022, net cash used in operating activities was $72.5 million. This consisted primarily of a net loss of $95.6 million, partially offset by non-cash charges of $11.2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and a decrease in our net operating assets of $11.9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 increase in accounts payable and accrued expenses, and an accrual for legal settlement expenses related to the securities class action litigation, partially offset by an increase in prepaid expenses and other current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2023, net cash provided by investing was $95.1 million. This consisted of maturities of available-for-sale securities of $123.1 million, partially offset by purchases of available-for-sale securities of $27.7 million and property and equipment of $0.3 million.</w:t>
      </w:r>
    </w:p>
    <w:p>
      <w:pPr>
        <w:spacing w:after="0" w:line="1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year ended December 31, 2022, net cash provided by investing was $57.7 million. This consisted of maturities of available-for-sale securities of $154.1 million, partially offset by purchases of available-for-sale securities of $95.3 million and property and equipment of $1.1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2023, net cash provided by financing activities was $0.5 million, consisting of proceeds received from exercises of stock options.</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During the year ended December 31, 2022, net cash provided by financing activities was $0.7 million, consisting of proceeds received from exercises of stock options.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2020, we accepted a grant from the NIH to support our ACT-AD Phase 2 clinical trial for fosgonimeton. As of December 31, 2023, we have recognized aggregate grant income of $15.2 million in connection with the NIH grant, equal to the total grant amount approved and we will not recognize any additional grant income in connection with the NIH grant. We recognized income related to the NIH grant within the consolidated statement of operations and comprehensive loss as qualifying expenses under the grant agreement are incurred. We recorded qualifying expenses incurred in excess of cash received in unbilled grant receivable on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5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46" w:lineRule="exact"/>
        <w:rPr>
          <w:sz w:val="20"/>
          <w:szCs w:val="20"/>
          <w:color w:val="auto"/>
        </w:rPr>
      </w:pPr>
    </w:p>
    <w:p>
      <w:pPr>
        <w:ind w:left="1020" w:hanging="503"/>
        <w:spacing w:after="0" w:line="270" w:lineRule="auto"/>
        <w:tabs>
          <w:tab w:leader="none" w:pos="10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were privately held prior to September 2020 and do not yet have sufficient trading history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recorded stock-based compensation expense of $10.6 million and $10.6 million for the years ended December 31, 2023 and 2022, respectively. As of December 31, 2023, there was $16.0 million of total unrecognized stock-based compensation expense related to non-vested stock options which we expect to recognize over a remaining weighted-average period of 1.99 years. We expect to continue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grant stock options and other equity-based awards in the future, and to the extent that we do, our stock-based compensation expense recognized in future periods will likely increase.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As of December 31, 2023, we had $9.5 million of federal NOL carryforwards and $12.4 million of tax credit carryforwards which expire over a period of 8 to 14 years. As of December 31, 2023, we had $138.7 million of such NOLs that do not expire. As of December 31, 2023, we also had state net operating loss carryforwards of $3.3 million, which expire over a period of 18 to 20 years.</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consolidated financial statements included elsewhere in this report for additional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than $1.0 billion in non-convertible debt securities during the prior three-year period; and (4) the last day of the fiscal year in which the fifth anniversary of our initial public offering occurred.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jc w:val="center"/>
        <w:ind w:left="50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Index to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9"/>
              </w:rPr>
              <w:t>Report of Independent Registered Public Accounting Firm (PCAOB ID: 42)</w:t>
            </w:r>
          </w:p>
        </w:tc>
        <w:tc>
          <w:tcPr>
            <w:tcW w:w="248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FF"/>
                <w:w w:val="99"/>
              </w:rPr>
              <w:t>Consolidated Statements of Operations and Comprehensive Loss</w:t>
            </w:r>
          </w:p>
        </w:tc>
        <w:tc>
          <w:tcPr>
            <w:tcW w:w="3180" w:type="dxa"/>
            <w:vAlign w:val="bottom"/>
            <w:gridSpan w:val="2"/>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Consolidated Statements of Stockholders' Equity</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4540" w:type="dxa"/>
            <w:vAlign w:val="bottom"/>
            <w:gridSpan w:val="3"/>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Notes to Consolidated Financial Statements</w:t>
            </w: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3500" w:type="dxa"/>
            <w:vAlign w:val="bottom"/>
            <w:tcBorders>
              <w:top w:val="single" w:sz="8" w:color="0000EE"/>
            </w:tcBorders>
            <w:gridSpan w:val="3"/>
          </w:tcPr>
          <w:p>
            <w:pPr>
              <w:spacing w:after="0"/>
              <w:rPr>
                <w:sz w:val="24"/>
                <w:szCs w:val="24"/>
                <w:color w:val="auto"/>
              </w:rPr>
            </w:pP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134</w:t>
            </w: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right="3140" w:firstLine="3132"/>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Athira Pharma,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have audited the accompanying consolidated balance sheets of Athira Pharma,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56,835</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grant receivable</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5,682</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Insurance recovery receivable related to legal</w:t>
            </w:r>
          </w:p>
        </w:tc>
        <w:tc>
          <w:tcPr>
            <w:tcW w:w="42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1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settlement (Note 7)</w:t>
            </w:r>
          </w:p>
        </w:tc>
        <w:tc>
          <w:tcPr>
            <w:tcW w:w="420" w:type="dxa"/>
            <w:vAlign w:val="bottom"/>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154,729</w:t>
            </w:r>
          </w:p>
        </w:tc>
        <w:tc>
          <w:tcPr>
            <w:tcW w:w="28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207,533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3,388</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42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160,245</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18,343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legal settlement (Note 7)</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80"/>
              <w:spacing w:after="0"/>
              <w:rPr>
                <w:sz w:val="20"/>
                <w:szCs w:val="20"/>
                <w:color w:val="auto"/>
              </w:rPr>
            </w:pPr>
            <w:r>
              <w:rPr>
                <w:rFonts w:ascii="Arial" w:cs="Arial" w:eastAsia="Arial" w:hAnsi="Arial"/>
                <w:sz w:val="18"/>
                <w:szCs w:val="18"/>
                <w:color w:val="auto"/>
              </w:rPr>
              <w:t>Current operating lease liability</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30,057</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10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Common stock, $0.0001 par value; 900,000,000 shares</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authorized at December 31, 2023 and December 31, 2022,</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respectively; 38,172,603 and 37,877,387 shares issued</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and outstanding at December 31, 2023 and December 31,</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1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2022, respectively</w:t>
            </w: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439,739</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(349 )</w:t>
            </w:r>
          </w:p>
        </w:tc>
        <w:tc>
          <w:tcPr>
            <w:tcW w:w="6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(1,956 )</w:t>
            </w:r>
          </w:p>
        </w:tc>
        <w:tc>
          <w:tcPr>
            <w:tcW w:w="0" w:type="dxa"/>
            <w:vAlign w:val="bottom"/>
          </w:tcPr>
          <w:p>
            <w:pPr>
              <w:spacing w:after="0"/>
              <w:rPr>
                <w:sz w:val="1"/>
                <w:szCs w:val="1"/>
                <w:color w:val="auto"/>
              </w:rPr>
            </w:pPr>
          </w:p>
        </w:tc>
      </w:tr>
      <w:tr>
        <w:trPr>
          <w:trHeight w:val="230"/>
        </w:trPr>
        <w:tc>
          <w:tcPr>
            <w:tcW w:w="71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(309,206 )</w:t>
            </w:r>
          </w:p>
        </w:tc>
        <w:tc>
          <w:tcPr>
            <w:tcW w:w="6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(191,534 )</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130,188</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160,245</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-3977005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-3093720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-1585595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-179070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93,790</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Legal settlement</w:t>
            </w:r>
          </w:p>
        </w:tc>
        <w:tc>
          <w:tcPr>
            <w:tcW w:w="38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Insurance recovery related to legal settlement</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104,016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(125,466 )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(104,016 )</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(117,672 )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(95,639 )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available-for-sale securities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(1,568 )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(116,065 )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(97,207 )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(3.09 )</w:t>
            </w:r>
          </w:p>
        </w:tc>
        <w:tc>
          <w:tcPr>
            <w:tcW w:w="36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stockholders, basic and diluted</w:t>
            </w:r>
          </w:p>
        </w:tc>
        <w:tc>
          <w:tcPr>
            <w:tcW w:w="380" w:type="dxa"/>
            <w:vAlign w:val="bottom"/>
            <w:vMerge w:val="continue"/>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60" w:type="dxa"/>
            <w:vAlign w:val="bottom"/>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Weighted-average shares used in computing</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8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38,020,182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37,733,240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80"/>
              <w:spacing w:after="0" w:line="195"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-1782445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-1182370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-427990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-410845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18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81"/>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January 1, 2022</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37,379,077</w:t>
            </w:r>
          </w:p>
        </w:tc>
        <w:tc>
          <w:tcPr>
            <w:tcW w:w="1080" w:type="dxa"/>
            <w:vAlign w:val="bottom"/>
            <w:gridSpan w:val="2"/>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417,363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(388 )</w:t>
            </w: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(95,895 )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0"/>
              <w:spacing w:after="0"/>
              <w:rPr>
                <w:sz w:val="20"/>
                <w:szCs w:val="20"/>
                <w:color w:val="auto"/>
              </w:rPr>
            </w:pPr>
            <w:r>
              <w:rPr>
                <w:rFonts w:ascii="Arial" w:cs="Arial" w:eastAsia="Arial" w:hAnsi="Arial"/>
                <w:sz w:val="16"/>
                <w:szCs w:val="16"/>
                <w:color w:val="auto"/>
              </w:rPr>
              <w:t>Issuance of common stock upon exercise of</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40"/>
              <w:spacing w:after="0"/>
              <w:rPr>
                <w:sz w:val="20"/>
                <w:szCs w:val="20"/>
                <w:color w:val="auto"/>
              </w:rPr>
            </w:pPr>
            <w:r>
              <w:rPr>
                <w:rFonts w:ascii="Arial" w:cs="Arial" w:eastAsia="Arial" w:hAnsi="Arial"/>
                <w:sz w:val="16"/>
                <w:szCs w:val="16"/>
                <w:color w:val="auto"/>
              </w:rPr>
              <w:t>common stock options and vesting of</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419,949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78,361</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available-for-sale</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(1,568 )</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(1,568 )</w:t>
            </w: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(95,639 )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(95,639 )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37,877,387</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428,623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(1,956 )</w:t>
            </w: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(191,534 )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CFF0FC"/>
            </w:tcBorders>
          </w:tcPr>
          <w:p>
            <w:pPr>
              <w:ind w:left="200"/>
              <w:spacing w:after="0" w:line="169" w:lineRule="exact"/>
              <w:rPr>
                <w:sz w:val="20"/>
                <w:szCs w:val="20"/>
                <w:color w:val="auto"/>
              </w:rPr>
            </w:pPr>
            <w:r>
              <w:rPr>
                <w:rFonts w:ascii="Arial" w:cs="Arial" w:eastAsia="Arial" w:hAnsi="Arial"/>
                <w:sz w:val="16"/>
                <w:szCs w:val="16"/>
                <w:color w:val="auto"/>
              </w:rPr>
              <w:t>Issuance of common stock upon exercise of</w:t>
            </w: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40"/>
              <w:spacing w:after="0"/>
              <w:rPr>
                <w:sz w:val="20"/>
                <w:szCs w:val="20"/>
                <w:color w:val="auto"/>
              </w:rPr>
            </w:pPr>
            <w:r>
              <w:rPr>
                <w:rFonts w:ascii="Arial" w:cs="Arial" w:eastAsia="Arial" w:hAnsi="Arial"/>
                <w:sz w:val="16"/>
                <w:szCs w:val="16"/>
                <w:color w:val="auto"/>
              </w:rPr>
              <w:t>common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128,534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under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166,682</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on available-for-sale</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securities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(117,672 )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(117,672 )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38,172,603</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(349 )</w:t>
            </w: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(309,206 )</w:t>
            </w: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-1242695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-1225550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-1242695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-1225550</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-1242695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-1225550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-1242695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-1225550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-1242695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-1225550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(117,672 )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(95,639 )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720" w:type="dxa"/>
            <w:vAlign w:val="bottom"/>
            <w:shd w:val="clear" w:color="auto" w:fill="CFF0FC"/>
          </w:tcPr>
          <w:p>
            <w:pPr>
              <w:ind w:left="520"/>
              <w:spacing w:after="0" w:line="197" w:lineRule="exact"/>
              <w:rPr>
                <w:sz w:val="20"/>
                <w:szCs w:val="20"/>
                <w:color w:val="auto"/>
              </w:rPr>
            </w:pPr>
            <w:r>
              <w:rPr>
                <w:rFonts w:ascii="Arial" w:cs="Arial" w:eastAsia="Arial" w:hAnsi="Arial"/>
                <w:sz w:val="18"/>
                <w:szCs w:val="18"/>
                <w:color w:val="auto"/>
              </w:rPr>
              <w:t>Amortization of premiums and accretion of discounts on</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720" w:type="dxa"/>
            <w:vAlign w:val="bottom"/>
            <w:shd w:val="clear" w:color="auto" w:fill="CFF0FC"/>
          </w:tcPr>
          <w:p>
            <w:pPr>
              <w:ind w:left="680"/>
              <w:spacing w:after="0"/>
              <w:rPr>
                <w:sz w:val="20"/>
                <w:szCs w:val="20"/>
                <w:color w:val="auto"/>
              </w:rPr>
            </w:pPr>
            <w:r>
              <w:rPr>
                <w:rFonts w:ascii="Arial" w:cs="Arial" w:eastAsia="Arial" w:hAnsi="Arial"/>
                <w:sz w:val="18"/>
                <w:szCs w:val="18"/>
                <w:color w:val="auto"/>
              </w:rPr>
              <w:t>available-for-sale securities, net</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Unbilled grant receivable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80"/>
              <w:spacing w:after="0"/>
              <w:rPr>
                <w:sz w:val="20"/>
                <w:szCs w:val="20"/>
                <w:color w:val="auto"/>
              </w:rPr>
            </w:pPr>
            <w:r>
              <w:rPr>
                <w:rFonts w:ascii="Arial" w:cs="Arial" w:eastAsia="Arial" w:hAnsi="Arial"/>
                <w:sz w:val="18"/>
                <w:szCs w:val="18"/>
                <w:color w:val="auto"/>
              </w:rPr>
              <w:t>Prepaid expenses and other current and long-term assets, net</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(1,257 )</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Insurance recovery receivable related to legal settlement</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7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Accrued legal settlement</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80"/>
              <w:spacing w:after="0"/>
              <w:rPr>
                <w:sz w:val="20"/>
                <w:szCs w:val="20"/>
                <w:color w:val="auto"/>
              </w:rPr>
            </w:pPr>
            <w:r>
              <w:rPr>
                <w:rFonts w:ascii="Arial" w:cs="Arial" w:eastAsia="Arial" w:hAnsi="Arial"/>
                <w:sz w:val="18"/>
                <w:szCs w:val="18"/>
                <w:color w:val="auto"/>
              </w:rPr>
              <w:t>Operating lease liability</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(326 )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(100,753 )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(72,469 )</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available-for-sale securities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(27,671 )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(95,288 )</w:t>
            </w:r>
          </w:p>
        </w:tc>
        <w:tc>
          <w:tcPr>
            <w:tcW w:w="0" w:type="dxa"/>
            <w:vAlign w:val="bottom"/>
          </w:tcPr>
          <w:p>
            <w:pPr>
              <w:spacing w:after="0"/>
              <w:rPr>
                <w:sz w:val="1"/>
                <w:szCs w:val="1"/>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Maturities of available-for-sale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123,064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(304 )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(1,141 )</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tcPr>
          <w:p>
            <w:pPr>
              <w:ind w:left="102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95,089</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80"/>
              <w:spacing w:after="0" w:line="197" w:lineRule="exact"/>
              <w:rPr>
                <w:sz w:val="20"/>
                <w:szCs w:val="20"/>
                <w:color w:val="auto"/>
              </w:rPr>
            </w:pPr>
            <w:r>
              <w:rPr>
                <w:rFonts w:ascii="Arial" w:cs="Arial" w:eastAsia="Arial" w:hAnsi="Arial"/>
                <w:sz w:val="18"/>
                <w:szCs w:val="18"/>
                <w:color w:val="auto"/>
              </w:rPr>
              <w:t>Proceeds from exercise of common stock options and issuance</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420"/>
              <w:spacing w:after="0"/>
              <w:rPr>
                <w:sz w:val="20"/>
                <w:szCs w:val="20"/>
                <w:color w:val="auto"/>
              </w:rPr>
            </w:pPr>
            <w:r>
              <w:rPr>
                <w:rFonts w:ascii="Arial" w:cs="Arial" w:eastAsia="Arial" w:hAnsi="Arial"/>
                <w:sz w:val="18"/>
                <w:szCs w:val="18"/>
                <w:color w:val="auto"/>
              </w:rPr>
              <w:t>of common stock under employee stock purchase plan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(5,171 )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(14,151 )</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91,215</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-1799590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-479425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4" w:lineRule="exact"/>
        <w:rPr>
          <w:sz w:val="20"/>
          <w:szCs w:val="20"/>
          <w:color w:val="auto"/>
        </w:rPr>
      </w:pPr>
    </w:p>
    <w:p>
      <w:pPr>
        <w:ind w:left="520" w:right="8980" w:hanging="512"/>
        <w:spacing w:after="0" w:line="381" w:lineRule="auto"/>
        <w:tabs>
          <w:tab w:leader="none" w:pos="211"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b w:val="1"/>
          <w:bCs w:val="1"/>
          <w:i w:val="1"/>
          <w:iCs w:val="1"/>
          <w:color w:val="auto"/>
        </w:rPr>
        <w:t>Organization</w:t>
      </w:r>
    </w:p>
    <w:p>
      <w:pPr>
        <w:jc w:val="both"/>
        <w:ind w:firstLine="509"/>
        <w:spacing w:after="0" w:line="247"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2023, it has raised aggregate net cash proceeds of $407.4 million primarily from the issuance of its common stock (excluding option exercises), convertible preferred stock, common stock warrants, and convertible notes. As of December 31, 2023, the Company had $147.4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Based upon the Company’s current operating plan, it estimates that its $147.4 million of cash, cash equivalents, and investments at December 31, 2023 will be sufficient to fund its operating expenses and capital expenditure requirements through at least the next 12 months following the date of the Company’s Annual Report on Form 10-K.</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 The Market Common Stock Offering</w:t>
      </w:r>
    </w:p>
    <w:p>
      <w:pPr>
        <w:spacing w:after="0" w:line="10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In January 2023, the Company entered into a sales agreement with Cantor Fitzgerald and BTIG to sell shares of our common stock having aggregate sales proceeds of up to $75.0 million, from time to time, through an “at the market” (“ATM”) equity offering program under which Cantor and BTIG are acting as sales agents. The Company has not sold any securities pursuant to this ATM offering.</w:t>
      </w:r>
    </w:p>
    <w:p>
      <w:pPr>
        <w:spacing w:after="0" w:line="277" w:lineRule="exact"/>
        <w:rPr>
          <w:sz w:val="20"/>
          <w:szCs w:val="20"/>
          <w:color w:val="auto"/>
        </w:rPr>
      </w:pPr>
    </w:p>
    <w:p>
      <w:pPr>
        <w:ind w:left="520" w:right="8340" w:hanging="512"/>
        <w:spacing w:after="0" w:line="381" w:lineRule="auto"/>
        <w:tabs>
          <w:tab w:leader="none" w:pos="211"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b w:val="1"/>
          <w:bCs w:val="1"/>
          <w:i w:val="1"/>
          <w:iCs w:val="1"/>
          <w:color w:val="auto"/>
        </w:rPr>
        <w:t>Basis of Presentation</w:t>
      </w:r>
    </w:p>
    <w:p>
      <w:pPr>
        <w:jc w:val="both"/>
        <w:ind w:firstLine="509"/>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The consolidated financial statements include the operations of Athira Pharma, Inc., and its wholly owned Australian subsidiary. All intercompany balances and transactions have been eliminated upon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factors and adjusts those estimates and assumptions when facts and circumstances dictate. Actual results could differ from those estimates.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Restricted cash consists primarily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90,584</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95,966</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r>
      <w:tr>
        <w:trPr>
          <w:trHeight w:val="26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91,215</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Property and equipment consist of computer equipment, computer software, laboratory equipment, leasehold improvements and furniture and office equipment. Property and equipment, excluding leasehold improvements,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losses in the years ended December 31, 2023 and 2022 as there have been no events warranting an impairment analysis.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The Company recognizes income related to the NIH grant in the accompanying consolidated statements of operations and comprehensive loss as qualifying expenses under the grant agreement are incurred. As of December 31, 2023, the Company has recognized aggregate grant income of $15.2 million in connection with the NIH grant, equal to the total grant amount approved. The Company will not recognize any additional grant income in connection with the NIH grant in the future.</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During the years ended December 31, 2023 and 2022, the Company recognized grant income of $0.2 million and $5.2 million, respectively, in connection with the NIH grant. As of December 31, 2022, the Company incurred qualifying expenses in excess of cash received of $1.2 million, which is included in unbilled grant receivable on the consolidated balance sheets. The Company received cash of $1.4 million related to the NIH grant during the year ended December 31, 2023, compared to $6.3 million during the year ended December 31, 2022.</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 Attributable to Common Stockholders</w:t>
      </w:r>
    </w:p>
    <w:p>
      <w:pPr>
        <w:spacing w:after="0" w:line="10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 Remeasurement Adjustments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Credit Losses (Topic 326) 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 ASU 2016-13 effective January 1, 2023 and it did not have a material impact on its financial condition, results of operations or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4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4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4"/>
              <w:spacing w:after="0" w:line="160"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(30 )</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59,290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ind w:left="280"/>
              <w:spacing w:after="0" w:line="197" w:lineRule="exact"/>
              <w:rPr>
                <w:sz w:val="20"/>
                <w:szCs w:val="20"/>
                <w:color w:val="auto"/>
              </w:rPr>
            </w:pPr>
            <w:r>
              <w:rPr>
                <w:rFonts w:ascii="Arial" w:cs="Arial" w:eastAsia="Arial" w:hAnsi="Arial"/>
                <w:sz w:val="18"/>
                <w:szCs w:val="18"/>
                <w:color w:val="auto"/>
              </w:rPr>
              <w:t>U.S. government debt and agency</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50,723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(315 )</w:t>
            </w:r>
          </w:p>
        </w:tc>
        <w:tc>
          <w:tcPr>
            <w:tcW w:w="2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50,408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short-term investments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57,154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(319 )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4"/>
              <w:spacing w:after="0" w:line="160"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1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(26 )</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78,035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(168 )</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ind w:left="280"/>
              <w:spacing w:after="0" w:line="197" w:lineRule="exact"/>
              <w:rPr>
                <w:sz w:val="20"/>
                <w:szCs w:val="20"/>
                <w:color w:val="auto"/>
              </w:rPr>
            </w:pPr>
            <w:r>
              <w:rPr>
                <w:rFonts w:ascii="Arial" w:cs="Arial" w:eastAsia="Arial" w:hAnsi="Arial"/>
                <w:sz w:val="18"/>
                <w:szCs w:val="18"/>
                <w:color w:val="auto"/>
              </w:rPr>
              <w:t>U.S. government debt and agency</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(784 )</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(62 )</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105,392</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60" w:type="dxa"/>
            <w:vAlign w:val="bottom"/>
            <w:gridSpan w:val="2"/>
            <w:shd w:val="clear" w:color="auto" w:fill="CFF0FC"/>
          </w:tcPr>
          <w:p>
            <w:pPr>
              <w:ind w:left="280"/>
              <w:spacing w:after="0" w:line="191" w:lineRule="exact"/>
              <w:rPr>
                <w:sz w:val="20"/>
                <w:szCs w:val="20"/>
                <w:color w:val="auto"/>
              </w:rPr>
            </w:pPr>
            <w:r>
              <w:rPr>
                <w:rFonts w:ascii="Arial" w:cs="Arial" w:eastAsia="Arial" w:hAnsi="Arial"/>
                <w:sz w:val="18"/>
                <w:szCs w:val="18"/>
                <w:color w:val="auto"/>
              </w:rPr>
              <w:t>U.S. government debt and agency</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45,745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(916 )</w:t>
            </w:r>
          </w:p>
        </w:tc>
        <w:tc>
          <w:tcPr>
            <w:tcW w:w="20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16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Total long-term investments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45,745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-3839845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-3539490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-3539490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-3539490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-3214370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-2794000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-2794000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-2794000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-1979295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-1679575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-1679575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-1679575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-1353820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-624840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-608330</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-624840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-608330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-624840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-608330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-179705</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-179705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-179705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December 31, 2023,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December 31, 2023 to be due to factors other than credit loss, such as changes in interest rates. A credit loss allowance was not recognized and the unrealized gains (losses) for available-for-sale securities were recorded in other comprehensive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FF0FC"/>
          </w:tcPr>
          <w:p>
            <w:pPr>
              <w:spacing w:after="0"/>
              <w:rPr>
                <w:sz w:val="19"/>
                <w:szCs w:val="19"/>
                <w:color w:val="auto"/>
              </w:rPr>
            </w:pPr>
          </w:p>
        </w:tc>
      </w:tr>
      <w:tr>
        <w:trPr>
          <w:trHeight w:val="197"/>
        </w:trPr>
        <w:tc>
          <w:tcPr>
            <w:tcW w:w="6180" w:type="dxa"/>
            <w:vAlign w:val="bottom"/>
          </w:tcPr>
          <w:p>
            <w:pPr>
              <w:spacing w:after="0" w:line="197" w:lineRule="exact"/>
              <w:rPr>
                <w:sz w:val="20"/>
                <w:szCs w:val="20"/>
                <w:color w:val="auto"/>
              </w:rPr>
            </w:pPr>
            <w:r>
              <w:rPr>
                <w:rFonts w:ascii="Arial" w:cs="Arial" w:eastAsia="Arial" w:hAnsi="Arial"/>
                <w:sz w:val="18"/>
                <w:szCs w:val="18"/>
                <w:color w:val="auto"/>
              </w:rPr>
              <w:t>Office furniture, fixtures,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618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20"/>
                <w:szCs w:val="20"/>
                <w:color w:val="auto"/>
              </w:rPr>
            </w:pPr>
          </w:p>
        </w:tc>
      </w:tr>
      <w:tr>
        <w:trPr>
          <w:trHeight w:val="230"/>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5,421</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(2,334 )</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(1,368 )</w:t>
            </w:r>
          </w:p>
        </w:tc>
      </w:tr>
      <w:tr>
        <w:trPr>
          <w:trHeight w:val="223"/>
        </w:trPr>
        <w:tc>
          <w:tcPr>
            <w:tcW w:w="618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24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80" w:type="dxa"/>
            <w:vAlign w:val="bottom"/>
            <w:tcBorders>
              <w:top w:val="single" w:sz="8" w:color="CFF0FC"/>
            </w:tcBorders>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-479425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$969,000 and $845,000 for the years ended December 31, 2023 and 2022,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11,916</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19"/>
                <w:szCs w:val="19"/>
                <w:color w:val="auto"/>
              </w:rPr>
            </w:pPr>
          </w:p>
        </w:tc>
      </w:tr>
      <w:tr>
        <w:trPr>
          <w:trHeight w:val="229"/>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618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18,343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8,604</w:t>
            </w:r>
          </w:p>
        </w:tc>
        <w:tc>
          <w:tcPr>
            <w:tcW w:w="8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-179705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WSU License Agreement</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is party to an amended and restated exclusive license agreement with sublicensing terms with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December 31, 2023.</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020" w:hanging="503"/>
        <w:spacing w:after="0" w:line="270" w:lineRule="auto"/>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2023, no sales of any licensed products had occurred and the Company had not incurred a royalty obligation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December 31, 2023, the Company has not entered into or incurred any liability from a sublicense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Act of 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plaintiff seeks unspecified compensatory damages, and reasonable costs and expenses, including attorneys’ fees.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18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a result of the foregoing, the Company recorded a legal settlement expense of $10.0 million in operating expenses in the fourth quarter of 2022 and an accrued liability of $10.0 million on the accompanying consolidated balance sheets. Additionally, the Company recorded an insurance recovery of $1.6 million in operating expenses in the fourth quarter of 2023 and an insurance recovery receivable of $1.6 million on the accompanying consolidated balance sheets. This insurance recovery represents the amount of the settlement to be covered by the Company's insurers.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Shareholder Derivative Actions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cs="Arial" w:eastAsia="Arial" w:hAnsi="Arial"/>
          <w:sz w:val="18"/>
          <w:szCs w:val="18"/>
          <w:i w:val="1"/>
          <w:iCs w:val="1"/>
          <w:color w:val="auto"/>
        </w:rPr>
        <w:t>Bushansky v. Kawas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2:22-cv-497. Plaintiff purports to bring the action derivatively on behalf of the Company, which is a nominal defendant to the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1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 The Company believes it has adequate reserves related to this matter as of the latest balance sheet date.</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Government Investigations</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November 2022, the Company received a Civil Investigative Demand from the Civil Division of the Department of Justice (the "Demand"). The Demand seeks documents and information relating to our relationship with WSU, certain of our grant applications in 2016 and 2019 with the NIH, and our receipt of a NIH grant in 2020. The Company is cooperating with the Department of Justice with respect to the Demand.</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February 2023, the Securities and Exchange Commission ("SEC"), sent the Company a subpoena seeking documents and information relating to, among other things, the Company's former chief executive officer's alterations of images in certain research papers. The Company is cooperating with the SEC with respect to the subpoena.</w:t>
      </w:r>
    </w:p>
    <w:p>
      <w:pPr>
        <w:spacing w:after="0" w:line="16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cannot predict the outcome of these lawsuits or government investigations. Failure by the Company to obtain a favorable resolution of these actions could have a material adverse effect on our business, results of operations and financial condition.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2023, the Company was not party to any finance leases.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460" w:type="dxa"/>
            <w:vAlign w:val="bottom"/>
          </w:tcPr>
          <w:p>
            <w:pPr>
              <w:spacing w:after="0" w:line="197" w:lineRule="exact"/>
              <w:rPr>
                <w:sz w:val="20"/>
                <w:szCs w:val="20"/>
                <w:color w:val="auto"/>
              </w:rPr>
            </w:pPr>
            <w:r>
              <w:rPr>
                <w:rFonts w:ascii="Arial" w:cs="Arial" w:eastAsia="Arial" w:hAnsi="Arial"/>
                <w:sz w:val="18"/>
                <w:szCs w:val="18"/>
                <w:color w:val="auto"/>
              </w:rPr>
              <w:t>Present value adjustment for minimum lease</w:t>
            </w:r>
          </w:p>
        </w:tc>
        <w:tc>
          <w:tcPr>
            <w:tcW w:w="160" w:type="dxa"/>
            <w:vAlign w:val="bottom"/>
          </w:tcPr>
          <w:p>
            <w:pPr>
              <w:spacing w:after="0"/>
              <w:rPr>
                <w:sz w:val="17"/>
                <w:szCs w:val="17"/>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1"/>
        </w:trPr>
        <w:tc>
          <w:tcPr>
            <w:tcW w:w="6460" w:type="dxa"/>
            <w:vAlign w:val="bottom"/>
          </w:tcPr>
          <w:p>
            <w:pPr>
              <w:ind w:left="16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lease liability</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180" w:type="dxa"/>
            <w:vAlign w:val="bottom"/>
          </w:tcPr>
          <w:p>
            <w:pPr>
              <w:spacing w:after="0"/>
              <w:rPr>
                <w:sz w:val="16"/>
                <w:szCs w:val="16"/>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60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95"/>
              </w:rPr>
              <w:t>3.7</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1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80" w:type="dxa"/>
            <w:vAlign w:val="bottom"/>
            <w:gridSpan w:val="3"/>
          </w:tcPr>
          <w:p>
            <w:pPr>
              <w:ind w:left="1340"/>
              <w:spacing w:after="0"/>
              <w:rPr>
                <w:sz w:val="20"/>
                <w:szCs w:val="20"/>
                <w:color w:val="auto"/>
              </w:rPr>
            </w:pPr>
            <w:r>
              <w:rPr>
                <w:rFonts w:ascii="Arial" w:cs="Arial" w:eastAsia="Arial" w:hAnsi="Arial"/>
                <w:sz w:val="18"/>
                <w:szCs w:val="18"/>
                <w:color w:val="auto"/>
                <w:w w:val="91"/>
              </w:rPr>
              <w:t>8.1 %</w:t>
            </w:r>
          </w:p>
        </w:tc>
      </w:tr>
    </w:tbl>
    <w:p>
      <w:pPr>
        <w:spacing w:after="0" w:line="24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Operating lease expense was $353,000 and $368,000 for the years ended December 31, 2023 and 2022, respectively. Separately, variable lease expense was $186,000 and $167,000 for operating leases during the years ended December 31, 2023 and 2022,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0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740" w:type="dxa"/>
            <w:vAlign w:val="bottom"/>
            <w:shd w:val="clear" w:color="auto" w:fill="CFF0FC"/>
          </w:tcPr>
          <w:p>
            <w:pPr>
              <w:spacing w:after="0" w:line="191" w:lineRule="exact"/>
              <w:rPr>
                <w:sz w:val="20"/>
                <w:szCs w:val="20"/>
                <w:color w:val="auto"/>
              </w:rPr>
            </w:pPr>
            <w:r>
              <w:rPr>
                <w:rFonts w:ascii="Arial" w:cs="Arial" w:eastAsia="Arial" w:hAnsi="Arial"/>
                <w:sz w:val="18"/>
                <w:szCs w:val="18"/>
                <w:color w:val="auto"/>
              </w:rPr>
              <w:t>Shares issuable upon the exercise of outstanding</w:t>
            </w:r>
          </w:p>
        </w:tc>
        <w:tc>
          <w:tcPr>
            <w:tcW w:w="1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common stock options and the vesting of</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outstanding common restricted stock</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7,130,956</w:t>
            </w: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4,269,861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Pr>
          <w:p>
            <w:pPr>
              <w:spacing w:after="0" w:line="197" w:lineRule="exact"/>
              <w:rPr>
                <w:sz w:val="20"/>
                <w:szCs w:val="20"/>
                <w:color w:val="auto"/>
              </w:rPr>
            </w:pPr>
            <w:r>
              <w:rPr>
                <w:rFonts w:ascii="Arial" w:cs="Arial" w:eastAsia="Arial" w:hAnsi="Arial"/>
                <w:sz w:val="18"/>
                <w:szCs w:val="18"/>
                <w:color w:val="auto"/>
              </w:rPr>
              <w:t>Shares available for future grant under the 2020</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3,158,094</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4,253,854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Shares available for future grant under the</w:t>
            </w: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1,128,732</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916,640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11,417,782</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9,440,355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-179705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-179705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3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(1) 3,230,000 shares, (2) 5% of the number of shares of common stock issued and outstanding on the immediately preceding December 31, and (3) an amount determined by the Company’s board of directors.</w:t>
      </w:r>
    </w:p>
    <w:p>
      <w:pPr>
        <w:spacing w:after="0" w:line="24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(1) 646,000 shares, (2) 1% of the number of shares of common stock issued and outstanding on the immediately preceding December 31, and (3) an amount determined by the Company’s board of directors.</w:t>
      </w:r>
    </w:p>
    <w:p>
      <w:pPr>
        <w:spacing w:after="0" w:line="2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2023, the Company’s 2020 Plan and ESPP reserves increased by 1,893,869 shares and 378,774 shares, respectively.</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Effective January 1, 2024, the Company’s 2020 Plan and ESPP reserves increased by 1,908,630 shares and 381,726 shares,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63"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80" w:type="dxa"/>
            <w:vAlign w:val="bottom"/>
          </w:tcPr>
          <w:p>
            <w:pPr>
              <w:spacing w:after="0"/>
              <w:rPr>
                <w:sz w:val="19"/>
                <w:szCs w:val="19"/>
                <w:color w:val="auto"/>
              </w:rPr>
            </w:pPr>
          </w:p>
        </w:tc>
      </w:tr>
      <w:tr>
        <w:trPr>
          <w:trHeight w:val="263"/>
        </w:trPr>
        <w:tc>
          <w:tcPr>
            <w:tcW w:w="5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10,623</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46" w:lineRule="exact"/>
        <w:rPr>
          <w:sz w:val="20"/>
          <w:szCs w:val="20"/>
          <w:color w:val="auto"/>
        </w:rPr>
      </w:pPr>
    </w:p>
    <w:p>
      <w:pPr>
        <w:ind w:left="1020" w:hanging="503"/>
        <w:spacing w:after="0" w:line="270" w:lineRule="auto"/>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85" w:lineRule="exact"/>
        <w:rPr>
          <w:sz w:val="20"/>
          <w:szCs w:val="20"/>
          <w:color w:val="auto"/>
        </w:rPr>
      </w:pPr>
    </w:p>
    <w:p>
      <w:pPr>
        <w:ind w:left="1020" w:hanging="503"/>
        <w:spacing w:after="0" w:line="270"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14" w:lineRule="exact"/>
        <w:rPr>
          <w:sz w:val="20"/>
          <w:szCs w:val="20"/>
          <w:color w:val="auto"/>
        </w:rPr>
      </w:pPr>
    </w:p>
    <w:p>
      <w:pPr>
        <w:jc w:val="both"/>
        <w:ind w:right="20" w:firstLine="509"/>
        <w:spacing w:after="0" w:line="241"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360" w:type="dxa"/>
            <w:vAlign w:val="bottom"/>
            <w:vMerge w:val="restart"/>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3.54 %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99.18 %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92.95 %</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-588010</wp:posOffset>
            </wp:positionV>
            <wp:extent cx="4989195" cy="146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20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fair value of options granted during the years ended December 31, 2023 and 2022 were $9.8 million and $16.3 million, respectively. The fair value of restricted stock units granted during the year ended December 31, 2023 and 2022 was $0.5 million and $0.1 million,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year ended December 31,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12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12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1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rPr>
              <w:t>for Grant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2022</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4,253,854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2020 Plan reserve increase on January 1, 2023</w:t>
            </w:r>
          </w:p>
        </w:tc>
        <w:tc>
          <w:tcPr>
            <w:tcW w:w="1360" w:type="dxa"/>
            <w:vAlign w:val="bottom"/>
          </w:tcPr>
          <w:p>
            <w:pPr>
              <w:jc w:val="right"/>
              <w:spacing w:after="0"/>
              <w:rPr>
                <w:sz w:val="20"/>
                <w:szCs w:val="20"/>
                <w:color w:val="auto"/>
              </w:rPr>
            </w:pPr>
            <w:r>
              <w:rPr>
                <w:rFonts w:ascii="Arial" w:cs="Arial" w:eastAsia="Arial" w:hAnsi="Arial"/>
                <w:sz w:val="18"/>
                <w:szCs w:val="18"/>
                <w:color w:val="auto"/>
              </w:rPr>
              <w:t>1,893,869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Options and restricted stock units granted</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(3,834,783 )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6420" w:type="dxa"/>
            <w:vAlign w:val="bottom"/>
          </w:tcPr>
          <w:p>
            <w:pPr>
              <w:spacing w:after="0" w:line="197" w:lineRule="exact"/>
              <w:rPr>
                <w:sz w:val="20"/>
                <w:szCs w:val="20"/>
                <w:color w:val="auto"/>
              </w:rPr>
            </w:pPr>
            <w:r>
              <w:rPr>
                <w:rFonts w:ascii="Arial" w:cs="Arial" w:eastAsia="Arial" w:hAnsi="Arial"/>
                <w:sz w:val="18"/>
                <w:szCs w:val="18"/>
                <w:color w:val="auto"/>
              </w:rPr>
              <w:t>Options and restricted stock units forfeited,</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845,154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cancelled, or expired</w:t>
            </w:r>
          </w:p>
        </w:tc>
        <w:tc>
          <w:tcPr>
            <w:tcW w:w="13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3,158,094</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2"/>
        </w:trPr>
        <w:tc>
          <w:tcPr>
            <w:tcW w:w="1700" w:type="dxa"/>
            <w:vAlign w:val="bottom"/>
          </w:tcPr>
          <w:p>
            <w:pPr>
              <w:spacing w:after="0"/>
              <w:rPr>
                <w:sz w:val="24"/>
                <w:szCs w:val="24"/>
                <w:color w:val="auto"/>
              </w:rPr>
            </w:pPr>
          </w:p>
        </w:tc>
        <w:tc>
          <w:tcPr>
            <w:tcW w:w="6420" w:type="dxa"/>
            <w:vAlign w:val="bottom"/>
          </w:tcPr>
          <w:p>
            <w:pPr>
              <w:ind w:left="3780"/>
              <w:spacing w:after="0"/>
              <w:rPr>
                <w:sz w:val="20"/>
                <w:szCs w:val="20"/>
                <w:color w:val="auto"/>
              </w:rPr>
            </w:pPr>
            <w:r>
              <w:rPr>
                <w:rFonts w:ascii="Arial" w:cs="Arial" w:eastAsia="Arial" w:hAnsi="Arial"/>
                <w:sz w:val="18"/>
                <w:szCs w:val="18"/>
                <w:color w:val="auto"/>
              </w:rPr>
              <w:t>153</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17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-1062355</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option activity for the year ended December 31, 2023 was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r>
      <w:tr>
        <w:trPr>
          <w:trHeight w:val="162"/>
        </w:trPr>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w:t>
            </w:r>
          </w:p>
        </w:tc>
      </w:tr>
      <w:tr>
        <w:trPr>
          <w:trHeight w:val="185"/>
        </w:trPr>
        <w:tc>
          <w:tcPr>
            <w:tcW w:w="3840" w:type="dxa"/>
            <w:vAlign w:val="bottom"/>
          </w:tcPr>
          <w:p>
            <w:pPr>
              <w:spacing w:after="0"/>
              <w:rPr>
                <w:sz w:val="16"/>
                <w:szCs w:val="16"/>
                <w:color w:val="auto"/>
              </w:rPr>
            </w:pPr>
          </w:p>
        </w:tc>
        <w:tc>
          <w:tcPr>
            <w:tcW w:w="14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4,033,522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3,696,783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(128,534 )</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Forfeited/expired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(780,902 )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2023</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6,820,869</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8"/>
                <w:szCs w:val="18"/>
                <w:color w:val="auto"/>
              </w:rPr>
              <w:t>Expected to vest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4,000,554</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2,820,315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-367665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-350520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total fair value of options granted that vested during the years ended December 31, 2023 and 2022 was $9.8 million and $6.8 million, respectively.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December 31, 2023. The aggregate intrinsic value of options exercised was $0.2 million and $3.0 million during the year ended December 31, 2023 and 2022, respectively, determined as of the date of option exercise. As of December 31, 2023, there was $16.0 million of total unrecognized compensation cost related to non-vested stock options. The Company expects to recognize this cost over a remaining weighted-average period of 1.99 years. The Company utilizes newly issued shares to satisfy option exercises.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options outstanding and exercisable consisted of the following at December 31, 2023:</w:t>
      </w:r>
    </w:p>
    <w:p>
      <w:pPr>
        <w:spacing w:after="0" w:line="200" w:lineRule="exact"/>
        <w:rPr>
          <w:sz w:val="20"/>
          <w:szCs w:val="20"/>
          <w:color w:val="auto"/>
        </w:rPr>
      </w:pP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78"/>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00" w:type="dxa"/>
            <w:vAlign w:val="bottom"/>
          </w:tcPr>
          <w:p>
            <w:pPr>
              <w:jc w:val="right"/>
              <w:ind w:right="29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Exercisable</w:t>
            </w:r>
          </w:p>
        </w:tc>
      </w:tr>
      <w:tr>
        <w:trPr>
          <w:trHeight w:val="230"/>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 to 4.22</w:t>
            </w:r>
          </w:p>
        </w:tc>
        <w:tc>
          <w:tcPr>
            <w:tcW w:w="3180" w:type="dxa"/>
            <w:vAlign w:val="bottom"/>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3,709,593</w:t>
            </w:r>
          </w:p>
        </w:tc>
        <w:tc>
          <w:tcPr>
            <w:tcW w:w="220" w:type="dxa"/>
            <w:vAlign w:val="bottom"/>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1,005,785</w:t>
            </w:r>
          </w:p>
        </w:tc>
        <w:tc>
          <w:tcPr>
            <w:tcW w:w="80" w:type="dxa"/>
            <w:vAlign w:val="bottom"/>
            <w:shd w:val="clear" w:color="auto" w:fill="CFF0FC"/>
          </w:tcPr>
          <w:p>
            <w:pPr>
              <w:spacing w:after="0"/>
              <w:rPr>
                <w:sz w:val="19"/>
                <w:szCs w:val="19"/>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8.93 to 19.94</w:t>
            </w:r>
          </w:p>
        </w:tc>
        <w:tc>
          <w:tcPr>
            <w:tcW w:w="1600" w:type="dxa"/>
            <w:vAlign w:val="bottom"/>
          </w:tcPr>
          <w:p>
            <w:pPr>
              <w:jc w:val="right"/>
              <w:spacing w:after="0"/>
              <w:rPr>
                <w:sz w:val="20"/>
                <w:szCs w:val="20"/>
                <w:color w:val="auto"/>
              </w:rPr>
            </w:pPr>
            <w:r>
              <w:rPr>
                <w:rFonts w:ascii="Arial" w:cs="Arial" w:eastAsia="Arial" w:hAnsi="Arial"/>
                <w:sz w:val="18"/>
                <w:szCs w:val="18"/>
                <w:color w:val="auto"/>
              </w:rPr>
              <w:t>2,759,028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1,615,758</w:t>
            </w:r>
          </w:p>
        </w:tc>
        <w:tc>
          <w:tcPr>
            <w:tcW w:w="80" w:type="dxa"/>
            <w:vAlign w:val="bottom"/>
          </w:tcPr>
          <w:p>
            <w:pPr>
              <w:spacing w:after="0"/>
              <w:rPr>
                <w:sz w:val="19"/>
                <w:szCs w:val="19"/>
                <w:color w:val="auto"/>
              </w:rPr>
            </w:pPr>
          </w:p>
        </w:tc>
      </w:tr>
      <w:tr>
        <w:trPr>
          <w:trHeight w:val="230"/>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20.55 to 29.41</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352,248</w:t>
            </w:r>
          </w:p>
        </w:tc>
        <w:tc>
          <w:tcPr>
            <w:tcW w:w="2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438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rPr>
                <w:sz w:val="20"/>
                <w:szCs w:val="20"/>
                <w:color w:val="auto"/>
              </w:rPr>
            </w:pPr>
            <w:r>
              <w:rPr>
                <w:rFonts w:ascii="Arial" w:cs="Arial" w:eastAsia="Arial" w:hAnsi="Arial"/>
                <w:sz w:val="18"/>
                <w:szCs w:val="18"/>
                <w:color w:val="auto"/>
              </w:rPr>
              <w:t>6,820,869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2,820,315</w:t>
            </w:r>
          </w:p>
        </w:tc>
        <w:tc>
          <w:tcPr>
            <w:tcW w:w="8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-179070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Restricted Stock Unit Activity</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A summary of RSU activity for the year ended December 31,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Grant Date</w:t>
            </w: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Equivalent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236,339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138,000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3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(64,252 )</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Vested</w:t>
            </w:r>
          </w:p>
        </w:tc>
        <w:tc>
          <w:tcPr>
            <w:tcW w:w="2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2023</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310,087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862"/>
        </w:trPr>
        <w:tc>
          <w:tcPr>
            <w:tcW w:w="170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jc w:val="right"/>
              <w:ind w:right="1190"/>
              <w:spacing w:after="0"/>
              <w:rPr>
                <w:sz w:val="20"/>
                <w:szCs w:val="20"/>
                <w:color w:val="auto"/>
              </w:rPr>
            </w:pPr>
            <w:r>
              <w:rPr>
                <w:rFonts w:ascii="Arial" w:cs="Arial" w:eastAsia="Arial" w:hAnsi="Arial"/>
                <w:sz w:val="18"/>
                <w:szCs w:val="18"/>
                <w:color w:val="auto"/>
              </w:rPr>
              <w:t>154</w:t>
            </w: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32"/>
        </w:trPr>
        <w:tc>
          <w:tcPr>
            <w:tcW w:w="17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-1062355</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-1045210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-1062355</wp:posOffset>
            </wp:positionV>
            <wp:extent cx="431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Employee Stock Purchase Plan</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212121"/>
        </w:rPr>
        <w:t xml:space="preserve">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market value of the ESPP options granted is determined using the Black-Scholes model and is amortized on a straight-line basis. Stock-based compensation expense recognized during the years ended December 31, 2023 and 2022 associated with the ESPP was $0.1 million and $0.2 million, respectively. </w:t>
      </w:r>
      <w:r>
        <w:rPr>
          <w:rFonts w:ascii="Arial" w:cs="Arial" w:eastAsia="Arial" w:hAnsi="Arial"/>
          <w:sz w:val="18"/>
          <w:szCs w:val="18"/>
          <w:color w:val="000000"/>
        </w:rPr>
        <w:t>During the year</w:t>
      </w:r>
      <w:r>
        <w:rPr>
          <w:rFonts w:ascii="Arial" w:cs="Arial" w:eastAsia="Arial" w:hAnsi="Arial"/>
          <w:sz w:val="18"/>
          <w:szCs w:val="18"/>
          <w:color w:val="212121"/>
        </w:rPr>
        <w:t xml:space="preserve"> </w:t>
      </w:r>
      <w:r>
        <w:rPr>
          <w:rFonts w:ascii="Arial" w:cs="Arial" w:eastAsia="Arial" w:hAnsi="Arial"/>
          <w:sz w:val="18"/>
          <w:szCs w:val="18"/>
          <w:color w:val="000000"/>
        </w:rPr>
        <w:t>ended December 31, 2023, the Company issued 166,682 shares of common stock to employees under the ESPP.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10. Income Taxes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record a provision (benefit) for income taxes for the years ended December 31, 2023 and 2022. Net loss is attributable to the following tax jurisdictions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(117,440 )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(95,778 )</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(117,672 )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(95,639 )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360" w:type="dxa"/>
            <w:vAlign w:val="bottom"/>
            <w:vMerge w:val="restart"/>
          </w:tcPr>
          <w:p>
            <w:pPr>
              <w:spacing w:after="0"/>
              <w:rPr>
                <w:sz w:val="20"/>
                <w:szCs w:val="20"/>
                <w:color w:val="auto"/>
              </w:rPr>
            </w:pPr>
            <w:r>
              <w:rPr>
                <w:rFonts w:ascii="Arial" w:cs="Arial" w:eastAsia="Arial" w:hAnsi="Arial"/>
                <w:sz w:val="18"/>
                <w:szCs w:val="18"/>
                <w:color w:val="auto"/>
              </w:rPr>
              <w:t>Federal statutory income tax rate</w:t>
            </w:r>
          </w:p>
        </w:tc>
        <w:tc>
          <w:tcPr>
            <w:tcW w:w="2000" w:type="dxa"/>
            <w:vAlign w:val="bottom"/>
          </w:tcPr>
          <w:p>
            <w:pPr>
              <w:spacing w:after="0"/>
              <w:rPr>
                <w:sz w:val="15"/>
                <w:szCs w:val="15"/>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21.0 %</w:t>
            </w:r>
          </w:p>
        </w:tc>
        <w:tc>
          <w:tcPr>
            <w:tcW w:w="2860" w:type="dxa"/>
            <w:vAlign w:val="bottom"/>
            <w:gridSpan w:val="3"/>
          </w:tcPr>
          <w:p>
            <w:pPr>
              <w:jc w:val="right"/>
              <w:ind w:right="158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State taxes</w:t>
            </w:r>
          </w:p>
        </w:tc>
        <w:tc>
          <w:tcPr>
            <w:tcW w:w="20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60" w:type="dxa"/>
            <w:vAlign w:val="bottom"/>
            <w:gridSpan w:val="3"/>
          </w:tcPr>
          <w:p>
            <w:pPr>
              <w:jc w:val="right"/>
              <w:ind w:right="168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(1.1 )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Non-deductible expenses and others</w:t>
            </w:r>
          </w:p>
        </w:tc>
        <w:tc>
          <w:tcPr>
            <w:tcW w:w="3320" w:type="dxa"/>
            <w:vAlign w:val="bottom"/>
            <w:gridSpan w:val="3"/>
          </w:tcPr>
          <w:p>
            <w:pPr>
              <w:jc w:val="right"/>
              <w:ind w:right="100"/>
              <w:spacing w:after="0"/>
              <w:rPr>
                <w:sz w:val="20"/>
                <w:szCs w:val="20"/>
                <w:color w:val="auto"/>
              </w:rPr>
            </w:pPr>
            <w:r>
              <w:rPr>
                <w:rFonts w:ascii="Arial" w:cs="Arial" w:eastAsia="Arial" w:hAnsi="Arial"/>
                <w:sz w:val="18"/>
                <w:szCs w:val="18"/>
                <w:color w:val="auto"/>
              </w:rPr>
              <w:t>(0.1 )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3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(24.0 )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(21.4 )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60" w:type="dxa"/>
            <w:vAlign w:val="bottom"/>
            <w:gridSpan w:val="3"/>
          </w:tcPr>
          <w:p>
            <w:pPr>
              <w:jc w:val="right"/>
              <w:ind w:right="15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0" w:type="dxa"/>
            <w:vAlign w:val="bottom"/>
            <w:vMerge w:val="restart"/>
          </w:tcPr>
          <w:p>
            <w:pPr>
              <w:jc w:val="right"/>
              <w:ind w:right="1190"/>
              <w:spacing w:after="0"/>
              <w:rPr>
                <w:sz w:val="20"/>
                <w:szCs w:val="20"/>
                <w:color w:val="auto"/>
              </w:rPr>
            </w:pPr>
            <w:r>
              <w:rPr>
                <w:rFonts w:ascii="Arial" w:cs="Arial" w:eastAsia="Arial" w:hAnsi="Arial"/>
                <w:sz w:val="18"/>
                <w:szCs w:val="18"/>
                <w:color w:val="auto"/>
              </w:rPr>
              <w:t>155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17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-2091055</wp:posOffset>
            </wp:positionV>
            <wp:extent cx="4989195"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-1207770</wp:posOffset>
            </wp:positionV>
            <wp:extent cx="498919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98919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The components of the Company’s deferred tax assets and liabilities were as follows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31,342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Research and development tax credit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carryforwards</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Capitalized research and development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71,756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44,021</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(221 )</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(75 )</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(214 )</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Pr>
          <w:p>
            <w:pPr>
              <w:ind w:left="5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(510 )</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(1,036 )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(71,246 )</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(42,985 )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-1079500</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-488315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2023, the Company has recorded a full valuation allowance on its net deferred tax assets as the Company has concluded that it is not more likely than not that such losses or credits will be utilized. The valuation allowance increased by $28.3 million and $20.4 million during 2023 and 2022, respectively.</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212121"/>
        </w:rPr>
        <w:t>At December 31, 2023, the Company has federal net operating loss and tax credit carryforwards of $9.5 million and $12.4 million, respectively, which expire over a period of 8 to 14 years. Net operating loss carryforwards of $138.7 million were generated after 2017, and therefore do not expire. As of December 31, 2023, the Company also had state net operating loss carryforwards of $3.3 million, which expire over a period of 18 to 20 years.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212121"/>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$25.2 million as of December 31, 2023.</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121"/>
        </w:rPr>
        <w:t>Uncertain Tax Positions</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12121"/>
        </w:rPr>
        <w:t>were generated and carried forward and may make adjustments to the amount of the net operating loss or credit carryforward amount. The Company is not currently under examination in any jurisdiction.</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A reconciliation of the beginning and ending amount of unrecognized tax benefits for uncertain tax positions were as follows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400" w:type="dxa"/>
            <w:vAlign w:val="bottom"/>
          </w:tcPr>
          <w:p>
            <w:pPr>
              <w:spacing w:after="0" w:line="197" w:lineRule="exact"/>
              <w:rPr>
                <w:sz w:val="20"/>
                <w:szCs w:val="20"/>
                <w:color w:val="auto"/>
              </w:rPr>
            </w:pPr>
            <w:r>
              <w:rPr>
                <w:rFonts w:ascii="Arial" w:cs="Arial" w:eastAsia="Arial" w:hAnsi="Arial"/>
                <w:sz w:val="18"/>
                <w:szCs w:val="18"/>
                <w:color w:val="auto"/>
              </w:rPr>
              <w:t>Additions for tax positions taken in prior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0" w:type="dxa"/>
            <w:vAlign w:val="bottom"/>
          </w:tcPr>
          <w:p>
            <w:pPr>
              <w:ind w:left="16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Additions for tax positions taken in the current</w:t>
            </w: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year</w:t>
            </w: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-179070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212121"/>
        </w:rPr>
        <w:t>If the unrecognized tax benefits for uncertain tax positions as of December 31, 2023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2023, there were no material interest and penalties on uncertain tax benefits. The Company does not anticipate any significant changes to its unrecognized tax benefits in the next 12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11. Employee Benefit Plans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$0.5 million and $0.4 million during the years ended December 31, 2023 and 2022,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12. Net Loss Per Share Attributable to Common Stockholders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6,820,869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4,033,522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310,087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236,339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7,134,451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4,275,009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vMerge w:val="restart"/>
          </w:tcPr>
          <w:p>
            <w:pPr>
              <w:jc w:val="right"/>
              <w:ind w:right="610"/>
              <w:spacing w:after="0"/>
              <w:rPr>
                <w:sz w:val="20"/>
                <w:szCs w:val="20"/>
                <w:color w:val="auto"/>
              </w:rPr>
            </w:pPr>
            <w:r>
              <w:rPr>
                <w:rFonts w:ascii="Arial" w:cs="Arial" w:eastAsia="Arial" w:hAnsi="Arial"/>
                <w:sz w:val="18"/>
                <w:szCs w:val="18"/>
                <w:color w:val="auto"/>
              </w:rPr>
              <w:t>157</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-1216660</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-1216660</wp:posOffset>
            </wp:positionV>
            <wp:extent cx="431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2023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2023.</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During our last fiscal quarter, no director or officer, as defined in Rule 16a-1 (f) of the Exchange Act, adopted or terminated a “Rule 10b5-1 trading arrangement” or any “non-Rule 10b5-1 trading arrangement,” each as defined in Item 408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1" w:name="page162"/>
    <w:bookmarkEnd w:id="161"/>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6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remaining information required by this Item 10 of Form 10-K will be included in our definitive proxy statement to be filed with the SEC within 120 days after the end of the fiscal year ended December 31, 2023 in connection with the solicitation of proxies for our 2024 Annual Meeting of Stockholders (2024 Proxy Statement) and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11 of Form 10-K will be included in our 2024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information required by this Item 12 of Form 10-K, including with respect to our equity compensation plans, will be included in our 2024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13 of Form 10-K will be included in our 2024 Proxy Statement and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information required by this Item 14 of Form 10-K will be included in our 2024 Proxy Statement and is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2" w:name="page163"/>
    <w:bookmarkEnd w:id="162"/>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020" w:hanging="50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Index to Financial Statements in Part II, Item 8 of this Annual Report on Form 10-K.</w:t>
      </w:r>
    </w:p>
    <w:p>
      <w:pPr>
        <w:spacing w:after="0" w:line="104" w:lineRule="exact"/>
        <w:rPr>
          <w:sz w:val="20"/>
          <w:szCs w:val="20"/>
          <w:color w:val="auto"/>
        </w:rPr>
      </w:pPr>
    </w:p>
    <w:p>
      <w:pPr>
        <w:ind w:left="1540" w:hanging="514"/>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jc w:val="both"/>
        <w:ind w:left="1000" w:firstLine="509"/>
        <w:spacing w:after="0" w:line="253" w:lineRule="auto"/>
        <w:rPr>
          <w:sz w:val="20"/>
          <w:szCs w:val="20"/>
          <w:color w:val="auto"/>
        </w:rPr>
      </w:pPr>
      <w:r>
        <w:rPr>
          <w:rFonts w:ascii="Arial" w:cs="Arial" w:eastAsia="Arial" w:hAnsi="Arial"/>
          <w:sz w:val="18"/>
          <w:szCs w:val="18"/>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61" w:lineRule="exact"/>
        <w:rPr>
          <w:sz w:val="20"/>
          <w:szCs w:val="20"/>
          <w:color w:val="auto"/>
        </w:rPr>
      </w:pPr>
    </w:p>
    <w:p>
      <w:pPr>
        <w:ind w:left="1540" w:hanging="514"/>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00" w:firstLine="509"/>
        <w:spacing w:after="0" w:line="271" w:lineRule="auto"/>
        <w:rPr>
          <w:sz w:val="20"/>
          <w:szCs w:val="20"/>
          <w:color w:val="auto"/>
        </w:rPr>
      </w:pPr>
      <w:r>
        <w:rPr>
          <w:rFonts w:ascii="Arial" w:cs="Arial" w:eastAsia="Arial" w:hAnsi="Arial"/>
          <w:sz w:val="18"/>
          <w:szCs w:val="18"/>
          <w:color w:val="auto"/>
        </w:rPr>
        <w:t>The exhibits listed in the following Index to Exhibits are filed, furnished or incorporated by reference as part of this Annual Report on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Form</w:t>
            </w: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95"/>
              </w:rPr>
              <w:t>3.1</w:t>
            </w:r>
          </w:p>
        </w:tc>
        <w:tc>
          <w:tcPr>
            <w:tcW w:w="5400" w:type="dxa"/>
            <w:vAlign w:val="bottom"/>
            <w:gridSpan w:val="7"/>
          </w:tcPr>
          <w:p>
            <w:pPr>
              <w:spacing w:after="0"/>
              <w:rPr>
                <w:rFonts w:ascii="Arial" w:cs="Arial" w:eastAsia="Arial" w:hAnsi="Arial"/>
                <w:sz w:val="18"/>
                <w:szCs w:val="18"/>
                <w:color w:val="0000FF"/>
              </w:rPr>
            </w:pPr>
            <w:hyperlink r:id="rId351">
              <w:r>
                <w:rPr>
                  <w:rFonts w:ascii="Arial" w:cs="Arial" w:eastAsia="Arial" w:hAnsi="Arial"/>
                  <w:sz w:val="18"/>
                  <w:szCs w:val="18"/>
                  <w:color w:val="0000FF"/>
                </w:rPr>
                <w:t>Amended and Restated Certificate of Incorporation of the Company</w:t>
              </w:r>
            </w:hyperlink>
          </w:p>
        </w:tc>
      </w:tr>
      <w:tr>
        <w:trPr>
          <w:trHeight w:val="20"/>
        </w:trPr>
        <w:tc>
          <w:tcPr>
            <w:tcW w:w="100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331"/>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95"/>
              </w:rPr>
              <w:t>3.2</w:t>
            </w:r>
          </w:p>
        </w:tc>
        <w:tc>
          <w:tcPr>
            <w:tcW w:w="5400" w:type="dxa"/>
            <w:vAlign w:val="bottom"/>
            <w:gridSpan w:val="7"/>
          </w:tcPr>
          <w:p>
            <w:pPr>
              <w:spacing w:after="0"/>
              <w:rPr>
                <w:rFonts w:ascii="Arial" w:cs="Arial" w:eastAsia="Arial" w:hAnsi="Arial"/>
                <w:sz w:val="18"/>
                <w:szCs w:val="18"/>
                <w:color w:val="0000FF"/>
              </w:rPr>
            </w:pPr>
            <w:hyperlink r:id="rId352">
              <w:r>
                <w:rPr>
                  <w:rFonts w:ascii="Arial" w:cs="Arial" w:eastAsia="Arial" w:hAnsi="Arial"/>
                  <w:sz w:val="18"/>
                  <w:szCs w:val="18"/>
                  <w:color w:val="0000FF"/>
                </w:rPr>
                <w:t>Amended and Restated Bylaws of the Company</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95"/>
              </w:rPr>
              <w:t>4.1</w:t>
            </w:r>
          </w:p>
        </w:tc>
        <w:tc>
          <w:tcPr>
            <w:tcW w:w="5400" w:type="dxa"/>
            <w:vAlign w:val="bottom"/>
            <w:gridSpan w:val="7"/>
          </w:tcPr>
          <w:p>
            <w:pPr>
              <w:spacing w:after="0"/>
              <w:rPr>
                <w:rFonts w:ascii="Arial" w:cs="Arial" w:eastAsia="Arial" w:hAnsi="Arial"/>
                <w:sz w:val="18"/>
                <w:szCs w:val="18"/>
                <w:color w:val="0000FF"/>
              </w:rPr>
            </w:pPr>
            <w:hyperlink r:id="rId353">
              <w:r>
                <w:rPr>
                  <w:rFonts w:ascii="Arial" w:cs="Arial" w:eastAsia="Arial" w:hAnsi="Arial"/>
                  <w:sz w:val="18"/>
                  <w:szCs w:val="18"/>
                  <w:color w:val="0000FF"/>
                </w:rPr>
                <w:t>Specimen Common Stock Certificate of the Registrant</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4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95"/>
              </w:rPr>
              <w:t>4.2</w:t>
            </w:r>
          </w:p>
        </w:tc>
        <w:tc>
          <w:tcPr>
            <w:tcW w:w="5400" w:type="dxa"/>
            <w:vAlign w:val="bottom"/>
            <w:gridSpan w:val="7"/>
          </w:tcPr>
          <w:p>
            <w:pPr>
              <w:spacing w:after="0"/>
              <w:rPr>
                <w:rFonts w:ascii="Arial" w:cs="Arial" w:eastAsia="Arial" w:hAnsi="Arial"/>
                <w:sz w:val="18"/>
                <w:szCs w:val="18"/>
                <w:color w:val="0000FF"/>
              </w:rPr>
            </w:pPr>
            <w:hyperlink r:id="rId354">
              <w:r>
                <w:rPr>
                  <w:rFonts w:ascii="Arial" w:cs="Arial" w:eastAsia="Arial" w:hAnsi="Arial"/>
                  <w:sz w:val="18"/>
                  <w:szCs w:val="18"/>
                  <w:color w:val="0000FF"/>
                </w:rPr>
                <w:t>Investors’ Rights Agreement, dated May 29, 2020, as amended, by</w:t>
              </w:r>
            </w:hyperlink>
          </w:p>
        </w:tc>
      </w:tr>
      <w:tr>
        <w:trPr>
          <w:trHeight w:val="183"/>
        </w:trPr>
        <w:tc>
          <w:tcPr>
            <w:tcW w:w="100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rPr>
            </w:pPr>
            <w:hyperlink r:id="rId354">
              <w:r>
                <w:rPr>
                  <w:rFonts w:ascii="Arial" w:cs="Arial" w:eastAsia="Arial" w:hAnsi="Arial"/>
                  <w:sz w:val="18"/>
                  <w:szCs w:val="18"/>
                  <w:color w:val="0000FF"/>
                </w:rPr>
                <w:t>and among the Registrant and the Investors and Key Holders party</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540" w:type="dxa"/>
            <w:vAlign w:val="bottom"/>
            <w:tcBorders>
              <w:bottom w:val="single" w:sz="8" w:color="0000FF"/>
            </w:tcBorders>
          </w:tcPr>
          <w:p>
            <w:pPr>
              <w:spacing w:after="0" w:line="182" w:lineRule="exact"/>
              <w:rPr>
                <w:rFonts w:ascii="Arial" w:cs="Arial" w:eastAsia="Arial" w:hAnsi="Arial"/>
                <w:sz w:val="18"/>
                <w:szCs w:val="18"/>
                <w:color w:val="0000FF"/>
                <w:w w:val="92"/>
              </w:rPr>
            </w:pPr>
            <w:hyperlink r:id="rId354">
              <w:r>
                <w:rPr>
                  <w:rFonts w:ascii="Arial" w:cs="Arial" w:eastAsia="Arial" w:hAnsi="Arial"/>
                  <w:sz w:val="18"/>
                  <w:szCs w:val="18"/>
                  <w:color w:val="0000FF"/>
                  <w:w w:val="92"/>
                </w:rPr>
                <w:t>thereto</w:t>
              </w:r>
            </w:hyperlink>
          </w:p>
        </w:tc>
        <w:tc>
          <w:tcPr>
            <w:tcW w:w="20" w:type="dxa"/>
            <w:vAlign w:val="bottom"/>
            <w:tcBorders>
              <w:bottom w:val="single" w:sz="8" w:color="0000EE"/>
            </w:tcBorders>
          </w:tcPr>
          <w:p>
            <w:pPr>
              <w:spacing w:after="0"/>
              <w:rPr>
                <w:sz w:val="15"/>
                <w:szCs w:val="15"/>
                <w:color w:val="auto"/>
              </w:rPr>
            </w:pPr>
          </w:p>
        </w:tc>
        <w:tc>
          <w:tcPr>
            <w:tcW w:w="48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760" w:type="dxa"/>
            <w:vAlign w:val="bottom"/>
          </w:tcPr>
          <w:p>
            <w:pPr>
              <w:ind w:left="160"/>
              <w:spacing w:after="0"/>
              <w:rPr>
                <w:sz w:val="20"/>
                <w:szCs w:val="20"/>
                <w:color w:val="auto"/>
              </w:rPr>
            </w:pPr>
            <w:r>
              <w:rPr>
                <w:rFonts w:ascii="Arial" w:cs="Arial" w:eastAsia="Arial" w:hAnsi="Arial"/>
                <w:sz w:val="18"/>
                <w:szCs w:val="18"/>
                <w:color w:val="auto"/>
                <w:w w:val="99"/>
              </w:rPr>
              <w:t>November 12,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760" w:type="dxa"/>
            <w:vAlign w:val="bottom"/>
          </w:tcPr>
          <w:p>
            <w:pPr>
              <w:ind w:left="160"/>
              <w:spacing w:after="0"/>
              <w:rPr>
                <w:sz w:val="20"/>
                <w:szCs w:val="20"/>
                <w:color w:val="auto"/>
              </w:rPr>
            </w:pPr>
            <w:r>
              <w:rPr>
                <w:rFonts w:ascii="Arial" w:cs="Arial" w:eastAsia="Arial" w:hAnsi="Arial"/>
                <w:sz w:val="18"/>
                <w:szCs w:val="18"/>
                <w:color w:val="auto"/>
                <w:w w:val="99"/>
              </w:rPr>
              <w:t>November 18, 2022</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760" w:type="dxa"/>
            <w:vAlign w:val="bottom"/>
          </w:tcPr>
          <w:p>
            <w:pPr>
              <w:ind w:left="120"/>
              <w:spacing w:after="0"/>
              <w:rPr>
                <w:sz w:val="20"/>
                <w:szCs w:val="20"/>
                <w:color w:val="auto"/>
              </w:rPr>
            </w:pPr>
            <w:r>
              <w:rPr>
                <w:rFonts w:ascii="Arial" w:cs="Arial" w:eastAsia="Arial" w:hAnsi="Arial"/>
                <w:sz w:val="18"/>
                <w:szCs w:val="18"/>
                <w:color w:val="auto"/>
                <w:w w:val="99"/>
              </w:rPr>
              <w:t>September 14,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760" w:type="dxa"/>
            <w:vAlign w:val="bottom"/>
          </w:tcPr>
          <w:p>
            <w:pPr>
              <w:ind w:left="180"/>
              <w:spacing w:after="0"/>
              <w:rPr>
                <w:sz w:val="20"/>
                <w:szCs w:val="20"/>
                <w:color w:val="auto"/>
              </w:rPr>
            </w:pPr>
            <w:r>
              <w:rPr>
                <w:rFonts w:ascii="Arial" w:cs="Arial" w:eastAsia="Arial" w:hAnsi="Arial"/>
                <w:sz w:val="18"/>
                <w:szCs w:val="18"/>
                <w:color w:val="auto"/>
              </w:rPr>
              <w:t>September 9, 2020</w:t>
            </w:r>
          </w:p>
        </w:tc>
      </w:tr>
    </w:tbl>
    <w:p>
      <w:pPr>
        <w:spacing w:after="0" w:line="518" w:lineRule="exact"/>
        <w:rPr>
          <w:sz w:val="20"/>
          <w:szCs w:val="20"/>
          <w:color w:val="auto"/>
        </w:rPr>
      </w:pPr>
    </w:p>
    <w:p>
      <w:pPr>
        <w:sectPr>
          <w:pgSz w:w="11900" w:h="16838" w:orient="portrait"/>
          <w:cols w:equalWidth="0" w:num="2">
            <w:col w:w="6540" w:space="300"/>
            <w:col w:w="4400"/>
          </w:cols>
          <w:pgMar w:left="320" w:top="1417"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5300" w:type="dxa"/>
            <w:vAlign w:val="bottom"/>
            <w:gridSpan w:val="11"/>
          </w:tcPr>
          <w:p>
            <w:pPr>
              <w:spacing w:after="0"/>
              <w:rPr>
                <w:sz w:val="20"/>
                <w:szCs w:val="20"/>
                <w:color w:val="auto"/>
              </w:rPr>
            </w:pPr>
            <w:r>
              <w:rPr>
                <w:rFonts w:ascii="Arial" w:cs="Arial" w:eastAsia="Arial" w:hAnsi="Arial"/>
                <w:sz w:val="18"/>
                <w:szCs w:val="18"/>
                <w:color w:val="0000FF"/>
              </w:rPr>
              <w:t>Description of Capital Stock</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10.1**</w:t>
            </w:r>
          </w:p>
        </w:tc>
        <w:tc>
          <w:tcPr>
            <w:tcW w:w="5300" w:type="dxa"/>
            <w:vAlign w:val="bottom"/>
            <w:gridSpan w:val="11"/>
          </w:tcPr>
          <w:p>
            <w:pPr>
              <w:spacing w:after="0"/>
              <w:rPr>
                <w:rFonts w:ascii="Arial" w:cs="Arial" w:eastAsia="Arial" w:hAnsi="Arial"/>
                <w:sz w:val="18"/>
                <w:szCs w:val="18"/>
                <w:color w:val="0000FF"/>
              </w:rPr>
            </w:pPr>
            <w:hyperlink r:id="rId355">
              <w:r>
                <w:rPr>
                  <w:rFonts w:ascii="Arial" w:cs="Arial" w:eastAsia="Arial" w:hAnsi="Arial"/>
                  <w:sz w:val="18"/>
                  <w:szCs w:val="18"/>
                  <w:color w:val="0000FF"/>
                </w:rPr>
                <w:t>Form of Director and Executive Officer Indemnification Agreement</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10.2**</w:t>
            </w:r>
          </w:p>
        </w:tc>
        <w:tc>
          <w:tcPr>
            <w:tcW w:w="400" w:type="dxa"/>
            <w:vAlign w:val="bottom"/>
            <w:gridSpan w:val="3"/>
          </w:tcPr>
          <w:p>
            <w:pPr>
              <w:spacing w:after="0"/>
              <w:rPr>
                <w:rFonts w:ascii="Arial" w:cs="Arial" w:eastAsia="Arial" w:hAnsi="Arial"/>
                <w:sz w:val="18"/>
                <w:szCs w:val="18"/>
                <w:color w:val="0000FF"/>
                <w:w w:val="94"/>
              </w:rPr>
            </w:pPr>
            <w:hyperlink r:id="rId356">
              <w:r>
                <w:rPr>
                  <w:rFonts w:ascii="Arial" w:cs="Arial" w:eastAsia="Arial" w:hAnsi="Arial"/>
                  <w:sz w:val="18"/>
                  <w:szCs w:val="18"/>
                  <w:color w:val="0000FF"/>
                  <w:w w:val="94"/>
                </w:rPr>
                <w:t>2014</w:t>
              </w:r>
            </w:hyperlink>
          </w:p>
        </w:tc>
        <w:tc>
          <w:tcPr>
            <w:tcW w:w="4900" w:type="dxa"/>
            <w:vAlign w:val="bottom"/>
            <w:gridSpan w:val="8"/>
          </w:tcPr>
          <w:p>
            <w:pPr>
              <w:ind w:left="20"/>
              <w:spacing w:after="0"/>
              <w:rPr>
                <w:rFonts w:ascii="Arial" w:cs="Arial" w:eastAsia="Arial" w:hAnsi="Arial"/>
                <w:sz w:val="18"/>
                <w:szCs w:val="18"/>
                <w:color w:val="0000FF"/>
              </w:rPr>
            </w:pPr>
            <w:hyperlink r:id="rId356">
              <w:r>
                <w:rPr>
                  <w:rFonts w:ascii="Arial" w:cs="Arial" w:eastAsia="Arial" w:hAnsi="Arial"/>
                  <w:sz w:val="18"/>
                  <w:szCs w:val="18"/>
                  <w:color w:val="0000FF"/>
                </w:rPr>
                <w:t>Equity Incentive Plan, as amended</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10.3**</w:t>
            </w:r>
          </w:p>
        </w:tc>
        <w:tc>
          <w:tcPr>
            <w:tcW w:w="400" w:type="dxa"/>
            <w:vAlign w:val="bottom"/>
            <w:gridSpan w:val="3"/>
          </w:tcPr>
          <w:p>
            <w:pPr>
              <w:spacing w:after="0"/>
              <w:rPr>
                <w:rFonts w:ascii="Arial" w:cs="Arial" w:eastAsia="Arial" w:hAnsi="Arial"/>
                <w:sz w:val="18"/>
                <w:szCs w:val="18"/>
                <w:color w:val="0000FF"/>
                <w:w w:val="94"/>
              </w:rPr>
            </w:pPr>
            <w:hyperlink r:id="rId357">
              <w:r>
                <w:rPr>
                  <w:rFonts w:ascii="Arial" w:cs="Arial" w:eastAsia="Arial" w:hAnsi="Arial"/>
                  <w:sz w:val="18"/>
                  <w:szCs w:val="18"/>
                  <w:color w:val="0000FF"/>
                  <w:w w:val="94"/>
                </w:rPr>
                <w:t>2020</w:t>
              </w:r>
            </w:hyperlink>
          </w:p>
        </w:tc>
        <w:tc>
          <w:tcPr>
            <w:tcW w:w="4900" w:type="dxa"/>
            <w:vAlign w:val="bottom"/>
            <w:gridSpan w:val="8"/>
          </w:tcPr>
          <w:p>
            <w:pPr>
              <w:ind w:left="20"/>
              <w:spacing w:after="0"/>
              <w:rPr>
                <w:rFonts w:ascii="Arial" w:cs="Arial" w:eastAsia="Arial" w:hAnsi="Arial"/>
                <w:sz w:val="18"/>
                <w:szCs w:val="18"/>
                <w:color w:val="0000FF"/>
              </w:rPr>
            </w:pPr>
            <w:hyperlink r:id="rId357">
              <w:r>
                <w:rPr>
                  <w:rFonts w:ascii="Arial" w:cs="Arial" w:eastAsia="Arial" w:hAnsi="Arial"/>
                  <w:sz w:val="18"/>
                  <w:szCs w:val="18"/>
                  <w:color w:val="0000FF"/>
                </w:rPr>
                <w:t>Equity Incentive Plan</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10.4**</w:t>
            </w:r>
          </w:p>
        </w:tc>
        <w:tc>
          <w:tcPr>
            <w:tcW w:w="5300" w:type="dxa"/>
            <w:vAlign w:val="bottom"/>
            <w:gridSpan w:val="11"/>
          </w:tcPr>
          <w:p>
            <w:pPr>
              <w:spacing w:after="0"/>
              <w:rPr>
                <w:rFonts w:ascii="Arial" w:cs="Arial" w:eastAsia="Arial" w:hAnsi="Arial"/>
                <w:sz w:val="18"/>
                <w:szCs w:val="18"/>
                <w:color w:val="0000FF"/>
              </w:rPr>
            </w:pPr>
            <w:hyperlink r:id="rId358">
              <w:r>
                <w:rPr>
                  <w:rFonts w:ascii="Arial" w:cs="Arial" w:eastAsia="Arial" w:hAnsi="Arial"/>
                  <w:sz w:val="18"/>
                  <w:szCs w:val="18"/>
                  <w:color w:val="0000FF"/>
                </w:rPr>
                <w:t>Form of Stock Option Agreement under the 2020 Equity Incentive</w:t>
              </w:r>
            </w:hyperlink>
          </w:p>
        </w:tc>
      </w:tr>
      <w:tr>
        <w:trPr>
          <w:trHeight w:val="183"/>
        </w:trPr>
        <w:tc>
          <w:tcPr>
            <w:tcW w:w="1100" w:type="dxa"/>
            <w:vAlign w:val="bottom"/>
          </w:tcPr>
          <w:p>
            <w:pPr>
              <w:spacing w:after="0"/>
              <w:rPr>
                <w:sz w:val="15"/>
                <w:szCs w:val="15"/>
                <w:color w:val="auto"/>
              </w:rPr>
            </w:pPr>
          </w:p>
        </w:tc>
        <w:tc>
          <w:tcPr>
            <w:tcW w:w="3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8"/>
              </w:rPr>
            </w:pPr>
            <w:hyperlink r:id="rId358">
              <w:r>
                <w:rPr>
                  <w:rFonts w:ascii="Arial" w:cs="Arial" w:eastAsia="Arial" w:hAnsi="Arial"/>
                  <w:sz w:val="18"/>
                  <w:szCs w:val="18"/>
                  <w:color w:val="0000FF"/>
                  <w:w w:val="88"/>
                </w:rPr>
                <w:t>Plan</w:t>
              </w:r>
            </w:hyperlink>
          </w:p>
        </w:tc>
        <w:tc>
          <w:tcPr>
            <w:tcW w:w="20" w:type="dxa"/>
            <w:vAlign w:val="bottom"/>
            <w:tcBorders>
              <w:top w:val="single" w:sz="8" w:color="0000FF"/>
              <w:bottom w:val="single" w:sz="8" w:color="0000EE"/>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7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10.5**</w:t>
            </w:r>
          </w:p>
        </w:tc>
        <w:tc>
          <w:tcPr>
            <w:tcW w:w="5300" w:type="dxa"/>
            <w:vAlign w:val="bottom"/>
            <w:gridSpan w:val="11"/>
          </w:tcPr>
          <w:p>
            <w:pPr>
              <w:spacing w:after="0"/>
              <w:rPr>
                <w:rFonts w:ascii="Arial" w:cs="Arial" w:eastAsia="Arial" w:hAnsi="Arial"/>
                <w:sz w:val="18"/>
                <w:szCs w:val="18"/>
                <w:color w:val="0000FF"/>
                <w:w w:val="99"/>
              </w:rPr>
            </w:pPr>
            <w:hyperlink r:id="rId359">
              <w:r>
                <w:rPr>
                  <w:rFonts w:ascii="Arial" w:cs="Arial" w:eastAsia="Arial" w:hAnsi="Arial"/>
                  <w:sz w:val="18"/>
                  <w:szCs w:val="18"/>
                  <w:color w:val="0000FF"/>
                  <w:w w:val="99"/>
                </w:rPr>
                <w:t>Form of Restricted Stock Award Agreement under the 2020 Equity</w:t>
              </w:r>
            </w:hyperlink>
          </w:p>
        </w:tc>
      </w:tr>
      <w:tr>
        <w:trPr>
          <w:trHeight w:val="183"/>
        </w:trPr>
        <w:tc>
          <w:tcPr>
            <w:tcW w:w="1100" w:type="dxa"/>
            <w:vAlign w:val="bottom"/>
          </w:tcPr>
          <w:p>
            <w:pPr>
              <w:spacing w:after="0"/>
              <w:rPr>
                <w:sz w:val="15"/>
                <w:szCs w:val="15"/>
                <w:color w:val="auto"/>
              </w:rPr>
            </w:pPr>
          </w:p>
        </w:tc>
        <w:tc>
          <w:tcPr>
            <w:tcW w:w="53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Incentive Plan</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31"/>
        </w:trPr>
        <w:tc>
          <w:tcPr>
            <w:tcW w:w="1100" w:type="dxa"/>
            <w:vAlign w:val="bottom"/>
          </w:tcPr>
          <w:p>
            <w:pPr>
              <w:jc w:val="right"/>
              <w:ind w:right="510"/>
              <w:spacing w:after="0"/>
              <w:rPr>
                <w:sz w:val="20"/>
                <w:szCs w:val="20"/>
                <w:color w:val="auto"/>
              </w:rPr>
            </w:pPr>
            <w:r>
              <w:rPr>
                <w:rFonts w:ascii="Arial" w:cs="Arial" w:eastAsia="Arial" w:hAnsi="Arial"/>
                <w:sz w:val="18"/>
                <w:szCs w:val="18"/>
                <w:color w:val="auto"/>
                <w:w w:val="97"/>
              </w:rPr>
              <w:t>10.6**</w:t>
            </w:r>
          </w:p>
        </w:tc>
        <w:tc>
          <w:tcPr>
            <w:tcW w:w="5300" w:type="dxa"/>
            <w:vAlign w:val="bottom"/>
            <w:gridSpan w:val="11"/>
          </w:tcPr>
          <w:p>
            <w:pPr>
              <w:spacing w:after="0"/>
              <w:rPr>
                <w:rFonts w:ascii="Arial" w:cs="Arial" w:eastAsia="Arial" w:hAnsi="Arial"/>
                <w:sz w:val="18"/>
                <w:szCs w:val="18"/>
                <w:color w:val="0000FF"/>
              </w:rPr>
            </w:pPr>
            <w:hyperlink r:id="rId360">
              <w:r>
                <w:rPr>
                  <w:rFonts w:ascii="Arial" w:cs="Arial" w:eastAsia="Arial" w:hAnsi="Arial"/>
                  <w:sz w:val="18"/>
                  <w:szCs w:val="18"/>
                  <w:color w:val="0000FF"/>
                </w:rPr>
                <w:t>Form of RSU Agreement under the 2020 Equity Incentive Plan</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rPr>
              <w:t>August 26,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r>
        <w:trPr>
          <w:trHeight w:val="55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333-248428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660" w:type="dxa"/>
            <w:vAlign w:val="bottom"/>
          </w:tcPr>
          <w:p>
            <w:pPr>
              <w:jc w:val="center"/>
              <w:ind w:left="50"/>
              <w:spacing w:after="0"/>
              <w:rPr>
                <w:sz w:val="20"/>
                <w:szCs w:val="20"/>
                <w:color w:val="auto"/>
              </w:rPr>
            </w:pPr>
            <w:r>
              <w:rPr>
                <w:rFonts w:ascii="Arial" w:cs="Arial" w:eastAsia="Arial" w:hAnsi="Arial"/>
                <w:sz w:val="18"/>
                <w:szCs w:val="18"/>
                <w:color w:val="auto"/>
                <w:w w:val="99"/>
              </w:rPr>
              <w:t>September 9, 2020</w:t>
            </w:r>
          </w:p>
        </w:tc>
      </w:tr>
    </w:tbl>
    <w:p>
      <w:pPr>
        <w:spacing w:after="0" w:line="200" w:lineRule="exact"/>
        <w:rPr>
          <w:sz w:val="20"/>
          <w:szCs w:val="20"/>
          <w:color w:val="auto"/>
        </w:rPr>
      </w:pPr>
    </w:p>
    <w:p>
      <w:pPr>
        <w:sectPr>
          <w:pgSz w:w="11900" w:h="16838" w:orient="portrait"/>
          <w:cols w:equalWidth="0" w:num="2">
            <w:col w:w="6460" w:space="380"/>
            <w:col w:w="4400"/>
          </w:cols>
          <w:pgMar w:left="320" w:top="1417" w:right="33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40"/>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5340" w:type="dxa"/>
            <w:vAlign w:val="bottom"/>
            <w:gridSpan w:val="33"/>
          </w:tcPr>
          <w:p>
            <w:pPr>
              <w:spacing w:after="0"/>
              <w:rPr>
                <w:rFonts w:ascii="Arial" w:cs="Arial" w:eastAsia="Arial" w:hAnsi="Arial"/>
                <w:sz w:val="18"/>
                <w:szCs w:val="18"/>
                <w:color w:val="0000FF"/>
              </w:rPr>
            </w:pPr>
            <w:hyperlink r:id="rId362">
              <w:r>
                <w:rPr>
                  <w:rFonts w:ascii="Arial" w:cs="Arial" w:eastAsia="Arial" w:hAnsi="Arial"/>
                  <w:sz w:val="18"/>
                  <w:szCs w:val="18"/>
                  <w:color w:val="0000FF"/>
                </w:rPr>
                <w:t>Amended and Restated Standard Exclusive Licensing Agreement</w:t>
              </w:r>
            </w:hyperlink>
          </w:p>
        </w:tc>
        <w:tc>
          <w:tcPr>
            <w:tcW w:w="20" w:type="dxa"/>
            <w:vAlign w:val="bottom"/>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30"/>
          </w:tcPr>
          <w:p>
            <w:pPr>
              <w:spacing w:after="0" w:line="182" w:lineRule="exact"/>
              <w:rPr>
                <w:rFonts w:ascii="Arial" w:cs="Arial" w:eastAsia="Arial" w:hAnsi="Arial"/>
                <w:sz w:val="18"/>
                <w:szCs w:val="18"/>
                <w:color w:val="0000FF"/>
                <w:w w:val="98"/>
              </w:rPr>
            </w:pPr>
            <w:hyperlink r:id="rId362">
              <w:r>
                <w:rPr>
                  <w:rFonts w:ascii="Arial" w:cs="Arial" w:eastAsia="Arial" w:hAnsi="Arial"/>
                  <w:sz w:val="18"/>
                  <w:szCs w:val="18"/>
                  <w:color w:val="0000FF"/>
                  <w:w w:val="98"/>
                </w:rPr>
                <w:t>with Sublicensing Terms, dated October 28, 2015, by and between</w:t>
              </w:r>
            </w:hyperlink>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340" w:type="dxa"/>
            <w:vAlign w:val="bottom"/>
            <w:gridSpan w:val="33"/>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the Registrant and Washington State University, and amendments</w:t>
              </w:r>
            </w:hyperlink>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r:id="rId362">
              <w:r>
                <w:rPr>
                  <w:rFonts w:ascii="Arial" w:cs="Arial" w:eastAsia="Arial" w:hAnsi="Arial"/>
                  <w:sz w:val="18"/>
                  <w:szCs w:val="18"/>
                  <w:color w:val="0000FF"/>
                  <w:w w:val="92"/>
                </w:rPr>
                <w:t>thereto</w:t>
              </w:r>
            </w:hyperlink>
          </w:p>
        </w:tc>
        <w:tc>
          <w:tcPr>
            <w:tcW w:w="20" w:type="dxa"/>
            <w:vAlign w:val="bottom"/>
            <w:tcBorders>
              <w:top w:val="single" w:sz="8" w:color="0000FF"/>
              <w:bottom w:val="single" w:sz="8" w:color="0000EE"/>
            </w:tcBorders>
          </w:tcPr>
          <w:p>
            <w:pPr>
              <w:spacing w:after="0"/>
              <w:rPr>
                <w:sz w:val="15"/>
                <w:szCs w:val="15"/>
                <w:color w:val="auto"/>
              </w:rPr>
            </w:pPr>
          </w:p>
        </w:tc>
        <w:tc>
          <w:tcPr>
            <w:tcW w:w="4720" w:type="dxa"/>
            <w:vAlign w:val="bottom"/>
            <w:tcBorders>
              <w:top w:val="single" w:sz="8" w:color="0000FF"/>
            </w:tcBorders>
            <w:gridSpan w:val="2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10.8**</w:t>
            </w:r>
          </w:p>
        </w:tc>
        <w:tc>
          <w:tcPr>
            <w:tcW w:w="5340" w:type="dxa"/>
            <w:vAlign w:val="bottom"/>
            <w:gridSpan w:val="33"/>
          </w:tcPr>
          <w:p>
            <w:pPr>
              <w:spacing w:after="0"/>
              <w:rPr>
                <w:rFonts w:ascii="Arial" w:cs="Arial" w:eastAsia="Arial" w:hAnsi="Arial"/>
                <w:sz w:val="18"/>
                <w:szCs w:val="18"/>
                <w:color w:val="0000FF"/>
              </w:rPr>
            </w:pPr>
            <w:hyperlink r:id="rId363">
              <w:r>
                <w:rPr>
                  <w:rFonts w:ascii="Arial" w:cs="Arial" w:eastAsia="Arial" w:hAnsi="Arial"/>
                  <w:sz w:val="18"/>
                  <w:szCs w:val="18"/>
                  <w:color w:val="0000FF"/>
                </w:rPr>
                <w:t>2020 Employee Stock Purchase Plan, as amended and Form of</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363">
              <w:r>
                <w:rPr>
                  <w:rFonts w:ascii="Arial" w:cs="Arial" w:eastAsia="Arial" w:hAnsi="Arial"/>
                  <w:sz w:val="18"/>
                  <w:szCs w:val="18"/>
                  <w:color w:val="0000FF"/>
                  <w:w w:val="98"/>
                </w:rPr>
                <w:t>Subscription Agreement Thereunder</w:t>
              </w:r>
            </w:hyperlink>
          </w:p>
        </w:tc>
        <w:tc>
          <w:tcPr>
            <w:tcW w:w="20" w:type="dxa"/>
            <w:vAlign w:val="bottom"/>
            <w:tcBorders>
              <w:top w:val="single" w:sz="8" w:color="0000FF"/>
              <w:bottom w:val="single" w:sz="8" w:color="0000EE"/>
            </w:tcBorders>
          </w:tcPr>
          <w:p>
            <w:pPr>
              <w:spacing w:after="0"/>
              <w:rPr>
                <w:sz w:val="15"/>
                <w:szCs w:val="15"/>
                <w:color w:val="auto"/>
              </w:rPr>
            </w:pPr>
          </w:p>
        </w:tc>
        <w:tc>
          <w:tcPr>
            <w:tcW w:w="2200" w:type="dxa"/>
            <w:vAlign w:val="bottom"/>
            <w:tcBorders>
              <w:top w:val="single" w:sz="8" w:color="0000FF"/>
            </w:tcBorders>
            <w:gridSpan w:val="14"/>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10.9</w:t>
            </w:r>
          </w:p>
        </w:tc>
        <w:tc>
          <w:tcPr>
            <w:tcW w:w="5340" w:type="dxa"/>
            <w:vAlign w:val="bottom"/>
            <w:gridSpan w:val="33"/>
          </w:tcPr>
          <w:p>
            <w:pPr>
              <w:spacing w:after="0"/>
              <w:rPr>
                <w:rFonts w:ascii="Arial" w:cs="Arial" w:eastAsia="Arial" w:hAnsi="Arial"/>
                <w:sz w:val="18"/>
                <w:szCs w:val="18"/>
                <w:color w:val="0000FF"/>
              </w:rPr>
            </w:pPr>
            <w:hyperlink r:id="rId364">
              <w:r>
                <w:rPr>
                  <w:rFonts w:ascii="Arial" w:cs="Arial" w:eastAsia="Arial" w:hAnsi="Arial"/>
                  <w:sz w:val="18"/>
                  <w:szCs w:val="18"/>
                  <w:color w:val="0000FF"/>
                </w:rPr>
                <w:t>Lease agreement, dated July 20, 2020, by and between the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364">
              <w:r>
                <w:rPr>
                  <w:rFonts w:ascii="Arial" w:cs="Arial" w:eastAsia="Arial" w:hAnsi="Arial"/>
                  <w:sz w:val="18"/>
                  <w:szCs w:val="18"/>
                  <w:color w:val="0000FF"/>
                  <w:w w:val="99"/>
                </w:rPr>
                <w:t>Registrant and North Creek Parkway Center Investors, LP</w:t>
              </w:r>
            </w:hyperlink>
          </w:p>
        </w:tc>
        <w:tc>
          <w:tcPr>
            <w:tcW w:w="160" w:type="dxa"/>
            <w:vAlign w:val="bottom"/>
            <w:tcBorders>
              <w:top w:val="single" w:sz="8" w:color="0000FF"/>
            </w:tcBorders>
            <w:gridSpan w:val="6"/>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10.10**</w:t>
            </w:r>
          </w:p>
        </w:tc>
        <w:tc>
          <w:tcPr>
            <w:tcW w:w="5340" w:type="dxa"/>
            <w:vAlign w:val="bottom"/>
            <w:gridSpan w:val="33"/>
          </w:tcPr>
          <w:p>
            <w:pPr>
              <w:spacing w:after="0"/>
              <w:rPr>
                <w:rFonts w:ascii="Arial" w:cs="Arial" w:eastAsia="Arial" w:hAnsi="Arial"/>
                <w:sz w:val="18"/>
                <w:szCs w:val="18"/>
                <w:color w:val="0000FF"/>
              </w:rPr>
            </w:pPr>
            <w:hyperlink r:id="rId365">
              <w:r>
                <w:rPr>
                  <w:rFonts w:ascii="Arial" w:cs="Arial" w:eastAsia="Arial" w:hAnsi="Arial"/>
                  <w:sz w:val="18"/>
                  <w:szCs w:val="18"/>
                  <w:color w:val="0000FF"/>
                </w:rPr>
                <w:t>Outside Director Compensation Policy, as amended</w:t>
              </w:r>
            </w:hyperlink>
          </w:p>
        </w:tc>
        <w:tc>
          <w:tcPr>
            <w:tcW w:w="2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10.11**</w:t>
            </w:r>
          </w:p>
        </w:tc>
        <w:tc>
          <w:tcPr>
            <w:tcW w:w="5340" w:type="dxa"/>
            <w:vAlign w:val="bottom"/>
            <w:gridSpan w:val="33"/>
          </w:tcPr>
          <w:p>
            <w:pPr>
              <w:spacing w:after="0"/>
              <w:rPr>
                <w:rFonts w:ascii="Arial" w:cs="Arial" w:eastAsia="Arial" w:hAnsi="Arial"/>
                <w:sz w:val="18"/>
                <w:szCs w:val="18"/>
                <w:color w:val="0000FF"/>
              </w:rPr>
            </w:pPr>
            <w:hyperlink r:id="rId366">
              <w:r>
                <w:rPr>
                  <w:rFonts w:ascii="Arial" w:cs="Arial" w:eastAsia="Arial" w:hAnsi="Arial"/>
                  <w:sz w:val="18"/>
                  <w:szCs w:val="18"/>
                  <w:color w:val="0000FF"/>
                </w:rPr>
                <w:t>Executive Incentive Compensation Plan</w:t>
              </w:r>
            </w:hyperlink>
          </w:p>
        </w:tc>
        <w:tc>
          <w:tcPr>
            <w:tcW w:w="2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10.12**</w:t>
            </w:r>
          </w:p>
        </w:tc>
        <w:tc>
          <w:tcPr>
            <w:tcW w:w="5340" w:type="dxa"/>
            <w:vAlign w:val="bottom"/>
            <w:gridSpan w:val="33"/>
          </w:tcPr>
          <w:p>
            <w:pPr>
              <w:spacing w:after="0"/>
              <w:rPr>
                <w:rFonts w:ascii="Arial" w:cs="Arial" w:eastAsia="Arial" w:hAnsi="Arial"/>
                <w:sz w:val="18"/>
                <w:szCs w:val="18"/>
                <w:color w:val="0000FF"/>
              </w:rPr>
            </w:pPr>
            <w:hyperlink r:id="rId367">
              <w:r>
                <w:rPr>
                  <w:rFonts w:ascii="Arial" w:cs="Arial" w:eastAsia="Arial" w:hAnsi="Arial"/>
                  <w:sz w:val="18"/>
                  <w:szCs w:val="18"/>
                  <w:color w:val="0000FF"/>
                </w:rPr>
                <w:t>Confirmatory Employment Letter between the Registrant and Mark</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9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6"/>
              </w:rPr>
            </w:pPr>
            <w:hyperlink r:id="rId367">
              <w:r>
                <w:rPr>
                  <w:rFonts w:ascii="Arial" w:cs="Arial" w:eastAsia="Arial" w:hAnsi="Arial"/>
                  <w:sz w:val="18"/>
                  <w:szCs w:val="18"/>
                  <w:color w:val="0000FF"/>
                  <w:w w:val="96"/>
                </w:rPr>
                <w:t>Litton, Ph.D.</w:t>
              </w:r>
            </w:hyperlink>
          </w:p>
        </w:tc>
        <w:tc>
          <w:tcPr>
            <w:tcW w:w="4340" w:type="dxa"/>
            <w:vAlign w:val="bottom"/>
            <w:tcBorders>
              <w:top w:val="single" w:sz="8" w:color="0000FF"/>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10.13**</w:t>
            </w:r>
          </w:p>
        </w:tc>
        <w:tc>
          <w:tcPr>
            <w:tcW w:w="5340" w:type="dxa"/>
            <w:vAlign w:val="bottom"/>
            <w:gridSpan w:val="33"/>
          </w:tcPr>
          <w:p>
            <w:pPr>
              <w:spacing w:after="0"/>
              <w:rPr>
                <w:rFonts w:ascii="Arial" w:cs="Arial" w:eastAsia="Arial" w:hAnsi="Arial"/>
                <w:sz w:val="18"/>
                <w:szCs w:val="18"/>
                <w:color w:val="0000FF"/>
                <w:w w:val="99"/>
              </w:rPr>
            </w:pPr>
            <w:hyperlink r:id="rId368">
              <w:r>
                <w:rPr>
                  <w:rFonts w:ascii="Arial" w:cs="Arial" w:eastAsia="Arial" w:hAnsi="Arial"/>
                  <w:sz w:val="18"/>
                  <w:szCs w:val="18"/>
                  <w:color w:val="0000FF"/>
                  <w:w w:val="99"/>
                </w:rPr>
                <w:t>Confirmatory Employment Letter between the Registrant and Kevin</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534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368">
              <w:r>
                <w:rPr>
                  <w:rFonts w:ascii="Arial" w:cs="Arial" w:eastAsia="Arial" w:hAnsi="Arial"/>
                  <w:sz w:val="18"/>
                  <w:szCs w:val="18"/>
                  <w:color w:val="0000FF"/>
                </w:rPr>
                <w:t>Church, Ph.D.</w:t>
              </w:r>
            </w:hyperlink>
          </w:p>
        </w:tc>
        <w:tc>
          <w:tcPr>
            <w:tcW w:w="20" w:type="dxa"/>
            <w:vAlign w:val="bottom"/>
            <w:tcBorders>
              <w:top w:val="single" w:sz="8" w:color="0000FF"/>
            </w:tcBorders>
          </w:tcPr>
          <w:p>
            <w:pPr>
              <w:spacing w:after="0"/>
              <w:rPr>
                <w:sz w:val="15"/>
                <w:szCs w:val="15"/>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10.14**</w:t>
            </w:r>
          </w:p>
        </w:tc>
        <w:tc>
          <w:tcPr>
            <w:tcW w:w="5340" w:type="dxa"/>
            <w:vAlign w:val="bottom"/>
            <w:gridSpan w:val="33"/>
          </w:tcPr>
          <w:p>
            <w:pPr>
              <w:spacing w:after="0"/>
              <w:rPr>
                <w:rFonts w:ascii="Arial" w:cs="Arial" w:eastAsia="Arial" w:hAnsi="Arial"/>
                <w:sz w:val="18"/>
                <w:szCs w:val="18"/>
                <w:color w:val="0000FF"/>
              </w:rPr>
            </w:pPr>
            <w:hyperlink r:id="rId369">
              <w:r>
                <w:rPr>
                  <w:rFonts w:ascii="Arial" w:cs="Arial" w:eastAsia="Arial" w:hAnsi="Arial"/>
                  <w:sz w:val="18"/>
                  <w:szCs w:val="18"/>
                  <w:color w:val="0000FF"/>
                </w:rPr>
                <w:t>Employment Offer Letter between the Registrant and Andrew</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88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369">
              <w:r>
                <w:rPr>
                  <w:rFonts w:ascii="Arial" w:cs="Arial" w:eastAsia="Arial" w:hAnsi="Arial"/>
                  <w:sz w:val="18"/>
                  <w:szCs w:val="18"/>
                  <w:color w:val="0000FF"/>
                </w:rPr>
                <w:t>Gengos</w:t>
              </w:r>
            </w:hyperlink>
          </w:p>
        </w:tc>
        <w:tc>
          <w:tcPr>
            <w:tcW w:w="100" w:type="dxa"/>
            <w:vAlign w:val="bottom"/>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10.15**</w:t>
            </w:r>
          </w:p>
        </w:tc>
        <w:tc>
          <w:tcPr>
            <w:tcW w:w="5340" w:type="dxa"/>
            <w:vAlign w:val="bottom"/>
            <w:gridSpan w:val="33"/>
          </w:tcPr>
          <w:p>
            <w:pPr>
              <w:spacing w:after="0"/>
              <w:rPr>
                <w:rFonts w:ascii="Arial" w:cs="Arial" w:eastAsia="Arial" w:hAnsi="Arial"/>
                <w:sz w:val="18"/>
                <w:szCs w:val="18"/>
                <w:color w:val="0000FF"/>
              </w:rPr>
            </w:pPr>
            <w:hyperlink r:id="rId370">
              <w:r>
                <w:rPr>
                  <w:rFonts w:ascii="Arial" w:cs="Arial" w:eastAsia="Arial" w:hAnsi="Arial"/>
                  <w:sz w:val="18"/>
                  <w:szCs w:val="18"/>
                  <w:color w:val="0000FF"/>
                </w:rPr>
                <w:t>Amended and Restated Change in Control and Severance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370">
              <w:r>
                <w:rPr>
                  <w:rFonts w:ascii="Arial" w:cs="Arial" w:eastAsia="Arial" w:hAnsi="Arial"/>
                  <w:sz w:val="18"/>
                  <w:szCs w:val="18"/>
                  <w:color w:val="0000FF"/>
                  <w:w w:val="99"/>
                </w:rPr>
                <w:t>Agreement between the Registrant and Mark Litton, Ph.D.</w:t>
              </w:r>
            </w:hyperlink>
          </w:p>
        </w:tc>
        <w:tc>
          <w:tcPr>
            <w:tcW w:w="20" w:type="dxa"/>
            <w:vAlign w:val="bottom"/>
            <w:tcBorders>
              <w:top w:val="single" w:sz="8" w:color="0000FF"/>
              <w:bottom w:val="single" w:sz="8" w:color="0000EE"/>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10.16**</w:t>
            </w:r>
          </w:p>
        </w:tc>
        <w:tc>
          <w:tcPr>
            <w:tcW w:w="5340" w:type="dxa"/>
            <w:vAlign w:val="bottom"/>
            <w:gridSpan w:val="33"/>
          </w:tcPr>
          <w:p>
            <w:pPr>
              <w:spacing w:after="0"/>
              <w:rPr>
                <w:rFonts w:ascii="Arial" w:cs="Arial" w:eastAsia="Arial" w:hAnsi="Arial"/>
                <w:sz w:val="18"/>
                <w:szCs w:val="18"/>
                <w:color w:val="0000FF"/>
              </w:rPr>
            </w:pPr>
            <w:hyperlink r:id="rId371">
              <w:r>
                <w:rPr>
                  <w:rFonts w:ascii="Arial" w:cs="Arial" w:eastAsia="Arial" w:hAnsi="Arial"/>
                  <w:sz w:val="18"/>
                  <w:szCs w:val="18"/>
                  <w:color w:val="0000FF"/>
                </w:rPr>
                <w:t>Change in Control and Severance Agreement between the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7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371">
              <w:r>
                <w:rPr>
                  <w:rFonts w:ascii="Arial" w:cs="Arial" w:eastAsia="Arial" w:hAnsi="Arial"/>
                  <w:sz w:val="18"/>
                  <w:szCs w:val="18"/>
                  <w:color w:val="0000FF"/>
                </w:rPr>
                <w:t>Registrant and Andrew Gengos</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10.17**</w:t>
            </w:r>
          </w:p>
        </w:tc>
        <w:tc>
          <w:tcPr>
            <w:tcW w:w="5340" w:type="dxa"/>
            <w:vAlign w:val="bottom"/>
            <w:gridSpan w:val="33"/>
          </w:tcPr>
          <w:p>
            <w:pPr>
              <w:spacing w:after="0"/>
              <w:rPr>
                <w:rFonts w:ascii="Arial" w:cs="Arial" w:eastAsia="Arial" w:hAnsi="Arial"/>
                <w:sz w:val="18"/>
                <w:szCs w:val="18"/>
                <w:color w:val="0000FF"/>
              </w:rPr>
            </w:pPr>
            <w:hyperlink r:id="rId372">
              <w:r>
                <w:rPr>
                  <w:rFonts w:ascii="Arial" w:cs="Arial" w:eastAsia="Arial" w:hAnsi="Arial"/>
                  <w:sz w:val="18"/>
                  <w:szCs w:val="18"/>
                  <w:color w:val="0000FF"/>
                </w:rPr>
                <w:t>Employment Offer Letter between the Registrant and Hans</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7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372">
              <w:r>
                <w:rPr>
                  <w:rFonts w:ascii="Arial" w:cs="Arial" w:eastAsia="Arial" w:hAnsi="Arial"/>
                  <w:sz w:val="18"/>
                  <w:szCs w:val="18"/>
                  <w:color w:val="0000FF"/>
                </w:rPr>
                <w:t>Moebius, Ph.D.</w:t>
              </w:r>
            </w:hyperlink>
          </w:p>
        </w:tc>
        <w:tc>
          <w:tcPr>
            <w:tcW w:w="10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5340" w:type="dxa"/>
            <w:vAlign w:val="bottom"/>
            <w:gridSpan w:val="33"/>
          </w:tcPr>
          <w:p>
            <w:pPr>
              <w:spacing w:after="0"/>
              <w:rPr>
                <w:rFonts w:ascii="Arial" w:cs="Arial" w:eastAsia="Arial" w:hAnsi="Arial"/>
                <w:sz w:val="18"/>
                <w:szCs w:val="18"/>
                <w:color w:val="0000FF"/>
              </w:rPr>
            </w:pPr>
            <w:hyperlink r:id="rId373">
              <w:r>
                <w:rPr>
                  <w:rFonts w:ascii="Arial" w:cs="Arial" w:eastAsia="Arial" w:hAnsi="Arial"/>
                  <w:sz w:val="18"/>
                  <w:szCs w:val="18"/>
                  <w:color w:val="0000FF"/>
                </w:rPr>
                <w:t>First Amendment to Employment Agreement between the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8"/>
              </w:rPr>
            </w:pPr>
            <w:hyperlink r:id="rId373">
              <w:r>
                <w:rPr>
                  <w:rFonts w:ascii="Arial" w:cs="Arial" w:eastAsia="Arial" w:hAnsi="Arial"/>
                  <w:sz w:val="18"/>
                  <w:szCs w:val="18"/>
                  <w:color w:val="0000FF"/>
                  <w:w w:val="98"/>
                </w:rPr>
                <w:t>Registrant and Hans Moebius, Ph.D.</w:t>
              </w:r>
            </w:hyperlink>
          </w:p>
        </w:tc>
        <w:tc>
          <w:tcPr>
            <w:tcW w:w="20" w:type="dxa"/>
            <w:vAlign w:val="bottom"/>
            <w:tcBorders>
              <w:top w:val="single" w:sz="8" w:color="0000FF"/>
              <w:bottom w:val="single" w:sz="8" w:color="0000EE"/>
            </w:tcBorders>
          </w:tcPr>
          <w:p>
            <w:pPr>
              <w:spacing w:after="0"/>
              <w:rPr>
                <w:sz w:val="15"/>
                <w:szCs w:val="15"/>
                <w:color w:val="auto"/>
              </w:rPr>
            </w:pPr>
          </w:p>
        </w:tc>
        <w:tc>
          <w:tcPr>
            <w:tcW w:w="1700" w:type="dxa"/>
            <w:vAlign w:val="bottom"/>
            <w:tcBorders>
              <w:top w:val="single" w:sz="8" w:color="0000FF"/>
            </w:tcBorders>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10.19**</w:t>
            </w:r>
          </w:p>
        </w:tc>
        <w:tc>
          <w:tcPr>
            <w:tcW w:w="5340" w:type="dxa"/>
            <w:vAlign w:val="bottom"/>
            <w:gridSpan w:val="33"/>
          </w:tcPr>
          <w:p>
            <w:pPr>
              <w:spacing w:after="0"/>
              <w:rPr>
                <w:rFonts w:ascii="Arial" w:cs="Arial" w:eastAsia="Arial" w:hAnsi="Arial"/>
                <w:sz w:val="18"/>
                <w:szCs w:val="18"/>
                <w:color w:val="0000FF"/>
              </w:rPr>
            </w:pPr>
            <w:hyperlink r:id="rId374">
              <w:r>
                <w:rPr>
                  <w:rFonts w:ascii="Arial" w:cs="Arial" w:eastAsia="Arial" w:hAnsi="Arial"/>
                  <w:sz w:val="18"/>
                  <w:szCs w:val="18"/>
                  <w:color w:val="0000FF"/>
                </w:rPr>
                <w:t>Change in Control and Severance Agreement between the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8"/>
              </w:rPr>
            </w:pPr>
            <w:hyperlink r:id="rId374">
              <w:r>
                <w:rPr>
                  <w:rFonts w:ascii="Arial" w:cs="Arial" w:eastAsia="Arial" w:hAnsi="Arial"/>
                  <w:sz w:val="18"/>
                  <w:szCs w:val="18"/>
                  <w:color w:val="0000FF"/>
                  <w:w w:val="98"/>
                </w:rPr>
                <w:t>Registrant and Hans Moebius, Ph.D.</w:t>
              </w:r>
            </w:hyperlink>
          </w:p>
        </w:tc>
        <w:tc>
          <w:tcPr>
            <w:tcW w:w="20" w:type="dxa"/>
            <w:vAlign w:val="bottom"/>
            <w:tcBorders>
              <w:top w:val="single" w:sz="8" w:color="0000FF"/>
              <w:bottom w:val="single" w:sz="8" w:color="0000EE"/>
            </w:tcBorders>
          </w:tcPr>
          <w:p>
            <w:pPr>
              <w:spacing w:after="0"/>
              <w:rPr>
                <w:sz w:val="15"/>
                <w:szCs w:val="15"/>
                <w:color w:val="auto"/>
              </w:rPr>
            </w:pPr>
          </w:p>
        </w:tc>
        <w:tc>
          <w:tcPr>
            <w:tcW w:w="1800" w:type="dxa"/>
            <w:vAlign w:val="bottom"/>
            <w:tcBorders>
              <w:top w:val="single" w:sz="8" w:color="0000FF"/>
            </w:tcBorders>
            <w:gridSpan w:val="7"/>
          </w:tcPr>
          <w:p>
            <w:pPr>
              <w:spacing w:after="0"/>
              <w:rPr>
                <w:sz w:val="15"/>
                <w:szCs w:val="15"/>
                <w:color w:val="auto"/>
              </w:rPr>
            </w:pPr>
          </w:p>
        </w:tc>
        <w:tc>
          <w:tcPr>
            <w:tcW w:w="12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5340" w:type="dxa"/>
            <w:vAlign w:val="bottom"/>
            <w:gridSpan w:val="33"/>
          </w:tcPr>
          <w:p>
            <w:pPr>
              <w:spacing w:after="0"/>
              <w:rPr>
                <w:rFonts w:ascii="Arial" w:cs="Arial" w:eastAsia="Arial" w:hAnsi="Arial"/>
                <w:sz w:val="18"/>
                <w:szCs w:val="18"/>
                <w:color w:val="0000FF"/>
              </w:rPr>
            </w:pPr>
            <w:hyperlink r:id="rId375">
              <w:r>
                <w:rPr>
                  <w:rFonts w:ascii="Arial" w:cs="Arial" w:eastAsia="Arial" w:hAnsi="Arial"/>
                  <w:sz w:val="18"/>
                  <w:szCs w:val="18"/>
                  <w:color w:val="0000FF"/>
                </w:rPr>
                <w:t>Employment Offer Letter between the Registrant and Rachel</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8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375">
              <w:r>
                <w:rPr>
                  <w:rFonts w:ascii="Arial" w:cs="Arial" w:eastAsia="Arial" w:hAnsi="Arial"/>
                  <w:sz w:val="18"/>
                  <w:szCs w:val="18"/>
                  <w:color w:val="0000FF"/>
                </w:rPr>
                <w:t>Lenington</w:t>
              </w:r>
            </w:hyperlink>
          </w:p>
        </w:tc>
        <w:tc>
          <w:tcPr>
            <w:tcW w:w="14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5340" w:type="dxa"/>
            <w:vAlign w:val="bottom"/>
            <w:gridSpan w:val="33"/>
          </w:tcPr>
          <w:p>
            <w:pPr>
              <w:spacing w:after="0"/>
              <w:rPr>
                <w:rFonts w:ascii="Arial" w:cs="Arial" w:eastAsia="Arial" w:hAnsi="Arial"/>
                <w:sz w:val="18"/>
                <w:szCs w:val="18"/>
                <w:color w:val="0000FF"/>
              </w:rPr>
            </w:pPr>
            <w:hyperlink r:id="rId376">
              <w:r>
                <w:rPr>
                  <w:rFonts w:ascii="Arial" w:cs="Arial" w:eastAsia="Arial" w:hAnsi="Arial"/>
                  <w:sz w:val="18"/>
                  <w:szCs w:val="18"/>
                  <w:color w:val="0000FF"/>
                </w:rPr>
                <w:t>Change in Control and Severance Agreement between the</w:t>
              </w:r>
            </w:hyperlink>
          </w:p>
        </w:tc>
        <w:tc>
          <w:tcPr>
            <w:tcW w:w="20" w:type="dxa"/>
            <w:vAlign w:val="bottom"/>
          </w:tcPr>
          <w:p>
            <w:pPr>
              <w:spacing w:after="0"/>
              <w:rPr>
                <w:sz w:val="24"/>
                <w:szCs w:val="24"/>
                <w:color w:val="auto"/>
              </w:rPr>
            </w:pPr>
          </w:p>
        </w:tc>
      </w:tr>
      <w:tr>
        <w:trPr>
          <w:trHeight w:val="182"/>
        </w:trPr>
        <w:tc>
          <w:tcPr>
            <w:tcW w:w="114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376">
              <w:r>
                <w:rPr>
                  <w:rFonts w:ascii="Arial" w:cs="Arial" w:eastAsia="Arial" w:hAnsi="Arial"/>
                  <w:sz w:val="18"/>
                  <w:szCs w:val="18"/>
                  <w:color w:val="0000FF"/>
                  <w:w w:val="98"/>
                </w:rPr>
                <w:t>Registrant and Rachel Lenington</w:t>
              </w:r>
            </w:hyperlink>
          </w:p>
        </w:tc>
        <w:tc>
          <w:tcPr>
            <w:tcW w:w="2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11"/>
          </w:tcPr>
          <w:p>
            <w:pPr>
              <w:spacing w:after="0"/>
              <w:rPr>
                <w:sz w:val="15"/>
                <w:szCs w:val="15"/>
                <w:color w:val="auto"/>
              </w:rPr>
            </w:pPr>
          </w:p>
        </w:tc>
        <w:tc>
          <w:tcPr>
            <w:tcW w:w="260" w:type="dxa"/>
            <w:vAlign w:val="bottom"/>
            <w:gridSpan w:val="5"/>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5340" w:type="dxa"/>
            <w:vAlign w:val="bottom"/>
            <w:gridSpan w:val="33"/>
          </w:tcPr>
          <w:p>
            <w:pPr>
              <w:spacing w:after="0"/>
              <w:rPr>
                <w:rFonts w:ascii="Arial" w:cs="Arial" w:eastAsia="Arial" w:hAnsi="Arial"/>
                <w:sz w:val="18"/>
                <w:szCs w:val="18"/>
                <w:color w:val="0000FF"/>
              </w:rPr>
            </w:pPr>
            <w:hyperlink r:id="rId377">
              <w:r>
                <w:rPr>
                  <w:rFonts w:ascii="Arial" w:cs="Arial" w:eastAsia="Arial" w:hAnsi="Arial"/>
                  <w:sz w:val="18"/>
                  <w:szCs w:val="18"/>
                  <w:color w:val="0000FF"/>
                </w:rPr>
                <w:t>Employment Offer Letter between the Registrant and Mark</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9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4"/>
              </w:rPr>
            </w:pPr>
            <w:hyperlink r:id="rId377">
              <w:r>
                <w:rPr>
                  <w:rFonts w:ascii="Arial" w:cs="Arial" w:eastAsia="Arial" w:hAnsi="Arial"/>
                  <w:sz w:val="18"/>
                  <w:szCs w:val="18"/>
                  <w:color w:val="0000FF"/>
                  <w:w w:val="94"/>
                </w:rPr>
                <w:t>Worthington</w:t>
              </w:r>
            </w:hyperlink>
          </w:p>
        </w:tc>
        <w:tc>
          <w:tcPr>
            <w:tcW w:w="20" w:type="dxa"/>
            <w:vAlign w:val="bottom"/>
            <w:tcBorders>
              <w:top w:val="single" w:sz="8" w:color="0000FF"/>
              <w:bottom w:val="single" w:sz="8" w:color="0000EE"/>
            </w:tcBorders>
          </w:tcPr>
          <w:p>
            <w:pPr>
              <w:spacing w:after="0"/>
              <w:rPr>
                <w:sz w:val="15"/>
                <w:szCs w:val="15"/>
                <w:color w:val="auto"/>
              </w:rPr>
            </w:pPr>
          </w:p>
        </w:tc>
        <w:tc>
          <w:tcPr>
            <w:tcW w:w="3740" w:type="dxa"/>
            <w:vAlign w:val="bottom"/>
            <w:tcBorders>
              <w:top w:val="single" w:sz="8" w:color="0000FF"/>
            </w:tcBorders>
            <w:gridSpan w:val="16"/>
          </w:tcPr>
          <w:p>
            <w:pPr>
              <w:spacing w:after="0"/>
              <w:rPr>
                <w:sz w:val="15"/>
                <w:szCs w:val="15"/>
                <w:color w:val="auto"/>
              </w:rPr>
            </w:pPr>
          </w:p>
        </w:tc>
        <w:tc>
          <w:tcPr>
            <w:tcW w:w="280" w:type="dxa"/>
            <w:vAlign w:val="bottom"/>
            <w:gridSpan w:val="6"/>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5340" w:type="dxa"/>
            <w:vAlign w:val="bottom"/>
            <w:gridSpan w:val="33"/>
          </w:tcPr>
          <w:p>
            <w:pPr>
              <w:spacing w:after="0"/>
              <w:rPr>
                <w:rFonts w:ascii="Arial" w:cs="Arial" w:eastAsia="Arial" w:hAnsi="Arial"/>
                <w:sz w:val="18"/>
                <w:szCs w:val="18"/>
                <w:color w:val="0000FF"/>
              </w:rPr>
            </w:pPr>
            <w:hyperlink r:id="rId378">
              <w:r>
                <w:rPr>
                  <w:rFonts w:ascii="Arial" w:cs="Arial" w:eastAsia="Arial" w:hAnsi="Arial"/>
                  <w:sz w:val="18"/>
                  <w:szCs w:val="18"/>
                  <w:color w:val="0000FF"/>
                </w:rPr>
                <w:t>Change in Control and Severance Agreement between the</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8"/>
              </w:rPr>
            </w:pPr>
            <w:hyperlink r:id="rId378">
              <w:r>
                <w:rPr>
                  <w:rFonts w:ascii="Arial" w:cs="Arial" w:eastAsia="Arial" w:hAnsi="Arial"/>
                  <w:sz w:val="18"/>
                  <w:szCs w:val="18"/>
                  <w:color w:val="0000FF"/>
                  <w:w w:val="98"/>
                </w:rPr>
                <w:t>Registrant and Mark Worthington</w:t>
              </w:r>
            </w:hyperlink>
          </w:p>
        </w:tc>
        <w:tc>
          <w:tcPr>
            <w:tcW w:w="20" w:type="dxa"/>
            <w:vAlign w:val="bottom"/>
            <w:tcBorders>
              <w:top w:val="single" w:sz="8" w:color="0000FF"/>
              <w:bottom w:val="single" w:sz="8" w:color="0000EE"/>
            </w:tcBorders>
          </w:tcPr>
          <w:p>
            <w:pPr>
              <w:spacing w:after="0"/>
              <w:rPr>
                <w:sz w:val="15"/>
                <w:szCs w:val="15"/>
                <w:color w:val="auto"/>
              </w:rPr>
            </w:pPr>
          </w:p>
        </w:tc>
        <w:tc>
          <w:tcPr>
            <w:tcW w:w="2080" w:type="dxa"/>
            <w:vAlign w:val="bottom"/>
            <w:tcBorders>
              <w:top w:val="single" w:sz="8" w:color="0000FF"/>
            </w:tcBorders>
            <w:gridSpan w:val="10"/>
          </w:tcPr>
          <w:p>
            <w:pPr>
              <w:spacing w:after="0"/>
              <w:rPr>
                <w:sz w:val="15"/>
                <w:szCs w:val="15"/>
                <w:color w:val="auto"/>
              </w:rPr>
            </w:pPr>
          </w:p>
        </w:tc>
        <w:tc>
          <w:tcPr>
            <w:tcW w:w="260" w:type="dxa"/>
            <w:vAlign w:val="bottom"/>
            <w:gridSpan w:val="5"/>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5340" w:type="dxa"/>
            <w:vAlign w:val="bottom"/>
            <w:gridSpan w:val="33"/>
          </w:tcPr>
          <w:p>
            <w:pPr>
              <w:spacing w:after="0"/>
              <w:rPr>
                <w:rFonts w:ascii="Arial" w:cs="Arial" w:eastAsia="Arial" w:hAnsi="Arial"/>
                <w:sz w:val="18"/>
                <w:szCs w:val="18"/>
                <w:color w:val="0000FF"/>
              </w:rPr>
            </w:pPr>
            <w:hyperlink r:id="rId379">
              <w:r>
                <w:rPr>
                  <w:rFonts w:ascii="Arial" w:cs="Arial" w:eastAsia="Arial" w:hAnsi="Arial"/>
                  <w:sz w:val="18"/>
                  <w:szCs w:val="18"/>
                  <w:color w:val="0000FF"/>
                </w:rPr>
                <w:t>First Amendment to Lease by and between the Registrant and</w:t>
              </w:r>
            </w:hyperlink>
          </w:p>
        </w:tc>
        <w:tc>
          <w:tcPr>
            <w:tcW w:w="2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480" w:type="dxa"/>
            <w:vAlign w:val="bottom"/>
            <w:tcBorders>
              <w:top w:val="single" w:sz="8" w:color="0000FF"/>
              <w:bottom w:val="single" w:sz="8" w:color="0000EE"/>
            </w:tcBorders>
            <w:gridSpan w:val="10"/>
          </w:tcPr>
          <w:p>
            <w:pPr>
              <w:spacing w:after="0" w:line="182" w:lineRule="exact"/>
              <w:rPr>
                <w:rFonts w:ascii="Arial" w:cs="Arial" w:eastAsia="Arial" w:hAnsi="Arial"/>
                <w:sz w:val="18"/>
                <w:szCs w:val="18"/>
                <w:color w:val="0000FF"/>
                <w:w w:val="99"/>
              </w:rPr>
            </w:pPr>
            <w:hyperlink r:id="rId379">
              <w:r>
                <w:rPr>
                  <w:rFonts w:ascii="Arial" w:cs="Arial" w:eastAsia="Arial" w:hAnsi="Arial"/>
                  <w:sz w:val="18"/>
                  <w:szCs w:val="18"/>
                  <w:color w:val="0000FF"/>
                  <w:w w:val="99"/>
                </w:rPr>
                <w:t>Nitrogen Propco 2020, L.P., as</w:t>
              </w:r>
            </w:hyperlink>
          </w:p>
        </w:tc>
        <w:tc>
          <w:tcPr>
            <w:tcW w:w="2500" w:type="dxa"/>
            <w:vAlign w:val="bottom"/>
            <w:tcBorders>
              <w:top w:val="single" w:sz="8" w:color="0000FF"/>
            </w:tcBorders>
            <w:gridSpan w:val="18"/>
          </w:tcPr>
          <w:p>
            <w:pPr>
              <w:spacing w:after="0"/>
              <w:rPr>
                <w:sz w:val="15"/>
                <w:szCs w:val="15"/>
                <w:color w:val="auto"/>
              </w:rPr>
            </w:pPr>
          </w:p>
        </w:tc>
        <w:tc>
          <w:tcPr>
            <w:tcW w:w="3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673"/>
        </w:trPr>
        <w:tc>
          <w:tcPr>
            <w:tcW w:w="1140" w:type="dxa"/>
            <w:vAlign w:val="bottom"/>
          </w:tcPr>
          <w:p>
            <w:pPr>
              <w:spacing w:after="0"/>
              <w:rPr>
                <w:sz w:val="24"/>
                <w:szCs w:val="24"/>
                <w:color w:val="auto"/>
              </w:rPr>
            </w:pPr>
          </w:p>
        </w:tc>
        <w:tc>
          <w:tcPr>
            <w:tcW w:w="4680" w:type="dxa"/>
            <w:vAlign w:val="bottom"/>
            <w:gridSpan w:val="21"/>
          </w:tcPr>
          <w:p>
            <w:pPr>
              <w:jc w:val="right"/>
              <w:ind w:right="6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456565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26, 2020</w:t>
            </w:r>
          </w:p>
        </w:tc>
      </w:tr>
      <w:tr>
        <w:trPr>
          <w:trHeight w:val="958"/>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23, 2023</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rPr>
              <w:t>10.10</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23, 2023</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10.15</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10.16</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September 9,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22, 2023</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January 31, 2022</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22, 2023</w:t>
            </w:r>
          </w:p>
        </w:tc>
      </w:tr>
      <w:tr>
        <w:trPr>
          <w:trHeight w:val="55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10.21</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55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rPr>
              <w:t>10.27</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March 28, 2022</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10.22</w:t>
            </w:r>
          </w:p>
        </w:tc>
        <w:tc>
          <w:tcPr>
            <w:tcW w:w="1720" w:type="dxa"/>
            <w:vAlign w:val="bottom"/>
          </w:tcPr>
          <w:p>
            <w:pPr>
              <w:jc w:val="center"/>
              <w:spacing w:after="0"/>
              <w:rPr>
                <w:sz w:val="20"/>
                <w:szCs w:val="20"/>
                <w:color w:val="auto"/>
              </w:rPr>
            </w:pPr>
            <w:r>
              <w:rPr>
                <w:rFonts w:ascii="Arial" w:cs="Arial" w:eastAsia="Arial" w:hAnsi="Arial"/>
                <w:sz w:val="18"/>
                <w:szCs w:val="18"/>
                <w:color w:val="auto"/>
              </w:rPr>
              <w:t>September 14,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r>
        <w:trPr>
          <w:trHeight w:val="55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20" w:type="dxa"/>
            <w:vAlign w:val="bottom"/>
          </w:tcPr>
          <w:p>
            <w:pPr>
              <w:jc w:val="center"/>
              <w:spacing w:after="0"/>
              <w:rPr>
                <w:sz w:val="20"/>
                <w:szCs w:val="20"/>
                <w:color w:val="auto"/>
              </w:rPr>
            </w:pPr>
            <w:r>
              <w:rPr>
                <w:rFonts w:ascii="Arial" w:cs="Arial" w:eastAsia="Arial" w:hAnsi="Arial"/>
                <w:sz w:val="18"/>
                <w:szCs w:val="18"/>
                <w:color w:val="auto"/>
              </w:rPr>
              <w:t>August 16, 2021</w:t>
            </w:r>
          </w:p>
        </w:tc>
      </w:tr>
    </w:tbl>
    <w:p>
      <w:pPr>
        <w:sectPr>
          <w:pgSz w:w="11900" w:h="16838" w:orient="portrait"/>
          <w:cols w:equalWidth="0" w:num="2">
            <w:col w:w="6500" w:space="320"/>
            <w:col w:w="4360"/>
          </w:cols>
          <w:pgMar w:left="340" w:top="1417" w:right="379" w:bottom="1440" w:gutter="0" w:footer="0" w:header="0"/>
        </w:sectPr>
      </w:pPr>
    </w:p>
    <w:bookmarkStart w:id="164" w:name="page165"/>
    <w:bookmarkEnd w:id="16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5380" w:type="dxa"/>
            <w:vAlign w:val="bottom"/>
            <w:gridSpan w:val="27"/>
          </w:tcPr>
          <w:p>
            <w:pPr>
              <w:spacing w:after="0"/>
              <w:rPr>
                <w:rFonts w:ascii="Arial" w:cs="Arial" w:eastAsia="Arial" w:hAnsi="Arial"/>
                <w:sz w:val="18"/>
                <w:szCs w:val="18"/>
                <w:color w:val="0000FF"/>
              </w:rPr>
            </w:pPr>
            <w:hyperlink r:id="rId379">
              <w:r>
                <w:rPr>
                  <w:rFonts w:ascii="Arial" w:cs="Arial" w:eastAsia="Arial" w:hAnsi="Arial"/>
                  <w:sz w:val="18"/>
                  <w:szCs w:val="18"/>
                  <w:color w:val="0000FF"/>
                </w:rPr>
                <w:t>successor-in-interest to North Creek Parkway Center Investors,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0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379">
              <w:r>
                <w:rPr>
                  <w:rFonts w:ascii="Arial" w:cs="Arial" w:eastAsia="Arial" w:hAnsi="Arial"/>
                  <w:sz w:val="18"/>
                  <w:szCs w:val="18"/>
                  <w:color w:val="0000FF"/>
                </w:rPr>
                <w:t>L.P., dated June 28, 2021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5380" w:type="dxa"/>
            <w:vAlign w:val="bottom"/>
            <w:gridSpan w:val="27"/>
          </w:tcPr>
          <w:p>
            <w:pPr>
              <w:spacing w:after="0"/>
              <w:rPr>
                <w:rFonts w:ascii="Arial" w:cs="Arial" w:eastAsia="Arial" w:hAnsi="Arial"/>
                <w:sz w:val="18"/>
                <w:szCs w:val="18"/>
                <w:color w:val="0000FF"/>
              </w:rPr>
            </w:pPr>
            <w:hyperlink r:id="rId381">
              <w:r>
                <w:rPr>
                  <w:rFonts w:ascii="Arial" w:cs="Arial" w:eastAsia="Arial" w:hAnsi="Arial"/>
                  <w:sz w:val="18"/>
                  <w:szCs w:val="18"/>
                  <w:color w:val="0000FF"/>
                </w:rPr>
                <w:t>Change in Control and Severance Agreement between the</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8"/>
              </w:rPr>
            </w:pPr>
            <w:hyperlink r:id="rId381">
              <w:r>
                <w:rPr>
                  <w:rFonts w:ascii="Arial" w:cs="Arial" w:eastAsia="Arial" w:hAnsi="Arial"/>
                  <w:sz w:val="18"/>
                  <w:szCs w:val="18"/>
                  <w:color w:val="0000FF"/>
                  <w:w w:val="98"/>
                </w:rPr>
                <w:t>Registrant and Kevin Church</w:t>
              </w:r>
            </w:hyperlink>
          </w:p>
        </w:tc>
        <w:tc>
          <w:tcPr>
            <w:tcW w:w="20" w:type="dxa"/>
            <w:vAlign w:val="bottom"/>
            <w:tcBorders>
              <w:top w:val="single" w:sz="8" w:color="0000FF"/>
              <w:bottom w:val="single" w:sz="8" w:color="0000EE"/>
            </w:tcBorders>
          </w:tcPr>
          <w:p>
            <w:pPr>
              <w:spacing w:after="0"/>
              <w:rPr>
                <w:sz w:val="15"/>
                <w:szCs w:val="15"/>
                <w:color w:val="auto"/>
              </w:rPr>
            </w:pPr>
          </w:p>
        </w:tc>
        <w:tc>
          <w:tcPr>
            <w:tcW w:w="24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4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3480" w:type="dxa"/>
            <w:vAlign w:val="bottom"/>
            <w:gridSpan w:val="11"/>
            <w:vMerge w:val="restart"/>
          </w:tcPr>
          <w:p>
            <w:pPr>
              <w:spacing w:after="0"/>
              <w:rPr>
                <w:rFonts w:ascii="Arial" w:cs="Arial" w:eastAsia="Arial" w:hAnsi="Arial"/>
                <w:sz w:val="18"/>
                <w:szCs w:val="18"/>
                <w:color w:val="0000FF"/>
                <w:w w:val="98"/>
              </w:rPr>
            </w:pPr>
            <w:hyperlink r:id="rId382">
              <w:r>
                <w:rPr>
                  <w:rFonts w:ascii="Arial" w:cs="Arial" w:eastAsia="Arial" w:hAnsi="Arial"/>
                  <w:sz w:val="18"/>
                  <w:szCs w:val="18"/>
                  <w:color w:val="0000FF"/>
                  <w:w w:val="98"/>
                </w:rPr>
                <w:t>Controlled Equity Offering Sales Agreement</w:t>
              </w:r>
            </w:hyperlink>
          </w:p>
        </w:tc>
        <w:tc>
          <w:tcPr>
            <w:tcW w:w="160" w:type="dxa"/>
            <w:vAlign w:val="bottom"/>
            <w:tcBorders>
              <w:bottom w:val="single" w:sz="8" w:color="0000FF"/>
            </w:tcBorders>
          </w:tcPr>
          <w:p>
            <w:pPr>
              <w:spacing w:after="0"/>
              <w:rPr>
                <w:rFonts w:ascii="Arial" w:cs="Arial" w:eastAsia="Arial" w:hAnsi="Arial"/>
                <w:sz w:val="12"/>
                <w:szCs w:val="12"/>
                <w:color w:val="0000FF"/>
                <w:w w:val="77"/>
              </w:rPr>
            </w:pPr>
            <w:hyperlink r:id="rId382">
              <w:r>
                <w:rPr>
                  <w:rFonts w:ascii="Arial" w:cs="Arial" w:eastAsia="Arial" w:hAnsi="Arial"/>
                  <w:sz w:val="12"/>
                  <w:szCs w:val="12"/>
                  <w:color w:val="0000FF"/>
                  <w:w w:val="77"/>
                </w:rPr>
                <w:t>SM</w:t>
              </w:r>
            </w:hyperlink>
          </w:p>
        </w:tc>
        <w:tc>
          <w:tcPr>
            <w:tcW w:w="1740" w:type="dxa"/>
            <w:vAlign w:val="bottom"/>
            <w:gridSpan w:val="15"/>
            <w:vMerge w:val="restart"/>
          </w:tcPr>
          <w:p>
            <w:pPr>
              <w:spacing w:after="0"/>
              <w:rPr>
                <w:rFonts w:ascii="Arial" w:cs="Arial" w:eastAsia="Arial" w:hAnsi="Arial"/>
                <w:sz w:val="18"/>
                <w:szCs w:val="18"/>
                <w:color w:val="0000FF"/>
              </w:rPr>
            </w:pPr>
            <w:hyperlink r:id="rId382">
              <w:r>
                <w:rPr>
                  <w:rFonts w:ascii="Arial" w:cs="Arial" w:eastAsia="Arial" w:hAnsi="Arial"/>
                  <w:sz w:val="18"/>
                  <w:szCs w:val="18"/>
                  <w:color w:val="0000FF"/>
                </w:rPr>
                <w:t>, dated January 6,</w:t>
              </w:r>
            </w:hyperlink>
          </w:p>
        </w:tc>
        <w:tc>
          <w:tcPr>
            <w:tcW w:w="0" w:type="dxa"/>
            <w:vAlign w:val="bottom"/>
          </w:tcPr>
          <w:p>
            <w:pPr>
              <w:spacing w:after="0"/>
              <w:rPr>
                <w:sz w:val="1"/>
                <w:szCs w:val="1"/>
                <w:color w:val="auto"/>
              </w:rPr>
            </w:pPr>
          </w:p>
        </w:tc>
      </w:tr>
      <w:tr>
        <w:trPr>
          <w:trHeight w:val="61"/>
        </w:trPr>
        <w:tc>
          <w:tcPr>
            <w:tcW w:w="1140" w:type="dxa"/>
            <w:vAlign w:val="bottom"/>
            <w:vMerge w:val="continue"/>
          </w:tcPr>
          <w:p>
            <w:pPr>
              <w:spacing w:after="0"/>
              <w:rPr>
                <w:sz w:val="5"/>
                <w:szCs w:val="5"/>
                <w:color w:val="auto"/>
              </w:rPr>
            </w:pPr>
          </w:p>
        </w:tc>
        <w:tc>
          <w:tcPr>
            <w:tcW w:w="3480" w:type="dxa"/>
            <w:vAlign w:val="bottom"/>
            <w:gridSpan w:val="11"/>
            <w:vMerge w:val="continue"/>
          </w:tcPr>
          <w:p>
            <w:pPr>
              <w:spacing w:after="0"/>
              <w:rPr>
                <w:sz w:val="5"/>
                <w:szCs w:val="5"/>
                <w:color w:val="auto"/>
              </w:rPr>
            </w:pPr>
          </w:p>
        </w:tc>
        <w:tc>
          <w:tcPr>
            <w:tcW w:w="160" w:type="dxa"/>
            <w:vAlign w:val="bottom"/>
          </w:tcPr>
          <w:p>
            <w:pPr>
              <w:spacing w:after="0"/>
              <w:rPr>
                <w:sz w:val="5"/>
                <w:szCs w:val="5"/>
                <w:color w:val="auto"/>
              </w:rPr>
            </w:pPr>
          </w:p>
        </w:tc>
        <w:tc>
          <w:tcPr>
            <w:tcW w:w="174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5380" w:type="dxa"/>
            <w:vAlign w:val="bottom"/>
            <w:gridSpan w:val="27"/>
          </w:tcPr>
          <w:p>
            <w:pPr>
              <w:spacing w:after="0" w:line="182" w:lineRule="exact"/>
              <w:rPr>
                <w:rFonts w:ascii="Arial" w:cs="Arial" w:eastAsia="Arial" w:hAnsi="Arial"/>
                <w:sz w:val="18"/>
                <w:szCs w:val="18"/>
                <w:color w:val="0000FF"/>
              </w:rPr>
            </w:pPr>
            <w:hyperlink r:id="rId382">
              <w:r>
                <w:rPr>
                  <w:rFonts w:ascii="Arial" w:cs="Arial" w:eastAsia="Arial" w:hAnsi="Arial"/>
                  <w:sz w:val="18"/>
                  <w:szCs w:val="18"/>
                  <w:color w:val="0000FF"/>
                </w:rPr>
                <w:t>2023, among the Registrant, Cantor Fitzgerald &amp; Co. and BTIG,</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1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382">
              <w:r>
                <w:rPr>
                  <w:rFonts w:ascii="Arial" w:cs="Arial" w:eastAsia="Arial" w:hAnsi="Arial"/>
                  <w:sz w:val="18"/>
                  <w:szCs w:val="18"/>
                  <w:color w:val="0000FF"/>
                </w:rPr>
                <w:t>LLC</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5380" w:type="dxa"/>
            <w:vAlign w:val="bottom"/>
            <w:gridSpan w:val="27"/>
          </w:tcPr>
          <w:p>
            <w:pPr>
              <w:spacing w:after="0"/>
              <w:rPr>
                <w:rFonts w:ascii="Arial" w:cs="Arial" w:eastAsia="Arial" w:hAnsi="Arial"/>
                <w:sz w:val="18"/>
                <w:szCs w:val="18"/>
                <w:color w:val="0000FF"/>
              </w:rPr>
            </w:pPr>
            <w:hyperlink r:id="rId383">
              <w:r>
                <w:rPr>
                  <w:rFonts w:ascii="Arial" w:cs="Arial" w:eastAsia="Arial" w:hAnsi="Arial"/>
                  <w:sz w:val="18"/>
                  <w:szCs w:val="18"/>
                  <w:color w:val="0000FF"/>
                </w:rPr>
                <w:t>Executive Transition Agreement between the Registrant and Hans</w:t>
              </w:r>
            </w:hyperlink>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r:id="rId383">
              <w:r>
                <w:rPr>
                  <w:rFonts w:ascii="Arial" w:cs="Arial" w:eastAsia="Arial" w:hAnsi="Arial"/>
                  <w:sz w:val="18"/>
                  <w:szCs w:val="18"/>
                  <w:color w:val="0000FF"/>
                  <w:w w:val="98"/>
                </w:rPr>
                <w:t>Moebius dated January 5, 2024</w:t>
              </w:r>
            </w:hyperlink>
          </w:p>
        </w:tc>
        <w:tc>
          <w:tcPr>
            <w:tcW w:w="27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21.1</w:t>
            </w:r>
          </w:p>
        </w:tc>
        <w:tc>
          <w:tcPr>
            <w:tcW w:w="5380" w:type="dxa"/>
            <w:vAlign w:val="bottom"/>
            <w:gridSpan w:val="27"/>
          </w:tcPr>
          <w:p>
            <w:pPr>
              <w:spacing w:after="0"/>
              <w:rPr>
                <w:rFonts w:ascii="Arial" w:cs="Arial" w:eastAsia="Arial" w:hAnsi="Arial"/>
                <w:sz w:val="18"/>
                <w:szCs w:val="18"/>
                <w:color w:val="0000FF"/>
              </w:rPr>
            </w:pPr>
            <w:hyperlink r:id="rId384">
              <w:r>
                <w:rPr>
                  <w:rFonts w:ascii="Arial" w:cs="Arial" w:eastAsia="Arial" w:hAnsi="Arial"/>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23.1</w:t>
            </w:r>
          </w:p>
        </w:tc>
        <w:tc>
          <w:tcPr>
            <w:tcW w:w="5380" w:type="dxa"/>
            <w:vAlign w:val="bottom"/>
            <w:gridSpan w:val="27"/>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24.1</w:t>
            </w:r>
          </w:p>
        </w:tc>
        <w:tc>
          <w:tcPr>
            <w:tcW w:w="5380" w:type="dxa"/>
            <w:vAlign w:val="bottom"/>
            <w:gridSpan w:val="27"/>
          </w:tcPr>
          <w:p>
            <w:pPr>
              <w:spacing w:after="0"/>
              <w:rPr>
                <w:sz w:val="20"/>
                <w:szCs w:val="20"/>
                <w:color w:val="auto"/>
              </w:rPr>
            </w:pPr>
            <w:r>
              <w:rPr>
                <w:rFonts w:ascii="Arial" w:cs="Arial" w:eastAsia="Arial" w:hAnsi="Arial"/>
                <w:sz w:val="18"/>
                <w:szCs w:val="18"/>
                <w:color w:val="0000FF"/>
              </w:rPr>
              <w:t>Power of Attorney (included in signature pages hereto)</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538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 to Rules 13a-</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200" w:type="dxa"/>
            <w:vAlign w:val="bottom"/>
            <w:gridSpan w:val="6"/>
            <w:vMerge w:val="restart"/>
          </w:tcPr>
          <w:p>
            <w:pPr>
              <w:jc w:val="center"/>
              <w:ind w:right="60"/>
              <w:spacing w:after="0" w:line="202" w:lineRule="exact"/>
              <w:rPr>
                <w:sz w:val="20"/>
                <w:szCs w:val="20"/>
                <w:color w:val="auto"/>
              </w:rPr>
            </w:pPr>
            <w:r>
              <w:rPr>
                <w:rFonts w:ascii="Arial" w:cs="Arial" w:eastAsia="Arial" w:hAnsi="Arial"/>
                <w:sz w:val="18"/>
                <w:szCs w:val="18"/>
                <w:color w:val="0000FF"/>
                <w:w w:val="73"/>
              </w:rPr>
              <w:t>as</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180" w:type="dxa"/>
            <w:vAlign w:val="bottom"/>
            <w:gridSpan w:val="21"/>
          </w:tcPr>
          <w:p>
            <w:pPr>
              <w:spacing w:after="0" w:line="182" w:lineRule="exact"/>
              <w:rPr>
                <w:sz w:val="20"/>
                <w:szCs w:val="20"/>
                <w:color w:val="auto"/>
              </w:rPr>
            </w:pPr>
            <w:r>
              <w:rPr>
                <w:rFonts w:ascii="Arial" w:cs="Arial" w:eastAsia="Arial" w:hAnsi="Arial"/>
                <w:sz w:val="18"/>
                <w:szCs w:val="18"/>
                <w:color w:val="0000FF"/>
              </w:rPr>
              <w:t>14(a) and 15d-14(a) under the Securities Exchange Act of 1934,</w:t>
            </w:r>
          </w:p>
        </w:tc>
        <w:tc>
          <w:tcPr>
            <w:tcW w:w="2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38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2002</w:t>
            </w:r>
          </w:p>
        </w:tc>
        <w:tc>
          <w:tcPr>
            <w:tcW w:w="20" w:type="dxa"/>
            <w:vAlign w:val="bottom"/>
            <w:tcBorders>
              <w:top w:val="single" w:sz="8" w:color="0000FF"/>
              <w:bottom w:val="single" w:sz="8" w:color="0000EE"/>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5380" w:type="dxa"/>
            <w:vAlign w:val="bottom"/>
            <w:gridSpan w:val="27"/>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32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to Rules 13a-14(a) and 15d-14(a) under the Securities Exchange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20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w w:val="99"/>
              </w:rPr>
              <w:t>Act of 1934, as Adopted Pursuant to Section 302 of the Sarbanes</w:t>
            </w:r>
          </w:p>
        </w:tc>
        <w:tc>
          <w:tcPr>
            <w:tcW w:w="80" w:type="dxa"/>
            <w:vAlign w:val="bottom"/>
            <w:gridSpan w:val="2"/>
          </w:tcPr>
          <w:p>
            <w:pPr>
              <w:jc w:val="right"/>
              <w:ind w:right="40"/>
              <w:spacing w:after="0"/>
              <w:rPr>
                <w:sz w:val="20"/>
                <w:szCs w:val="20"/>
                <w:color w:val="auto"/>
              </w:rPr>
            </w:pPr>
            <w:r>
              <w:rPr>
                <w:rFonts w:ascii="Arial" w:cs="Arial" w:eastAsia="Arial" w:hAnsi="Arial"/>
                <w:sz w:val="8"/>
                <w:szCs w:val="8"/>
                <w:color w:val="0000FF"/>
                <w:w w:val="73"/>
              </w:rPr>
              <w:t>-</w:t>
            </w: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240" w:type="dxa"/>
            <w:vAlign w:val="bottom"/>
            <w:gridSpan w:val="23"/>
          </w:tcPr>
          <w:p>
            <w:pPr>
              <w:spacing w:after="0" w:line="182" w:lineRule="exact"/>
              <w:rPr>
                <w:sz w:val="20"/>
                <w:szCs w:val="20"/>
                <w:color w:val="auto"/>
              </w:rPr>
            </w:pPr>
            <w:r>
              <w:rPr>
                <w:rFonts w:ascii="Arial" w:cs="Arial" w:eastAsia="Arial" w:hAnsi="Arial"/>
                <w:sz w:val="18"/>
                <w:szCs w:val="18"/>
                <w:color w:val="0000FF"/>
              </w:rPr>
              <w:t>Oxley Act of 2002</w:t>
            </w:r>
          </w:p>
        </w:tc>
        <w:tc>
          <w:tcPr>
            <w:tcW w:w="40" w:type="dxa"/>
            <w:vAlign w:val="bottom"/>
            <w:vMerge w:val="continue"/>
          </w:tcPr>
          <w:p>
            <w:pPr>
              <w:spacing w:after="0"/>
              <w:rPr>
                <w:sz w:val="15"/>
                <w:szCs w:val="15"/>
                <w:color w:val="auto"/>
              </w:rPr>
            </w:pPr>
          </w:p>
        </w:tc>
        <w:tc>
          <w:tcPr>
            <w:tcW w:w="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538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 to 18 U.S.C.</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1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Section 1350, as Adopted Pursuant to Section 906 of the</w:t>
            </w:r>
          </w:p>
        </w:tc>
        <w:tc>
          <w:tcPr>
            <w:tcW w:w="140" w:type="dxa"/>
            <w:vAlign w:val="bottom"/>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720" w:type="dxa"/>
            <w:vAlign w:val="bottom"/>
            <w:gridSpan w:val="10"/>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6"/>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760" w:type="dxa"/>
            <w:vAlign w:val="bottom"/>
            <w:gridSpan w:val="1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ind w:left="40"/>
              <w:spacing w:after="0"/>
              <w:rPr>
                <w:sz w:val="20"/>
                <w:szCs w:val="20"/>
                <w:color w:val="auto"/>
              </w:rPr>
            </w:pPr>
            <w:r>
              <w:rPr>
                <w:rFonts w:ascii="Arial" w:cs="Arial" w:eastAsia="Arial" w:hAnsi="Arial"/>
                <w:sz w:val="18"/>
                <w:szCs w:val="18"/>
                <w:color w:val="auto"/>
              </w:rPr>
              <w:t>32.2*</w:t>
            </w:r>
          </w:p>
        </w:tc>
        <w:tc>
          <w:tcPr>
            <w:tcW w:w="5380" w:type="dxa"/>
            <w:vAlign w:val="bottom"/>
            <w:gridSpan w:val="27"/>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32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to 18 U.S.C. Section 1350, as Adopted Pursuant to Section 906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2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128" w:hanging="1128"/>
        <w:spacing w:after="0"/>
        <w:tabs>
          <w:tab w:leader="none" w:pos="112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0000FF"/>
        </w:rPr>
        <w:t>Amended and Restated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-7620</wp:posOffset>
            </wp:positionV>
            <wp:extent cx="28200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24" w:lineRule="exact"/>
        <w:rPr>
          <w:sz w:val="20"/>
          <w:szCs w:val="20"/>
          <w:color w:val="auto"/>
        </w:rPr>
      </w:pPr>
    </w:p>
    <w:tbl>
      <w:tblPr>
        <w:tblLayout w:type="fixed"/>
        <w:tblInd w:w="8"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4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440" w:type="dxa"/>
            <w:vAlign w:val="bottom"/>
          </w:tcPr>
          <w:p>
            <w:pPr>
              <w:ind w:left="200"/>
              <w:spacing w:after="0"/>
              <w:rPr>
                <w:sz w:val="20"/>
                <w:szCs w:val="20"/>
                <w:color w:val="auto"/>
              </w:rPr>
            </w:pPr>
            <w:r>
              <w:rPr>
                <w:rFonts w:ascii="Arial" w:cs="Arial" w:eastAsia="Arial" w:hAnsi="Arial"/>
                <w:sz w:val="18"/>
                <w:szCs w:val="18"/>
                <w:color w:val="auto"/>
                <w:w w:val="99"/>
              </w:rPr>
              <w:t>Inline XBRL Taxonomy Extension Calculation Linkbase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4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783"/>
        </w:trPr>
        <w:tc>
          <w:tcPr>
            <w:tcW w:w="920" w:type="dxa"/>
            <w:vAlign w:val="bottom"/>
          </w:tcPr>
          <w:p>
            <w:pPr>
              <w:spacing w:after="0"/>
              <w:rPr>
                <w:sz w:val="24"/>
                <w:szCs w:val="24"/>
                <w:color w:val="auto"/>
              </w:rPr>
            </w:pPr>
          </w:p>
        </w:tc>
        <w:tc>
          <w:tcPr>
            <w:tcW w:w="5440" w:type="dxa"/>
            <w:vAlign w:val="bottom"/>
          </w:tcPr>
          <w:p>
            <w:pPr>
              <w:ind w:left="4540"/>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455930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8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001-39503</w:t>
            </w:r>
          </w:p>
        </w:tc>
        <w:tc>
          <w:tcPr>
            <w:tcW w:w="720" w:type="dxa"/>
            <w:vAlign w:val="bottom"/>
          </w:tcPr>
          <w:p>
            <w:pPr>
              <w:jc w:val="center"/>
              <w:spacing w:after="0"/>
              <w:rPr>
                <w:sz w:val="20"/>
                <w:szCs w:val="20"/>
                <w:color w:val="auto"/>
              </w:rPr>
            </w:pPr>
            <w:r>
              <w:rPr>
                <w:rFonts w:ascii="Arial" w:cs="Arial" w:eastAsia="Arial" w:hAnsi="Arial"/>
                <w:sz w:val="18"/>
                <w:szCs w:val="18"/>
                <w:color w:val="auto"/>
              </w:rPr>
              <w:t>10.28</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9"/>
              </w:rPr>
              <w:t>March 28, 2022</w:t>
            </w:r>
          </w:p>
        </w:tc>
      </w:tr>
      <w:tr>
        <w:trPr>
          <w:trHeight w:val="553"/>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001-39503</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9"/>
              </w:rPr>
              <w:t>January 6, 2023</w:t>
            </w:r>
          </w:p>
        </w:tc>
      </w:tr>
      <w:tr>
        <w:trPr>
          <w:trHeight w:val="756"/>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001-39503</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9"/>
              </w:rPr>
              <w:t>January 8, 2024</w:t>
            </w:r>
          </w:p>
        </w:tc>
      </w:tr>
      <w:tr>
        <w:trPr>
          <w:trHeight w:val="553"/>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S-1/A</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333-24828</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9"/>
              </w:rPr>
              <w:t>September 9, 2020</w:t>
            </w:r>
          </w:p>
        </w:tc>
      </w:tr>
    </w:tbl>
    <w:p>
      <w:pPr>
        <w:sectPr>
          <w:pgSz w:w="11900" w:h="16838" w:orient="portrait"/>
          <w:cols w:equalWidth="0" w:num="2">
            <w:col w:w="6528" w:space="300"/>
            <w:col w:w="4300"/>
          </w:cols>
          <w:pgMar w:left="332" w:top="1418" w:right="439" w:bottom="1440" w:gutter="0" w:footer="0" w:header="0"/>
        </w:sectPr>
      </w:pPr>
    </w:p>
    <w:bookmarkStart w:id="165" w:name="page166"/>
    <w:bookmarkEnd w:id="16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5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560" w:type="dxa"/>
            <w:vAlign w:val="bottom"/>
          </w:tcPr>
          <w:p>
            <w:pPr>
              <w:ind w:left="200"/>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112" w:lineRule="exact"/>
        <w:rPr>
          <w:sz w:val="20"/>
          <w:szCs w:val="20"/>
          <w:color w:val="auto"/>
        </w:rPr>
      </w:pPr>
    </w:p>
    <w:p>
      <w:pPr>
        <w:ind w:left="1140" w:right="5100" w:hanging="1128"/>
        <w:spacing w:after="0" w:line="271"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31" w:lineRule="exact"/>
        <w:rPr>
          <w:rFonts w:ascii="Arial" w:cs="Arial" w:eastAsia="Arial" w:hAnsi="Arial"/>
          <w:sz w:val="18"/>
          <w:szCs w:val="18"/>
          <w:color w:val="auto"/>
        </w:rPr>
      </w:pPr>
    </w:p>
    <w:p>
      <w:pPr>
        <w:ind w:left="320" w:hanging="509"/>
        <w:spacing w:after="0" w:line="257" w:lineRule="auto"/>
        <w:rPr>
          <w:rFonts w:ascii="Arial" w:cs="Arial" w:eastAsia="Arial" w:hAnsi="Arial"/>
          <w:sz w:val="18"/>
          <w:szCs w:val="18"/>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76" w:lineRule="exact"/>
        <w:rPr>
          <w:rFonts w:ascii="Arial" w:cs="Arial" w:eastAsia="Arial" w:hAnsi="Arial"/>
          <w:sz w:val="18"/>
          <w:szCs w:val="18"/>
          <w:color w:val="auto"/>
        </w:rPr>
      </w:pPr>
    </w:p>
    <w:p>
      <w:pPr>
        <w:ind w:left="320" w:hanging="312"/>
        <w:spacing w:after="0" w:line="185" w:lineRule="auto"/>
        <w:tabs>
          <w:tab w:leader="none" w:pos="320" w:val="left"/>
        </w:tabs>
        <w:numPr>
          <w:ilvl w:val="0"/>
          <w:numId w:val="75"/>
        </w:numPr>
        <w:rPr>
          <w:rFonts w:ascii="Arial" w:cs="Arial" w:eastAsia="Arial" w:hAnsi="Arial"/>
          <w:sz w:val="17"/>
          <w:szCs w:val="17"/>
          <w:color w:val="auto"/>
          <w:vertAlign w:val="superscript"/>
        </w:rPr>
      </w:pPr>
      <w:r>
        <w:rPr>
          <w:rFonts w:ascii="Arial" w:cs="Arial" w:eastAsia="Arial" w:hAnsi="Arial"/>
          <w:sz w:val="13"/>
          <w:szCs w:val="13"/>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15855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left="520" w:right="20" w:hanging="512"/>
        <w:spacing w:after="0" w:line="222" w:lineRule="auto"/>
        <w:tabs>
          <w:tab w:leader="none" w:pos="331"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Athira Pharma, Inc.</w:t>
      </w:r>
    </w:p>
    <w:p>
      <w:pPr>
        <w:spacing w:after="0" w:line="225" w:lineRule="exact"/>
        <w:rPr>
          <w:sz w:val="20"/>
          <w:szCs w:val="20"/>
          <w:color w:val="auto"/>
        </w:rPr>
      </w:pPr>
    </w:p>
    <w:p>
      <w:pPr>
        <w:ind w:left="20"/>
        <w:spacing w:after="0"/>
        <w:tabs>
          <w:tab w:leader="none" w:pos="5560" w:val="left"/>
          <w:tab w:leader="none" w:pos="8040" w:val="left"/>
        </w:tabs>
        <w:rPr>
          <w:sz w:val="20"/>
          <w:szCs w:val="20"/>
          <w:color w:val="auto"/>
        </w:rPr>
      </w:pPr>
      <w:r>
        <w:rPr>
          <w:rFonts w:ascii="Arial" w:cs="Arial" w:eastAsia="Arial" w:hAnsi="Arial"/>
          <w:sz w:val="18"/>
          <w:szCs w:val="18"/>
          <w:color w:val="auto"/>
        </w:rPr>
        <w:t>Date: February 22,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Mark Litton</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3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Litton and Andrew Gengos,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ectPr>
          <w:pgSz w:w="11900" w:h="16838" w:orient="portrait"/>
          <w:cols w:equalWidth="0" w:num="1">
            <w:col w:w="11240"/>
          </w:cols>
          <w:pgMar w:left="320" w:top="1417" w:right="339" w:bottom="1440" w:gutter="0" w:footer="0" w:header="0"/>
        </w:sectPr>
      </w:pPr>
    </w:p>
    <w:p>
      <w:pPr>
        <w:spacing w:after="0" w:line="150"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974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Mark Litton</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Andrew Gengos</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Kelly A. Romano</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Joseph Edelman</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M. Fluke, Jr.</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974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James A. Johnson</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Barbara Kosacz</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Michael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Michael Panzara</w:t>
      </w:r>
    </w:p>
    <w:p>
      <w:pPr>
        <w:spacing w:after="0" w:line="13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Grant Pickering</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6"/>
                <w:szCs w:val="16"/>
                <w:color w:val="auto"/>
              </w:rPr>
            </w:pPr>
          </w:p>
        </w:tc>
        <w:tc>
          <w:tcPr>
            <w:tcW w:w="23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r>
      <w:tr>
        <w:trPr>
          <w:trHeight w:val="339"/>
        </w:trPr>
        <w:tc>
          <w:tcPr>
            <w:tcW w:w="47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239"/>
        </w:trPr>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42"/>
        </w:trPr>
        <w:tc>
          <w:tcPr>
            <w:tcW w:w="4760" w:type="dxa"/>
            <w:vAlign w:val="bottom"/>
          </w:tcPr>
          <w:p>
            <w:pPr>
              <w:spacing w:after="0"/>
              <w:rPr>
                <w:sz w:val="20"/>
                <w:szCs w:val="20"/>
                <w:color w:val="auto"/>
              </w:rPr>
            </w:pPr>
            <w:r>
              <w:rPr>
                <w:rFonts w:ascii="Arial" w:cs="Arial" w:eastAsia="Arial" w:hAnsi="Arial"/>
                <w:sz w:val="18"/>
                <w:szCs w:val="18"/>
                <w:color w:val="auto"/>
              </w:rPr>
              <w:t>Chief Financial Officer and Chief Business Officer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239"/>
        </w:trPr>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4"/>
        </w:trPr>
        <w:tc>
          <w:tcPr>
            <w:tcW w:w="4760" w:type="dxa"/>
            <w:vAlign w:val="bottom"/>
          </w:tcPr>
          <w:p>
            <w:pPr>
              <w:spacing w:after="0"/>
              <w:rPr>
                <w:sz w:val="20"/>
                <w:szCs w:val="20"/>
                <w:color w:val="auto"/>
              </w:rPr>
            </w:pPr>
            <w:r>
              <w:rPr>
                <w:rFonts w:ascii="Arial" w:cs="Arial" w:eastAsia="Arial" w:hAnsi="Arial"/>
                <w:sz w:val="18"/>
                <w:szCs w:val="18"/>
                <w:color w:val="auto"/>
              </w:rPr>
              <w:t>Chairwoman of the Board of Directors</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81"/>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67"/>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February 22, 2024</w:t>
            </w:r>
          </w:p>
        </w:tc>
      </w:tr>
    </w:tbl>
    <w:p>
      <w:pPr>
        <w:spacing w:after="0" w:line="393" w:lineRule="exact"/>
        <w:rPr>
          <w:sz w:val="20"/>
          <w:szCs w:val="20"/>
          <w:color w:val="auto"/>
        </w:rPr>
      </w:pPr>
    </w:p>
    <w:p>
      <w:pPr>
        <w:sectPr>
          <w:pgSz w:w="11900" w:h="16838" w:orient="portrait"/>
          <w:cols w:equalWidth="0" w:num="2">
            <w:col w:w="3180" w:space="720"/>
            <w:col w:w="7340"/>
          </w:cols>
          <w:pgMar w:left="320" w:top="1417"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4.3</w:t>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DESCRIPTION OF THE REGISTRANT’S SECURITIES</w:t>
      </w:r>
    </w:p>
    <w:p>
      <w:pPr>
        <w:ind w:left="3220"/>
        <w:spacing w:after="0" w:line="231" w:lineRule="auto"/>
        <w:rPr>
          <w:sz w:val="20"/>
          <w:szCs w:val="20"/>
          <w:color w:val="auto"/>
        </w:rPr>
      </w:pPr>
      <w:r>
        <w:rPr>
          <w:rFonts w:ascii="Arial" w:cs="Arial" w:eastAsia="Arial" w:hAnsi="Arial"/>
          <w:sz w:val="20"/>
          <w:szCs w:val="20"/>
          <w:b w:val="1"/>
          <w:bCs w:val="1"/>
          <w:color w:val="auto"/>
        </w:rPr>
        <w:t>REGISTERED PURSUANT TO SECTION 12 OF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SECURITIES EXCHANGE ACT OF 1934</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December 31, 2023, we had one class of securities, our common stock, registered under Section 12 of the Securities Exchange Act of 1934, as amended. These securities are listed on the Nasdaq Global Select Market under the symbol “ATHA.”</w:t>
      </w:r>
    </w:p>
    <w:p>
      <w:pPr>
        <w:spacing w:after="0" w:line="1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54" w:lineRule="exact"/>
        <w:rPr>
          <w:sz w:val="20"/>
          <w:szCs w:val="20"/>
          <w:color w:val="auto"/>
        </w:rPr>
      </w:pPr>
    </w:p>
    <w:p>
      <w:pPr>
        <w:ind w:right="520"/>
        <w:spacing w:after="0" w:line="214" w:lineRule="exact"/>
        <w:rPr>
          <w:sz w:val="20"/>
          <w:szCs w:val="20"/>
          <w:color w:val="auto"/>
        </w:rPr>
      </w:pPr>
      <w:r>
        <w:rPr>
          <w:rFonts w:ascii="Arial" w:cs="Arial" w:eastAsia="Arial" w:hAnsi="Arial"/>
          <w:sz w:val="18"/>
          <w:szCs w:val="18"/>
          <w:color w:val="auto"/>
        </w:rPr>
        <w:t>The following is a summary of the rights of our common stock and preferred stock. This summary is not complete. For more detailed information, please see our certificate of incorporation and bylaws, which are filed as exhibits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2023, and to the applicable provisions of Delaware and Washington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Each share of common stock held as of the applicable record date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voting power of the shares of common stock present in person or represented by proxy at the meeting of stockholders and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cast affirmatively or negatively, shall be the act of the stockholders, except as otherwise provided by law, our certificate of incorporation, our bylaws or the rules of any applicable stock exchange on which our securities are listed. The holders of a majority of the voting power of the capital stock issued and outstanding and entitled to vote, present in person or represented by proxy, shall constitute a quorum for the transaction of business at all meetings of the stockholders, unless otherwise required by law, our certificate of incorporation, our bylaws or the rules of any applicable stock exchange on which our securities are listed.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1169670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w:t>
      </w:r>
    </w:p>
    <w:p>
      <w:pPr>
        <w:spacing w:after="0" w:line="293" w:lineRule="exact"/>
        <w:rPr>
          <w:sz w:val="20"/>
          <w:szCs w:val="20"/>
          <w:color w:val="auto"/>
        </w:rPr>
      </w:pPr>
    </w:p>
    <w:p>
      <w:pPr>
        <w:ind w:right="2340"/>
        <w:spacing w:after="0" w:line="360"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520"/>
        <w:spacing w:after="0" w:line="253"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61" w:lineRule="exact"/>
        <w:rPr>
          <w:sz w:val="20"/>
          <w:szCs w:val="20"/>
          <w:color w:val="auto"/>
        </w:rPr>
      </w:pPr>
    </w:p>
    <w:p>
      <w:pPr>
        <w:ind w:left="240" w:right="220" w:hanging="107"/>
        <w:spacing w:after="0" w:line="270" w:lineRule="auto"/>
        <w:tabs>
          <w:tab w:leader="none" w:pos="240" w:val="left"/>
        </w:tabs>
        <w:numPr>
          <w:ilvl w:val="1"/>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89" w:lineRule="exact"/>
        <w:rPr>
          <w:rFonts w:ascii="Times New Roman" w:cs="Times New Roman" w:eastAsia="Times New Roman" w:hAnsi="Times New Roman"/>
          <w:sz w:val="18"/>
          <w:szCs w:val="18"/>
          <w:color w:val="auto"/>
        </w:rPr>
      </w:pPr>
    </w:p>
    <w:p>
      <w:pPr>
        <w:ind w:left="240" w:right="120" w:hanging="107"/>
        <w:spacing w:after="0" w:line="243" w:lineRule="auto"/>
        <w:tabs>
          <w:tab w:leader="none" w:pos="240" w:val="left"/>
        </w:tabs>
        <w:numPr>
          <w:ilvl w:val="1"/>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14" w:lineRule="exact"/>
        <w:rPr>
          <w:rFonts w:ascii="Times New Roman" w:cs="Times New Roman" w:eastAsia="Times New Roman" w:hAnsi="Times New Roman"/>
          <w:sz w:val="18"/>
          <w:szCs w:val="18"/>
          <w:color w:val="auto"/>
        </w:rPr>
      </w:pPr>
    </w:p>
    <w:p>
      <w:pPr>
        <w:ind w:left="240" w:right="200" w:hanging="107"/>
        <w:spacing w:after="0" w:line="252" w:lineRule="auto"/>
        <w:tabs>
          <w:tab w:leader="none" w:pos="240" w:val="left"/>
        </w:tabs>
        <w:numPr>
          <w:ilvl w:val="1"/>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305" w:lineRule="exact"/>
        <w:rPr>
          <w:rFonts w:ascii="Times New Roman" w:cs="Times New Roman" w:eastAsia="Times New Roman" w:hAnsi="Times New Roman"/>
          <w:sz w:val="18"/>
          <w:szCs w:val="18"/>
          <w:color w:val="auto"/>
        </w:rPr>
      </w:pPr>
    </w:p>
    <w:p>
      <w:pPr>
        <w:ind w:left="300" w:hanging="167"/>
        <w:spacing w:after="0"/>
        <w:tabs>
          <w:tab w:leader="none" w:pos="300" w:val="left"/>
        </w:tabs>
        <w:numPr>
          <w:ilvl w:val="1"/>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359" w:lineRule="exact"/>
        <w:rPr>
          <w:rFonts w:ascii="Times New Roman" w:cs="Times New Roman" w:eastAsia="Times New Roman" w:hAnsi="Times New Roman"/>
          <w:sz w:val="18"/>
          <w:szCs w:val="18"/>
          <w:color w:val="auto"/>
        </w:rPr>
      </w:pPr>
    </w:p>
    <w:p>
      <w:pPr>
        <w:ind w:left="220" w:right="860" w:hanging="100"/>
        <w:spacing w:after="0" w:line="302" w:lineRule="auto"/>
        <w:tabs>
          <w:tab w:leader="none" w:pos="22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 or any other entity if the merger or consolidation is caused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1125220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301" w:lineRule="exact"/>
        <w:rPr>
          <w:sz w:val="20"/>
          <w:szCs w:val="20"/>
          <w:color w:val="auto"/>
        </w:rPr>
      </w:pPr>
    </w:p>
    <w:p>
      <w:pPr>
        <w:ind w:left="220" w:right="820" w:hanging="100"/>
        <w:spacing w:after="0" w:line="270" w:lineRule="auto"/>
        <w:tabs>
          <w:tab w:leader="none" w:pos="22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any sale, lease, exchange, mortgage, transfer, pledge or other disposition involving the interested stockholder of 10% or more of the assets of the corporation or any direct or indirect majority-owned subsidiary of the corporation;</w:t>
      </w:r>
    </w:p>
    <w:p>
      <w:pPr>
        <w:spacing w:after="0" w:line="289" w:lineRule="exact"/>
        <w:rPr>
          <w:rFonts w:ascii="Times New Roman" w:cs="Times New Roman" w:eastAsia="Times New Roman" w:hAnsi="Times New Roman"/>
          <w:sz w:val="18"/>
          <w:szCs w:val="18"/>
          <w:color w:val="auto"/>
        </w:rPr>
      </w:pPr>
    </w:p>
    <w:p>
      <w:pPr>
        <w:ind w:left="220" w:right="760" w:hanging="100"/>
        <w:spacing w:after="0" w:line="270" w:lineRule="auto"/>
        <w:tabs>
          <w:tab w:leader="none" w:pos="22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or any direct or indirect majority-owned subsidiary of the corporation, to the interested stockholder;</w:t>
      </w:r>
    </w:p>
    <w:p>
      <w:pPr>
        <w:spacing w:after="0" w:line="289" w:lineRule="exact"/>
        <w:rPr>
          <w:rFonts w:ascii="Times New Roman" w:cs="Times New Roman" w:eastAsia="Times New Roman" w:hAnsi="Times New Roman"/>
          <w:sz w:val="18"/>
          <w:szCs w:val="18"/>
          <w:color w:val="auto"/>
        </w:rPr>
      </w:pPr>
    </w:p>
    <w:p>
      <w:pPr>
        <w:ind w:left="220" w:right="780" w:hanging="100"/>
        <w:spacing w:after="0" w:line="276" w:lineRule="auto"/>
        <w:tabs>
          <w:tab w:leader="none" w:pos="22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283" w:lineRule="exact"/>
        <w:rPr>
          <w:rFonts w:ascii="Times New Roman" w:cs="Times New Roman" w:eastAsia="Times New Roman" w:hAnsi="Times New Roman"/>
          <w:sz w:val="18"/>
          <w:szCs w:val="18"/>
          <w:color w:val="auto"/>
        </w:rPr>
      </w:pPr>
    </w:p>
    <w:p>
      <w:pPr>
        <w:ind w:left="220" w:right="1040" w:hanging="100"/>
        <w:spacing w:after="0" w:line="271" w:lineRule="auto"/>
        <w:tabs>
          <w:tab w:leader="none" w:pos="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 in our Company.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71" w:lineRule="exact"/>
        <w:rPr>
          <w:sz w:val="20"/>
          <w:szCs w:val="20"/>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59" w:lineRule="exact"/>
        <w:rPr>
          <w:rFonts w:ascii="Times New Roman" w:cs="Times New Roman" w:eastAsia="Times New Roman" w:hAnsi="Times New Roman"/>
          <w:sz w:val="18"/>
          <w:szCs w:val="18"/>
          <w:color w:val="auto"/>
        </w:rPr>
      </w:pPr>
    </w:p>
    <w:p>
      <w:pPr>
        <w:ind w:left="240" w:right="140" w:hanging="107"/>
        <w:spacing w:after="0" w:line="270" w:lineRule="auto"/>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w:t>
      </w:r>
    </w:p>
    <w:p>
      <w:pPr>
        <w:spacing w:after="0" w:line="286"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allowing the acquiring person to receive any disproportionate benefit as a stockholder; </w:t>
      </w:r>
      <w:r>
        <w:rPr>
          <w:rFonts w:ascii="Arial" w:cs="Arial" w:eastAsia="Arial" w:hAnsi="Arial"/>
          <w:sz w:val="19"/>
          <w:szCs w:val="19"/>
          <w:color w:val="auto"/>
        </w:rPr>
        <w:t>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liquidating or dissolving the target corporation.</w:t>
      </w:r>
    </w:p>
    <w:p>
      <w:pPr>
        <w:spacing w:after="0" w:line="22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54"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measured by market value, are located in the state of Washington or we have more than $50 million worth of tangible assets located in the state of Washington; and (3) any one of the following: (a)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than 10% of our stockholders of record are resident in the state of Washington; (b) more than 10% of our shares are owned of record by state residents; or (c) 1,000 or more of our stockholders of record are resident in the state.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66" w:lineRule="exact"/>
        <w:rPr>
          <w:sz w:val="20"/>
          <w:szCs w:val="20"/>
          <w:color w:val="auto"/>
        </w:rPr>
      </w:pPr>
    </w:p>
    <w:p>
      <w:pPr>
        <w:ind w:left="240" w:hanging="107"/>
        <w:spacing w:after="0"/>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5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359" w:lineRule="exact"/>
        <w:rPr>
          <w:rFonts w:ascii="Times New Roman" w:cs="Times New Roman" w:eastAsia="Times New Roman" w:hAnsi="Times New Roman"/>
          <w:sz w:val="18"/>
          <w:szCs w:val="18"/>
          <w:color w:val="auto"/>
        </w:rPr>
      </w:pPr>
    </w:p>
    <w:p>
      <w:pPr>
        <w:ind w:left="240" w:right="240" w:hanging="107"/>
        <w:spacing w:after="0" w:line="270"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8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359" w:lineRule="exact"/>
        <w:rPr>
          <w:rFonts w:ascii="Times New Roman" w:cs="Times New Roman" w:eastAsia="Times New Roman" w:hAnsi="Times New Roman"/>
          <w:sz w:val="18"/>
          <w:szCs w:val="18"/>
          <w:color w:val="auto"/>
        </w:rPr>
      </w:pPr>
    </w:p>
    <w:p>
      <w:pPr>
        <w:ind w:left="240" w:hanging="107"/>
        <w:spacing w:after="0"/>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399" w:lineRule="exact"/>
        <w:rPr>
          <w:rFonts w:ascii="Times New Roman" w:cs="Times New Roman" w:eastAsia="Times New Roman" w:hAnsi="Times New Roman"/>
          <w:sz w:val="18"/>
          <w:szCs w:val="18"/>
          <w:color w:val="auto"/>
        </w:rPr>
      </w:pPr>
    </w:p>
    <w:p>
      <w:pPr>
        <w:ind w:left="240" w:right="140" w:hanging="107"/>
        <w:spacing w:after="0" w:line="270"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289" w:lineRule="exact"/>
        <w:rPr>
          <w:rFonts w:ascii="Times New Roman" w:cs="Times New Roman" w:eastAsia="Times New Roman" w:hAnsi="Times New Roman"/>
          <w:sz w:val="18"/>
          <w:szCs w:val="18"/>
          <w:color w:val="auto"/>
        </w:rPr>
      </w:pPr>
    </w:p>
    <w:p>
      <w:pPr>
        <w:ind w:left="240" w:right="220" w:hanging="107"/>
        <w:spacing w:after="0" w:line="252"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305" w:lineRule="exact"/>
        <w:rPr>
          <w:rFonts w:ascii="Times New Roman" w:cs="Times New Roman" w:eastAsia="Times New Roman" w:hAnsi="Times New Roman"/>
          <w:sz w:val="18"/>
          <w:szCs w:val="18"/>
          <w:color w:val="auto"/>
        </w:rPr>
      </w:pPr>
    </w:p>
    <w:p>
      <w:pPr>
        <w:ind w:left="240" w:hanging="107"/>
        <w:spacing w:after="0" w:line="270"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289" w:lineRule="exact"/>
        <w:rPr>
          <w:rFonts w:ascii="Times New Roman" w:cs="Times New Roman" w:eastAsia="Times New Roman" w:hAnsi="Times New Roman"/>
          <w:sz w:val="18"/>
          <w:szCs w:val="18"/>
          <w:color w:val="auto"/>
        </w:rPr>
      </w:pPr>
    </w:p>
    <w:p>
      <w:pPr>
        <w:ind w:left="240" w:right="240" w:hanging="107"/>
        <w:spacing w:after="0" w:line="270" w:lineRule="auto"/>
        <w:tabs>
          <w:tab w:leader="none" w:pos="24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71" w:name="page172"/>
    <w:bookmarkEnd w:id="171"/>
    <w:p>
      <w:pPr>
        <w:spacing w:after="0" w:line="85" w:lineRule="exact"/>
        <w:rPr>
          <w:sz w:val="20"/>
          <w:szCs w:val="20"/>
          <w:color w:val="auto"/>
        </w:rPr>
      </w:pPr>
    </w:p>
    <w:p>
      <w:pPr>
        <w:ind w:left="240" w:right="80" w:hanging="107"/>
        <w:spacing w:after="0" w:line="270" w:lineRule="auto"/>
        <w:tabs>
          <w:tab w:leader="none" w:pos="2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w:t>
      </w:r>
    </w:p>
    <w:p>
      <w:pPr>
        <w:spacing w:after="0" w:line="383"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shares then entitled to vote generally in the election of directors, voting together as a single class; and</w:t>
      </w:r>
    </w:p>
    <w:p>
      <w:pPr>
        <w:spacing w:after="0" w:line="360" w:lineRule="exact"/>
        <w:rPr>
          <w:rFonts w:ascii="Times New Roman" w:cs="Times New Roman" w:eastAsia="Times New Roman" w:hAnsi="Times New Roman"/>
          <w:sz w:val="18"/>
          <w:szCs w:val="18"/>
          <w:color w:val="auto"/>
        </w:rPr>
      </w:pPr>
    </w:p>
    <w:p>
      <w:pPr>
        <w:ind w:left="240" w:hanging="107"/>
        <w:spacing w:after="0" w:line="243" w:lineRule="auto"/>
        <w:tabs>
          <w:tab w:leader="none" w:pos="2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or our stockholders, (3) any action asserting a claim against us arising pursuant to any provision of the Delaware General Corporation Law, our certificate of incorporation and bylaws (as either may be amended from time to time), or (4) any action asserting a claim against us governed by the internal affairs doctrine; and</w:t>
      </w:r>
    </w:p>
    <w:p>
      <w:pPr>
        <w:spacing w:after="0" w:line="314" w:lineRule="exact"/>
        <w:rPr>
          <w:rFonts w:ascii="Times New Roman" w:cs="Times New Roman" w:eastAsia="Times New Roman" w:hAnsi="Times New Roman"/>
          <w:sz w:val="18"/>
          <w:szCs w:val="18"/>
          <w:color w:val="auto"/>
        </w:rPr>
      </w:pPr>
    </w:p>
    <w:p>
      <w:pPr>
        <w:ind w:left="240" w:right="60" w:hanging="107"/>
        <w:spacing w:after="0" w:line="276" w:lineRule="auto"/>
        <w:tabs>
          <w:tab w:leader="none" w:pos="2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-1812925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S-3 No. 333-261073 of Athira Pharma, Inc.; and</w:t>
      </w:r>
    </w:p>
    <w:p>
      <w:pPr>
        <w:spacing w:after="0" w:line="215"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Nos. 333-263907, 333-254735 and 333-270792 pertaining to the 2020 Equity Incentive Plan and the 2020 Employee Stock Purchase Plan; and 333-248910 pertaining to the 2020 Equity Incentive Plan, the 2020 Employee Stock Purchase Plan, and the 2014 Equity Incentive Plan, as amended, of Athira Pharma, Inc.</w:t>
      </w:r>
    </w:p>
    <w:p>
      <w:pPr>
        <w:spacing w:after="0" w:line="1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of our report dated February 22, 2024, with respect to the consolidated financial statements of Athira Pharma, Inc., included in this Annual Report (Form 10-K) of Athira Pharma, Inc. for the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Seattle, Washington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3" w:name="page174"/>
    <w:bookmarkEnd w:id="17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EXCHANGE ACT RULE 13a-14(a)/15d-14(a)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Litton, certify that:</w:t>
      </w:r>
    </w:p>
    <w:p>
      <w:pPr>
        <w:spacing w:after="0" w:line="225"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66"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40" w:hanging="743"/>
        <w:spacing w:after="0" w:line="282"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5" w:name="page176"/>
    <w:bookmarkEnd w:id="17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EXCHANGE ACT RULE 13a-14(a)/15d-14(a)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Gengos, certify that:</w:t>
      </w:r>
    </w:p>
    <w:p>
      <w:pPr>
        <w:spacing w:after="0" w:line="225"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0" w:hanging="752"/>
        <w:spacing w:after="0" w:line="276" w:lineRule="auto"/>
        <w:tabs>
          <w:tab w:leader="none" w:pos="7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743"/>
        <w:spacing w:after="0" w:line="266"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40" w:hanging="743"/>
        <w:spacing w:after="0" w:line="282"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604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Gengos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 and Chief Business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2023, as filed with the Securities and Exchange Commission on the date hereof (the “Report”), I, Mark Litton, President and Chief Executive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 </w:t>
      </w:r>
      <w:r>
        <w:rPr>
          <w:rFonts w:ascii="Times New Roman" w:cs="Times New Roman" w:eastAsia="Times New Roman" w:hAnsi="Times New Roman"/>
          <w:sz w:val="18"/>
          <w:szCs w:val="18"/>
          <w:color w:val="auto"/>
        </w:rPr>
        <w:t>of the Company, certify, pursuant to 18 U.S.C. Section 1350, as adopted pursuant to Section 906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to my knowledge:</w:t>
      </w:r>
    </w:p>
    <w:p>
      <w:pPr>
        <w:spacing w:after="0" w:line="180" w:lineRule="exact"/>
        <w:rPr>
          <w:sz w:val="20"/>
          <w:szCs w:val="20"/>
          <w:color w:val="auto"/>
        </w:rPr>
      </w:pPr>
    </w:p>
    <w:p>
      <w:pPr>
        <w:ind w:left="1140" w:hanging="758"/>
        <w:spacing w:after="0"/>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5114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Litton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9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Athira Pharma, Inc. (the “Company”) for the fiscal year ended December 31, 2023, as filed with the Securities and Exchange Commission on the date hereof (the “Report”), I, Andrew Gengos, Chief Financial Officer and Chief Business Officer (</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 xml:space="preserve"> of the Company, certify, pursuant to 18 U.S.C. Section 1350, as adopted pursuant to Section 906 of the Sarbanes-Oxley Act of 2002, that to my knowledge:</w:t>
      </w:r>
    </w:p>
    <w:p>
      <w:pPr>
        <w:spacing w:after="0" w:line="180" w:lineRule="exact"/>
        <w:rPr>
          <w:sz w:val="20"/>
          <w:szCs w:val="20"/>
          <w:color w:val="auto"/>
        </w:rPr>
      </w:pPr>
    </w:p>
    <w:p>
      <w:pPr>
        <w:ind w:left="1140" w:hanging="758"/>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Gengos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 and Chief Business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9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COMPENSATION RECOVERY (“CLAWBACK”) POLICY</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amended and restated on November 13, 2023</w:t>
      </w:r>
    </w:p>
    <w:p>
      <w:pPr>
        <w:spacing w:after="0" w:line="21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Athira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committed to strong corporate governance. As part of this commitment,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adopted this Amended and Restated Compensation Recovery (“Clawback”) Policy (the “Policy”).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intended to comply with, and will be interpreted in a manner consistent with, Section 10D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Exchange Act Rule 10D-1 and with the listing standards of the national securities exchange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securities of the Company are listed, including any official interpretive guidance.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Persons Covered by the Policy</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262626"/>
        </w:rPr>
        <w:t>The Policy is binding and enforceable against all Covered Executives. A “</w:t>
      </w:r>
      <w:r>
        <w:rPr>
          <w:rFonts w:ascii="Times New Roman" w:cs="Times New Roman" w:eastAsia="Times New Roman" w:hAnsi="Times New Roman"/>
          <w:sz w:val="20"/>
          <w:szCs w:val="20"/>
          <w:b w:val="1"/>
          <w:bCs w:val="1"/>
          <w:color w:val="262626"/>
        </w:rPr>
        <w:t>Covered Executive</w:t>
      </w:r>
      <w:r>
        <w:rPr>
          <w:rFonts w:ascii="Times New Roman" w:cs="Times New Roman" w:eastAsia="Times New Roman" w:hAnsi="Times New Roman"/>
          <w:sz w:val="20"/>
          <w:szCs w:val="20"/>
          <w:color w:val="262626"/>
        </w:rPr>
        <w:t>” is each individual who is or was ever designated as an “officer” by the Board in accordance with Exchange Act Rule 16a-1(f) (a “</w:t>
      </w:r>
      <w:r>
        <w:rPr>
          <w:rFonts w:ascii="Times New Roman" w:cs="Times New Roman" w:eastAsia="Times New Roman" w:hAnsi="Times New Roman"/>
          <w:sz w:val="20"/>
          <w:szCs w:val="20"/>
          <w:b w:val="1"/>
          <w:bCs w:val="1"/>
          <w:color w:val="262626"/>
        </w:rPr>
        <w:t>Section 16 Officer</w:t>
      </w:r>
      <w:r>
        <w:rPr>
          <w:rFonts w:ascii="Times New Roman" w:cs="Times New Roman" w:eastAsia="Times New Roman" w:hAnsi="Times New Roman"/>
          <w:sz w:val="20"/>
          <w:szCs w:val="20"/>
          <w:color w:val="262626"/>
        </w:rPr>
        <w:t>”). The Compensation Committee may (but is not obligated to) request or require a Covered Executive to sign and return to the Company an acknowledgement that such Covered Executive will be bound by and comply with the terms of the Policy. The Policy is binding on each Covered Executive whether or not the Covered Executive signs and/or returns any acknowledgment.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of the Policy</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of the Board has full delegated authority to administer the Policy. The Compensation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Compensation Committee will be deemed to refer to the independent members of the Board or the other Board committee, as applicable. All determinations of the Compensation Committee will be final and binding and will be given the maximum deference permitted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Restatements Requiring Application of the Policy</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due to the material noncompliance of the Company with any financial reporting requirement under the securities laws, including any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9"/>
          <w:szCs w:val="19"/>
          <w:b w:val="1"/>
          <w:bCs w:val="1"/>
          <w:color w:val="auto"/>
        </w:rPr>
        <w:t>Accounting Restatement</w:t>
      </w:r>
      <w:r>
        <w:rPr>
          <w:rFonts w:ascii="Times New Roman" w:cs="Times New Roman" w:eastAsia="Times New Roman" w:hAnsi="Times New Roman"/>
          <w:sz w:val="19"/>
          <w:szCs w:val="19"/>
          <w:color w:val="auto"/>
        </w:rPr>
        <w:t>”), then the Compensation Committee must determine the Excess Compensation, if any, that must be recovered. The Company’s obligation to recover Excess Compensation is not dependent on if or when restated financial statements are filed.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Covered by the Policy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Policy applies to certain </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xml:space="preserve"> (certain terms used in this Section are defined below) that is </w:t>
      </w:r>
      <w:r>
        <w:rPr>
          <w:rFonts w:ascii="Times New Roman" w:cs="Times New Roman" w:eastAsia="Times New Roman" w:hAnsi="Times New Roman"/>
          <w:sz w:val="20"/>
          <w:szCs w:val="20"/>
          <w:b w:val="1"/>
          <w:bCs w:val="1"/>
          <w:color w:val="auto"/>
        </w:rPr>
        <w:t xml:space="preserve">Received </w:t>
      </w:r>
      <w:r>
        <w:rPr>
          <w:rFonts w:ascii="Times New Roman" w:cs="Times New Roman" w:eastAsia="Times New Roman" w:hAnsi="Times New Roman"/>
          <w:sz w:val="20"/>
          <w:szCs w:val="20"/>
          <w:color w:val="auto"/>
        </w:rPr>
        <w:t>on or after October 2, 2023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during the Covered Period while the Company has a class of securities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national securities exchange. Such Incentive-Based Compensation is considered “</w:t>
      </w:r>
      <w:r>
        <w:rPr>
          <w:rFonts w:ascii="Times New Roman" w:cs="Times New Roman" w:eastAsia="Times New Roman" w:hAnsi="Times New Roman"/>
          <w:sz w:val="20"/>
          <w:szCs w:val="20"/>
          <w:b w:val="1"/>
          <w:bCs w:val="1"/>
          <w:color w:val="auto"/>
        </w:rPr>
        <w:t>Clawback Eligible Incentive-Based Compensation</w:t>
      </w:r>
      <w:r>
        <w:rPr>
          <w:rFonts w:ascii="Times New Roman" w:cs="Times New Roman" w:eastAsia="Times New Roman" w:hAnsi="Times New Roman"/>
          <w:sz w:val="20"/>
          <w:szCs w:val="20"/>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20"/>
          <w:szCs w:val="20"/>
          <w:b w:val="1"/>
          <w:bCs w:val="1"/>
          <w:color w:val="auto"/>
        </w:rPr>
        <w:t>Excess Compensation</w:t>
      </w:r>
      <w:r>
        <w:rPr>
          <w:rFonts w:ascii="Times New Roman" w:cs="Times New Roman" w:eastAsia="Times New Roman" w:hAnsi="Times New Roman"/>
          <w:sz w:val="20"/>
          <w:szCs w:val="20"/>
          <w:color w:val="auto"/>
        </w:rPr>
        <w:t>”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 of the Exchange as “erroneously awarded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Determining Excess Compensation for Certain Incentive-Based Compensation</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To determine the amount of Excess Compensation for Incentive-Based Compensation based on stock price or total shareholder return, where it is not subject to mathematical recalculation directly from the information in an Accounting Restatement:</w:t>
      </w:r>
    </w:p>
    <w:p>
      <w:pPr>
        <w:spacing w:after="0" w:line="159" w:lineRule="exact"/>
        <w:rPr>
          <w:sz w:val="20"/>
          <w:szCs w:val="20"/>
          <w:color w:val="auto"/>
        </w:rPr>
      </w:pPr>
    </w:p>
    <w:p>
      <w:pPr>
        <w:ind w:left="1500" w:right="20" w:hanging="743"/>
        <w:spacing w:after="0" w:line="269" w:lineRule="auto"/>
        <w:tabs>
          <w:tab w:leader="none" w:pos="15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must be based on a reasonable estimate of the effect of the Accounting Restatement on the stock price or total shareholder return upon which the Incentive-Based Compensation was Received; and</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must maintain documentation of the determination of that reasonable estimate and provide that documentation to the Exchange.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Repayment of Excess Compensation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Compensation Committee determines to be appropriate (these determinations do not need to be identical as to each Covered Executive). These means include (but are not limited to):</w:t>
      </w:r>
    </w:p>
    <w:p>
      <w:pPr>
        <w:spacing w:after="0" w:line="185" w:lineRule="exact"/>
        <w:rPr>
          <w:sz w:val="20"/>
          <w:szCs w:val="20"/>
          <w:color w:val="auto"/>
        </w:rPr>
      </w:pPr>
    </w:p>
    <w:p>
      <w:pPr>
        <w:ind w:left="1500" w:hanging="369"/>
        <w:spacing w:after="0"/>
        <w:tabs>
          <w:tab w:leader="none" w:pos="15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215"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246" w:lineRule="exact"/>
        <w:rPr>
          <w:sz w:val="20"/>
          <w:szCs w:val="20"/>
          <w:color w:val="auto"/>
        </w:rPr>
      </w:pPr>
    </w:p>
    <w:p>
      <w:pPr>
        <w:jc w:val="both"/>
        <w:ind w:left="1500" w:hanging="369"/>
        <w:spacing w:after="0" w:line="249" w:lineRule="auto"/>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179"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outstanding vested or unvested equity awards (including, but not limited to, time-based vesting awards), without regard to whether such awards are Incentive-Based Compensation; and/or</w:t>
      </w:r>
    </w:p>
    <w:p>
      <w:pPr>
        <w:spacing w:after="0" w:line="159"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Compensation Committee.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repayment of Excess Compensation must be made by a Covered Executive notwithstanding any Covered Executive’s belief (whether or not legitimate) that the Excess Compensation had been previously earned under applicable law and therefore not subject to clawback.</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addition to its rights to recovery under the Policy, the Company or any affiliate of the Company may take any legal actions it determines appropriate to enforce a Covered Executive’s obligations to the Company or to discipline a Covered Executive. Failure of a</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Compensation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the Policy. For example, if a Covered Executive was involved in activities that led to an Accounting Restatement, the Company’s decision as to whether or not to terminate such Covered Executive’s employment would be made under its employment arrangements with such Covered Executive and the requirement to apply this no-fault and non-discretionary Policy will not be determinative of whether any such termination is for cause, although failure to comply with the Policy might be something that could result in a termination for cause depending on the terms of such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Exceptions to the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must recover the Excess Compensation in accordance with the Policy except to the limited extent that any of the conditions set forth below is met, and the Compensation Committee determines that recovery of the Excess Compensation would be impracticable:</w:t>
      </w:r>
    </w:p>
    <w:p>
      <w:pPr>
        <w:spacing w:after="0" w:line="174" w:lineRule="exact"/>
        <w:rPr>
          <w:sz w:val="20"/>
          <w:szCs w:val="20"/>
          <w:color w:val="auto"/>
        </w:rPr>
      </w:pPr>
    </w:p>
    <w:p>
      <w:pPr>
        <w:jc w:val="both"/>
        <w:ind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a law in the country in which the Company is incorporated where that law was adopted prior to November 28, 2022. Before reaching this conclusion, the Company must obtain an opinion of local counsel, acceptable to the Exchange, that recovery would result in such a violation, and must provide such opinion to the Exchange;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p>
    <w:p>
      <w:pPr>
        <w:spacing w:after="0" w:line="246" w:lineRule="exact"/>
        <w:rPr>
          <w:sz w:val="20"/>
          <w:szCs w:val="20"/>
          <w:color w:val="auto"/>
        </w:rPr>
      </w:pPr>
    </w:p>
    <w:p>
      <w:pPr>
        <w:ind w:right="40" w:firstLine="757"/>
        <w:spacing w:after="0" w:line="269" w:lineRule="auto"/>
        <w:tabs>
          <w:tab w:leader="none" w:pos="114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legal requirements as such.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Terms in the Policy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capitalized terms in the Policy have the following meaning, unless clearly required otherwise by the context.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means the earliest to occur of:</w:t>
      </w:r>
    </w:p>
    <w:p>
      <w:pPr>
        <w:spacing w:after="0" w:line="247" w:lineRule="exact"/>
        <w:rPr>
          <w:sz w:val="20"/>
          <w:szCs w:val="20"/>
          <w:color w:val="auto"/>
        </w:rPr>
      </w:pPr>
    </w:p>
    <w:p>
      <w:pPr>
        <w:jc w:val="both"/>
        <w:ind w:left="1500" w:hanging="743"/>
        <w:spacing w:after="0" w:line="254" w:lineRule="auto"/>
        <w:tabs>
          <w:tab w:leader="none" w:pos="1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one or more of the officers of the Company authorized to take such action if Board action is not required, concludes, or reasonably should have concluded, that the Company is required to prepare an Accounting Restatement; and</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Period</w:t>
      </w:r>
      <w:r>
        <w:rPr>
          <w:rFonts w:ascii="Times New Roman" w:cs="Times New Roman" w:eastAsia="Times New Roman" w:hAnsi="Times New Roman"/>
          <w:sz w:val="20"/>
          <w:szCs w:val="20"/>
          <w:color w:val="auto"/>
        </w:rPr>
        <w:t>” means the three completed fiscal years immediately preceding the Determination Date. In addition, Covered Period can include certain transition periods resulting from a change in the Company’s fiscal year.</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Reporting Measures</w:t>
      </w:r>
      <w:r>
        <w:rPr>
          <w:rFonts w:ascii="Times New Roman" w:cs="Times New Roman" w:eastAsia="Times New Roman" w:hAnsi="Times New Roman"/>
          <w:sz w:val="20"/>
          <w:szCs w:val="20"/>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following items of compensation are not Incentive-Based Compensation under the Policy: salaries, bonuses paid solely at the discretion of the Compensation Committee or the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and vesting is contingent solely upon completion of a specified employment period (e.g., time-based vesting equity awards) and/or attaining one or more non-Financial Reporting Measures.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means this Compensation Recovery (“Clawback”) Policy, as it may be amended from time to time.</w:t>
      </w:r>
    </w:p>
    <w:p>
      <w:pPr>
        <w:spacing w:after="0" w:line="21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Incentive-Based Compensation is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Important Information in the Policy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expense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Compensation Committee or Board may review and modify the Policy from time to time.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Policy will terminate and no longer be enforceable when the Company ceases to be listed issuer within the meaning of Section 10D of the Exchange 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ACKNOWLEDGEMENT</w:t>
      </w:r>
    </w:p>
    <w:p>
      <w:pPr>
        <w:spacing w:after="0" w:line="216" w:lineRule="exact"/>
        <w:rPr>
          <w:sz w:val="20"/>
          <w:szCs w:val="20"/>
          <w:color w:val="auto"/>
        </w:rPr>
      </w:pPr>
    </w:p>
    <w:p>
      <w:pPr>
        <w:ind w:left="1500" w:hanging="743"/>
        <w:spacing w:after="0" w:line="273"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read the Compensation Recovery (“Clawback”)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of Athira Pharma,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74" w:lineRule="exact"/>
        <w:rPr>
          <w:rFonts w:ascii="Times New Roman" w:cs="Times New Roman" w:eastAsia="Times New Roman" w:hAnsi="Times New Roman"/>
          <w:sz w:val="20"/>
          <w:szCs w:val="20"/>
          <w:color w:val="auto"/>
        </w:rPr>
      </w:pPr>
    </w:p>
    <w:p>
      <w:pPr>
        <w:ind w:left="1500" w:right="20" w:hanging="743"/>
        <w:spacing w:after="0" w:line="295" w:lineRule="auto"/>
        <w:tabs>
          <w:tab w:leader="none" w:pos="15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agree to be bound by and to comply with the Policy and understand that determinations of the Compensation Committee (as such term is used in the Policy) will be final and binding and will be given the maximum deference permitted by law.</w:t>
      </w:r>
    </w:p>
    <w:p>
      <w:pPr>
        <w:spacing w:after="0" w:line="137" w:lineRule="exact"/>
        <w:rPr>
          <w:rFonts w:ascii="Times New Roman" w:cs="Times New Roman" w:eastAsia="Times New Roman" w:hAnsi="Times New Roman"/>
          <w:sz w:val="19"/>
          <w:szCs w:val="19"/>
          <w:color w:val="auto"/>
        </w:rPr>
      </w:pPr>
    </w:p>
    <w:p>
      <w:pPr>
        <w:ind w:left="1500" w:hanging="743"/>
        <w:spacing w:after="0" w:line="269"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failure to comply in all respects with the Policy is a basis for termination of my employment with the Company and any affiliate of the Company as well as any other appropriate discipline.</w:t>
      </w:r>
    </w:p>
    <w:p>
      <w:pPr>
        <w:spacing w:after="0" w:line="15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neither the Policy, nor the application of the Policy to me, gives rise to a resignation for good reason (or similar concept) by me under any applicable employment agreement or arrangement.</w:t>
      </w:r>
    </w:p>
    <w:p>
      <w:pPr>
        <w:spacing w:after="0" w:line="159" w:lineRule="exact"/>
        <w:rPr>
          <w:rFonts w:ascii="Times New Roman" w:cs="Times New Roman" w:eastAsia="Times New Roman" w:hAnsi="Times New Roman"/>
          <w:sz w:val="20"/>
          <w:szCs w:val="20"/>
          <w:color w:val="auto"/>
        </w:rPr>
      </w:pPr>
    </w:p>
    <w:p>
      <w:pPr>
        <w:jc w:val="both"/>
        <w:ind w:left="1500" w:right="20" w:hanging="743"/>
        <w:spacing w:after="0" w:line="254" w:lineRule="auto"/>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if I have questions concerning the meaning or application of the Policy, it is my responsibility to seek guidance from the General Counsel and Compliance Officer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Human Resources or my own personal advisers.</w:t>
      </w:r>
    </w:p>
    <w:p>
      <w:pPr>
        <w:spacing w:after="0" w:line="17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neither this Acknowledgement nor the Policy is meant to constitute an employment contract.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review, sign and return this form to the Compliance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514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514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514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1)"/>
      <w:numFmt w:val="decimal"/>
      <w:start w:val="2"/>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2"/>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1)"/>
      <w:numFmt w:val="lowerLetter"/>
      <w:start w:val="1"/>
    </w:lvl>
    <w:lvl w:ilvl="1">
      <w:lvlJc w:val="left"/>
      <w:lvlText w:val="(%2)"/>
      <w:numFmt w:val="decimal"/>
      <w:start w:val="1"/>
    </w:lvl>
  </w:abstractNum>
  <w:abstractNum w:abstractNumId="70">
    <w:nsid w:val="14330624"/>
    <w:multiLevelType w:val="hybridMultilevel"/>
    <w:lvl w:ilvl="0">
      <w:lvlJc w:val="left"/>
      <w:lvlText w:val="(%1)"/>
      <w:numFmt w:val="decimal"/>
      <w:start w:val="2"/>
    </w:lvl>
  </w:abstractNum>
  <w:abstractNum w:abstractNumId="71">
    <w:nsid w:val="7FFFCA11"/>
    <w:multiLevelType w:val="hybridMultilevel"/>
    <w:lvl w:ilvl="0">
      <w:lvlJc w:val="left"/>
      <w:lvlText w:val="(%1)"/>
      <w:numFmt w:val="decimal"/>
      <w:start w:val="3"/>
    </w:lvl>
  </w:abstractNum>
  <w:abstractNum w:abstractNumId="72">
    <w:nsid w:val="1A27709E"/>
    <w:multiLevelType w:val="hybridMultilevel"/>
    <w:lvl w:ilvl="0">
      <w:lvlJc w:val="left"/>
      <w:lvlText w:val="%1"/>
      <w:numFmt w:val="decimal"/>
      <w:start w:val="97"/>
    </w:lvl>
  </w:abstractNum>
  <w:abstractNum w:abstractNumId="73">
    <w:nsid w:val="71EA1109"/>
    <w:multiLevelType w:val="hybridMultilevel"/>
    <w:lvl w:ilvl="0">
      <w:lvlJc w:val="left"/>
      <w:lvlText w:val="*"/>
      <w:numFmt w:val="bullet"/>
      <w:start w:val="1"/>
    </w:lvl>
    <w:lvl w:ilvl="1">
      <w:lvlJc w:val="left"/>
      <w:lvlText w:val="%2"/>
      <w:numFmt w:val="decimal"/>
      <w:start w:val="104"/>
    </w:lvl>
  </w:abstractNum>
  <w:abstractNum w:abstractNumId="74">
    <w:nsid w:val="100F59DC"/>
    <w:multiLevelType w:val="hybridMultilevel"/>
    <w:lvl w:ilvl="0">
      <w:lvlJc w:val="left"/>
      <w:lvlText w:val="**"/>
      <w:numFmt w:val="bullet"/>
      <w:start w:val="1"/>
    </w:lvl>
    <w:lvl w:ilvl="1">
      <w:lvlJc w:val="left"/>
      <w:lvlText w:val="%2"/>
      <w:numFmt w:val="decimal"/>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lvl w:ilvl="1">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lvl w:ilvl="1">
      <w:lvlJc w:val="left"/>
      <w:lvlText w:val="%2)"/>
      <w:numFmt w:val="lowerLetter"/>
      <w:start w:val="1"/>
    </w:lvl>
  </w:abstractNum>
  <w:abstractNum w:abstractNumId="83">
    <w:nsid w:val="14E17E33"/>
    <w:multiLevelType w:val="hybridMultilevel"/>
    <w:lvl w:ilvl="0">
      <w:lvlJc w:val="left"/>
      <w:lvlText w:val="%1."/>
      <w:numFmt w:val="decimal"/>
      <w:start w:val="1"/>
    </w:lvl>
    <w:lvl w:ilvl="1">
      <w:lvlJc w:val="left"/>
      <w:lvlText w:val="%2)"/>
      <w:numFmt w:val="lowerLetter"/>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lowerLetter"/>
      <w:start w:val="3"/>
    </w:lvl>
  </w:abstractNum>
  <w:abstractNum w:abstractNumId="89">
    <w:nsid w:val="4A2AC315"/>
    <w:multiLevelType w:val="hybridMultilevel"/>
    <w:lvl w:ilvl="0">
      <w:lvlJc w:val="left"/>
      <w:lvlText w:val="%1."/>
      <w:numFmt w:val="upperLetter"/>
      <w:start w:val="1"/>
    </w:lvl>
  </w:abstractNum>
  <w:abstractNum w:abstractNumId="90">
    <w:nsid w:val="39EE015C"/>
    <w:multiLevelType w:val="hybridMultilevel"/>
    <w:lvl w:ilvl="0">
      <w:lvlJc w:val="left"/>
      <w:lvlText w:val="%1."/>
      <w:numFmt w:val="upperLetter"/>
      <w:start w:val="3"/>
    </w:lvl>
  </w:abstractNum>
  <w:abstractNum w:abstractNumId="91">
    <w:nsid w:val="57FC4FBB"/>
    <w:multiLevelType w:val="hybridMultilevel"/>
    <w:lvl w:ilvl="0">
      <w:lvlJc w:val="left"/>
      <w:lvlText w:val="%1."/>
      <w:numFmt w:val="upperLetter"/>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61" Type="http://schemas.openxmlformats.org/officeDocument/2006/relationships/image" Target="media/image344.png"/><Relationship Id="rId380"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351" Type="http://schemas.openxmlformats.org/officeDocument/2006/relationships/hyperlink" Target="https://www.sec.gov/Archives/edgar/data/1620463/000156459020053574/atha-ex31_153.htm" TargetMode="External"/><Relationship Id="rId352" Type="http://schemas.openxmlformats.org/officeDocument/2006/relationships/hyperlink" Target="https://www.sec.gov/Archives/edgar/data/1620463/000095017022025442/atha-ex3_1.htm" TargetMode="External"/><Relationship Id="rId353" Type="http://schemas.openxmlformats.org/officeDocument/2006/relationships/hyperlink" Target="https://www.sec.gov/Archives/edgar/data/1620463/000156459020043324/atha-ex41_478.htm" TargetMode="External"/><Relationship Id="rId354" Type="http://schemas.openxmlformats.org/officeDocument/2006/relationships/hyperlink" Target="https://www.sec.gov/Archives/edgar/data/1620463/000156459020042848/atha-ex42_7.htm" TargetMode="External"/><Relationship Id="rId355" Type="http://schemas.openxmlformats.org/officeDocument/2006/relationships/hyperlink" Target="https://www.sec.gov/Archives/edgar/data/1620463/000156459020041369/atha-ex101_530.htm" TargetMode="External"/><Relationship Id="rId356" Type="http://schemas.openxmlformats.org/officeDocument/2006/relationships/hyperlink" Target="https://www.sec.gov/Archives/edgar/data/1620463/000156459020042848/atha-ex102_90.htm" TargetMode="External"/><Relationship Id="rId357" Type="http://schemas.openxmlformats.org/officeDocument/2006/relationships/hyperlink" Target="https://www.sec.gov/Archives/edgar/data/1620463/000156459020042848/atha-ex105_89.htm" TargetMode="External"/><Relationship Id="rId358" Type="http://schemas.openxmlformats.org/officeDocument/2006/relationships/hyperlink" Target="https://www.sec.gov/Archives/edgar/data/1620463/000156459020042848/atha-ex106_88.htm" TargetMode="External"/><Relationship Id="rId359" Type="http://schemas.openxmlformats.org/officeDocument/2006/relationships/hyperlink" Target="https://www.sec.gov/Archives/edgar/data/1620463/000156459020042848/atha-ex107_87.htm" TargetMode="External"/><Relationship Id="rId360" Type="http://schemas.openxmlformats.org/officeDocument/2006/relationships/hyperlink" Target="https://www.sec.gov/Archives/edgar/data/1620463/000156459020042848/atha-ex108_86.htm" TargetMode="External"/><Relationship Id="rId362" Type="http://schemas.openxmlformats.org/officeDocument/2006/relationships/hyperlink" Target="https://www.sec.gov/Archives/edgar/data/1620463/000156459020041369/atha-ex109_529.htm" TargetMode="External"/><Relationship Id="rId363" Type="http://schemas.openxmlformats.org/officeDocument/2006/relationships/hyperlink" Target="https://www.sec.gov/Archives/edgar/data/1620463/000095017023009498/atha-ex10_8.htm" TargetMode="External"/><Relationship Id="rId364" Type="http://schemas.openxmlformats.org/officeDocument/2006/relationships/hyperlink" Target="https://www.sec.gov/Archives/edgar/data/1620463/000156459020042848/atha-ex1011_9.htm" TargetMode="External"/><Relationship Id="rId365" Type="http://schemas.openxmlformats.org/officeDocument/2006/relationships/hyperlink" Target="https://www.sec.gov/Archives/edgar/data/1620463/000095017023009498/atha-ex10_10.htm" TargetMode="External"/><Relationship Id="rId366" Type="http://schemas.openxmlformats.org/officeDocument/2006/relationships/hyperlink" Target="https://www.sec.gov/Archives/edgar/data/1620463/000156459020042848/atha-ex1013_83.htm" TargetMode="External"/><Relationship Id="rId367" Type="http://schemas.openxmlformats.org/officeDocument/2006/relationships/hyperlink" Target="https://www.sec.gov/Archives/edgar/data/1620463/000156459020042848/atha-ex1015_534.htm" TargetMode="External"/><Relationship Id="rId368" Type="http://schemas.openxmlformats.org/officeDocument/2006/relationships/hyperlink" Target="https://www.sec.gov/Archives/edgar/data/1620463/000156459020042848/atha-ex1016_533.htm" TargetMode="External"/><Relationship Id="rId369" Type="http://schemas.openxmlformats.org/officeDocument/2006/relationships/hyperlink" Target="https://www.sec.gov/Archives/edgar/data/1620463/000119312523149921/d457287dex101.htm" TargetMode="External"/><Relationship Id="rId370" Type="http://schemas.openxmlformats.org/officeDocument/2006/relationships/hyperlink" Target="https://www.sec.gov/Archives/edgar/data/1620463/000119312522023358/d290928dex101.htm" TargetMode="External"/><Relationship Id="rId371" Type="http://schemas.openxmlformats.org/officeDocument/2006/relationships/hyperlink" Target="https://www.sec.gov/Archives/edgar/data/1620463/000119312523149921/d457287dex102.htm" TargetMode="External"/><Relationship Id="rId372" Type="http://schemas.openxmlformats.org/officeDocument/2006/relationships/hyperlink" Target="https://www.sec.gov/Archives/edgar/data/1620463/000156459020043324/atha-ex1021_821.htm" TargetMode="External"/><Relationship Id="rId373" Type="http://schemas.openxmlformats.org/officeDocument/2006/relationships/hyperlink" Target="https://www.sec.gov/Archives/edgar/data/1620463/000095017022004782/atha-ex10_27.htm" TargetMode="External"/><Relationship Id="rId374" Type="http://schemas.openxmlformats.org/officeDocument/2006/relationships/hyperlink" Target="https://www.sec.gov/Archives/edgar/data/1620463/000156459020043324/atha-ex1022_820.htm" TargetMode="External"/><Relationship Id="rId375" Type="http://schemas.openxmlformats.org/officeDocument/2006/relationships/hyperlink" Target="https://www.sec.gov/Archives/edgar/data/1620463/000156459021044641/atha-ex101_72.htm" TargetMode="External"/><Relationship Id="rId376" Type="http://schemas.openxmlformats.org/officeDocument/2006/relationships/hyperlink" Target="https://www.sec.gov/Archives/edgar/data/1620463/000156459021044641/atha-ex102_71.htm" TargetMode="External"/><Relationship Id="rId377" Type="http://schemas.openxmlformats.org/officeDocument/2006/relationships/hyperlink" Target="https://www.sec.gov/Archives/edgar/data/1620463/000156459021044641/atha-ex103_70.htm" TargetMode="External"/><Relationship Id="rId378" Type="http://schemas.openxmlformats.org/officeDocument/2006/relationships/hyperlink" Target="https://www.sec.gov/Archives/edgar/data/1620463/000156459021044641/atha-ex104_69.htm" TargetMode="External"/><Relationship Id="rId379" Type="http://schemas.openxmlformats.org/officeDocument/2006/relationships/hyperlink" Target="https://www.sec.gov/Archives/edgar/data/1620463/000156459021044641/atha-ex105_68.htm" TargetMode="External"/><Relationship Id="rId381" Type="http://schemas.openxmlformats.org/officeDocument/2006/relationships/hyperlink" Target="https://www.sec.gov/Archives/edgar/data/1620463/000095017022004782/atha-ex10_28.htm" TargetMode="External"/><Relationship Id="rId382" Type="http://schemas.openxmlformats.org/officeDocument/2006/relationships/hyperlink" Target="https://www.sec.gov/Archives/edgar/data/1620463/000095017023000364/atha-ex1_1.htm" TargetMode="External"/><Relationship Id="rId383" Type="http://schemas.openxmlformats.org/officeDocument/2006/relationships/hyperlink" Target="https://www.sec.gov/Archives/edgar/data/1620463/000095017024002686/atha-ex10_1.htm" TargetMode="External"/><Relationship Id="rId384" Type="http://schemas.openxmlformats.org/officeDocument/2006/relationships/hyperlink" Target="https://www.sec.gov/Archives/edgar/data/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2024-02-22T15:39:46Z</dcterms:created>
  <dcterms:modified xsi:type="dcterms:W3CDTF">2024-02-22T15:39:46Z</dcterms:modified>
</cp:coreProperties>
</file>