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Athira Pharma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04746L104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04746L104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BML Investment Partners,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2,233,167.00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2,233,167.00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2,233,167.00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04746L104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Leonard Braden Michael</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251,278.00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2,233,167.00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251,278.00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2,233,167.00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2,484,445.00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6.5 %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 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Athira Pharma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18706 North Creek Parkway, Suite 104, Bothell, Washington, 98011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BML Investment Partners, L.P.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65 E Cedar, Suite 2, Zionsville, IN 46077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$0.0001 par value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04746L104</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2,484,445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6.5 %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640"/>
          </w:cols>
          <w:pgMar w:left="360" w:top="126" w:right="899" w:bottom="32"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251,278</w:t>
      </w:r>
    </w:p>
    <w:p>
      <w:pPr>
        <w:spacing w:after="0" w:line="288"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2,233,167</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251,278</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2,233,167</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60" w:space="200"/>
            <w:col w:w="10220"/>
          </w:cols>
          <w:pgMar w:left="320" w:top="112" w:right="399" w:bottom="1440" w:gutter="0" w:footer="0" w:header="0"/>
        </w:sectPr>
      </w:pPr>
    </w:p>
    <w:p>
      <w:pPr>
        <w:ind w:left="98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BML Investment Partners, L.P.</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Braden M Leonard</w:t>
      </w:r>
    </w:p>
    <w:p>
      <w:pPr>
        <w:spacing w:after="0" w:line="4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BML Capital Management, LLC its General</w:t>
      </w:r>
    </w:p>
    <w:p>
      <w:pPr>
        <w:spacing w:after="0" w:line="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Name/Title: Partner By: Braden M Leonard, its Managing</w:t>
      </w:r>
    </w:p>
    <w:p>
      <w:pPr>
        <w:ind w:left="6780"/>
        <w:spacing w:after="0"/>
        <w:rPr>
          <w:sz w:val="20"/>
          <w:szCs w:val="20"/>
          <w:color w:val="auto"/>
        </w:rPr>
      </w:pPr>
      <w:r>
        <w:rPr>
          <w:rFonts w:ascii="Times New Roman" w:cs="Times New Roman" w:eastAsia="Times New Roman" w:hAnsi="Times New Roman"/>
          <w:sz w:val="22"/>
          <w:szCs w:val="22"/>
          <w:color w:val="auto"/>
        </w:rPr>
        <w:t>Member</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2"/>
          <w:szCs w:val="22"/>
          <w:color w:val="auto"/>
        </w:rPr>
        <w:t>Leonard Braden Michael</w:t>
      </w:r>
    </w:p>
    <w:p>
      <w:pPr>
        <w:spacing w:after="0" w:line="152" w:lineRule="exact"/>
        <w:rPr>
          <w:sz w:val="20"/>
          <w:szCs w:val="20"/>
          <w:color w:val="auto"/>
        </w:rPr>
      </w:pPr>
    </w:p>
    <w:p>
      <w:pPr>
        <w:ind w:left="3480"/>
        <w:spacing w:after="0"/>
        <w:tabs>
          <w:tab w:leader="none" w:pos="4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Braden M Leonard</w:t>
      </w:r>
    </w:p>
    <w:p>
      <w:pPr>
        <w:spacing w:after="0" w:line="44"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Name/Title: Leonard Braden Michael</w:t>
      </w:r>
    </w:p>
    <w:p>
      <w:pPr>
        <w:spacing w:after="0" w:line="44" w:lineRule="exact"/>
        <w:rPr>
          <w:sz w:val="20"/>
          <w:szCs w:val="20"/>
          <w:color w:val="auto"/>
        </w:rPr>
      </w:pPr>
    </w:p>
    <w:p>
      <w:pPr>
        <w:ind w:left="3480"/>
        <w:spacing w:after="0"/>
        <w:tabs>
          <w:tab w:leader="none" w:pos="4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310"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BML Investment Partners, L.P. is a Delaware limited partnership whose sole general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partner is BML Capital Management, LLC. The managing member of BML Capital Management, LLC is Braden M. Leonard. As a result, Braden M. Leonard is deemed to be the indirect owner of the shares held directly by BML Investment Partners, L.P. Despite such shared beneficial ownership, the reporting persons disclaim that they constitute a statutory group within the meaning of Rule 13d-5(b)(1) of the Exchange Act.</w:t>
      </w:r>
    </w:p>
    <w:sectPr>
      <w:pgSz w:w="11900" w:h="16838" w:orient="portrait"/>
      <w:cols w:equalWidth="0" w:num="1">
        <w:col w:w="11180"/>
      </w:cols>
      <w:pgMar w:left="320" w:top="112"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2025-02-14T09:03:47Z</dcterms:created>
  <dcterms:modified xsi:type="dcterms:W3CDTF">2025-02-14T09:03:47Z</dcterms:modified>
</cp:coreProperties>
</file>