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EDELMAN JOSEPH</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Athira Pharma,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05/20/2022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BOTHELL</w:t>
            </w:r>
          </w:p>
        </w:tc>
        <w:tc>
          <w:tcPr>
            <w:tcW w:w="1220" w:type="dxa"/>
            <w:vAlign w:val="bottom"/>
            <w:gridSpan w:val="3"/>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82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8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8.93</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05/20/2022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20, 2023, or (ii) the day immediately before the date of the next annual meeting of the Issuer's stockholders that occurs after May 20, 2022. The option reported was granted pursuant to the terms of the Issuer's outside director compensation policy.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Glenna Mileson,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fact on behalf of Joseph</w:t>
      </w:r>
      <w:r>
        <w:rPr>
          <w:sz w:val="20"/>
          <w:szCs w:val="20"/>
          <w:color w:val="auto"/>
        </w:rPr>
        <w:tab/>
      </w:r>
      <w:r>
        <w:rPr>
          <w:rFonts w:ascii="Arial" w:cs="Arial" w:eastAsia="Arial" w:hAnsi="Arial"/>
          <w:sz w:val="15"/>
          <w:szCs w:val="15"/>
          <w:color w:val="0000FF"/>
        </w:rPr>
        <w:t>05/27/2022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78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442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2022-05-28T13:37:33Z</dcterms:created>
  <dcterms:modified xsi:type="dcterms:W3CDTF">2022-05-28T13:37:33Z</dcterms:modified>
</cp:coreProperties>
</file>