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Athira Pharma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04746L104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2,775,885.00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2,775,885.00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2,775,885.00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901" w:orient="portrait"/>
          <w:cols w:equalWidth="0" w:num="2">
            <w:col w:w="1100" w:space="60"/>
            <w:col w:w="9580"/>
          </w:cols>
          <w:pgMar w:left="320" w:top="166" w:right="839"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This amendment was filed to correct the share count and percentage ownership.</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04746L104</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Leonard Braden Michael</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901" w:orient="portrait"/>
          <w:cols w:equalWidth="0" w:num="1">
            <w:col w:w="10740"/>
          </w:cols>
          <w:pgMar w:left="320" w:top="166" w:right="839" w:bottom="0" w:gutter="0" w:footer="0" w:header="0"/>
          <w:type w:val="continuous"/>
        </w:sectPr>
      </w:pP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251,278.00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2,775,885.00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251,278.00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2,775,885.00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3,027,163.00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ectPr>
          <w:pgSz w:w="11900" w:h="16901" w:orient="portrait"/>
          <w:cols w:equalWidth="0" w:num="2">
            <w:col w:w="1100" w:space="60"/>
            <w:col w:w="9580"/>
          </w:cols>
          <w:pgMar w:left="320" w:top="166" w:right="839" w:bottom="0" w:gutter="0" w:footer="0" w:header="0"/>
          <w:type w:val="continuous"/>
        </w:sectPr>
      </w:pPr>
    </w:p>
    <w:bookmarkStart w:id="2" w:name="page3"/>
    <w:bookmarkEnd w:id="2"/>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945515</wp:posOffset>
            </wp:positionH>
            <wp:positionV relativeFrom="page">
              <wp:posOffset>243205</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7.8 %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IN, PN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This amendment was filed to correct the share count and percentage ownership.</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Athira Pharma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18706 North Creek Parkway, Suite 104, Bothell, Washington, 98011</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65 E Cedar, Suite 2, Zionsville, IN 46077</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$0.0001 par value</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ind w:left="960"/>
        <w:spacing w:after="0"/>
        <w:rPr>
          <w:sz w:val="20"/>
          <w:szCs w:val="20"/>
          <w:color w:val="auto"/>
        </w:rPr>
      </w:pPr>
      <w:r>
        <w:rPr>
          <w:rFonts w:ascii="Times New Roman" w:cs="Times New Roman" w:eastAsia="Times New Roman" w:hAnsi="Times New Roman"/>
          <w:sz w:val="22"/>
          <w:szCs w:val="22"/>
          <w:color w:val="auto"/>
        </w:rPr>
        <w:t>04746L104</w:t>
      </w:r>
    </w:p>
    <w:p>
      <w:pPr>
        <w:spacing w:after="0" w:line="20"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right="240" w:hanging="912"/>
        <w:spacing w:after="0" w:line="185" w:lineRule="auto"/>
        <w:tabs>
          <w:tab w:leader="none" w:pos="96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6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60" w:hanging="912"/>
        <w:spacing w:after="0" w:line="230" w:lineRule="auto"/>
        <w:tabs>
          <w:tab w:leader="none" w:pos="9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60" w:hanging="912"/>
        <w:spacing w:after="0"/>
        <w:tabs>
          <w:tab w:leader="none" w:pos="9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3027163</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7.8 %</w:t>
      </w:r>
    </w:p>
    <w:p>
      <w:pPr>
        <w:sectPr>
          <w:pgSz w:w="11900" w:h="16844" w:orient="portrait"/>
          <w:cols w:equalWidth="0" w:num="1">
            <w:col w:w="10740"/>
          </w:cols>
          <w:pgMar w:left="320" w:top="612" w:right="839" w:bottom="0" w:gutter="0" w:footer="0" w:header="0"/>
        </w:sectPr>
      </w:pPr>
    </w:p>
    <w:bookmarkStart w:id="3" w:name="page4"/>
    <w:bookmarkEnd w:id="3"/>
    <w:p>
      <w:pPr>
        <w:ind w:left="960" w:hanging="912"/>
        <w:spacing w:after="0"/>
        <w:tabs>
          <w:tab w:leader="none" w:pos="96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80"/>
          </w:cols>
          <w:pgMar w:left="320" w:top="112" w:right="399" w:bottom="8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251,278</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2,775,885</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251,278</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2,775,885</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60" w:space="200"/>
            <w:col w:w="10220"/>
          </w:cols>
          <w:pgMar w:left="320" w:top="112" w:right="399" w:bottom="831" w:gutter="0" w:footer="0" w:header="0"/>
          <w:type w:val="continuous"/>
        </w:sectPr>
      </w:pPr>
    </w:p>
    <w:p>
      <w:pPr>
        <w:ind w:left="98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5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BML Investment Partners, L.P.</w:t>
      </w:r>
    </w:p>
    <w:p>
      <w:pPr>
        <w:spacing w:after="0" w:line="152"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4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BML Capital Management, LLC its General</w:t>
      </w:r>
    </w:p>
    <w:p>
      <w:pPr>
        <w:spacing w:after="0" w:line="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22"/>
          <w:szCs w:val="22"/>
          <w:color w:val="auto"/>
        </w:rPr>
        <w:t>Name/Title: Partner By: Braden M Leonard, its Managing</w:t>
      </w:r>
    </w:p>
    <w:p>
      <w:pPr>
        <w:ind w:left="6780"/>
        <w:spacing w:after="0"/>
        <w:rPr>
          <w:sz w:val="20"/>
          <w:szCs w:val="20"/>
          <w:color w:val="auto"/>
        </w:rPr>
      </w:pPr>
      <w:r>
        <w:rPr>
          <w:rFonts w:ascii="Times New Roman" w:cs="Times New Roman" w:eastAsia="Times New Roman" w:hAnsi="Times New Roman"/>
          <w:sz w:val="22"/>
          <w:szCs w:val="22"/>
          <w:color w:val="auto"/>
        </w:rPr>
        <w:t>Member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15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2"/>
          <w:szCs w:val="22"/>
          <w:color w:val="auto"/>
        </w:rPr>
        <w:t>Leonard Braden Michael</w:t>
      </w:r>
    </w:p>
    <w:p>
      <w:pPr>
        <w:spacing w:after="0" w:line="152"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Braden M Leonard</w:t>
      </w:r>
    </w:p>
    <w:p>
      <w:pPr>
        <w:spacing w:after="0" w:line="4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2"/>
          <w:szCs w:val="22"/>
          <w:color w:val="auto"/>
        </w:rPr>
        <w:t>Name/Title: Leonard Braden Michael</w:t>
      </w:r>
    </w:p>
    <w:p>
      <w:pPr>
        <w:spacing w:after="0" w:line="44" w:lineRule="exact"/>
        <w:rPr>
          <w:sz w:val="20"/>
          <w:szCs w:val="20"/>
          <w:color w:val="auto"/>
        </w:rPr>
      </w:pPr>
    </w:p>
    <w:p>
      <w:pPr>
        <w:ind w:left="3480"/>
        <w:spacing w:after="0"/>
        <w:tabs>
          <w:tab w:leader="none" w:pos="45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02/14/2025</w:t>
      </w:r>
    </w:p>
    <w:p>
      <w:pPr>
        <w:spacing w:after="0" w:line="31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Comments accompanying signature: </w:t>
      </w:r>
      <w:r>
        <w:rPr>
          <w:rFonts w:ascii="Times New Roman" w:cs="Times New Roman" w:eastAsia="Times New Roman" w:hAnsi="Times New Roman"/>
          <w:sz w:val="22"/>
          <w:szCs w:val="22"/>
          <w:color w:val="auto"/>
        </w:rPr>
        <w:t>BML Investment Partners, L.P. is a Delaware limited partnership whose sole general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partner is BML Capital Management, LLC. The managing member of BML Capital Management, LLC is Braden M. Leonard. As a result, Braden M. Leonard is deemed to be the indirect owner of the shares held directly by BML Investment Partners, L.P. Despite such shared beneficial ownership, the reporting persons disclaim that they constitute a statutory group within the meaning of Rule 13d-5(b)(1) of the Exchange Act.</w:t>
      </w:r>
    </w:p>
    <w:sectPr>
      <w:pgSz w:w="11900" w:h="16838" w:orient="portrait"/>
      <w:cols w:equalWidth="0" w:num="1">
        <w:col w:w="11180"/>
      </w:cols>
      <w:pgMar w:left="320" w:top="112" w:right="399" w:bottom="83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2025-02-14T09:22:35Z</dcterms:created>
  <dcterms:modified xsi:type="dcterms:W3CDTF">2025-02-14T09:22:35Z</dcterms:modified>
</cp:coreProperties>
</file>