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408940</wp:posOffset>
            </wp:positionH>
            <wp:positionV relativeFrom="paragraph">
              <wp:posOffset>102235</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408940</wp:posOffset>
            </wp:positionH>
            <wp:positionV relativeFrom="paragraph">
              <wp:posOffset>170815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20"/>
        <w:spacing w:after="0"/>
        <w:rPr>
          <w:sz w:val="20"/>
          <w:szCs w:val="20"/>
          <w:color w:val="auto"/>
        </w:rPr>
      </w:pPr>
      <w:r>
        <w:rPr>
          <w:rFonts w:ascii="Arial" w:cs="Arial" w:eastAsia="Arial" w:hAnsi="Arial"/>
          <w:sz w:val="23"/>
          <w:szCs w:val="23"/>
          <w:b w:val="1"/>
          <w:bCs w:val="1"/>
          <w:color w:val="auto"/>
        </w:rPr>
        <w:t>UNITED STATES</w:t>
      </w:r>
    </w:p>
    <w:p>
      <w:pPr>
        <w:spacing w:after="0" w:line="43" w:lineRule="exact"/>
        <w:rPr>
          <w:sz w:val="24"/>
          <w:szCs w:val="24"/>
          <w:color w:val="auto"/>
        </w:rPr>
      </w:pPr>
    </w:p>
    <w:p>
      <w:pPr>
        <w:jc w:val="center"/>
        <w:ind w:right="20"/>
        <w:spacing w:after="0"/>
        <w:rPr>
          <w:sz w:val="20"/>
          <w:szCs w:val="20"/>
          <w:color w:val="auto"/>
        </w:rPr>
      </w:pPr>
      <w:r>
        <w:rPr>
          <w:rFonts w:ascii="Arial" w:cs="Arial" w:eastAsia="Arial" w:hAnsi="Arial"/>
          <w:sz w:val="23"/>
          <w:szCs w:val="23"/>
          <w:b w:val="1"/>
          <w:bCs w:val="1"/>
          <w:color w:val="auto"/>
        </w:rPr>
        <w:t>SECURITIES AND EXCHANGE COMMISSION</w:t>
      </w:r>
    </w:p>
    <w:p>
      <w:pPr>
        <w:spacing w:after="0" w:line="77" w:lineRule="exact"/>
        <w:rPr>
          <w:sz w:val="24"/>
          <w:szCs w:val="24"/>
          <w:color w:val="auto"/>
        </w:rPr>
      </w:pPr>
    </w:p>
    <w:p>
      <w:pPr>
        <w:ind w:left="4480"/>
        <w:spacing w:after="0"/>
        <w:rPr>
          <w:sz w:val="20"/>
          <w:szCs w:val="20"/>
          <w:color w:val="auto"/>
        </w:rPr>
      </w:pPr>
      <w:r>
        <w:rPr>
          <w:rFonts w:ascii="Arial" w:cs="Arial" w:eastAsia="Arial" w:hAnsi="Arial"/>
          <w:sz w:val="18"/>
          <w:szCs w:val="18"/>
          <w:b w:val="1"/>
          <w:bCs w:val="1"/>
          <w:color w:val="auto"/>
        </w:rPr>
        <w:t>Washington, D.C. 20549</w:t>
      </w:r>
    </w:p>
    <w:p>
      <w:pPr>
        <w:spacing w:after="0" w:line="14" w:lineRule="exact"/>
        <w:rPr>
          <w:sz w:val="24"/>
          <w:szCs w:val="24"/>
          <w:color w:val="auto"/>
        </w:rPr>
      </w:pPr>
    </w:p>
    <w:p>
      <w:pPr>
        <w:ind w:left="5420"/>
        <w:spacing w:after="0"/>
        <w:rPr>
          <w:sz w:val="20"/>
          <w:szCs w:val="20"/>
          <w:color w:val="auto"/>
        </w:rPr>
      </w:pPr>
      <w:r>
        <w:rPr>
          <w:rFonts w:ascii="Arial" w:cs="Arial" w:eastAsia="Arial" w:hAnsi="Arial"/>
          <w:sz w:val="18"/>
          <w:szCs w:val="18"/>
          <w:b w:val="1"/>
          <w:bCs w:val="1"/>
          <w:color w:val="auto"/>
        </w:rPr>
        <w:t> </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23"/>
          <w:szCs w:val="23"/>
          <w:b w:val="1"/>
          <w:bCs w:val="1"/>
          <w:color w:val="auto"/>
        </w:rPr>
        <w:t>SCHEDULE 14A</w:t>
      </w:r>
    </w:p>
    <w:p>
      <w:pPr>
        <w:spacing w:after="0" w:line="17"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(Rule 14A-101)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408940</wp:posOffset>
            </wp:positionH>
            <wp:positionV relativeFrom="paragraph">
              <wp:posOffset>27940</wp:posOffset>
            </wp:positionV>
            <wp:extent cx="61722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126" w:lineRule="exact"/>
        <w:rPr>
          <w:sz w:val="24"/>
          <w:szCs w:val="24"/>
          <w:color w:val="auto"/>
        </w:rPr>
      </w:pPr>
    </w:p>
    <w:p>
      <w:pPr>
        <w:jc w:val="center"/>
        <w:ind w:right="60"/>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EXCHANGE ACT OF 1934</w:t>
      </w:r>
    </w:p>
    <w:p>
      <w:pPr>
        <w:spacing w:after="0" w:line="82" w:lineRule="exact"/>
        <w:rPr>
          <w:sz w:val="24"/>
          <w:szCs w:val="24"/>
          <w:color w:val="auto"/>
        </w:rPr>
      </w:pPr>
    </w:p>
    <w:p>
      <w:pPr>
        <w:ind w:left="640"/>
        <w:spacing w:after="0" w:line="184" w:lineRule="exact"/>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p>
    <w:p>
      <w:pPr>
        <w:spacing w:after="0" w:line="53" w:lineRule="exact"/>
        <w:rPr>
          <w:sz w:val="24"/>
          <w:szCs w:val="24"/>
          <w:color w:val="auto"/>
        </w:rPr>
      </w:pPr>
    </w:p>
    <w:p>
      <w:pPr>
        <w:ind w:left="640"/>
        <w:spacing w:after="0" w:line="184" w:lineRule="exact"/>
        <w:rPr>
          <w:sz w:val="20"/>
          <w:szCs w:val="20"/>
          <w:color w:val="auto"/>
        </w:rPr>
      </w:pP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2" w:lineRule="exact"/>
        <w:rPr>
          <w:sz w:val="24"/>
          <w:szCs w:val="24"/>
          <w:color w:val="auto"/>
        </w:rPr>
      </w:pPr>
    </w:p>
    <w:p>
      <w:pPr>
        <w:ind w:left="640"/>
        <w:spacing w:after="0"/>
        <w:rPr>
          <w:sz w:val="20"/>
          <w:szCs w:val="20"/>
          <w:color w:val="auto"/>
        </w:rPr>
      </w:pPr>
      <w:r>
        <w:rPr>
          <w:rFonts w:ascii="Arial" w:cs="Arial" w:eastAsia="Arial" w:hAnsi="Arial"/>
          <w:sz w:val="16"/>
          <w:szCs w:val="16"/>
          <w:color w:val="auto"/>
        </w:rPr>
        <w:t>Check the appropriate box:</w:t>
      </w:r>
    </w:p>
    <w:p>
      <w:pPr>
        <w:spacing w:after="0" w:line="102" w:lineRule="exact"/>
        <w:rPr>
          <w:sz w:val="24"/>
          <w:szCs w:val="24"/>
          <w:color w:val="auto"/>
        </w:rPr>
      </w:pPr>
    </w:p>
    <w:tbl>
      <w:tblPr>
        <w:tblLayout w:type="fixed"/>
        <w:tblInd w:w="640" w:type="dxa"/>
        <w:tblCellMar>
          <w:top w:w="0" w:type="dxa"/>
          <w:left w:w="0" w:type="dxa"/>
          <w:bottom w:w="0" w:type="dxa"/>
          <w:right w:w="0" w:type="dxa"/>
        </w:tblCellMar>
      </w:tblPr>
      <w:tr>
        <w:trPr>
          <w:trHeight w:val="272"/>
        </w:trPr>
        <w:tc>
          <w:tcPr>
            <w:tcW w:w="100" w:type="dxa"/>
            <w:vAlign w:val="bottom"/>
          </w:tcPr>
          <w:p>
            <w:pPr>
              <w:spacing w:after="0"/>
              <w:rPr>
                <w:sz w:val="20"/>
                <w:szCs w:val="20"/>
                <w:color w:val="auto"/>
              </w:rPr>
            </w:pPr>
            <w:r>
              <w:rPr>
                <w:rFonts w:ascii="Arial" w:cs="Arial" w:eastAsia="Arial" w:hAnsi="Arial"/>
                <w:sz w:val="11"/>
                <w:szCs w:val="11"/>
                <w:color w:val="auto"/>
                <w:w w:val="72"/>
              </w:rPr>
              <w:t> </w:t>
            </w:r>
          </w:p>
        </w:tc>
        <w:tc>
          <w:tcPr>
            <w:tcW w:w="320" w:type="dxa"/>
            <w:vAlign w:val="bottom"/>
          </w:tcPr>
          <w:p>
            <w:pPr>
              <w:ind w:left="6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w:t>
            </w:r>
          </w:p>
        </w:tc>
        <w:tc>
          <w:tcPr>
            <w:tcW w:w="160" w:type="dxa"/>
            <w:vAlign w:val="bottom"/>
          </w:tcPr>
          <w:p>
            <w:pPr>
              <w:ind w:left="60"/>
              <w:spacing w:after="0"/>
              <w:rPr>
                <w:sz w:val="20"/>
                <w:szCs w:val="20"/>
                <w:color w:val="auto"/>
              </w:rPr>
            </w:pPr>
            <w:r>
              <w:rPr>
                <w:rFonts w:ascii="Arial" w:cs="Arial" w:eastAsia="Arial" w:hAnsi="Arial"/>
                <w:sz w:val="11"/>
                <w:szCs w:val="11"/>
                <w:color w:val="auto"/>
                <w:w w:val="72"/>
              </w:rPr>
              <w:t> </w:t>
            </w:r>
          </w:p>
        </w:tc>
        <w:tc>
          <w:tcPr>
            <w:tcW w:w="6160" w:type="dxa"/>
            <w:vAlign w:val="bottom"/>
          </w:tcPr>
          <w:p>
            <w:pPr>
              <w:ind w:left="60"/>
              <w:spacing w:after="0"/>
              <w:rPr>
                <w:sz w:val="20"/>
                <w:szCs w:val="20"/>
                <w:color w:val="auto"/>
              </w:rPr>
            </w:pPr>
            <w:r>
              <w:rPr>
                <w:rFonts w:ascii="Arial" w:cs="Arial" w:eastAsia="Arial" w:hAnsi="Arial"/>
                <w:sz w:val="16"/>
                <w:szCs w:val="16"/>
                <w:color w:val="auto"/>
              </w:rPr>
              <w:t>Preliminary Proxy Statement</w:t>
            </w:r>
          </w:p>
        </w:tc>
      </w:tr>
      <w:tr>
        <w:trPr>
          <w:trHeight w:val="297"/>
        </w:trPr>
        <w:tc>
          <w:tcPr>
            <w:tcW w:w="100" w:type="dxa"/>
            <w:vAlign w:val="bottom"/>
          </w:tcPr>
          <w:p>
            <w:pPr>
              <w:spacing w:after="0"/>
              <w:rPr>
                <w:sz w:val="20"/>
                <w:szCs w:val="20"/>
                <w:color w:val="auto"/>
              </w:rPr>
            </w:pPr>
            <w:r>
              <w:rPr>
                <w:rFonts w:ascii="Arial" w:cs="Arial" w:eastAsia="Arial" w:hAnsi="Arial"/>
                <w:sz w:val="11"/>
                <w:szCs w:val="11"/>
                <w:color w:val="auto"/>
                <w:w w:val="72"/>
              </w:rPr>
              <w:t> </w:t>
            </w:r>
          </w:p>
        </w:tc>
        <w:tc>
          <w:tcPr>
            <w:tcW w:w="320" w:type="dxa"/>
            <w:vAlign w:val="bottom"/>
          </w:tcPr>
          <w:p>
            <w:pPr>
              <w:ind w:left="6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w:t>
            </w:r>
          </w:p>
        </w:tc>
        <w:tc>
          <w:tcPr>
            <w:tcW w:w="6320" w:type="dxa"/>
            <w:vAlign w:val="bottom"/>
            <w:gridSpan w:val="2"/>
          </w:tcPr>
          <w:p>
            <w:pPr>
              <w:ind w:left="60"/>
              <w:spacing w:after="0"/>
              <w:rPr>
                <w:sz w:val="20"/>
                <w:szCs w:val="20"/>
                <w:color w:val="auto"/>
              </w:rPr>
            </w:pPr>
            <w:r>
              <w:rPr>
                <w:rFonts w:ascii="Arial" w:cs="Arial" w:eastAsia="Arial" w:hAnsi="Arial"/>
                <w:sz w:val="16"/>
                <w:szCs w:val="16"/>
                <w:color w:val="auto"/>
                <w:w w:val="99"/>
              </w:rPr>
              <w:t xml:space="preserve">   </w:t>
            </w:r>
            <w:r>
              <w:rPr>
                <w:rFonts w:ascii="Arial" w:cs="Arial" w:eastAsia="Arial" w:hAnsi="Arial"/>
                <w:sz w:val="16"/>
                <w:szCs w:val="16"/>
                <w:b w:val="1"/>
                <w:bCs w:val="1"/>
                <w:color w:val="auto"/>
                <w:w w:val="99"/>
              </w:rPr>
              <w:t>Confidential, for Use of the Commission Only (as permitted by Rule 14a-6(e)(2))</w:t>
            </w:r>
          </w:p>
        </w:tc>
      </w:tr>
      <w:tr>
        <w:trPr>
          <w:trHeight w:val="311"/>
        </w:trPr>
        <w:tc>
          <w:tcPr>
            <w:tcW w:w="100" w:type="dxa"/>
            <w:vAlign w:val="bottom"/>
          </w:tcPr>
          <w:p>
            <w:pPr>
              <w:spacing w:after="0"/>
              <w:rPr>
                <w:sz w:val="20"/>
                <w:szCs w:val="20"/>
                <w:color w:val="auto"/>
              </w:rPr>
            </w:pPr>
            <w:r>
              <w:rPr>
                <w:rFonts w:ascii="Arial" w:cs="Arial" w:eastAsia="Arial" w:hAnsi="Arial"/>
                <w:sz w:val="11"/>
                <w:szCs w:val="11"/>
                <w:color w:val="auto"/>
                <w:w w:val="72"/>
              </w:rPr>
              <w:t> </w:t>
            </w:r>
          </w:p>
        </w:tc>
        <w:tc>
          <w:tcPr>
            <w:tcW w:w="320" w:type="dxa"/>
            <w:vAlign w:val="bottom"/>
          </w:tcPr>
          <w:p>
            <w:pPr>
              <w:ind w:left="6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w:t>
            </w:r>
          </w:p>
        </w:tc>
        <w:tc>
          <w:tcPr>
            <w:tcW w:w="160" w:type="dxa"/>
            <w:vAlign w:val="bottom"/>
          </w:tcPr>
          <w:p>
            <w:pPr>
              <w:ind w:left="60"/>
              <w:spacing w:after="0"/>
              <w:rPr>
                <w:sz w:val="20"/>
                <w:szCs w:val="20"/>
                <w:color w:val="auto"/>
              </w:rPr>
            </w:pPr>
            <w:r>
              <w:rPr>
                <w:rFonts w:ascii="Arial" w:cs="Arial" w:eastAsia="Arial" w:hAnsi="Arial"/>
                <w:sz w:val="11"/>
                <w:szCs w:val="11"/>
                <w:color w:val="auto"/>
                <w:w w:val="72"/>
              </w:rPr>
              <w:t> </w:t>
            </w:r>
          </w:p>
        </w:tc>
        <w:tc>
          <w:tcPr>
            <w:tcW w:w="6160" w:type="dxa"/>
            <w:vAlign w:val="bottom"/>
          </w:tcPr>
          <w:p>
            <w:pPr>
              <w:ind w:left="60"/>
              <w:spacing w:after="0"/>
              <w:rPr>
                <w:sz w:val="20"/>
                <w:szCs w:val="20"/>
                <w:color w:val="auto"/>
              </w:rPr>
            </w:pPr>
            <w:r>
              <w:rPr>
                <w:rFonts w:ascii="Arial" w:cs="Arial" w:eastAsia="Arial" w:hAnsi="Arial"/>
                <w:sz w:val="16"/>
                <w:szCs w:val="16"/>
                <w:color w:val="auto"/>
              </w:rPr>
              <w:t>Definitive Proxy Statement</w:t>
            </w:r>
          </w:p>
        </w:tc>
      </w:tr>
      <w:tr>
        <w:trPr>
          <w:trHeight w:val="283"/>
        </w:trPr>
        <w:tc>
          <w:tcPr>
            <w:tcW w:w="100" w:type="dxa"/>
            <w:vAlign w:val="bottom"/>
          </w:tcPr>
          <w:p>
            <w:pPr>
              <w:spacing w:after="0"/>
              <w:rPr>
                <w:sz w:val="20"/>
                <w:szCs w:val="20"/>
                <w:color w:val="auto"/>
              </w:rPr>
            </w:pPr>
            <w:r>
              <w:rPr>
                <w:rFonts w:ascii="Arial" w:cs="Arial" w:eastAsia="Arial" w:hAnsi="Arial"/>
                <w:sz w:val="11"/>
                <w:szCs w:val="11"/>
                <w:color w:val="auto"/>
                <w:w w:val="72"/>
              </w:rPr>
              <w:t> </w:t>
            </w:r>
          </w:p>
        </w:tc>
        <w:tc>
          <w:tcPr>
            <w:tcW w:w="320" w:type="dxa"/>
            <w:vAlign w:val="bottom"/>
          </w:tcPr>
          <w:p>
            <w:pPr>
              <w:ind w:left="6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w:t>
            </w:r>
          </w:p>
        </w:tc>
        <w:tc>
          <w:tcPr>
            <w:tcW w:w="160" w:type="dxa"/>
            <w:vAlign w:val="bottom"/>
          </w:tcPr>
          <w:p>
            <w:pPr>
              <w:ind w:left="60"/>
              <w:spacing w:after="0"/>
              <w:rPr>
                <w:sz w:val="20"/>
                <w:szCs w:val="20"/>
                <w:color w:val="auto"/>
              </w:rPr>
            </w:pPr>
            <w:r>
              <w:rPr>
                <w:rFonts w:ascii="Arial" w:cs="Arial" w:eastAsia="Arial" w:hAnsi="Arial"/>
                <w:sz w:val="11"/>
                <w:szCs w:val="11"/>
                <w:color w:val="auto"/>
                <w:w w:val="72"/>
              </w:rPr>
              <w:t> </w:t>
            </w:r>
          </w:p>
        </w:tc>
        <w:tc>
          <w:tcPr>
            <w:tcW w:w="6160" w:type="dxa"/>
            <w:vAlign w:val="bottom"/>
          </w:tcPr>
          <w:p>
            <w:pPr>
              <w:ind w:left="60"/>
              <w:spacing w:after="0"/>
              <w:rPr>
                <w:sz w:val="20"/>
                <w:szCs w:val="20"/>
                <w:color w:val="auto"/>
              </w:rPr>
            </w:pPr>
            <w:r>
              <w:rPr>
                <w:rFonts w:ascii="Arial" w:cs="Arial" w:eastAsia="Arial" w:hAnsi="Arial"/>
                <w:sz w:val="16"/>
                <w:szCs w:val="16"/>
                <w:color w:val="auto"/>
              </w:rPr>
              <w:t>Definitive Additional Materials</w:t>
            </w:r>
          </w:p>
        </w:tc>
      </w:tr>
      <w:tr>
        <w:trPr>
          <w:trHeight w:val="297"/>
        </w:trPr>
        <w:tc>
          <w:tcPr>
            <w:tcW w:w="100" w:type="dxa"/>
            <w:vAlign w:val="bottom"/>
          </w:tcPr>
          <w:p>
            <w:pPr>
              <w:spacing w:after="0"/>
              <w:rPr>
                <w:sz w:val="20"/>
                <w:szCs w:val="20"/>
                <w:color w:val="auto"/>
              </w:rPr>
            </w:pPr>
            <w:r>
              <w:rPr>
                <w:rFonts w:ascii="Arial" w:cs="Arial" w:eastAsia="Arial" w:hAnsi="Arial"/>
                <w:sz w:val="11"/>
                <w:szCs w:val="11"/>
                <w:color w:val="auto"/>
                <w:w w:val="72"/>
              </w:rPr>
              <w:t> </w:t>
            </w:r>
          </w:p>
        </w:tc>
        <w:tc>
          <w:tcPr>
            <w:tcW w:w="320" w:type="dxa"/>
            <w:vAlign w:val="bottom"/>
          </w:tcPr>
          <w:p>
            <w:pPr>
              <w:ind w:left="6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w:t>
            </w:r>
          </w:p>
        </w:tc>
        <w:tc>
          <w:tcPr>
            <w:tcW w:w="6320" w:type="dxa"/>
            <w:vAlign w:val="bottom"/>
            <w:gridSpan w:val="2"/>
          </w:tcPr>
          <w:p>
            <w:pPr>
              <w:ind w:left="60"/>
              <w:spacing w:after="0"/>
              <w:rPr>
                <w:sz w:val="20"/>
                <w:szCs w:val="20"/>
                <w:color w:val="auto"/>
              </w:rPr>
            </w:pPr>
            <w:r>
              <w:rPr>
                <w:rFonts w:ascii="Arial" w:cs="Arial" w:eastAsia="Arial" w:hAnsi="Arial"/>
                <w:sz w:val="16"/>
                <w:szCs w:val="16"/>
                <w:color w:val="auto"/>
              </w:rPr>
              <w:t>   Soliciting Material under §240.14a-12</w:t>
            </w:r>
          </w:p>
        </w:tc>
      </w:tr>
    </w:tbl>
    <w:p>
      <w:pPr>
        <w:spacing w:after="0" w:line="190" w:lineRule="exact"/>
        <w:rPr>
          <w:sz w:val="24"/>
          <w:szCs w:val="24"/>
          <w:color w:val="auto"/>
        </w:rPr>
      </w:pPr>
    </w:p>
    <w:p>
      <w:pPr>
        <w:jc w:val="center"/>
        <w:ind w:right="80"/>
        <w:spacing w:after="0"/>
        <w:rPr>
          <w:sz w:val="20"/>
          <w:szCs w:val="20"/>
          <w:color w:val="auto"/>
        </w:rPr>
      </w:pPr>
      <w:r>
        <w:rPr>
          <w:rFonts w:ascii="Arial" w:cs="Arial" w:eastAsia="Arial" w:hAnsi="Arial"/>
          <w:sz w:val="23"/>
          <w:szCs w:val="23"/>
          <w:b w:val="1"/>
          <w:bCs w:val="1"/>
          <w:color w:val="auto"/>
        </w:rPr>
        <w:t>ATHIRA PHARMA,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408940</wp:posOffset>
            </wp:positionH>
            <wp:positionV relativeFrom="paragraph">
              <wp:posOffset>41910</wp:posOffset>
            </wp:positionV>
            <wp:extent cx="61722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99" w:lineRule="exact"/>
        <w:rPr>
          <w:sz w:val="24"/>
          <w:szCs w:val="24"/>
          <w:color w:val="auto"/>
        </w:rPr>
      </w:pPr>
    </w:p>
    <w:tbl>
      <w:tblPr>
        <w:tblLayout w:type="fixed"/>
        <w:tblInd w:w="0" w:type="dxa"/>
        <w:tblCellMar>
          <w:top w:w="0" w:type="dxa"/>
          <w:left w:w="0" w:type="dxa"/>
          <w:bottom w:w="0" w:type="dxa"/>
          <w:right w:w="0" w:type="dxa"/>
        </w:tblCellMar>
      </w:tblPr>
      <w:tr>
        <w:trPr>
          <w:trHeight w:val="223"/>
        </w:trPr>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300" w:type="dxa"/>
            <w:vAlign w:val="bottom"/>
          </w:tcPr>
          <w:p>
            <w:pPr>
              <w:ind w:left="1060"/>
              <w:spacing w:after="0"/>
              <w:rPr>
                <w:sz w:val="20"/>
                <w:szCs w:val="20"/>
                <w:color w:val="auto"/>
              </w:rPr>
            </w:pPr>
            <w:r>
              <w:rPr>
                <w:rFonts w:ascii="Arial" w:cs="Arial" w:eastAsia="Arial" w:hAnsi="Arial"/>
                <w:sz w:val="16"/>
                <w:szCs w:val="16"/>
                <w:b w:val="1"/>
                <w:bCs w:val="1"/>
                <w:color w:val="auto"/>
              </w:rPr>
              <w:t>(Name of Registrant as Specified in its Charter)</w:t>
            </w:r>
          </w:p>
        </w:tc>
        <w:tc>
          <w:tcPr>
            <w:tcW w:w="660" w:type="dxa"/>
            <w:vAlign w:val="bottom"/>
          </w:tcPr>
          <w:p>
            <w:pPr>
              <w:spacing w:after="0"/>
              <w:rPr>
                <w:sz w:val="19"/>
                <w:szCs w:val="19"/>
                <w:color w:val="auto"/>
              </w:rPr>
            </w:pPr>
          </w:p>
        </w:tc>
      </w:tr>
      <w:tr>
        <w:trPr>
          <w:trHeight w:val="21"/>
        </w:trPr>
        <w:tc>
          <w:tcPr>
            <w:tcW w:w="640" w:type="dxa"/>
            <w:vAlign w:val="bottom"/>
          </w:tcPr>
          <w:p>
            <w:pPr>
              <w:spacing w:after="0" w:line="20" w:lineRule="exact"/>
              <w:rPr>
                <w:sz w:val="1"/>
                <w:szCs w:val="1"/>
                <w:color w:val="auto"/>
              </w:rPr>
            </w:pPr>
          </w:p>
        </w:tc>
        <w:tc>
          <w:tcPr>
            <w:tcW w:w="9720" w:type="dxa"/>
            <w:vAlign w:val="bottom"/>
            <w:tcBorders>
              <w:bottom w:val="single" w:sz="8" w:color="auto"/>
            </w:tcBorders>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29"/>
        </w:trPr>
        <w:tc>
          <w:tcPr>
            <w:tcW w:w="640" w:type="dxa"/>
            <w:vAlign w:val="bottom"/>
          </w:tcPr>
          <w:p>
            <w:pPr>
              <w:spacing w:after="0"/>
              <w:rPr>
                <w:sz w:val="19"/>
                <w:szCs w:val="19"/>
                <w:color w:val="auto"/>
              </w:rPr>
            </w:pPr>
          </w:p>
        </w:tc>
        <w:tc>
          <w:tcPr>
            <w:tcW w:w="9720" w:type="dxa"/>
            <w:vAlign w:val="bottom"/>
            <w:gridSpan w:val="3"/>
          </w:tcPr>
          <w:p>
            <w:pPr>
              <w:spacing w:after="0"/>
              <w:rPr>
                <w:sz w:val="20"/>
                <w:szCs w:val="20"/>
                <w:color w:val="auto"/>
              </w:rPr>
            </w:pPr>
            <w:r>
              <w:rPr>
                <w:rFonts w:ascii="Arial" w:cs="Arial" w:eastAsia="Arial" w:hAnsi="Arial"/>
                <w:sz w:val="16"/>
                <w:szCs w:val="16"/>
                <w:b w:val="1"/>
                <w:bCs w:val="1"/>
                <w:color w:val="auto"/>
              </w:rPr>
              <w:t>(Name of Person(s) Filing Proxy Statement, if other than the Registrant)</w:t>
            </w:r>
          </w:p>
        </w:tc>
        <w:tc>
          <w:tcPr>
            <w:tcW w:w="660" w:type="dxa"/>
            <w:vAlign w:val="bottom"/>
          </w:tcPr>
          <w:p>
            <w:pPr>
              <w:spacing w:after="0"/>
              <w:rPr>
                <w:sz w:val="19"/>
                <w:szCs w:val="19"/>
                <w:color w:val="auto"/>
              </w:rPr>
            </w:pPr>
          </w:p>
        </w:tc>
      </w:tr>
      <w:tr>
        <w:trPr>
          <w:trHeight w:val="343"/>
        </w:trPr>
        <w:tc>
          <w:tcPr>
            <w:tcW w:w="640" w:type="dxa"/>
            <w:vAlign w:val="bottom"/>
          </w:tcPr>
          <w:p>
            <w:pPr>
              <w:spacing w:after="0"/>
              <w:rPr>
                <w:sz w:val="24"/>
                <w:szCs w:val="24"/>
                <w:color w:val="auto"/>
              </w:rPr>
            </w:pPr>
          </w:p>
        </w:tc>
        <w:tc>
          <w:tcPr>
            <w:tcW w:w="9720" w:type="dxa"/>
            <w:vAlign w:val="bottom"/>
            <w:gridSpan w:val="3"/>
          </w:tcPr>
          <w:p>
            <w:pPr>
              <w:spacing w:after="0"/>
              <w:rPr>
                <w:sz w:val="20"/>
                <w:szCs w:val="20"/>
                <w:color w:val="auto"/>
              </w:rPr>
            </w:pPr>
            <w:r>
              <w:rPr>
                <w:rFonts w:ascii="Arial" w:cs="Arial" w:eastAsia="Arial" w:hAnsi="Arial"/>
                <w:sz w:val="16"/>
                <w:szCs w:val="16"/>
                <w:color w:val="auto"/>
              </w:rPr>
              <w:t>Payment of Filing Fee (Check all boxes that apply):</w:t>
            </w:r>
          </w:p>
        </w:tc>
        <w:tc>
          <w:tcPr>
            <w:tcW w:w="660" w:type="dxa"/>
            <w:vAlign w:val="bottom"/>
          </w:tcPr>
          <w:p>
            <w:pPr>
              <w:spacing w:after="0"/>
              <w:rPr>
                <w:sz w:val="24"/>
                <w:szCs w:val="24"/>
                <w:color w:val="auto"/>
              </w:rPr>
            </w:pPr>
          </w:p>
        </w:tc>
      </w:tr>
      <w:tr>
        <w:trPr>
          <w:trHeight w:val="360"/>
        </w:trPr>
        <w:tc>
          <w:tcPr>
            <w:tcW w:w="64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1"/>
                <w:szCs w:val="11"/>
                <w:color w:val="auto"/>
                <w:w w:val="72"/>
              </w:rPr>
              <w:t> </w:t>
            </w:r>
          </w:p>
        </w:tc>
        <w:tc>
          <w:tcPr>
            <w:tcW w:w="320" w:type="dxa"/>
            <w:vAlign w:val="bottom"/>
          </w:tcPr>
          <w:p>
            <w:pPr>
              <w:ind w:left="6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w:t>
            </w:r>
          </w:p>
        </w:tc>
        <w:tc>
          <w:tcPr>
            <w:tcW w:w="9300" w:type="dxa"/>
            <w:vAlign w:val="bottom"/>
          </w:tcPr>
          <w:p>
            <w:pPr>
              <w:ind w:left="60"/>
              <w:spacing w:after="0"/>
              <w:rPr>
                <w:sz w:val="20"/>
                <w:szCs w:val="20"/>
                <w:color w:val="auto"/>
              </w:rPr>
            </w:pPr>
            <w:r>
              <w:rPr>
                <w:rFonts w:ascii="Arial" w:cs="Arial" w:eastAsia="Arial" w:hAnsi="Arial"/>
                <w:sz w:val="16"/>
                <w:szCs w:val="16"/>
                <w:color w:val="auto"/>
              </w:rPr>
              <w:t>   No fee required</w:t>
            </w:r>
          </w:p>
        </w:tc>
        <w:tc>
          <w:tcPr>
            <w:tcW w:w="660" w:type="dxa"/>
            <w:vAlign w:val="bottom"/>
          </w:tcPr>
          <w:p>
            <w:pPr>
              <w:spacing w:after="0"/>
              <w:rPr>
                <w:sz w:val="24"/>
                <w:szCs w:val="24"/>
                <w:color w:val="auto"/>
              </w:rPr>
            </w:pPr>
          </w:p>
        </w:tc>
      </w:tr>
      <w:tr>
        <w:trPr>
          <w:trHeight w:val="283"/>
        </w:trPr>
        <w:tc>
          <w:tcPr>
            <w:tcW w:w="64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1"/>
                <w:szCs w:val="11"/>
                <w:color w:val="auto"/>
                <w:w w:val="72"/>
              </w:rPr>
              <w:t> </w:t>
            </w:r>
          </w:p>
        </w:tc>
        <w:tc>
          <w:tcPr>
            <w:tcW w:w="320" w:type="dxa"/>
            <w:vAlign w:val="bottom"/>
          </w:tcPr>
          <w:p>
            <w:pPr>
              <w:ind w:left="6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w:t>
            </w:r>
          </w:p>
        </w:tc>
        <w:tc>
          <w:tcPr>
            <w:tcW w:w="9300" w:type="dxa"/>
            <w:vAlign w:val="bottom"/>
          </w:tcPr>
          <w:p>
            <w:pPr>
              <w:ind w:left="60"/>
              <w:spacing w:after="0"/>
              <w:rPr>
                <w:sz w:val="20"/>
                <w:szCs w:val="20"/>
                <w:color w:val="auto"/>
              </w:rPr>
            </w:pPr>
            <w:r>
              <w:rPr>
                <w:rFonts w:ascii="Arial" w:cs="Arial" w:eastAsia="Arial" w:hAnsi="Arial"/>
                <w:sz w:val="16"/>
                <w:szCs w:val="16"/>
                <w:color w:val="auto"/>
              </w:rPr>
              <w:t>   Fee paid previously with preliminary materials</w:t>
            </w:r>
          </w:p>
        </w:tc>
        <w:tc>
          <w:tcPr>
            <w:tcW w:w="660" w:type="dxa"/>
            <w:vAlign w:val="bottom"/>
          </w:tcPr>
          <w:p>
            <w:pPr>
              <w:spacing w:after="0"/>
              <w:rPr>
                <w:sz w:val="24"/>
                <w:szCs w:val="24"/>
                <w:color w:val="auto"/>
              </w:rPr>
            </w:pPr>
          </w:p>
        </w:tc>
      </w:tr>
      <w:tr>
        <w:trPr>
          <w:trHeight w:val="310"/>
        </w:trPr>
        <w:tc>
          <w:tcPr>
            <w:tcW w:w="64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1"/>
                <w:szCs w:val="11"/>
                <w:color w:val="auto"/>
                <w:w w:val="72"/>
              </w:rPr>
              <w:t> </w:t>
            </w:r>
          </w:p>
        </w:tc>
        <w:tc>
          <w:tcPr>
            <w:tcW w:w="320" w:type="dxa"/>
            <w:vAlign w:val="bottom"/>
          </w:tcPr>
          <w:p>
            <w:pPr>
              <w:ind w:left="6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w:t>
            </w:r>
          </w:p>
        </w:tc>
        <w:tc>
          <w:tcPr>
            <w:tcW w:w="9300" w:type="dxa"/>
            <w:vAlign w:val="bottom"/>
          </w:tcPr>
          <w:p>
            <w:pPr>
              <w:ind w:left="60"/>
              <w:spacing w:after="0"/>
              <w:rPr>
                <w:sz w:val="20"/>
                <w:szCs w:val="20"/>
                <w:color w:val="auto"/>
              </w:rPr>
            </w:pPr>
            <w:r>
              <w:rPr>
                <w:rFonts w:ascii="Arial" w:cs="Arial" w:eastAsia="Arial" w:hAnsi="Arial"/>
                <w:sz w:val="16"/>
                <w:szCs w:val="16"/>
                <w:color w:val="auto"/>
              </w:rPr>
              <w:t>   Fee computed on table in exhibit required by Item 25(b) per Exchange Act Rules 14a-6(i)(1) and 0-11</w:t>
            </w:r>
          </w:p>
        </w:tc>
        <w:tc>
          <w:tcPr>
            <w:tcW w:w="660" w:type="dxa"/>
            <w:vAlign w:val="bottom"/>
          </w:tcPr>
          <w:p>
            <w:pPr>
              <w:spacing w:after="0"/>
              <w:rPr>
                <w:sz w:val="24"/>
                <w:szCs w:val="24"/>
                <w:color w:val="auto"/>
              </w:rPr>
            </w:pPr>
          </w:p>
        </w:tc>
      </w:tr>
      <w:tr>
        <w:trPr>
          <w:trHeight w:val="196"/>
        </w:trPr>
        <w:tc>
          <w:tcPr>
            <w:tcW w:w="6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300" w:type="dxa"/>
            <w:vAlign w:val="bottom"/>
            <w:tcBorders>
              <w:bottom w:val="single" w:sz="8" w:color="auto"/>
            </w:tcBorders>
          </w:tcPr>
          <w:p>
            <w:pPr>
              <w:spacing w:after="0"/>
              <w:rPr>
                <w:sz w:val="17"/>
                <w:szCs w:val="17"/>
                <w:color w:val="auto"/>
              </w:rPr>
            </w:pPr>
          </w:p>
        </w:tc>
        <w:tc>
          <w:tcPr>
            <w:tcW w:w="660" w:type="dxa"/>
            <w:vAlign w:val="bottom"/>
          </w:tcPr>
          <w:p>
            <w:pPr>
              <w:spacing w:after="0"/>
              <w:rPr>
                <w:sz w:val="17"/>
                <w:szCs w:val="17"/>
                <w:color w:val="auto"/>
              </w:rPr>
            </w:pPr>
          </w:p>
        </w:tc>
      </w:tr>
      <w:tr>
        <w:trPr>
          <w:trHeight w:val="82"/>
        </w:trPr>
        <w:tc>
          <w:tcPr>
            <w:tcW w:w="6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9300" w:type="dxa"/>
            <w:vAlign w:val="bottom"/>
            <w:tcBorders>
              <w:bottom w:val="single" w:sz="8" w:color="auto"/>
            </w:tcBorders>
          </w:tcPr>
          <w:p>
            <w:pPr>
              <w:spacing w:after="0"/>
              <w:rPr>
                <w:sz w:val="7"/>
                <w:szCs w:val="7"/>
                <w:color w:val="auto"/>
              </w:rPr>
            </w:pPr>
          </w:p>
        </w:tc>
        <w:tc>
          <w:tcPr>
            <w:tcW w:w="660" w:type="dxa"/>
            <w:vAlign w:val="bottom"/>
          </w:tcPr>
          <w:p>
            <w:pPr>
              <w:spacing w:after="0"/>
              <w:rPr>
                <w:sz w:val="7"/>
                <w:szCs w:val="7"/>
                <w:color w:val="auto"/>
              </w:rPr>
            </w:pPr>
          </w:p>
        </w:tc>
      </w:tr>
      <w:tr>
        <w:trPr>
          <w:trHeight w:val="183"/>
        </w:trPr>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3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23"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119380</wp:posOffset>
            </wp:positionV>
            <wp:extent cx="6720840" cy="90436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20840" cy="9043670"/>
                    </a:xfrm>
                    <a:prstGeom prst="rect">
                      <a:avLst/>
                    </a:prstGeom>
                    <a:noFill/>
                  </pic:spPr>
                </pic:pic>
              </a:graphicData>
            </a:graphic>
          </wp:anchor>
        </w:drawing>
      </w:r>
    </w:p>
    <w:p>
      <w:pPr>
        <w:sectPr>
          <w:pgSz w:w="11900" w:h="16838" w:orient="portrait"/>
          <w:cols w:equalWidth="0" w:num="1">
            <w:col w:w="10019"/>
          </w:cols>
          <w:pgMar w:left="44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3"/>
          <w:szCs w:val="23"/>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135255</wp:posOffset>
            </wp:positionV>
            <wp:extent cx="699516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19"/>
          </w:cols>
          <w:pgMar w:left="440" w:top="263" w:right="1440"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2318385</wp:posOffset>
            </wp:positionH>
            <wp:positionV relativeFrom="paragraph">
              <wp:posOffset>93345</wp:posOffset>
            </wp:positionV>
            <wp:extent cx="1337310" cy="6515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3731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  </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April 9, 2024</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Dear Fellow Stockholders:</w:t>
      </w:r>
    </w:p>
    <w:p>
      <w:pPr>
        <w:spacing w:after="0" w:line="154"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We are pleased to invite you to attend the 2024 annual meeting of stockholders (together with any postponement, adjournments or other delays thereof, the “Annual Meeting”) of Athira Pharma, Inc. (the “Company”). The Annual Meeting will be held on May 23, 2024, at 8:00 a.m., Pacific Time. The Annual Meeting will be conducted virtually via live audio webcast. You will be able to attend the Annual Meeting virtually by visiting www.virtualshareholdermeeting.com/ATHA2024, where you will be able to listen to the meeting live, submit questions and vote online.</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The attached formal meeting notice and proxy statement contain details of the business to be conducted at the Annual Meeting.</w:t>
      </w:r>
    </w:p>
    <w:p>
      <w:pPr>
        <w:spacing w:after="0" w:line="154"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Your vote is important. Whether or not you attend the Annual Meeting virtually, it is important that your shares be represented and voted at the Annual Meeting. Therefore, we urge you to vote and submit your proxy promptly via the internet, telephone or mail.</w:t>
      </w:r>
    </w:p>
    <w:p>
      <w:pPr>
        <w:spacing w:after="0" w:line="156" w:lineRule="exact"/>
        <w:rPr>
          <w:sz w:val="20"/>
          <w:szCs w:val="20"/>
          <w:color w:val="auto"/>
        </w:rPr>
      </w:pPr>
    </w:p>
    <w:p>
      <w:pPr>
        <w:ind w:right="400"/>
        <w:spacing w:after="0" w:line="286" w:lineRule="auto"/>
        <w:rPr>
          <w:sz w:val="20"/>
          <w:szCs w:val="20"/>
          <w:color w:val="auto"/>
        </w:rPr>
      </w:pPr>
      <w:r>
        <w:rPr>
          <w:rFonts w:ascii="Arial" w:cs="Arial" w:eastAsia="Arial" w:hAnsi="Arial"/>
          <w:sz w:val="16"/>
          <w:szCs w:val="16"/>
          <w:color w:val="auto"/>
        </w:rPr>
        <w:t>On behalf of our board of directors, we would like to express our appreciation for your continued support of and interest in the Company.</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Sincerely,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207645</wp:posOffset>
            </wp:positionV>
            <wp:extent cx="720090" cy="3346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090"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Mark J. Litton, Ph.D.</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President and Chief Executive Officer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Athira Pharma,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121920</wp:posOffset>
            </wp:positionV>
            <wp:extent cx="69951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60"/>
          </w:cols>
          <w:pgMar w:left="1240" w:top="263" w:right="12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4632960</wp:posOffset>
            </wp:positionH>
            <wp:positionV relativeFrom="paragraph">
              <wp:posOffset>93345</wp:posOffset>
            </wp:positionV>
            <wp:extent cx="1337310" cy="6515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3731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  </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F8991D"/>
        </w:rPr>
        <w:t>NOTICE OF 2024</w:t>
      </w:r>
    </w:p>
    <w:p>
      <w:pPr>
        <w:spacing w:after="0" w:line="47" w:lineRule="exact"/>
        <w:rPr>
          <w:sz w:val="20"/>
          <w:szCs w:val="20"/>
          <w:color w:val="auto"/>
        </w:rPr>
      </w:pPr>
    </w:p>
    <w:p>
      <w:pPr>
        <w:spacing w:after="0"/>
        <w:rPr>
          <w:sz w:val="20"/>
          <w:szCs w:val="20"/>
          <w:color w:val="auto"/>
        </w:rPr>
      </w:pPr>
      <w:r>
        <w:rPr>
          <w:rFonts w:ascii="Arial" w:cs="Arial" w:eastAsia="Arial" w:hAnsi="Arial"/>
          <w:sz w:val="57"/>
          <w:szCs w:val="57"/>
          <w:color w:val="255993"/>
        </w:rPr>
        <w:t>Annual Meeting</w:t>
      </w:r>
    </w:p>
    <w:p>
      <w:pPr>
        <w:spacing w:after="0" w:line="64" w:lineRule="exact"/>
        <w:rPr>
          <w:sz w:val="20"/>
          <w:szCs w:val="20"/>
          <w:color w:val="auto"/>
        </w:rPr>
      </w:pPr>
    </w:p>
    <w:p>
      <w:pPr>
        <w:spacing w:after="0"/>
        <w:rPr>
          <w:sz w:val="20"/>
          <w:szCs w:val="20"/>
          <w:color w:val="auto"/>
        </w:rPr>
      </w:pPr>
      <w:r>
        <w:rPr>
          <w:rFonts w:ascii="Arial" w:cs="Arial" w:eastAsia="Arial" w:hAnsi="Arial"/>
          <w:sz w:val="58"/>
          <w:szCs w:val="58"/>
          <w:color w:val="255993"/>
        </w:rPr>
        <w:t>of Stockholders</w:t>
      </w:r>
    </w:p>
    <w:p>
      <w:pPr>
        <w:sectPr>
          <w:pgSz w:w="11900" w:h="16838" w:orient="portrait"/>
          <w:cols w:equalWidth="0" w:num="1">
            <w:col w:w="9380"/>
          </w:cols>
          <w:pgMar w:left="1240" w:top="263" w:right="127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2"/>
          <w:szCs w:val="12"/>
          <w:color w:val="auto"/>
        </w:rPr>
        <w:t>Meeting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17780</wp:posOffset>
            </wp:positionV>
            <wp:extent cx="49720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9720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color w:val="F8991D"/>
        </w:rPr>
        <w:t>TO OUR STOCKHOLDERS,</w:t>
      </w:r>
    </w:p>
    <w:p>
      <w:pPr>
        <w:spacing w:after="0" w:line="160" w:lineRule="exact"/>
        <w:rPr>
          <w:sz w:val="20"/>
          <w:szCs w:val="20"/>
          <w:color w:val="auto"/>
        </w:rPr>
      </w:pPr>
    </w:p>
    <w:p>
      <w:pPr>
        <w:sectPr>
          <w:pgSz w:w="11900" w:h="16838" w:orient="portrait"/>
          <w:cols w:equalWidth="0" w:num="2">
            <w:col w:w="1020" w:space="720"/>
            <w:col w:w="7640"/>
          </w:cols>
          <w:pgMar w:left="1240" w:top="263" w:right="12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4"/>
          <w:szCs w:val="14"/>
          <w:color w:val="auto"/>
        </w:rPr>
        <w:t>May 23,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-515620</wp:posOffset>
            </wp:positionV>
            <wp:extent cx="299720" cy="2825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9720" cy="282575"/>
                    </a:xfrm>
                    <a:prstGeom prst="rect">
                      <a:avLst/>
                    </a:prstGeom>
                    <a:noFill/>
                  </pic:spPr>
                </pic:pic>
              </a:graphicData>
            </a:graphic>
          </wp:anchor>
        </w:drawing>
      </w:r>
    </w:p>
    <w:p>
      <w:pPr>
        <w:spacing w:after="0" w:line="323" w:lineRule="exact"/>
        <w:rPr>
          <w:sz w:val="20"/>
          <w:szCs w:val="20"/>
          <w:color w:val="auto"/>
        </w:rPr>
      </w:pPr>
    </w:p>
    <w:p>
      <w:pPr>
        <w:spacing w:after="0"/>
        <w:rPr>
          <w:sz w:val="20"/>
          <w:szCs w:val="20"/>
          <w:color w:val="auto"/>
        </w:rPr>
      </w:pPr>
      <w:r>
        <w:rPr>
          <w:rFonts w:ascii="Arial" w:cs="Arial" w:eastAsia="Arial" w:hAnsi="Arial"/>
          <w:sz w:val="13"/>
          <w:szCs w:val="13"/>
          <w:color w:val="auto"/>
        </w:rPr>
        <w:t>Meeting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5060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0609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224790</wp:posOffset>
            </wp:positionV>
            <wp:extent cx="265430" cy="3003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6543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color w:val="auto"/>
        </w:rPr>
        <w:t>8:00 a.m.,</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Pacific Time</w:t>
      </w:r>
    </w:p>
    <w:p>
      <w:pPr>
        <w:spacing w:after="0" w:line="316" w:lineRule="exact"/>
        <w:rPr>
          <w:sz w:val="20"/>
          <w:szCs w:val="20"/>
          <w:color w:val="auto"/>
        </w:rPr>
      </w:pPr>
    </w:p>
    <w:p>
      <w:pPr>
        <w:spacing w:after="0"/>
        <w:rPr>
          <w:sz w:val="20"/>
          <w:szCs w:val="20"/>
          <w:color w:val="auto"/>
        </w:rPr>
      </w:pPr>
      <w:r>
        <w:rPr>
          <w:rFonts w:ascii="Arial" w:cs="Arial" w:eastAsia="Arial" w:hAnsi="Arial"/>
          <w:sz w:val="12"/>
          <w:szCs w:val="12"/>
          <w:color w:val="auto"/>
        </w:rPr>
        <w:t>Meeting 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6343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34365"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232410</wp:posOffset>
            </wp:positionV>
            <wp:extent cx="205740" cy="3003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05740" cy="3003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300"/>
        <w:spacing w:after="0" w:line="266" w:lineRule="auto"/>
        <w:rPr>
          <w:sz w:val="20"/>
          <w:szCs w:val="20"/>
          <w:color w:val="auto"/>
        </w:rPr>
      </w:pPr>
      <w:r>
        <w:rPr>
          <w:rFonts w:ascii="Arial" w:cs="Arial" w:eastAsia="Arial" w:hAnsi="Arial"/>
          <w:sz w:val="16"/>
          <w:szCs w:val="16"/>
          <w:color w:val="auto"/>
        </w:rPr>
        <w:t>You are cordially invited to attend the annual meeting of stockholders virtually (together with any postponement, adjournments or other delays thereof, the “Annual Meeting”) of Athira Pharma, Inc.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23495</wp:posOffset>
            </wp:positionV>
            <wp:extent cx="4869180" cy="22117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869180" cy="2211705"/>
                    </a:xfrm>
                    <a:prstGeom prst="rect">
                      <a:avLst/>
                    </a:prstGeom>
                    <a:noFill/>
                  </pic:spPr>
                </pic:pic>
              </a:graphicData>
            </a:graphic>
          </wp:anchor>
        </w:drawing>
      </w:r>
    </w:p>
    <w:p>
      <w:pPr>
        <w:spacing w:after="0" w:line="69" w:lineRule="exact"/>
        <w:rPr>
          <w:sz w:val="20"/>
          <w:szCs w:val="20"/>
          <w:color w:val="auto"/>
        </w:rPr>
      </w:pPr>
    </w:p>
    <w:p>
      <w:pPr>
        <w:ind w:left="1080"/>
        <w:spacing w:after="0"/>
        <w:rPr>
          <w:sz w:val="20"/>
          <w:szCs w:val="20"/>
          <w:color w:val="auto"/>
        </w:rPr>
      </w:pPr>
      <w:r>
        <w:rPr>
          <w:rFonts w:ascii="Arial" w:cs="Arial" w:eastAsia="Arial" w:hAnsi="Arial"/>
          <w:sz w:val="14"/>
          <w:szCs w:val="14"/>
          <w:color w:val="auto"/>
        </w:rPr>
        <w:t>To elect three Class I directors of the Company, each to serve for a term of three years and until his or</w:t>
      </w:r>
    </w:p>
    <w:p>
      <w:pPr>
        <w:spacing w:after="0" w:line="74" w:lineRule="exact"/>
        <w:rPr>
          <w:sz w:val="20"/>
          <w:szCs w:val="20"/>
          <w:color w:val="auto"/>
        </w:rPr>
      </w:pPr>
    </w:p>
    <w:p>
      <w:pPr>
        <w:ind w:left="1080" w:right="520" w:hanging="689"/>
        <w:spacing w:after="0" w:line="180" w:lineRule="auto"/>
        <w:tabs>
          <w:tab w:leader="none" w:pos="1080" w:val="left"/>
        </w:tabs>
        <w:numPr>
          <w:ilvl w:val="0"/>
          <w:numId w:val="1"/>
        </w:numPr>
        <w:rPr>
          <w:rFonts w:ascii="Arial" w:cs="Arial" w:eastAsia="Arial" w:hAnsi="Arial"/>
          <w:sz w:val="39"/>
          <w:szCs w:val="39"/>
          <w:color w:val="255993"/>
        </w:rPr>
      </w:pPr>
      <w:r>
        <w:rPr>
          <w:rFonts w:ascii="Arial" w:cs="Arial" w:eastAsia="Arial" w:hAnsi="Arial"/>
          <w:sz w:val="13"/>
          <w:szCs w:val="13"/>
          <w:color w:val="auto"/>
        </w:rPr>
        <w:t>her respective successor is elected and qualified, or until his or her earlier death, resignation or removal.</w:t>
      </w:r>
    </w:p>
    <w:p>
      <w:pPr>
        <w:spacing w:after="0" w:line="1" w:lineRule="exact"/>
        <w:rPr>
          <w:rFonts w:ascii="Arial" w:cs="Arial" w:eastAsia="Arial" w:hAnsi="Arial"/>
          <w:sz w:val="39"/>
          <w:szCs w:val="39"/>
          <w:color w:val="255993"/>
        </w:rPr>
      </w:pPr>
    </w:p>
    <w:p>
      <w:pPr>
        <w:ind w:left="1080"/>
        <w:spacing w:after="0"/>
        <w:rPr>
          <w:rFonts w:ascii="Arial" w:cs="Arial" w:eastAsia="Arial" w:hAnsi="Arial"/>
          <w:sz w:val="39"/>
          <w:szCs w:val="39"/>
          <w:color w:val="255993"/>
        </w:rPr>
      </w:pPr>
      <w:r>
        <w:rPr>
          <w:rFonts w:ascii="Arial" w:cs="Arial" w:eastAsia="Arial" w:hAnsi="Arial"/>
          <w:sz w:val="14"/>
          <w:szCs w:val="14"/>
          <w:color w:val="auto"/>
        </w:rPr>
        <w:t> </w:t>
      </w:r>
    </w:p>
    <w:p>
      <w:pPr>
        <w:spacing w:after="0" w:line="352" w:lineRule="exact"/>
        <w:rPr>
          <w:sz w:val="20"/>
          <w:szCs w:val="20"/>
          <w:color w:val="auto"/>
        </w:rPr>
      </w:pPr>
    </w:p>
    <w:p>
      <w:pPr>
        <w:ind w:left="1080" w:right="460" w:hanging="689"/>
        <w:spacing w:after="0" w:line="183" w:lineRule="auto"/>
        <w:tabs>
          <w:tab w:leader="none" w:pos="1080" w:val="left"/>
        </w:tabs>
        <w:numPr>
          <w:ilvl w:val="0"/>
          <w:numId w:val="2"/>
        </w:numPr>
        <w:rPr>
          <w:rFonts w:ascii="Arial" w:cs="Arial" w:eastAsia="Arial" w:hAnsi="Arial"/>
          <w:sz w:val="28"/>
          <w:szCs w:val="28"/>
          <w:color w:val="F8991D"/>
        </w:rPr>
      </w:pPr>
      <w:r>
        <w:rPr>
          <w:rFonts w:ascii="Arial" w:cs="Arial" w:eastAsia="Arial" w:hAnsi="Arial"/>
          <w:sz w:val="12"/>
          <w:szCs w:val="12"/>
          <w:color w:val="auto"/>
        </w:rPr>
        <w:t>To ratify the appointment of Ernst &amp; Young LLP as the Company’s independent registered public accounting firm for its fiscal year ending December 31, 2024.</w:t>
      </w:r>
    </w:p>
    <w:p>
      <w:pPr>
        <w:spacing w:after="0" w:line="200" w:lineRule="exact"/>
        <w:rPr>
          <w:sz w:val="20"/>
          <w:szCs w:val="20"/>
          <w:color w:val="auto"/>
        </w:rPr>
      </w:pPr>
    </w:p>
    <w:p>
      <w:pPr>
        <w:spacing w:after="0" w:line="300" w:lineRule="exact"/>
        <w:rPr>
          <w:sz w:val="20"/>
          <w:szCs w:val="20"/>
          <w:color w:val="auto"/>
        </w:rPr>
      </w:pPr>
    </w:p>
    <w:p>
      <w:pPr>
        <w:ind w:left="1080" w:right="60" w:hanging="689"/>
        <w:spacing w:after="0" w:line="183" w:lineRule="auto"/>
        <w:tabs>
          <w:tab w:leader="none" w:pos="1080" w:val="left"/>
        </w:tabs>
        <w:numPr>
          <w:ilvl w:val="0"/>
          <w:numId w:val="3"/>
        </w:numPr>
        <w:rPr>
          <w:rFonts w:ascii="Arial" w:cs="Arial" w:eastAsia="Arial" w:hAnsi="Arial"/>
          <w:sz w:val="28"/>
          <w:szCs w:val="28"/>
          <w:color w:val="6CCAD0"/>
        </w:rPr>
      </w:pPr>
      <w:r>
        <w:rPr>
          <w:rFonts w:ascii="Arial" w:cs="Arial" w:eastAsia="Arial" w:hAnsi="Arial"/>
          <w:sz w:val="12"/>
          <w:szCs w:val="12"/>
          <w:color w:val="auto"/>
        </w:rPr>
        <w:t>To approve an amendment to the Company’s amended and restated certificate of incorporation to limit the liability of officers as permitted by Delaware law.</w:t>
      </w:r>
    </w:p>
    <w:p>
      <w:pPr>
        <w:spacing w:after="0" w:line="150" w:lineRule="exact"/>
        <w:rPr>
          <w:sz w:val="20"/>
          <w:szCs w:val="20"/>
          <w:color w:val="auto"/>
        </w:rPr>
      </w:pPr>
    </w:p>
    <w:p>
      <w:pPr>
        <w:ind w:left="1080" w:hanging="689"/>
        <w:spacing w:after="0"/>
        <w:tabs>
          <w:tab w:leader="none" w:pos="1080" w:val="left"/>
        </w:tabs>
        <w:numPr>
          <w:ilvl w:val="0"/>
          <w:numId w:val="4"/>
        </w:numPr>
        <w:rPr>
          <w:rFonts w:ascii="Arial" w:cs="Arial" w:eastAsia="Arial" w:hAnsi="Arial"/>
          <w:sz w:val="54"/>
          <w:szCs w:val="54"/>
          <w:color w:val="255993"/>
        </w:rPr>
      </w:pPr>
      <w:r>
        <w:rPr>
          <w:rFonts w:ascii="Arial" w:cs="Arial" w:eastAsia="Arial" w:hAnsi="Arial"/>
          <w:sz w:val="14"/>
          <w:szCs w:val="14"/>
          <w:color w:val="auto"/>
        </w:rPr>
        <w:t>To transact other business that may properly come before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236855</wp:posOffset>
            </wp:positionV>
            <wp:extent cx="48691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020" w:space="720"/>
            <w:col w:w="7640"/>
          </w:cols>
          <w:pgMar w:left="1240" w:top="263" w:right="1279" w:bottom="1440" w:gutter="0" w:footer="0" w:header="0"/>
          <w:type w:val="continuous"/>
        </w:sectPr>
      </w:pPr>
    </w:p>
    <w:p>
      <w:pPr>
        <w:spacing w:after="0" w:line="312" w:lineRule="exact"/>
        <w:rPr>
          <w:sz w:val="20"/>
          <w:szCs w:val="20"/>
          <w:color w:val="auto"/>
        </w:rPr>
      </w:pPr>
    </w:p>
    <w:p>
      <w:pPr>
        <w:spacing w:after="0" w:line="245" w:lineRule="auto"/>
        <w:rPr>
          <w:sz w:val="20"/>
          <w:szCs w:val="20"/>
          <w:color w:val="auto"/>
        </w:rPr>
      </w:pPr>
      <w:r>
        <w:rPr>
          <w:rFonts w:ascii="Arial" w:cs="Arial" w:eastAsia="Arial" w:hAnsi="Arial"/>
          <w:sz w:val="14"/>
          <w:szCs w:val="14"/>
          <w:color w:val="auto"/>
        </w:rPr>
        <w:t>The Annual Meeting will be conducted virtually via live audio webcast. You will be able to attend the Annual Meeting virtually by visiting</w:t>
      </w:r>
    </w:p>
    <w:p>
      <w:pPr>
        <w:spacing w:after="0" w:line="162" w:lineRule="exact"/>
        <w:rPr>
          <w:sz w:val="20"/>
          <w:szCs w:val="20"/>
          <w:color w:val="auto"/>
        </w:rPr>
      </w:pPr>
    </w:p>
    <w:p>
      <w:pPr>
        <w:ind w:firstLine="6"/>
        <w:spacing w:after="0" w:line="245" w:lineRule="auto"/>
        <w:tabs>
          <w:tab w:leader="none" w:pos="384" w:val="left"/>
        </w:tabs>
        <w:numPr>
          <w:ilvl w:val="0"/>
          <w:numId w:val="5"/>
        </w:numPr>
        <w:rPr>
          <w:rFonts w:ascii="Arial" w:cs="Arial" w:eastAsia="Arial" w:hAnsi="Arial"/>
          <w:sz w:val="14"/>
          <w:szCs w:val="14"/>
          <w:color w:val="auto"/>
        </w:rPr>
      </w:pPr>
      <w:r>
        <w:rPr>
          <w:rFonts w:ascii="Arial" w:cs="Arial" w:eastAsia="Arial" w:hAnsi="Arial"/>
          <w:sz w:val="14"/>
          <w:szCs w:val="14"/>
          <w:color w:val="auto"/>
        </w:rPr>
        <w:t>virtualshareholder meeting.com/ATHA2024, where you will be able to listen to the meeting live, submit questions and vote online during the meeting.</w:t>
      </w:r>
    </w:p>
    <w:p>
      <w:pPr>
        <w:spacing w:after="0" w:line="298" w:lineRule="exact"/>
        <w:rPr>
          <w:sz w:val="20"/>
          <w:szCs w:val="20"/>
          <w:color w:val="auto"/>
        </w:rPr>
      </w:pPr>
    </w:p>
    <w:p>
      <w:pPr>
        <w:spacing w:after="0"/>
        <w:rPr>
          <w:sz w:val="20"/>
          <w:szCs w:val="20"/>
          <w:color w:val="auto"/>
        </w:rPr>
      </w:pPr>
      <w:r>
        <w:rPr>
          <w:rFonts w:ascii="Arial" w:cs="Arial" w:eastAsia="Arial" w:hAnsi="Arial"/>
          <w:sz w:val="13"/>
          <w:szCs w:val="13"/>
          <w:color w:val="auto"/>
        </w:rPr>
        <w:t>Record Date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49720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9720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224790</wp:posOffset>
            </wp:positionV>
            <wp:extent cx="299720" cy="2825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99720" cy="282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4"/>
          <w:szCs w:val="14"/>
          <w:color w:val="auto"/>
        </w:rPr>
        <w:t>March 26, 2024</w:t>
      </w:r>
    </w:p>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The foregoing items of business are more fully described in the proxy statement accompanying this Notice of Internet Availability.</w:t>
      </w:r>
    </w:p>
    <w:p>
      <w:pPr>
        <w:spacing w:after="0" w:line="1"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The Notice of Internet Availability of Proxy Materials (the “Notice of Internet Availability”), containing instructions on how to access our proxy statement, notice of Annual Meeting, form of proxy and our annual report, is first being sent or given on or about April 9, 2024 to all stockholders entitled to vote at the Annual Meeting. The Notice of Internet Availability provides instructions on how to vote online or by telephone and includes instructions on how to receive a paper copy of proxy materials by mail. The proxy materials and our annual report can be accessed as of April 9, 2024 by visiting www.proxyvote.com. All you have to do is enter the control number located on your proxy card.</w:t>
      </w:r>
    </w:p>
    <w:p>
      <w:pPr>
        <w:spacing w:after="0" w:line="33"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Only stockholders of record as of March 26, 2024 are entitled to notice of and to vote at the Annual Meeting. For ten days prior to the Annual Meeting, a complete list of stockholders of record entitled to vote at the Annual Meeting will be available for examination by any stockholder for any purpose relevant to the Annual Meeting. If you would like to view the list, please contact our corporate secretary to schedule an appointment by calling (425) 620-8520 or writing to Athira Pharma, Inc., 18706 North Creek Parkway, Suite 104, Bothell, Washington 98011, Attention: Corporate Secretary.</w:t>
      </w:r>
    </w:p>
    <w:p>
      <w:pPr>
        <w:spacing w:after="0" w:line="33"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If your shares of common stock are held in a brokerage account or by a broker, bank or other nominee (i.e., your shares are held beneficially in “street name”), you will receive a voting instruction form from the holder of record. You must provide voting instructions by completing the voting instruction form and returning it to your broker, bank or other nominee for your shares to be voted. We recommend that you instruct your broker, bank or other nominee to vote your shares using the voting instruction form. The availability of internet and telephone voting options will depend on the voting process of your broker, bank or other nominee.</w:t>
      </w:r>
    </w:p>
    <w:p>
      <w:pPr>
        <w:spacing w:after="0" w:line="19" w:lineRule="exact"/>
        <w:rPr>
          <w:sz w:val="20"/>
          <w:szCs w:val="20"/>
          <w:color w:val="auto"/>
        </w:rPr>
      </w:pPr>
    </w:p>
    <w:p>
      <w:pPr>
        <w:ind w:right="320"/>
        <w:spacing w:after="0" w:line="286" w:lineRule="auto"/>
        <w:rPr>
          <w:sz w:val="20"/>
          <w:szCs w:val="20"/>
          <w:color w:val="auto"/>
        </w:rPr>
      </w:pPr>
      <w:r>
        <w:rPr>
          <w:rFonts w:ascii="Arial" w:cs="Arial" w:eastAsia="Arial" w:hAnsi="Arial"/>
          <w:sz w:val="16"/>
          <w:szCs w:val="16"/>
          <w:color w:val="auto"/>
        </w:rPr>
        <w:t>Whether or not you plan to attend the virtual Annual Meeting, we urge you to submit your proxy via the internet or telephone or by mail as soon as possible.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-1614805</wp:posOffset>
            </wp:positionH>
            <wp:positionV relativeFrom="paragraph">
              <wp:posOffset>90805</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1600" w:space="140"/>
            <w:col w:w="7640"/>
          </w:cols>
          <w:pgMar w:left="1240" w:top="263" w:right="127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123825</wp:posOffset>
            </wp:positionV>
            <wp:extent cx="4954905" cy="8743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954905" cy="87439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120"/>
        <w:spacing w:after="0"/>
        <w:rPr>
          <w:sz w:val="20"/>
          <w:szCs w:val="20"/>
          <w:color w:val="auto"/>
        </w:rPr>
      </w:pPr>
      <w:r>
        <w:rPr>
          <w:rFonts w:ascii="Arial" w:cs="Arial" w:eastAsia="Arial" w:hAnsi="Arial"/>
          <w:sz w:val="14"/>
          <w:szCs w:val="14"/>
          <w:color w:val="auto"/>
        </w:rPr>
        <w:t>Your Vote Is Important</w:t>
      </w:r>
    </w:p>
    <w:p>
      <w:pPr>
        <w:spacing w:after="0" w:line="200" w:lineRule="exact"/>
        <w:rPr>
          <w:sz w:val="20"/>
          <w:szCs w:val="20"/>
          <w:color w:val="auto"/>
        </w:rPr>
      </w:pPr>
    </w:p>
    <w:p>
      <w:pPr>
        <w:spacing w:after="0" w:line="206" w:lineRule="exact"/>
        <w:rPr>
          <w:sz w:val="20"/>
          <w:szCs w:val="20"/>
          <w:color w:val="auto"/>
        </w:rPr>
      </w:pPr>
    </w:p>
    <w:p>
      <w:pPr>
        <w:ind w:left="120" w:right="1560"/>
        <w:spacing w:after="0" w:line="285" w:lineRule="auto"/>
        <w:rPr>
          <w:sz w:val="20"/>
          <w:szCs w:val="20"/>
          <w:color w:val="auto"/>
        </w:rPr>
      </w:pPr>
      <w:r>
        <w:rPr>
          <w:rFonts w:ascii="Arial" w:cs="Arial" w:eastAsia="Arial" w:hAnsi="Arial"/>
          <w:sz w:val="14"/>
          <w:szCs w:val="14"/>
          <w:color w:val="255993"/>
        </w:rPr>
        <w:t>Whether or not you plan to attend the virtual Annual Meeting, we urge you to submit your proxy or voting instructions via the Internet, telephone or mail as soon as possible.</w:t>
      </w:r>
    </w:p>
    <w:p>
      <w:pPr>
        <w:spacing w:after="0" w:line="328" w:lineRule="exact"/>
        <w:rPr>
          <w:sz w:val="20"/>
          <w:szCs w:val="20"/>
          <w:color w:val="auto"/>
        </w:rPr>
      </w:pPr>
    </w:p>
    <w:p>
      <w:pPr>
        <w:spacing w:after="0"/>
        <w:rPr>
          <w:sz w:val="20"/>
          <w:szCs w:val="20"/>
          <w:color w:val="auto"/>
        </w:rPr>
      </w:pPr>
      <w:r>
        <w:rPr>
          <w:rFonts w:ascii="Arial" w:cs="Arial" w:eastAsia="Arial" w:hAnsi="Arial"/>
          <w:sz w:val="16"/>
          <w:szCs w:val="16"/>
          <w:color w:val="auto"/>
        </w:rPr>
        <w:t>By order of the Board of Directors,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207645</wp:posOffset>
            </wp:positionV>
            <wp:extent cx="720090" cy="3340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090" cy="334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Mark J. Litton, Ph.D.</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President and Chief Executive Officer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Athira Pharma, Inc.</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Bothell, Washington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April 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121920</wp:posOffset>
            </wp:positionV>
            <wp:extent cx="5966460" cy="15087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966460" cy="150876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Important Notice Regarding the availability of proxy materials for the Annual Meeting to be held on May 23, 2024.</w:t>
      </w:r>
    </w:p>
    <w:p>
      <w:pPr>
        <w:spacing w:after="0" w:line="200" w:lineRule="exact"/>
        <w:rPr>
          <w:sz w:val="20"/>
          <w:szCs w:val="20"/>
          <w:color w:val="auto"/>
        </w:rPr>
      </w:pPr>
    </w:p>
    <w:p>
      <w:pPr>
        <w:spacing w:after="0" w:line="215" w:lineRule="exact"/>
        <w:rPr>
          <w:sz w:val="20"/>
          <w:szCs w:val="20"/>
          <w:color w:val="auto"/>
        </w:rPr>
      </w:pPr>
    </w:p>
    <w:p>
      <w:pPr>
        <w:ind w:left="120"/>
        <w:spacing w:after="0" w:line="256" w:lineRule="auto"/>
        <w:rPr>
          <w:sz w:val="20"/>
          <w:szCs w:val="20"/>
          <w:color w:val="auto"/>
        </w:rPr>
      </w:pPr>
      <w:r>
        <w:rPr>
          <w:rFonts w:ascii="Arial" w:cs="Arial" w:eastAsia="Arial" w:hAnsi="Arial"/>
          <w:sz w:val="14"/>
          <w:szCs w:val="14"/>
          <w:color w:val="255993"/>
        </w:rPr>
        <w:t>The proxy statement, the accompanying proxy card, and the Annual Report on Form 10-K for the fiscal year ended December 31, 2023 are available free of charge at www.proxyvote.com. Information on this website, other than this proxy statement, is not a part of this proxy statement. Please sign, date and promptly return the proxy card, or submit your proxy and voting instructions over the Internet or by telephone by following the instructions on the proxy card, so that you may be represented at the Annual Meeting.</w:t>
      </w:r>
    </w:p>
    <w:p>
      <w:pPr>
        <w:spacing w:after="0" w:line="285" w:lineRule="exact"/>
        <w:rPr>
          <w:sz w:val="20"/>
          <w:szCs w:val="20"/>
          <w:color w:val="auto"/>
        </w:rPr>
      </w:pPr>
    </w:p>
    <w:p>
      <w:pPr>
        <w:ind w:left="120" w:right="40"/>
        <w:spacing w:after="0" w:line="285" w:lineRule="auto"/>
        <w:rPr>
          <w:sz w:val="20"/>
          <w:szCs w:val="20"/>
          <w:color w:val="auto"/>
        </w:rPr>
      </w:pPr>
      <w:r>
        <w:rPr>
          <w:rFonts w:ascii="Arial" w:cs="Arial" w:eastAsia="Arial" w:hAnsi="Arial"/>
          <w:sz w:val="14"/>
          <w:szCs w:val="14"/>
          <w:color w:val="255993"/>
        </w:rPr>
        <w:t>The accompanying proxy statement provides a detailed description of the business to be conducted at the Annual Meeting. We urge you to read the accompanying proxy statement, including the appendices, carefully and in their entirety.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234315</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00"/>
          </w:cols>
          <w:pgMar w:left="1240" w:top="263" w:right="1359" w:bottom="1440" w:gutter="0" w:footer="0" w:header="0"/>
        </w:sectPr>
      </w:pPr>
    </w:p>
    <w:bookmarkStart w:id="5" w:name="page6"/>
    <w:bookmarkEnd w:id="5"/>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F8991D"/>
        </w:rPr>
        <w:t>2024 PROXY STATEMENT</w:t>
      </w:r>
    </w:p>
    <w:p>
      <w:pPr>
        <w:spacing w:after="0" w:line="47" w:lineRule="exact"/>
        <w:rPr>
          <w:sz w:val="20"/>
          <w:szCs w:val="20"/>
          <w:color w:val="auto"/>
        </w:rPr>
      </w:pPr>
    </w:p>
    <w:p>
      <w:pPr>
        <w:spacing w:after="0"/>
        <w:rPr>
          <w:sz w:val="20"/>
          <w:szCs w:val="20"/>
          <w:color w:val="auto"/>
        </w:rPr>
      </w:pPr>
      <w:r>
        <w:rPr>
          <w:rFonts w:ascii="Arial" w:cs="Arial" w:eastAsia="Arial" w:hAnsi="Arial"/>
          <w:sz w:val="56"/>
          <w:szCs w:val="56"/>
          <w:color w:val="255993"/>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301625</wp:posOffset>
            </wp:positionV>
            <wp:extent cx="5966460" cy="84607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966460" cy="8460740"/>
                    </a:xfrm>
                    <a:prstGeom prst="rect">
                      <a:avLst/>
                    </a:prstGeom>
                    <a:noFill/>
                  </pic:spPr>
                </pic:pic>
              </a:graphicData>
            </a:graphic>
          </wp:anchor>
        </w:drawing>
      </w:r>
    </w:p>
    <w:p>
      <w:pPr>
        <w:sectPr>
          <w:pgSz w:w="11900" w:h="16867" w:orient="portrait"/>
          <w:cols w:equalWidth="0" w:num="1">
            <w:col w:w="9400"/>
          </w:cols>
          <w:pgMar w:left="1240" w:top="263" w:right="12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0"/>
        <w:spacing w:after="0"/>
        <w:rPr>
          <w:sz w:val="20"/>
          <w:szCs w:val="20"/>
          <w:color w:val="auto"/>
        </w:rPr>
      </w:pPr>
      <w:r>
        <w:rPr>
          <w:rFonts w:ascii="Arial" w:cs="Arial" w:eastAsia="Arial" w:hAnsi="Arial"/>
          <w:sz w:val="16"/>
          <w:szCs w:val="16"/>
          <w:b w:val="1"/>
          <w:bCs w:val="1"/>
          <w:u w:val="single" w:color="auto"/>
          <w:color w:val="0000EE"/>
        </w:rPr>
        <w:t>PROXY STATEMENT SUMMARY</w:t>
      </w:r>
    </w:p>
    <w:p>
      <w:pPr>
        <w:spacing w:after="0" w:line="370" w:lineRule="exact"/>
        <w:rPr>
          <w:sz w:val="20"/>
          <w:szCs w:val="20"/>
          <w:color w:val="auto"/>
        </w:rPr>
      </w:pPr>
    </w:p>
    <w:p>
      <w:pPr>
        <w:ind w:left="60"/>
        <w:spacing w:after="0"/>
        <w:rPr>
          <w:sz w:val="20"/>
          <w:szCs w:val="20"/>
          <w:color w:val="auto"/>
        </w:rPr>
      </w:pPr>
      <w:r>
        <w:rPr>
          <w:rFonts w:ascii="Arial" w:cs="Arial" w:eastAsia="Arial" w:hAnsi="Arial"/>
          <w:sz w:val="16"/>
          <w:szCs w:val="16"/>
          <w:b w:val="1"/>
          <w:bCs w:val="1"/>
          <w:u w:val="single" w:color="auto"/>
          <w:color w:val="0000EE"/>
        </w:rPr>
        <w:t>QUESTIONS AND ANSWERS ABOUT THE PROXY MATERIALS AND OUR ANNUAL MEETING</w:t>
      </w:r>
    </w:p>
    <w:p>
      <w:pPr>
        <w:spacing w:after="0" w:line="370" w:lineRule="exact"/>
        <w:rPr>
          <w:sz w:val="20"/>
          <w:szCs w:val="20"/>
          <w:color w:val="auto"/>
        </w:rPr>
      </w:pPr>
    </w:p>
    <w:p>
      <w:pPr>
        <w:ind w:left="60"/>
        <w:spacing w:after="0"/>
        <w:rPr>
          <w:sz w:val="20"/>
          <w:szCs w:val="20"/>
          <w:color w:val="auto"/>
        </w:rPr>
      </w:pPr>
      <w:r>
        <w:rPr>
          <w:rFonts w:ascii="Arial" w:cs="Arial" w:eastAsia="Arial" w:hAnsi="Arial"/>
          <w:sz w:val="16"/>
          <w:szCs w:val="16"/>
          <w:b w:val="1"/>
          <w:bCs w:val="1"/>
          <w:u w:val="single" w:color="auto"/>
          <w:color w:val="0000EE"/>
        </w:rPr>
        <w:t>BOARD OF DIRECTORS AND CORPORATE GOVERNANCE</w:t>
      </w:r>
    </w:p>
    <w:p>
      <w:pPr>
        <w:spacing w:after="0" w:line="388" w:lineRule="exact"/>
        <w:rPr>
          <w:sz w:val="20"/>
          <w:szCs w:val="20"/>
          <w:color w:val="auto"/>
        </w:rPr>
      </w:pPr>
    </w:p>
    <w:p>
      <w:pPr>
        <w:ind w:left="240"/>
        <w:spacing w:after="0"/>
        <w:rPr>
          <w:sz w:val="20"/>
          <w:szCs w:val="20"/>
          <w:color w:val="auto"/>
        </w:rPr>
      </w:pPr>
      <w:r>
        <w:rPr>
          <w:rFonts w:ascii="Arial" w:cs="Arial" w:eastAsia="Arial" w:hAnsi="Arial"/>
          <w:sz w:val="14"/>
          <w:szCs w:val="14"/>
          <w:u w:val="single" w:color="auto"/>
          <w:color w:val="0000EE"/>
        </w:rPr>
        <w:t>Composition of the Board of Directors</w:t>
      </w:r>
    </w:p>
    <w:p>
      <w:pPr>
        <w:spacing w:after="0" w:line="393" w:lineRule="exact"/>
        <w:rPr>
          <w:sz w:val="20"/>
          <w:szCs w:val="20"/>
          <w:color w:val="auto"/>
        </w:rPr>
      </w:pPr>
    </w:p>
    <w:p>
      <w:pPr>
        <w:ind w:left="240"/>
        <w:spacing w:after="0"/>
        <w:rPr>
          <w:sz w:val="20"/>
          <w:szCs w:val="20"/>
          <w:color w:val="auto"/>
        </w:rPr>
      </w:pPr>
      <w:r>
        <w:rPr>
          <w:rFonts w:ascii="Arial" w:cs="Arial" w:eastAsia="Arial" w:hAnsi="Arial"/>
          <w:sz w:val="14"/>
          <w:szCs w:val="14"/>
          <w:u w:val="single" w:color="auto"/>
          <w:color w:val="0000EE"/>
        </w:rPr>
        <w:t>Nominees for Director</w:t>
      </w:r>
    </w:p>
    <w:p>
      <w:pPr>
        <w:spacing w:after="0" w:line="393" w:lineRule="exact"/>
        <w:rPr>
          <w:sz w:val="20"/>
          <w:szCs w:val="20"/>
          <w:color w:val="auto"/>
        </w:rPr>
      </w:pPr>
    </w:p>
    <w:p>
      <w:pPr>
        <w:ind w:left="240"/>
        <w:spacing w:after="0"/>
        <w:rPr>
          <w:sz w:val="20"/>
          <w:szCs w:val="20"/>
          <w:color w:val="auto"/>
        </w:rPr>
      </w:pPr>
      <w:r>
        <w:rPr>
          <w:rFonts w:ascii="Arial" w:cs="Arial" w:eastAsia="Arial" w:hAnsi="Arial"/>
          <w:sz w:val="14"/>
          <w:szCs w:val="14"/>
          <w:u w:val="single" w:color="auto"/>
          <w:color w:val="0000EE"/>
        </w:rPr>
        <w:t>Continuing Directors</w:t>
      </w:r>
    </w:p>
    <w:p>
      <w:pPr>
        <w:spacing w:after="0" w:line="393" w:lineRule="exact"/>
        <w:rPr>
          <w:sz w:val="20"/>
          <w:szCs w:val="20"/>
          <w:color w:val="auto"/>
        </w:rPr>
      </w:pPr>
    </w:p>
    <w:p>
      <w:pPr>
        <w:ind w:left="240"/>
        <w:spacing w:after="0"/>
        <w:rPr>
          <w:sz w:val="20"/>
          <w:szCs w:val="20"/>
          <w:color w:val="auto"/>
        </w:rPr>
      </w:pPr>
      <w:r>
        <w:rPr>
          <w:rFonts w:ascii="Arial" w:cs="Arial" w:eastAsia="Arial" w:hAnsi="Arial"/>
          <w:sz w:val="14"/>
          <w:szCs w:val="14"/>
          <w:u w:val="single" w:color="auto"/>
          <w:color w:val="0000EE"/>
        </w:rPr>
        <w:t>Director Independence</w:t>
      </w:r>
    </w:p>
    <w:p>
      <w:pPr>
        <w:spacing w:after="0" w:line="393" w:lineRule="exact"/>
        <w:rPr>
          <w:sz w:val="20"/>
          <w:szCs w:val="20"/>
          <w:color w:val="auto"/>
        </w:rPr>
      </w:pPr>
    </w:p>
    <w:p>
      <w:pPr>
        <w:ind w:left="240"/>
        <w:spacing w:after="0"/>
        <w:rPr>
          <w:sz w:val="20"/>
          <w:szCs w:val="20"/>
          <w:color w:val="auto"/>
        </w:rPr>
      </w:pPr>
      <w:r>
        <w:rPr>
          <w:rFonts w:ascii="Arial" w:cs="Arial" w:eastAsia="Arial" w:hAnsi="Arial"/>
          <w:sz w:val="14"/>
          <w:szCs w:val="14"/>
          <w:u w:val="single" w:color="auto"/>
          <w:color w:val="0000EE"/>
        </w:rPr>
        <w:t>Board Leadership Structure</w:t>
      </w:r>
    </w:p>
    <w:p>
      <w:pPr>
        <w:spacing w:after="0" w:line="393" w:lineRule="exact"/>
        <w:rPr>
          <w:sz w:val="20"/>
          <w:szCs w:val="20"/>
          <w:color w:val="auto"/>
        </w:rPr>
      </w:pPr>
    </w:p>
    <w:p>
      <w:pPr>
        <w:ind w:left="240"/>
        <w:spacing w:after="0"/>
        <w:rPr>
          <w:sz w:val="20"/>
          <w:szCs w:val="20"/>
          <w:color w:val="auto"/>
        </w:rPr>
      </w:pPr>
      <w:r>
        <w:rPr>
          <w:rFonts w:ascii="Arial" w:cs="Arial" w:eastAsia="Arial" w:hAnsi="Arial"/>
          <w:sz w:val="14"/>
          <w:szCs w:val="14"/>
          <w:u w:val="single" w:color="auto"/>
          <w:color w:val="0000EE"/>
        </w:rPr>
        <w:t>Role of Board in Risk Oversight Process</w:t>
      </w:r>
    </w:p>
    <w:p>
      <w:pPr>
        <w:spacing w:after="0" w:line="393" w:lineRule="exact"/>
        <w:rPr>
          <w:sz w:val="20"/>
          <w:szCs w:val="20"/>
          <w:color w:val="auto"/>
        </w:rPr>
      </w:pPr>
    </w:p>
    <w:p>
      <w:pPr>
        <w:ind w:left="240"/>
        <w:spacing w:after="0"/>
        <w:rPr>
          <w:sz w:val="20"/>
          <w:szCs w:val="20"/>
          <w:color w:val="auto"/>
        </w:rPr>
      </w:pPr>
      <w:r>
        <w:rPr>
          <w:rFonts w:ascii="Arial" w:cs="Arial" w:eastAsia="Arial" w:hAnsi="Arial"/>
          <w:sz w:val="14"/>
          <w:szCs w:val="14"/>
          <w:u w:val="single" w:color="auto"/>
          <w:color w:val="0000EE"/>
        </w:rPr>
        <w:t>Attendance at Board and Stockholder Meetings</w:t>
      </w:r>
    </w:p>
    <w:p>
      <w:pPr>
        <w:spacing w:after="0" w:line="393" w:lineRule="exact"/>
        <w:rPr>
          <w:sz w:val="20"/>
          <w:szCs w:val="20"/>
          <w:color w:val="auto"/>
        </w:rPr>
      </w:pPr>
    </w:p>
    <w:p>
      <w:pPr>
        <w:ind w:left="240"/>
        <w:spacing w:after="0"/>
        <w:rPr>
          <w:sz w:val="20"/>
          <w:szCs w:val="20"/>
          <w:color w:val="auto"/>
        </w:rPr>
      </w:pPr>
      <w:r>
        <w:rPr>
          <w:rFonts w:ascii="Arial" w:cs="Arial" w:eastAsia="Arial" w:hAnsi="Arial"/>
          <w:sz w:val="14"/>
          <w:szCs w:val="14"/>
          <w:u w:val="single" w:color="auto"/>
          <w:color w:val="0000EE"/>
        </w:rPr>
        <w:t>Executive Sessions of Non-Employee Directors</w:t>
      </w:r>
    </w:p>
    <w:p>
      <w:pPr>
        <w:spacing w:after="0" w:line="393" w:lineRule="exact"/>
        <w:rPr>
          <w:sz w:val="20"/>
          <w:szCs w:val="20"/>
          <w:color w:val="auto"/>
        </w:rPr>
      </w:pPr>
    </w:p>
    <w:p>
      <w:pPr>
        <w:ind w:left="240"/>
        <w:spacing w:after="0"/>
        <w:rPr>
          <w:sz w:val="20"/>
          <w:szCs w:val="20"/>
          <w:color w:val="auto"/>
        </w:rPr>
      </w:pPr>
      <w:r>
        <w:rPr>
          <w:rFonts w:ascii="Arial" w:cs="Arial" w:eastAsia="Arial" w:hAnsi="Arial"/>
          <w:sz w:val="14"/>
          <w:szCs w:val="14"/>
          <w:u w:val="single" w:color="auto"/>
          <w:color w:val="0000EE"/>
        </w:rPr>
        <w:t>Board Diversity</w:t>
      </w:r>
    </w:p>
    <w:p>
      <w:pPr>
        <w:spacing w:after="0" w:line="393" w:lineRule="exact"/>
        <w:rPr>
          <w:sz w:val="20"/>
          <w:szCs w:val="20"/>
          <w:color w:val="auto"/>
        </w:rPr>
      </w:pPr>
    </w:p>
    <w:p>
      <w:pPr>
        <w:ind w:left="240"/>
        <w:spacing w:after="0"/>
        <w:rPr>
          <w:sz w:val="20"/>
          <w:szCs w:val="20"/>
          <w:color w:val="auto"/>
        </w:rPr>
      </w:pPr>
      <w:r>
        <w:rPr>
          <w:rFonts w:ascii="Arial" w:cs="Arial" w:eastAsia="Arial" w:hAnsi="Arial"/>
          <w:sz w:val="14"/>
          <w:szCs w:val="14"/>
          <w:u w:val="single" w:color="auto"/>
          <w:color w:val="0000EE"/>
        </w:rPr>
        <w:t>Board Committees</w:t>
      </w:r>
    </w:p>
    <w:p>
      <w:pPr>
        <w:spacing w:after="0" w:line="393" w:lineRule="exact"/>
        <w:rPr>
          <w:sz w:val="20"/>
          <w:szCs w:val="20"/>
          <w:color w:val="auto"/>
        </w:rPr>
      </w:pPr>
    </w:p>
    <w:p>
      <w:pPr>
        <w:ind w:left="240"/>
        <w:spacing w:after="0"/>
        <w:rPr>
          <w:sz w:val="20"/>
          <w:szCs w:val="20"/>
          <w:color w:val="auto"/>
        </w:rPr>
      </w:pPr>
      <w:r>
        <w:rPr>
          <w:rFonts w:ascii="Arial" w:cs="Arial" w:eastAsia="Arial" w:hAnsi="Arial"/>
          <w:sz w:val="14"/>
          <w:szCs w:val="14"/>
          <w:u w:val="single" w:color="auto"/>
          <w:color w:val="0000EE"/>
        </w:rPr>
        <w:t>Considerations in Evaluating Director Nominees</w:t>
      </w:r>
    </w:p>
    <w:p>
      <w:pPr>
        <w:spacing w:after="0" w:line="393" w:lineRule="exact"/>
        <w:rPr>
          <w:sz w:val="20"/>
          <w:szCs w:val="20"/>
          <w:color w:val="auto"/>
        </w:rPr>
      </w:pPr>
    </w:p>
    <w:p>
      <w:pPr>
        <w:ind w:left="240"/>
        <w:spacing w:after="0"/>
        <w:rPr>
          <w:sz w:val="20"/>
          <w:szCs w:val="20"/>
          <w:color w:val="auto"/>
        </w:rPr>
      </w:pPr>
      <w:r>
        <w:rPr>
          <w:rFonts w:ascii="Arial" w:cs="Arial" w:eastAsia="Arial" w:hAnsi="Arial"/>
          <w:sz w:val="14"/>
          <w:szCs w:val="14"/>
          <w:u w:val="single" w:color="auto"/>
          <w:color w:val="0000EE"/>
        </w:rPr>
        <w:t>Stockholder Recommendations and Nominations to our Board of Directors</w:t>
      </w:r>
    </w:p>
    <w:p>
      <w:pPr>
        <w:spacing w:after="0" w:line="393" w:lineRule="exact"/>
        <w:rPr>
          <w:sz w:val="20"/>
          <w:szCs w:val="20"/>
          <w:color w:val="auto"/>
        </w:rPr>
      </w:pPr>
    </w:p>
    <w:p>
      <w:pPr>
        <w:ind w:left="240"/>
        <w:spacing w:after="0"/>
        <w:rPr>
          <w:sz w:val="20"/>
          <w:szCs w:val="20"/>
          <w:color w:val="auto"/>
        </w:rPr>
      </w:pPr>
      <w:r>
        <w:rPr>
          <w:rFonts w:ascii="Arial" w:cs="Arial" w:eastAsia="Arial" w:hAnsi="Arial"/>
          <w:sz w:val="14"/>
          <w:szCs w:val="14"/>
          <w:u w:val="single" w:color="auto"/>
          <w:color w:val="0000EE"/>
        </w:rPr>
        <w:t>Communications with the Board of Directors</w:t>
      </w:r>
    </w:p>
    <w:p>
      <w:pPr>
        <w:spacing w:after="0" w:line="393" w:lineRule="exact"/>
        <w:rPr>
          <w:sz w:val="20"/>
          <w:szCs w:val="20"/>
          <w:color w:val="auto"/>
        </w:rPr>
      </w:pPr>
    </w:p>
    <w:p>
      <w:pPr>
        <w:ind w:left="240"/>
        <w:spacing w:after="0"/>
        <w:rPr>
          <w:sz w:val="20"/>
          <w:szCs w:val="20"/>
          <w:color w:val="auto"/>
        </w:rPr>
      </w:pPr>
      <w:r>
        <w:rPr>
          <w:rFonts w:ascii="Arial" w:cs="Arial" w:eastAsia="Arial" w:hAnsi="Arial"/>
          <w:sz w:val="14"/>
          <w:szCs w:val="14"/>
          <w:u w:val="single" w:color="auto"/>
          <w:color w:val="0000EE"/>
        </w:rPr>
        <w:t>Policy Prohibiting Hedging or Pledging of Securities</w:t>
      </w:r>
    </w:p>
    <w:p>
      <w:pPr>
        <w:spacing w:after="0" w:line="393" w:lineRule="exact"/>
        <w:rPr>
          <w:sz w:val="20"/>
          <w:szCs w:val="20"/>
          <w:color w:val="auto"/>
        </w:rPr>
      </w:pPr>
    </w:p>
    <w:p>
      <w:pPr>
        <w:ind w:left="240"/>
        <w:spacing w:after="0"/>
        <w:rPr>
          <w:sz w:val="20"/>
          <w:szCs w:val="20"/>
          <w:color w:val="auto"/>
        </w:rPr>
      </w:pPr>
      <w:r>
        <w:rPr>
          <w:rFonts w:ascii="Arial" w:cs="Arial" w:eastAsia="Arial" w:hAnsi="Arial"/>
          <w:sz w:val="14"/>
          <w:szCs w:val="14"/>
          <w:u w:val="single" w:color="auto"/>
          <w:color w:val="0000EE"/>
        </w:rPr>
        <w:t>Code of Business Conduct and Ethics</w:t>
      </w:r>
    </w:p>
    <w:p>
      <w:pPr>
        <w:spacing w:after="0" w:line="393" w:lineRule="exact"/>
        <w:rPr>
          <w:sz w:val="20"/>
          <w:szCs w:val="20"/>
          <w:color w:val="auto"/>
        </w:rPr>
      </w:pPr>
    </w:p>
    <w:p>
      <w:pPr>
        <w:ind w:left="240"/>
        <w:spacing w:after="0"/>
        <w:rPr>
          <w:sz w:val="20"/>
          <w:szCs w:val="20"/>
          <w:color w:val="auto"/>
        </w:rPr>
      </w:pPr>
      <w:r>
        <w:rPr>
          <w:rFonts w:ascii="Arial" w:cs="Arial" w:eastAsia="Arial" w:hAnsi="Arial"/>
          <w:sz w:val="14"/>
          <w:szCs w:val="14"/>
          <w:u w:val="single" w:color="auto"/>
          <w:color w:val="0000EE"/>
        </w:rPr>
        <w:t>Environmental, Social and Governance (ESG) and Related Matters</w:t>
      </w:r>
    </w:p>
    <w:p>
      <w:pPr>
        <w:spacing w:after="0" w:line="393" w:lineRule="exact"/>
        <w:rPr>
          <w:sz w:val="20"/>
          <w:szCs w:val="20"/>
          <w:color w:val="auto"/>
        </w:rPr>
      </w:pPr>
    </w:p>
    <w:p>
      <w:pPr>
        <w:ind w:left="240"/>
        <w:spacing w:after="0"/>
        <w:rPr>
          <w:sz w:val="20"/>
          <w:szCs w:val="20"/>
          <w:color w:val="auto"/>
        </w:rPr>
      </w:pPr>
      <w:r>
        <w:rPr>
          <w:rFonts w:ascii="Arial" w:cs="Arial" w:eastAsia="Arial" w:hAnsi="Arial"/>
          <w:sz w:val="14"/>
          <w:szCs w:val="14"/>
          <w:u w:val="single" w:color="auto"/>
          <w:color w:val="0000EE"/>
        </w:rPr>
        <w:t>Director Compensation</w:t>
      </w:r>
    </w:p>
    <w:p>
      <w:pPr>
        <w:spacing w:after="0" w:line="374" w:lineRule="exact"/>
        <w:rPr>
          <w:sz w:val="20"/>
          <w:szCs w:val="20"/>
          <w:color w:val="auto"/>
        </w:rPr>
      </w:pPr>
    </w:p>
    <w:p>
      <w:pPr>
        <w:ind w:left="60"/>
        <w:spacing w:after="0"/>
        <w:rPr>
          <w:sz w:val="20"/>
          <w:szCs w:val="20"/>
          <w:color w:val="auto"/>
        </w:rPr>
      </w:pPr>
      <w:r>
        <w:rPr>
          <w:rFonts w:ascii="Arial" w:cs="Arial" w:eastAsia="Arial" w:hAnsi="Arial"/>
          <w:sz w:val="16"/>
          <w:szCs w:val="16"/>
          <w:b w:val="1"/>
          <w:bCs w:val="1"/>
          <w:u w:val="single" w:color="auto"/>
          <w:color w:val="0000EE"/>
        </w:rPr>
        <w:t>PROPOSAL NO. 1: ELECTION OF CLASS I DIRECTORS</w:t>
      </w:r>
    </w:p>
    <w:p>
      <w:pPr>
        <w:spacing w:after="0" w:line="388" w:lineRule="exact"/>
        <w:rPr>
          <w:sz w:val="20"/>
          <w:szCs w:val="20"/>
          <w:color w:val="auto"/>
        </w:rPr>
      </w:pPr>
    </w:p>
    <w:p>
      <w:pPr>
        <w:ind w:left="240"/>
        <w:spacing w:after="0"/>
        <w:rPr>
          <w:sz w:val="20"/>
          <w:szCs w:val="20"/>
          <w:color w:val="auto"/>
        </w:rPr>
      </w:pPr>
      <w:r>
        <w:rPr>
          <w:rFonts w:ascii="Arial" w:cs="Arial" w:eastAsia="Arial" w:hAnsi="Arial"/>
          <w:sz w:val="14"/>
          <w:szCs w:val="14"/>
          <w:u w:val="single" w:color="auto"/>
          <w:color w:val="0000EE"/>
        </w:rPr>
        <w:t>Nominees</w:t>
      </w:r>
    </w:p>
    <w:p>
      <w:pPr>
        <w:spacing w:after="0" w:line="393" w:lineRule="exact"/>
        <w:rPr>
          <w:sz w:val="20"/>
          <w:szCs w:val="20"/>
          <w:color w:val="auto"/>
        </w:rPr>
      </w:pPr>
    </w:p>
    <w:p>
      <w:pPr>
        <w:ind w:left="240"/>
        <w:spacing w:after="0"/>
        <w:rPr>
          <w:sz w:val="20"/>
          <w:szCs w:val="20"/>
          <w:color w:val="auto"/>
        </w:rPr>
      </w:pPr>
      <w:r>
        <w:rPr>
          <w:rFonts w:ascii="Arial" w:cs="Arial" w:eastAsia="Arial" w:hAnsi="Arial"/>
          <w:sz w:val="14"/>
          <w:szCs w:val="14"/>
          <w:u w:val="single" w:color="auto"/>
          <w:color w:val="0000EE"/>
        </w:rPr>
        <w:t>Vote Required</w:t>
      </w:r>
    </w:p>
    <w:p>
      <w:pPr>
        <w:spacing w:after="0" w:line="393" w:lineRule="exact"/>
        <w:rPr>
          <w:sz w:val="20"/>
          <w:szCs w:val="20"/>
          <w:color w:val="auto"/>
        </w:rPr>
      </w:pPr>
    </w:p>
    <w:p>
      <w:pPr>
        <w:ind w:left="240"/>
        <w:spacing w:after="0"/>
        <w:rPr>
          <w:sz w:val="20"/>
          <w:szCs w:val="20"/>
          <w:color w:val="auto"/>
        </w:rPr>
      </w:pPr>
      <w:r>
        <w:rPr>
          <w:rFonts w:ascii="Arial" w:cs="Arial" w:eastAsia="Arial" w:hAnsi="Arial"/>
          <w:sz w:val="14"/>
          <w:szCs w:val="14"/>
          <w:u w:val="single" w:color="auto"/>
          <w:color w:val="0000EE"/>
        </w:rPr>
        <w:t>Board Recommendation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5" w:lineRule="exact"/>
        <w:rPr>
          <w:sz w:val="20"/>
          <w:szCs w:val="20"/>
          <w:color w:val="auto"/>
        </w:rPr>
      </w:pPr>
    </w:p>
    <w:p>
      <w:pPr>
        <w:jc w:val="right"/>
        <w:spacing w:after="0"/>
        <w:rPr>
          <w:sz w:val="20"/>
          <w:szCs w:val="20"/>
          <w:color w:val="auto"/>
        </w:rPr>
      </w:pPr>
      <w:r>
        <w:rPr>
          <w:rFonts w:ascii="Arial" w:cs="Arial" w:eastAsia="Arial" w:hAnsi="Arial"/>
          <w:sz w:val="29"/>
          <w:szCs w:val="29"/>
          <w:u w:val="single" w:color="auto"/>
          <w:color w:val="0000EE"/>
        </w:rPr>
        <w:t>1</w:t>
      </w:r>
    </w:p>
    <w:p>
      <w:pPr>
        <w:spacing w:after="0" w:line="220" w:lineRule="exact"/>
        <w:rPr>
          <w:sz w:val="20"/>
          <w:szCs w:val="20"/>
          <w:color w:val="auto"/>
        </w:rPr>
      </w:pPr>
    </w:p>
    <w:p>
      <w:pPr>
        <w:jc w:val="right"/>
        <w:spacing w:after="0"/>
        <w:rPr>
          <w:sz w:val="20"/>
          <w:szCs w:val="20"/>
          <w:color w:val="auto"/>
        </w:rPr>
      </w:pPr>
      <w:r>
        <w:rPr>
          <w:rFonts w:ascii="Arial" w:cs="Arial" w:eastAsia="Arial" w:hAnsi="Arial"/>
          <w:sz w:val="29"/>
          <w:szCs w:val="29"/>
          <w:u w:val="single" w:color="auto"/>
          <w:color w:val="0000EE"/>
        </w:rPr>
        <w:t>2</w:t>
      </w:r>
    </w:p>
    <w:p>
      <w:pPr>
        <w:spacing w:after="0" w:line="220" w:lineRule="exact"/>
        <w:rPr>
          <w:sz w:val="20"/>
          <w:szCs w:val="20"/>
          <w:color w:val="auto"/>
        </w:rPr>
      </w:pPr>
    </w:p>
    <w:p>
      <w:pPr>
        <w:jc w:val="right"/>
        <w:spacing w:after="0"/>
        <w:rPr>
          <w:sz w:val="20"/>
          <w:szCs w:val="20"/>
          <w:color w:val="auto"/>
        </w:rPr>
      </w:pPr>
      <w:r>
        <w:rPr>
          <w:rFonts w:ascii="Arial" w:cs="Arial" w:eastAsia="Arial" w:hAnsi="Arial"/>
          <w:sz w:val="29"/>
          <w:szCs w:val="29"/>
          <w:u w:val="single" w:color="auto"/>
          <w:color w:val="0000EE"/>
        </w:rPr>
        <w:t>9</w:t>
      </w:r>
    </w:p>
    <w:p>
      <w:pPr>
        <w:spacing w:after="0" w:line="220" w:lineRule="exact"/>
        <w:rPr>
          <w:sz w:val="20"/>
          <w:szCs w:val="20"/>
          <w:color w:val="auto"/>
        </w:rPr>
      </w:pPr>
    </w:p>
    <w:p>
      <w:pPr>
        <w:jc w:val="right"/>
        <w:spacing w:after="0"/>
        <w:rPr>
          <w:sz w:val="20"/>
          <w:szCs w:val="20"/>
          <w:color w:val="auto"/>
        </w:rPr>
      </w:pPr>
      <w:r>
        <w:rPr>
          <w:rFonts w:ascii="Arial" w:cs="Arial" w:eastAsia="Arial" w:hAnsi="Arial"/>
          <w:sz w:val="29"/>
          <w:szCs w:val="29"/>
          <w:u w:val="single" w:color="auto"/>
          <w:color w:val="0000EE"/>
        </w:rPr>
        <w:t>9</w:t>
      </w:r>
    </w:p>
    <w:p>
      <w:pPr>
        <w:spacing w:after="0" w:line="220" w:lineRule="exact"/>
        <w:rPr>
          <w:sz w:val="20"/>
          <w:szCs w:val="20"/>
          <w:color w:val="auto"/>
        </w:rPr>
      </w:pPr>
    </w:p>
    <w:p>
      <w:pPr>
        <w:jc w:val="right"/>
        <w:spacing w:after="0"/>
        <w:rPr>
          <w:sz w:val="20"/>
          <w:szCs w:val="20"/>
          <w:color w:val="auto"/>
        </w:rPr>
      </w:pPr>
      <w:r>
        <w:rPr>
          <w:rFonts w:ascii="Arial" w:cs="Arial" w:eastAsia="Arial" w:hAnsi="Arial"/>
          <w:sz w:val="28"/>
          <w:szCs w:val="28"/>
          <w:u w:val="single" w:color="auto"/>
          <w:color w:val="0000EE"/>
        </w:rPr>
        <w:t>10</w:t>
      </w:r>
    </w:p>
    <w:p>
      <w:pPr>
        <w:spacing w:after="0" w:line="232" w:lineRule="exact"/>
        <w:rPr>
          <w:sz w:val="20"/>
          <w:szCs w:val="20"/>
          <w:color w:val="auto"/>
        </w:rPr>
      </w:pPr>
    </w:p>
    <w:p>
      <w:pPr>
        <w:jc w:val="right"/>
        <w:spacing w:after="0"/>
        <w:rPr>
          <w:sz w:val="20"/>
          <w:szCs w:val="20"/>
          <w:color w:val="auto"/>
        </w:rPr>
      </w:pPr>
      <w:r>
        <w:rPr>
          <w:rFonts w:ascii="Arial" w:cs="Arial" w:eastAsia="Arial" w:hAnsi="Arial"/>
          <w:sz w:val="28"/>
          <w:szCs w:val="28"/>
          <w:u w:val="single" w:color="auto"/>
          <w:color w:val="0000EE"/>
        </w:rPr>
        <w:t>12</w:t>
      </w:r>
    </w:p>
    <w:p>
      <w:pPr>
        <w:spacing w:after="0" w:line="232" w:lineRule="exact"/>
        <w:rPr>
          <w:sz w:val="20"/>
          <w:szCs w:val="20"/>
          <w:color w:val="auto"/>
        </w:rPr>
      </w:pPr>
    </w:p>
    <w:p>
      <w:pPr>
        <w:jc w:val="right"/>
        <w:spacing w:after="0"/>
        <w:rPr>
          <w:sz w:val="20"/>
          <w:szCs w:val="20"/>
          <w:color w:val="auto"/>
        </w:rPr>
      </w:pPr>
      <w:r>
        <w:rPr>
          <w:rFonts w:ascii="Arial" w:cs="Arial" w:eastAsia="Arial" w:hAnsi="Arial"/>
          <w:sz w:val="28"/>
          <w:szCs w:val="28"/>
          <w:u w:val="single" w:color="auto"/>
          <w:color w:val="0000EE"/>
        </w:rPr>
        <w:t>15</w:t>
      </w:r>
    </w:p>
    <w:p>
      <w:pPr>
        <w:spacing w:after="0" w:line="232" w:lineRule="exact"/>
        <w:rPr>
          <w:sz w:val="20"/>
          <w:szCs w:val="20"/>
          <w:color w:val="auto"/>
        </w:rPr>
      </w:pPr>
    </w:p>
    <w:p>
      <w:pPr>
        <w:jc w:val="right"/>
        <w:spacing w:after="0"/>
        <w:rPr>
          <w:sz w:val="20"/>
          <w:szCs w:val="20"/>
          <w:color w:val="auto"/>
        </w:rPr>
      </w:pPr>
      <w:r>
        <w:rPr>
          <w:rFonts w:ascii="Arial" w:cs="Arial" w:eastAsia="Arial" w:hAnsi="Arial"/>
          <w:sz w:val="28"/>
          <w:szCs w:val="28"/>
          <w:u w:val="single" w:color="auto"/>
          <w:color w:val="0000EE"/>
        </w:rPr>
        <w:t>15</w:t>
      </w:r>
    </w:p>
    <w:p>
      <w:pPr>
        <w:spacing w:after="0" w:line="232" w:lineRule="exact"/>
        <w:rPr>
          <w:sz w:val="20"/>
          <w:szCs w:val="20"/>
          <w:color w:val="auto"/>
        </w:rPr>
      </w:pPr>
    </w:p>
    <w:p>
      <w:pPr>
        <w:jc w:val="right"/>
        <w:spacing w:after="0"/>
        <w:rPr>
          <w:sz w:val="20"/>
          <w:szCs w:val="20"/>
          <w:color w:val="auto"/>
        </w:rPr>
      </w:pPr>
      <w:r>
        <w:rPr>
          <w:rFonts w:ascii="Arial" w:cs="Arial" w:eastAsia="Arial" w:hAnsi="Arial"/>
          <w:sz w:val="28"/>
          <w:szCs w:val="28"/>
          <w:u w:val="single" w:color="auto"/>
          <w:color w:val="0000EE"/>
        </w:rPr>
        <w:t>15</w:t>
      </w:r>
    </w:p>
    <w:p>
      <w:pPr>
        <w:spacing w:after="0" w:line="232" w:lineRule="exact"/>
        <w:rPr>
          <w:sz w:val="20"/>
          <w:szCs w:val="20"/>
          <w:color w:val="auto"/>
        </w:rPr>
      </w:pPr>
    </w:p>
    <w:p>
      <w:pPr>
        <w:jc w:val="right"/>
        <w:spacing w:after="0"/>
        <w:rPr>
          <w:sz w:val="20"/>
          <w:szCs w:val="20"/>
          <w:color w:val="auto"/>
        </w:rPr>
      </w:pPr>
      <w:r>
        <w:rPr>
          <w:rFonts w:ascii="Arial" w:cs="Arial" w:eastAsia="Arial" w:hAnsi="Arial"/>
          <w:sz w:val="28"/>
          <w:szCs w:val="28"/>
          <w:u w:val="single" w:color="auto"/>
          <w:color w:val="0000EE"/>
        </w:rPr>
        <w:t>16</w:t>
      </w:r>
    </w:p>
    <w:p>
      <w:pPr>
        <w:spacing w:after="0" w:line="232" w:lineRule="exact"/>
        <w:rPr>
          <w:sz w:val="20"/>
          <w:szCs w:val="20"/>
          <w:color w:val="auto"/>
        </w:rPr>
      </w:pPr>
    </w:p>
    <w:p>
      <w:pPr>
        <w:jc w:val="right"/>
        <w:spacing w:after="0"/>
        <w:rPr>
          <w:sz w:val="20"/>
          <w:szCs w:val="20"/>
          <w:color w:val="auto"/>
        </w:rPr>
      </w:pPr>
      <w:r>
        <w:rPr>
          <w:rFonts w:ascii="Arial" w:cs="Arial" w:eastAsia="Arial" w:hAnsi="Arial"/>
          <w:sz w:val="28"/>
          <w:szCs w:val="28"/>
          <w:u w:val="single" w:color="auto"/>
          <w:color w:val="0000EE"/>
        </w:rPr>
        <w:t>16</w:t>
      </w:r>
    </w:p>
    <w:p>
      <w:pPr>
        <w:spacing w:after="0" w:line="232" w:lineRule="exact"/>
        <w:rPr>
          <w:sz w:val="20"/>
          <w:szCs w:val="20"/>
          <w:color w:val="auto"/>
        </w:rPr>
      </w:pPr>
    </w:p>
    <w:p>
      <w:pPr>
        <w:jc w:val="right"/>
        <w:spacing w:after="0"/>
        <w:rPr>
          <w:sz w:val="20"/>
          <w:szCs w:val="20"/>
          <w:color w:val="auto"/>
        </w:rPr>
      </w:pPr>
      <w:r>
        <w:rPr>
          <w:rFonts w:ascii="Arial" w:cs="Arial" w:eastAsia="Arial" w:hAnsi="Arial"/>
          <w:sz w:val="28"/>
          <w:szCs w:val="28"/>
          <w:u w:val="single" w:color="auto"/>
          <w:color w:val="0000EE"/>
        </w:rPr>
        <w:t>16</w:t>
      </w:r>
    </w:p>
    <w:p>
      <w:pPr>
        <w:spacing w:after="0" w:line="232" w:lineRule="exact"/>
        <w:rPr>
          <w:sz w:val="20"/>
          <w:szCs w:val="20"/>
          <w:color w:val="auto"/>
        </w:rPr>
      </w:pPr>
    </w:p>
    <w:p>
      <w:pPr>
        <w:jc w:val="right"/>
        <w:spacing w:after="0"/>
        <w:rPr>
          <w:sz w:val="20"/>
          <w:szCs w:val="20"/>
          <w:color w:val="auto"/>
        </w:rPr>
      </w:pPr>
      <w:r>
        <w:rPr>
          <w:rFonts w:ascii="Arial" w:cs="Arial" w:eastAsia="Arial" w:hAnsi="Arial"/>
          <w:sz w:val="28"/>
          <w:szCs w:val="28"/>
          <w:u w:val="single" w:color="auto"/>
          <w:color w:val="0000EE"/>
        </w:rPr>
        <w:t>18</w:t>
      </w:r>
    </w:p>
    <w:p>
      <w:pPr>
        <w:spacing w:after="0" w:line="232" w:lineRule="exact"/>
        <w:rPr>
          <w:sz w:val="20"/>
          <w:szCs w:val="20"/>
          <w:color w:val="auto"/>
        </w:rPr>
      </w:pPr>
    </w:p>
    <w:p>
      <w:pPr>
        <w:jc w:val="right"/>
        <w:spacing w:after="0"/>
        <w:rPr>
          <w:sz w:val="20"/>
          <w:szCs w:val="20"/>
          <w:color w:val="auto"/>
        </w:rPr>
      </w:pPr>
      <w:r>
        <w:rPr>
          <w:rFonts w:ascii="Arial" w:cs="Arial" w:eastAsia="Arial" w:hAnsi="Arial"/>
          <w:sz w:val="28"/>
          <w:szCs w:val="28"/>
          <w:u w:val="single" w:color="auto"/>
          <w:color w:val="0000EE"/>
        </w:rPr>
        <w:t>20</w:t>
      </w:r>
    </w:p>
    <w:p>
      <w:pPr>
        <w:spacing w:after="0" w:line="232" w:lineRule="exact"/>
        <w:rPr>
          <w:sz w:val="20"/>
          <w:szCs w:val="20"/>
          <w:color w:val="auto"/>
        </w:rPr>
      </w:pPr>
    </w:p>
    <w:p>
      <w:pPr>
        <w:jc w:val="right"/>
        <w:spacing w:after="0"/>
        <w:rPr>
          <w:sz w:val="20"/>
          <w:szCs w:val="20"/>
          <w:color w:val="auto"/>
        </w:rPr>
      </w:pPr>
      <w:r>
        <w:rPr>
          <w:rFonts w:ascii="Arial" w:cs="Arial" w:eastAsia="Arial" w:hAnsi="Arial"/>
          <w:sz w:val="28"/>
          <w:szCs w:val="28"/>
          <w:u w:val="single" w:color="auto"/>
          <w:color w:val="0000EE"/>
        </w:rPr>
        <w:t>20</w:t>
      </w:r>
    </w:p>
    <w:p>
      <w:pPr>
        <w:spacing w:after="0" w:line="232" w:lineRule="exact"/>
        <w:rPr>
          <w:sz w:val="20"/>
          <w:szCs w:val="20"/>
          <w:color w:val="auto"/>
        </w:rPr>
      </w:pPr>
    </w:p>
    <w:p>
      <w:pPr>
        <w:jc w:val="right"/>
        <w:spacing w:after="0"/>
        <w:rPr>
          <w:sz w:val="20"/>
          <w:szCs w:val="20"/>
          <w:color w:val="auto"/>
        </w:rPr>
      </w:pPr>
      <w:r>
        <w:rPr>
          <w:rFonts w:ascii="Arial" w:cs="Arial" w:eastAsia="Arial" w:hAnsi="Arial"/>
          <w:sz w:val="28"/>
          <w:szCs w:val="28"/>
          <w:u w:val="single" w:color="auto"/>
          <w:color w:val="0000EE"/>
        </w:rPr>
        <w:t>21</w:t>
      </w:r>
    </w:p>
    <w:p>
      <w:pPr>
        <w:spacing w:after="0" w:line="232" w:lineRule="exact"/>
        <w:rPr>
          <w:sz w:val="20"/>
          <w:szCs w:val="20"/>
          <w:color w:val="auto"/>
        </w:rPr>
      </w:pPr>
    </w:p>
    <w:p>
      <w:pPr>
        <w:jc w:val="right"/>
        <w:spacing w:after="0"/>
        <w:rPr>
          <w:sz w:val="20"/>
          <w:szCs w:val="20"/>
          <w:color w:val="auto"/>
        </w:rPr>
      </w:pPr>
      <w:r>
        <w:rPr>
          <w:rFonts w:ascii="Arial" w:cs="Arial" w:eastAsia="Arial" w:hAnsi="Arial"/>
          <w:sz w:val="28"/>
          <w:szCs w:val="28"/>
          <w:u w:val="single" w:color="auto"/>
          <w:color w:val="0000EE"/>
        </w:rPr>
        <w:t>21</w:t>
      </w:r>
    </w:p>
    <w:p>
      <w:pPr>
        <w:spacing w:after="0" w:line="232" w:lineRule="exact"/>
        <w:rPr>
          <w:sz w:val="20"/>
          <w:szCs w:val="20"/>
          <w:color w:val="auto"/>
        </w:rPr>
      </w:pPr>
    </w:p>
    <w:p>
      <w:pPr>
        <w:jc w:val="right"/>
        <w:spacing w:after="0"/>
        <w:rPr>
          <w:sz w:val="20"/>
          <w:szCs w:val="20"/>
          <w:color w:val="auto"/>
        </w:rPr>
      </w:pPr>
      <w:r>
        <w:rPr>
          <w:rFonts w:ascii="Arial" w:cs="Arial" w:eastAsia="Arial" w:hAnsi="Arial"/>
          <w:sz w:val="28"/>
          <w:szCs w:val="28"/>
          <w:u w:val="single" w:color="auto"/>
          <w:color w:val="0000EE"/>
        </w:rPr>
        <w:t>21</w:t>
      </w:r>
    </w:p>
    <w:p>
      <w:pPr>
        <w:spacing w:after="0" w:line="232" w:lineRule="exact"/>
        <w:rPr>
          <w:sz w:val="20"/>
          <w:szCs w:val="20"/>
          <w:color w:val="auto"/>
        </w:rPr>
      </w:pPr>
    </w:p>
    <w:p>
      <w:pPr>
        <w:jc w:val="right"/>
        <w:spacing w:after="0"/>
        <w:rPr>
          <w:sz w:val="20"/>
          <w:szCs w:val="20"/>
          <w:color w:val="auto"/>
        </w:rPr>
      </w:pPr>
      <w:r>
        <w:rPr>
          <w:rFonts w:ascii="Arial" w:cs="Arial" w:eastAsia="Arial" w:hAnsi="Arial"/>
          <w:sz w:val="28"/>
          <w:szCs w:val="28"/>
          <w:u w:val="single" w:color="auto"/>
          <w:color w:val="0000EE"/>
        </w:rPr>
        <w:t>21</w:t>
      </w:r>
    </w:p>
    <w:p>
      <w:pPr>
        <w:spacing w:after="0" w:line="232" w:lineRule="exact"/>
        <w:rPr>
          <w:sz w:val="20"/>
          <w:szCs w:val="20"/>
          <w:color w:val="auto"/>
        </w:rPr>
      </w:pPr>
    </w:p>
    <w:p>
      <w:pPr>
        <w:jc w:val="right"/>
        <w:spacing w:after="0"/>
        <w:rPr>
          <w:sz w:val="20"/>
          <w:szCs w:val="20"/>
          <w:color w:val="auto"/>
        </w:rPr>
      </w:pPr>
      <w:r>
        <w:rPr>
          <w:rFonts w:ascii="Arial" w:cs="Arial" w:eastAsia="Arial" w:hAnsi="Arial"/>
          <w:sz w:val="28"/>
          <w:szCs w:val="28"/>
          <w:u w:val="single" w:color="auto"/>
          <w:color w:val="0000EE"/>
        </w:rPr>
        <w:t>22</w:t>
      </w:r>
    </w:p>
    <w:p>
      <w:pPr>
        <w:spacing w:after="0" w:line="232" w:lineRule="exact"/>
        <w:rPr>
          <w:sz w:val="20"/>
          <w:szCs w:val="20"/>
          <w:color w:val="auto"/>
        </w:rPr>
      </w:pPr>
    </w:p>
    <w:p>
      <w:pPr>
        <w:jc w:val="right"/>
        <w:spacing w:after="0"/>
        <w:rPr>
          <w:sz w:val="20"/>
          <w:szCs w:val="20"/>
          <w:color w:val="auto"/>
        </w:rPr>
      </w:pPr>
      <w:r>
        <w:rPr>
          <w:rFonts w:ascii="Arial" w:cs="Arial" w:eastAsia="Arial" w:hAnsi="Arial"/>
          <w:sz w:val="28"/>
          <w:szCs w:val="28"/>
          <w:u w:val="single" w:color="auto"/>
          <w:color w:val="0000EE"/>
        </w:rPr>
        <w:t>25</w:t>
      </w:r>
    </w:p>
    <w:p>
      <w:pPr>
        <w:spacing w:after="0" w:line="232" w:lineRule="exact"/>
        <w:rPr>
          <w:sz w:val="20"/>
          <w:szCs w:val="20"/>
          <w:color w:val="auto"/>
        </w:rPr>
      </w:pPr>
    </w:p>
    <w:p>
      <w:pPr>
        <w:jc w:val="right"/>
        <w:spacing w:after="0"/>
        <w:rPr>
          <w:sz w:val="20"/>
          <w:szCs w:val="20"/>
          <w:color w:val="auto"/>
        </w:rPr>
      </w:pPr>
      <w:r>
        <w:rPr>
          <w:rFonts w:ascii="Arial" w:cs="Arial" w:eastAsia="Arial" w:hAnsi="Arial"/>
          <w:sz w:val="28"/>
          <w:szCs w:val="28"/>
          <w:u w:val="single" w:color="auto"/>
          <w:color w:val="0000EE"/>
        </w:rPr>
        <w:t>25</w:t>
      </w:r>
    </w:p>
    <w:p>
      <w:pPr>
        <w:spacing w:after="0" w:line="232" w:lineRule="exact"/>
        <w:rPr>
          <w:sz w:val="20"/>
          <w:szCs w:val="20"/>
          <w:color w:val="auto"/>
        </w:rPr>
      </w:pPr>
    </w:p>
    <w:p>
      <w:pPr>
        <w:jc w:val="right"/>
        <w:spacing w:after="0"/>
        <w:rPr>
          <w:sz w:val="20"/>
          <w:szCs w:val="20"/>
          <w:color w:val="auto"/>
        </w:rPr>
      </w:pPr>
      <w:r>
        <w:rPr>
          <w:rFonts w:ascii="Arial" w:cs="Arial" w:eastAsia="Arial" w:hAnsi="Arial"/>
          <w:sz w:val="28"/>
          <w:szCs w:val="28"/>
          <w:u w:val="single" w:color="auto"/>
          <w:color w:val="0000EE"/>
        </w:rPr>
        <w:t>25</w:t>
      </w:r>
    </w:p>
    <w:p>
      <w:pPr>
        <w:spacing w:after="0" w:line="232" w:lineRule="exact"/>
        <w:rPr>
          <w:sz w:val="20"/>
          <w:szCs w:val="20"/>
          <w:color w:val="auto"/>
        </w:rPr>
      </w:pPr>
    </w:p>
    <w:p>
      <w:pPr>
        <w:jc w:val="right"/>
        <w:spacing w:after="0"/>
        <w:rPr>
          <w:sz w:val="20"/>
          <w:szCs w:val="20"/>
          <w:color w:val="auto"/>
        </w:rPr>
      </w:pPr>
      <w:r>
        <w:rPr>
          <w:rFonts w:ascii="Arial" w:cs="Arial" w:eastAsia="Arial" w:hAnsi="Arial"/>
          <w:sz w:val="28"/>
          <w:szCs w:val="28"/>
          <w:u w:val="single" w:color="auto"/>
          <w:color w:val="0000EE"/>
        </w:rPr>
        <w:t>25</w:t>
      </w:r>
    </w:p>
    <w:p>
      <w:pPr>
        <w:spacing w:after="0" w:line="156" w:lineRule="exact"/>
        <w:rPr>
          <w:sz w:val="20"/>
          <w:szCs w:val="20"/>
          <w:color w:val="auto"/>
        </w:rPr>
      </w:pPr>
    </w:p>
    <w:p>
      <w:pPr>
        <w:sectPr>
          <w:pgSz w:w="11900" w:h="16867" w:orient="portrait"/>
          <w:cols w:equalWidth="0" w:num="2">
            <w:col w:w="8360" w:space="720"/>
            <w:col w:w="320"/>
          </w:cols>
          <w:pgMar w:left="1240" w:top="263" w:right="1259" w:bottom="0" w:gutter="0" w:footer="0" w:header="0"/>
          <w:type w:val="continuous"/>
        </w:sectPr>
      </w:pPr>
    </w:p>
    <w:tbl>
      <w:tblPr>
        <w:tblLayout w:type="fixed"/>
        <w:tblInd w:w="0" w:type="dxa"/>
        <w:tblCellMar>
          <w:top w:w="0" w:type="dxa"/>
          <w:left w:w="0" w:type="dxa"/>
          <w:bottom w:w="0" w:type="dxa"/>
          <w:right w:w="0" w:type="dxa"/>
        </w:tblCellMar>
      </w:tblPr>
      <w:tr>
        <w:trPr>
          <w:trHeight w:val="270"/>
        </w:trPr>
        <w:tc>
          <w:tcPr>
            <w:tcW w:w="60" w:type="dxa"/>
            <w:vAlign w:val="bottom"/>
            <w:shd w:val="clear" w:color="auto" w:fill="F8991D"/>
          </w:tcPr>
          <w:p>
            <w:pPr>
              <w:spacing w:after="0"/>
              <w:rPr>
                <w:sz w:val="23"/>
                <w:szCs w:val="23"/>
                <w:color w:val="auto"/>
              </w:rPr>
            </w:pPr>
          </w:p>
        </w:tc>
        <w:tc>
          <w:tcPr>
            <w:tcW w:w="9020" w:type="dxa"/>
            <w:vAlign w:val="bottom"/>
            <w:gridSpan w:val="5"/>
            <w:shd w:val="clear" w:color="auto" w:fill="F8991D"/>
          </w:tcPr>
          <w:p>
            <w:pPr>
              <w:spacing w:after="0"/>
              <w:rPr>
                <w:sz w:val="20"/>
                <w:szCs w:val="20"/>
                <w:color w:val="auto"/>
              </w:rPr>
            </w:pPr>
            <w:r>
              <w:rPr>
                <w:rFonts w:ascii="Arial" w:cs="Arial" w:eastAsia="Arial" w:hAnsi="Arial"/>
                <w:sz w:val="16"/>
                <w:szCs w:val="16"/>
                <w:b w:val="1"/>
                <w:bCs w:val="1"/>
                <w:color w:val="0000EE"/>
              </w:rPr>
              <w:t>PROPOSAL NO. 2: RATIFICATION OF APPOINTMENT OF INDEPENDENT REGISTERED PUBLIC ACCOUNTING</w:t>
            </w:r>
          </w:p>
        </w:tc>
        <w:tc>
          <w:tcPr>
            <w:tcW w:w="320" w:type="dxa"/>
            <w:vAlign w:val="bottom"/>
            <w:vMerge w:val="restart"/>
            <w:shd w:val="clear" w:color="auto" w:fill="F8991D"/>
          </w:tcPr>
          <w:p>
            <w:pPr>
              <w:jc w:val="right"/>
              <w:spacing w:after="0"/>
              <w:rPr>
                <w:sz w:val="20"/>
                <w:szCs w:val="20"/>
                <w:color w:val="auto"/>
              </w:rPr>
            </w:pPr>
            <w:r>
              <w:rPr>
                <w:rFonts w:ascii="Arial" w:cs="Arial" w:eastAsia="Arial" w:hAnsi="Arial"/>
                <w:sz w:val="29"/>
                <w:szCs w:val="29"/>
                <w:color w:val="0000EE"/>
                <w:w w:val="92"/>
              </w:rPr>
              <w:t>26</w:t>
            </w:r>
          </w:p>
        </w:tc>
        <w:tc>
          <w:tcPr>
            <w:tcW w:w="0" w:type="dxa"/>
            <w:vAlign w:val="bottom"/>
          </w:tcPr>
          <w:p>
            <w:pPr>
              <w:spacing w:after="0"/>
              <w:rPr>
                <w:sz w:val="1"/>
                <w:szCs w:val="1"/>
                <w:color w:val="auto"/>
              </w:rPr>
            </w:pPr>
          </w:p>
        </w:tc>
      </w:tr>
      <w:tr>
        <w:trPr>
          <w:trHeight w:val="122"/>
        </w:trPr>
        <w:tc>
          <w:tcPr>
            <w:tcW w:w="60" w:type="dxa"/>
            <w:vAlign w:val="bottom"/>
            <w:tcBorders>
              <w:top w:val="single" w:sz="8" w:color="F8991D"/>
              <w:bottom w:val="single" w:sz="8" w:color="F8991D"/>
            </w:tcBorders>
            <w:shd w:val="clear" w:color="auto" w:fill="F8991D"/>
          </w:tcPr>
          <w:p>
            <w:pPr>
              <w:spacing w:after="0"/>
              <w:rPr>
                <w:sz w:val="10"/>
                <w:szCs w:val="10"/>
                <w:color w:val="auto"/>
              </w:rPr>
            </w:pPr>
          </w:p>
        </w:tc>
        <w:tc>
          <w:tcPr>
            <w:tcW w:w="8460" w:type="dxa"/>
            <w:vAlign w:val="bottom"/>
            <w:tcBorders>
              <w:top w:val="single" w:sz="8" w:color="0000EE"/>
              <w:bottom w:val="single" w:sz="8" w:color="0000EE"/>
            </w:tcBorders>
            <w:gridSpan w:val="4"/>
            <w:vMerge w:val="restart"/>
            <w:shd w:val="clear" w:color="auto" w:fill="F8991D"/>
          </w:tcPr>
          <w:p>
            <w:pPr>
              <w:spacing w:after="0" w:line="169" w:lineRule="exact"/>
              <w:rPr>
                <w:sz w:val="20"/>
                <w:szCs w:val="20"/>
                <w:color w:val="auto"/>
              </w:rPr>
            </w:pPr>
            <w:r>
              <w:rPr>
                <w:rFonts w:ascii="Arial" w:cs="Arial" w:eastAsia="Arial" w:hAnsi="Arial"/>
                <w:sz w:val="16"/>
                <w:szCs w:val="16"/>
                <w:b w:val="1"/>
                <w:bCs w:val="1"/>
                <w:color w:val="0000EE"/>
              </w:rPr>
              <w:t>FIRM</w:t>
            </w:r>
          </w:p>
        </w:tc>
        <w:tc>
          <w:tcPr>
            <w:tcW w:w="560" w:type="dxa"/>
            <w:vAlign w:val="bottom"/>
            <w:tcBorders>
              <w:top w:val="single" w:sz="8" w:color="F8991D"/>
              <w:bottom w:val="single" w:sz="8" w:color="F8991D"/>
            </w:tcBorders>
            <w:shd w:val="clear" w:color="auto" w:fill="F8991D"/>
          </w:tcPr>
          <w:p>
            <w:pPr>
              <w:spacing w:after="0"/>
              <w:rPr>
                <w:sz w:val="10"/>
                <w:szCs w:val="10"/>
                <w:color w:val="auto"/>
              </w:rPr>
            </w:pPr>
          </w:p>
        </w:tc>
        <w:tc>
          <w:tcPr>
            <w:tcW w:w="320" w:type="dxa"/>
            <w:vAlign w:val="bottom"/>
            <w:tcBorders>
              <w:top w:val="single" w:sz="8" w:color="F8991D"/>
              <w:bottom w:val="single" w:sz="8" w:color="0000EE"/>
            </w:tcBorders>
            <w:vMerge w:val="continue"/>
            <w:shd w:val="clear" w:color="auto" w:fill="F8991D"/>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60" w:type="dxa"/>
            <w:vAlign w:val="bottom"/>
            <w:shd w:val="clear" w:color="auto" w:fill="F8991D"/>
          </w:tcPr>
          <w:p>
            <w:pPr>
              <w:spacing w:after="0"/>
              <w:rPr>
                <w:sz w:val="2"/>
                <w:szCs w:val="2"/>
                <w:color w:val="auto"/>
              </w:rPr>
            </w:pPr>
          </w:p>
        </w:tc>
        <w:tc>
          <w:tcPr>
            <w:tcW w:w="8460" w:type="dxa"/>
            <w:vAlign w:val="bottom"/>
            <w:gridSpan w:val="4"/>
            <w:vMerge w:val="continue"/>
            <w:shd w:val="clear" w:color="auto" w:fill="F8991D"/>
          </w:tcPr>
          <w:p>
            <w:pPr>
              <w:spacing w:after="0"/>
              <w:rPr>
                <w:sz w:val="2"/>
                <w:szCs w:val="2"/>
                <w:color w:val="auto"/>
              </w:rPr>
            </w:pPr>
          </w:p>
        </w:tc>
        <w:tc>
          <w:tcPr>
            <w:tcW w:w="560" w:type="dxa"/>
            <w:vAlign w:val="bottom"/>
            <w:shd w:val="clear" w:color="auto" w:fill="F8991D"/>
          </w:tcPr>
          <w:p>
            <w:pPr>
              <w:spacing w:after="0"/>
              <w:rPr>
                <w:sz w:val="2"/>
                <w:szCs w:val="2"/>
                <w:color w:val="auto"/>
              </w:rPr>
            </w:pPr>
          </w:p>
        </w:tc>
        <w:tc>
          <w:tcPr>
            <w:tcW w:w="320" w:type="dxa"/>
            <w:vAlign w:val="bottom"/>
            <w:shd w:val="clear" w:color="auto" w:fill="F8991D"/>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60" w:type="dxa"/>
            <w:vAlign w:val="bottom"/>
            <w:tcBorders>
              <w:top w:val="single" w:sz="8" w:color="F8991D"/>
            </w:tcBorders>
            <w:shd w:val="clear" w:color="auto" w:fill="F8991D"/>
          </w:tcPr>
          <w:p>
            <w:pPr>
              <w:spacing w:after="0"/>
              <w:rPr>
                <w:sz w:val="10"/>
                <w:szCs w:val="10"/>
                <w:color w:val="auto"/>
              </w:rPr>
            </w:pPr>
          </w:p>
        </w:tc>
        <w:tc>
          <w:tcPr>
            <w:tcW w:w="180" w:type="dxa"/>
            <w:vAlign w:val="bottom"/>
            <w:tcBorders>
              <w:top w:val="single" w:sz="8" w:color="0000EE"/>
            </w:tcBorders>
            <w:shd w:val="clear" w:color="auto" w:fill="F8991D"/>
          </w:tcPr>
          <w:p>
            <w:pPr>
              <w:spacing w:after="0"/>
              <w:rPr>
                <w:sz w:val="10"/>
                <w:szCs w:val="10"/>
                <w:color w:val="auto"/>
              </w:rPr>
            </w:pPr>
          </w:p>
        </w:tc>
        <w:tc>
          <w:tcPr>
            <w:tcW w:w="220" w:type="dxa"/>
            <w:vAlign w:val="bottom"/>
            <w:tcBorders>
              <w:top w:val="single" w:sz="8" w:color="0000EE"/>
            </w:tcBorders>
            <w:shd w:val="clear" w:color="auto" w:fill="F8991D"/>
          </w:tcPr>
          <w:p>
            <w:pPr>
              <w:spacing w:after="0"/>
              <w:rPr>
                <w:sz w:val="10"/>
                <w:szCs w:val="10"/>
                <w:color w:val="auto"/>
              </w:rPr>
            </w:pPr>
          </w:p>
        </w:tc>
        <w:tc>
          <w:tcPr>
            <w:tcW w:w="3920" w:type="dxa"/>
            <w:vAlign w:val="bottom"/>
            <w:tcBorders>
              <w:top w:val="single" w:sz="8" w:color="F8991D"/>
            </w:tcBorders>
            <w:shd w:val="clear" w:color="auto" w:fill="F8991D"/>
          </w:tcPr>
          <w:p>
            <w:pPr>
              <w:spacing w:after="0"/>
              <w:rPr>
                <w:sz w:val="10"/>
                <w:szCs w:val="10"/>
                <w:color w:val="auto"/>
              </w:rPr>
            </w:pPr>
          </w:p>
        </w:tc>
        <w:tc>
          <w:tcPr>
            <w:tcW w:w="4140" w:type="dxa"/>
            <w:vAlign w:val="bottom"/>
            <w:tcBorders>
              <w:top w:val="single" w:sz="8" w:color="F8991D"/>
            </w:tcBorders>
            <w:shd w:val="clear" w:color="auto" w:fill="F8991D"/>
          </w:tcPr>
          <w:p>
            <w:pPr>
              <w:spacing w:after="0"/>
              <w:rPr>
                <w:sz w:val="10"/>
                <w:szCs w:val="10"/>
                <w:color w:val="auto"/>
              </w:rPr>
            </w:pPr>
          </w:p>
        </w:tc>
        <w:tc>
          <w:tcPr>
            <w:tcW w:w="560" w:type="dxa"/>
            <w:vAlign w:val="bottom"/>
            <w:tcBorders>
              <w:top w:val="single" w:sz="8" w:color="F8991D"/>
            </w:tcBorders>
            <w:shd w:val="clear" w:color="auto" w:fill="F8991D"/>
          </w:tcPr>
          <w:p>
            <w:pPr>
              <w:spacing w:after="0"/>
              <w:rPr>
                <w:sz w:val="10"/>
                <w:szCs w:val="10"/>
                <w:color w:val="auto"/>
              </w:rPr>
            </w:pPr>
          </w:p>
        </w:tc>
        <w:tc>
          <w:tcPr>
            <w:tcW w:w="320" w:type="dxa"/>
            <w:vAlign w:val="bottom"/>
            <w:tcBorders>
              <w:top w:val="single" w:sz="8" w:color="F8991D"/>
            </w:tcBorders>
            <w:shd w:val="clear" w:color="auto" w:fill="F8991D"/>
          </w:tcPr>
          <w:p>
            <w:pPr>
              <w:spacing w:after="0"/>
              <w:rPr>
                <w:sz w:val="10"/>
                <w:szCs w:val="10"/>
                <w:color w:val="auto"/>
              </w:rPr>
            </w:pPr>
          </w:p>
        </w:tc>
        <w:tc>
          <w:tcPr>
            <w:tcW w:w="0" w:type="dxa"/>
            <w:vAlign w:val="bottom"/>
          </w:tcPr>
          <w:p>
            <w:pPr>
              <w:spacing w:after="0"/>
              <w:rPr>
                <w:sz w:val="1"/>
                <w:szCs w:val="1"/>
                <w:color w:val="auto"/>
              </w:rPr>
            </w:pPr>
          </w:p>
        </w:tc>
      </w:tr>
      <w:tr>
        <w:trPr>
          <w:trHeight w:val="337"/>
        </w:trPr>
        <w:tc>
          <w:tcPr>
            <w:tcW w:w="60" w:type="dxa"/>
            <w:vAlign w:val="bottom"/>
            <w:tcBorders>
              <w:bottom w:val="single" w:sz="8" w:color="FAFAFA"/>
            </w:tcBorders>
            <w:shd w:val="clear" w:color="auto" w:fill="FAFAFA"/>
          </w:tcPr>
          <w:p>
            <w:pPr>
              <w:spacing w:after="0"/>
              <w:rPr>
                <w:sz w:val="24"/>
                <w:szCs w:val="24"/>
                <w:color w:val="auto"/>
              </w:rPr>
            </w:pPr>
          </w:p>
        </w:tc>
        <w:tc>
          <w:tcPr>
            <w:tcW w:w="180" w:type="dxa"/>
            <w:vAlign w:val="bottom"/>
            <w:tcBorders>
              <w:bottom w:val="single" w:sz="8" w:color="FAFAFA"/>
            </w:tcBorders>
            <w:shd w:val="clear" w:color="auto" w:fill="FAFAFA"/>
          </w:tcPr>
          <w:p>
            <w:pPr>
              <w:spacing w:after="0"/>
              <w:rPr>
                <w:sz w:val="24"/>
                <w:szCs w:val="24"/>
                <w:color w:val="auto"/>
              </w:rPr>
            </w:pPr>
          </w:p>
        </w:tc>
        <w:tc>
          <w:tcPr>
            <w:tcW w:w="4140" w:type="dxa"/>
            <w:vAlign w:val="bottom"/>
            <w:tcBorders>
              <w:bottom w:val="single" w:sz="8" w:color="0000EE"/>
            </w:tcBorders>
            <w:gridSpan w:val="2"/>
            <w:shd w:val="clear" w:color="auto" w:fill="FAFAFA"/>
          </w:tcPr>
          <w:p>
            <w:pPr>
              <w:spacing w:after="0"/>
              <w:rPr>
                <w:sz w:val="20"/>
                <w:szCs w:val="20"/>
                <w:color w:val="auto"/>
              </w:rPr>
            </w:pPr>
            <w:r>
              <w:rPr>
                <w:rFonts w:ascii="Arial" w:cs="Arial" w:eastAsia="Arial" w:hAnsi="Arial"/>
                <w:sz w:val="14"/>
                <w:szCs w:val="14"/>
                <w:color w:val="0000EE"/>
              </w:rPr>
              <w:t>Fees Paid to the Independent Registered Public Accounting Firm</w:t>
            </w:r>
          </w:p>
        </w:tc>
        <w:tc>
          <w:tcPr>
            <w:tcW w:w="4700" w:type="dxa"/>
            <w:vAlign w:val="bottom"/>
            <w:tcBorders>
              <w:bottom w:val="single" w:sz="8" w:color="FAFAFA"/>
            </w:tcBorders>
            <w:gridSpan w:val="2"/>
            <w:vMerge w:val="restart"/>
            <w:shd w:val="clear" w:color="auto" w:fill="FAFAFA"/>
          </w:tcPr>
          <w:p>
            <w:pPr>
              <w:spacing w:after="0"/>
              <w:rPr>
                <w:sz w:val="24"/>
                <w:szCs w:val="24"/>
                <w:color w:val="auto"/>
              </w:rPr>
            </w:pPr>
          </w:p>
        </w:tc>
        <w:tc>
          <w:tcPr>
            <w:tcW w:w="320" w:type="dxa"/>
            <w:vAlign w:val="bottom"/>
            <w:tcBorders>
              <w:bottom w:val="single" w:sz="8" w:color="FAFAFA"/>
            </w:tcBorders>
            <w:vMerge w:val="restart"/>
            <w:shd w:val="clear" w:color="auto" w:fill="FAFAFA"/>
          </w:tcPr>
          <w:p>
            <w:pPr>
              <w:jc w:val="right"/>
              <w:spacing w:after="0"/>
              <w:rPr>
                <w:sz w:val="20"/>
                <w:szCs w:val="20"/>
                <w:color w:val="auto"/>
              </w:rPr>
            </w:pPr>
            <w:r>
              <w:rPr>
                <w:rFonts w:ascii="Arial" w:cs="Arial" w:eastAsia="Arial" w:hAnsi="Arial"/>
                <w:sz w:val="29"/>
                <w:szCs w:val="29"/>
                <w:color w:val="0000EE"/>
                <w:w w:val="92"/>
              </w:rPr>
              <w:t>26</w:t>
            </w:r>
          </w:p>
        </w:tc>
        <w:tc>
          <w:tcPr>
            <w:tcW w:w="0" w:type="dxa"/>
            <w:vAlign w:val="bottom"/>
          </w:tcPr>
          <w:p>
            <w:pPr>
              <w:spacing w:after="0"/>
              <w:rPr>
                <w:sz w:val="1"/>
                <w:szCs w:val="1"/>
                <w:color w:val="auto"/>
              </w:rPr>
            </w:pPr>
          </w:p>
        </w:tc>
      </w:tr>
      <w:tr>
        <w:trPr>
          <w:trHeight w:val="41"/>
        </w:trPr>
        <w:tc>
          <w:tcPr>
            <w:tcW w:w="60" w:type="dxa"/>
            <w:vAlign w:val="bottom"/>
            <w:tcBorders>
              <w:bottom w:val="single" w:sz="8" w:color="FAFAFA"/>
            </w:tcBorders>
            <w:shd w:val="clear" w:color="auto" w:fill="FAFAFA"/>
          </w:tcPr>
          <w:p>
            <w:pPr>
              <w:spacing w:after="0"/>
              <w:rPr>
                <w:sz w:val="3"/>
                <w:szCs w:val="3"/>
                <w:color w:val="auto"/>
              </w:rPr>
            </w:pPr>
          </w:p>
        </w:tc>
        <w:tc>
          <w:tcPr>
            <w:tcW w:w="180" w:type="dxa"/>
            <w:vAlign w:val="bottom"/>
            <w:tcBorders>
              <w:bottom w:val="single" w:sz="8" w:color="FAFAFA"/>
            </w:tcBorders>
            <w:shd w:val="clear" w:color="auto" w:fill="FAFAFA"/>
          </w:tcPr>
          <w:p>
            <w:pPr>
              <w:spacing w:after="0"/>
              <w:rPr>
                <w:sz w:val="3"/>
                <w:szCs w:val="3"/>
                <w:color w:val="auto"/>
              </w:rPr>
            </w:pPr>
          </w:p>
        </w:tc>
        <w:tc>
          <w:tcPr>
            <w:tcW w:w="4140" w:type="dxa"/>
            <w:vAlign w:val="bottom"/>
            <w:tcBorders>
              <w:bottom w:val="single" w:sz="8" w:color="FAFAFA"/>
            </w:tcBorders>
            <w:gridSpan w:val="2"/>
            <w:shd w:val="clear" w:color="auto" w:fill="FAFAFA"/>
          </w:tcPr>
          <w:p>
            <w:pPr>
              <w:spacing w:after="0"/>
              <w:rPr>
                <w:sz w:val="3"/>
                <w:szCs w:val="3"/>
                <w:color w:val="auto"/>
              </w:rPr>
            </w:pPr>
          </w:p>
        </w:tc>
        <w:tc>
          <w:tcPr>
            <w:tcW w:w="4700" w:type="dxa"/>
            <w:vAlign w:val="bottom"/>
            <w:tcBorders>
              <w:bottom w:val="single" w:sz="8" w:color="FAFAFA"/>
            </w:tcBorders>
            <w:gridSpan w:val="2"/>
            <w:vMerge w:val="continue"/>
            <w:shd w:val="clear" w:color="auto" w:fill="FAFAFA"/>
          </w:tcPr>
          <w:p>
            <w:pPr>
              <w:spacing w:after="0"/>
              <w:rPr>
                <w:sz w:val="3"/>
                <w:szCs w:val="3"/>
                <w:color w:val="auto"/>
              </w:rPr>
            </w:pPr>
          </w:p>
        </w:tc>
        <w:tc>
          <w:tcPr>
            <w:tcW w:w="320" w:type="dxa"/>
            <w:vAlign w:val="bottom"/>
            <w:tcBorders>
              <w:bottom w:val="single" w:sz="8" w:color="0000EE"/>
            </w:tcBorders>
            <w:vMerge w:val="continue"/>
            <w:shd w:val="clear" w:color="auto" w:fill="FAFAFA"/>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60" w:type="dxa"/>
            <w:vAlign w:val="bottom"/>
            <w:shd w:val="clear" w:color="auto" w:fill="FAFAFA"/>
          </w:tcPr>
          <w:p>
            <w:pPr>
              <w:spacing w:after="0"/>
              <w:rPr>
                <w:sz w:val="11"/>
                <w:szCs w:val="11"/>
                <w:color w:val="auto"/>
              </w:rPr>
            </w:pPr>
          </w:p>
        </w:tc>
        <w:tc>
          <w:tcPr>
            <w:tcW w:w="180" w:type="dxa"/>
            <w:vAlign w:val="bottom"/>
            <w:shd w:val="clear" w:color="auto" w:fill="FAFAFA"/>
          </w:tcPr>
          <w:p>
            <w:pPr>
              <w:spacing w:after="0"/>
              <w:rPr>
                <w:sz w:val="11"/>
                <w:szCs w:val="11"/>
                <w:color w:val="auto"/>
              </w:rPr>
            </w:pPr>
          </w:p>
        </w:tc>
        <w:tc>
          <w:tcPr>
            <w:tcW w:w="220" w:type="dxa"/>
            <w:vAlign w:val="bottom"/>
            <w:shd w:val="clear" w:color="auto" w:fill="FAFAFA"/>
          </w:tcPr>
          <w:p>
            <w:pPr>
              <w:spacing w:after="0"/>
              <w:rPr>
                <w:sz w:val="11"/>
                <w:szCs w:val="11"/>
                <w:color w:val="auto"/>
              </w:rPr>
            </w:pPr>
          </w:p>
        </w:tc>
        <w:tc>
          <w:tcPr>
            <w:tcW w:w="3920" w:type="dxa"/>
            <w:vAlign w:val="bottom"/>
            <w:shd w:val="clear" w:color="auto" w:fill="FAFAFA"/>
          </w:tcPr>
          <w:p>
            <w:pPr>
              <w:spacing w:after="0"/>
              <w:rPr>
                <w:sz w:val="11"/>
                <w:szCs w:val="11"/>
                <w:color w:val="auto"/>
              </w:rPr>
            </w:pPr>
          </w:p>
        </w:tc>
        <w:tc>
          <w:tcPr>
            <w:tcW w:w="4140" w:type="dxa"/>
            <w:vAlign w:val="bottom"/>
            <w:shd w:val="clear" w:color="auto" w:fill="FAFAFA"/>
          </w:tcPr>
          <w:p>
            <w:pPr>
              <w:spacing w:after="0"/>
              <w:rPr>
                <w:sz w:val="11"/>
                <w:szCs w:val="11"/>
                <w:color w:val="auto"/>
              </w:rPr>
            </w:pPr>
          </w:p>
        </w:tc>
        <w:tc>
          <w:tcPr>
            <w:tcW w:w="560" w:type="dxa"/>
            <w:vAlign w:val="bottom"/>
            <w:shd w:val="clear" w:color="auto" w:fill="FAFAFA"/>
          </w:tcPr>
          <w:p>
            <w:pPr>
              <w:spacing w:after="0"/>
              <w:rPr>
                <w:sz w:val="11"/>
                <w:szCs w:val="11"/>
                <w:color w:val="auto"/>
              </w:rPr>
            </w:pPr>
          </w:p>
        </w:tc>
        <w:tc>
          <w:tcPr>
            <w:tcW w:w="320" w:type="dxa"/>
            <w:vAlign w:val="bottom"/>
            <w:shd w:val="clear" w:color="auto" w:fill="FAFAFA"/>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5966460" cy="2025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966460" cy="20256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-367665</wp:posOffset>
            </wp:positionV>
            <wp:extent cx="5966460" cy="34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966460" cy="34290"/>
                    </a:xfrm>
                    <a:prstGeom prst="rect">
                      <a:avLst/>
                    </a:prstGeom>
                    <a:noFill/>
                  </pic:spPr>
                </pic:pic>
              </a:graphicData>
            </a:graphic>
          </wp:anchor>
        </w:drawing>
      </w:r>
    </w:p>
    <w:p>
      <w:pPr>
        <w:sectPr>
          <w:pgSz w:w="11900" w:h="16867" w:orient="portrait"/>
          <w:cols w:equalWidth="0" w:num="1">
            <w:col w:w="9400"/>
          </w:cols>
          <w:pgMar w:left="1240" w:top="263" w:right="1259" w:bottom="0" w:gutter="0" w:footer="0" w:header="0"/>
          <w:type w:val="continuous"/>
        </w:sectPr>
      </w:pPr>
    </w:p>
    <w:p>
      <w:pPr>
        <w:spacing w:after="0" w:line="99" w:lineRule="exact"/>
        <w:rPr>
          <w:sz w:val="20"/>
          <w:szCs w:val="20"/>
          <w:color w:val="auto"/>
        </w:rPr>
      </w:pPr>
    </w:p>
    <w:p>
      <w:pPr>
        <w:ind w:left="240"/>
        <w:spacing w:after="0"/>
        <w:rPr>
          <w:sz w:val="20"/>
          <w:szCs w:val="20"/>
          <w:color w:val="auto"/>
        </w:rPr>
      </w:pPr>
      <w:r>
        <w:rPr>
          <w:rFonts w:ascii="Arial" w:cs="Arial" w:eastAsia="Arial" w:hAnsi="Arial"/>
          <w:sz w:val="14"/>
          <w:szCs w:val="14"/>
          <w:u w:val="single" w:color="auto"/>
          <w:color w:val="0000EE"/>
        </w:rPr>
        <w:t>Auditor Independence</w:t>
      </w:r>
    </w:p>
    <w:p>
      <w:pPr>
        <w:sectPr>
          <w:pgSz w:w="11900" w:h="16867" w:orient="portrait"/>
          <w:cols w:equalWidth="0" w:num="1">
            <w:col w:w="9400"/>
          </w:cols>
          <w:pgMar w:left="1240" w:top="263" w:right="1259" w:bottom="0" w:gutter="0" w:footer="0" w:header="0"/>
          <w:type w:val="continuous"/>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791210</wp:posOffset>
            </wp:positionH>
            <wp:positionV relativeFrom="page">
              <wp:posOffset>88900</wp:posOffset>
            </wp:positionV>
            <wp:extent cx="5966460" cy="6083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966460" cy="60833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40"/>
        <w:spacing w:after="0"/>
        <w:rPr>
          <w:sz w:val="20"/>
          <w:szCs w:val="20"/>
          <w:color w:val="auto"/>
        </w:rPr>
      </w:pPr>
      <w:r>
        <w:rPr>
          <w:rFonts w:ascii="Arial" w:cs="Arial" w:eastAsia="Arial" w:hAnsi="Arial"/>
          <w:sz w:val="14"/>
          <w:szCs w:val="14"/>
          <w:u w:val="single" w:color="auto"/>
          <w:color w:val="0000EE"/>
        </w:rPr>
        <w:t>Audit Committee Policy on Pre-Approval of Audit and Permissible Non-Audit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220980</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8"/>
          <w:szCs w:val="28"/>
          <w:u w:val="single" w:color="auto"/>
          <w:color w:val="0000EE"/>
        </w:rPr>
        <w:t>27</w:t>
      </w:r>
    </w:p>
    <w:p>
      <w:pPr>
        <w:spacing w:after="0" w:line="231" w:lineRule="exact"/>
        <w:rPr>
          <w:sz w:val="20"/>
          <w:szCs w:val="20"/>
          <w:color w:val="auto"/>
        </w:rPr>
      </w:pPr>
    </w:p>
    <w:p>
      <w:pPr>
        <w:spacing w:after="0"/>
        <w:rPr>
          <w:sz w:val="20"/>
          <w:szCs w:val="20"/>
          <w:color w:val="auto"/>
        </w:rPr>
      </w:pPr>
      <w:r>
        <w:rPr>
          <w:rFonts w:ascii="Arial" w:cs="Arial" w:eastAsia="Arial" w:hAnsi="Arial"/>
          <w:sz w:val="28"/>
          <w:szCs w:val="28"/>
          <w:u w:val="single" w:color="auto"/>
          <w:color w:val="0000EE"/>
        </w:rPr>
        <w:t>27</w:t>
      </w:r>
    </w:p>
    <w:p>
      <w:pPr>
        <w:sectPr>
          <w:pgSz w:w="11900" w:h="16838" w:orient="portrait"/>
          <w:cols w:equalWidth="0" w:num="2">
            <w:col w:w="8160" w:space="720"/>
            <w:col w:w="320"/>
          </w:cols>
          <w:pgMar w:left="1440" w:top="108" w:right="12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93345</wp:posOffset>
            </wp:positionV>
            <wp:extent cx="5966460" cy="102412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966460" cy="10241280"/>
                    </a:xfrm>
                    <a:prstGeom prst="rect">
                      <a:avLst/>
                    </a:prstGeom>
                    <a:noFill/>
                  </pic:spPr>
                </pic:pic>
              </a:graphicData>
            </a:graphic>
          </wp:anchor>
        </w:drawing>
      </w:r>
    </w:p>
    <w:p>
      <w:pPr>
        <w:spacing w:after="0" w:line="267" w:lineRule="exact"/>
        <w:rPr>
          <w:sz w:val="20"/>
          <w:szCs w:val="20"/>
          <w:color w:val="auto"/>
        </w:rPr>
      </w:pPr>
    </w:p>
    <w:p>
      <w:pPr>
        <w:ind w:left="240"/>
        <w:spacing w:after="0"/>
        <w:rPr>
          <w:sz w:val="20"/>
          <w:szCs w:val="20"/>
          <w:color w:val="auto"/>
        </w:rPr>
      </w:pPr>
      <w:r>
        <w:rPr>
          <w:rFonts w:ascii="Arial" w:cs="Arial" w:eastAsia="Arial" w:hAnsi="Arial"/>
          <w:sz w:val="14"/>
          <w:szCs w:val="14"/>
          <w:u w:val="single" w:color="auto"/>
          <w:color w:val="0000EE"/>
        </w:rPr>
        <w:t>Vote Required</w:t>
      </w:r>
    </w:p>
    <w:p>
      <w:pPr>
        <w:spacing w:after="0" w:line="393" w:lineRule="exact"/>
        <w:rPr>
          <w:sz w:val="20"/>
          <w:szCs w:val="20"/>
          <w:color w:val="auto"/>
        </w:rPr>
      </w:pPr>
    </w:p>
    <w:p>
      <w:pPr>
        <w:ind w:left="240"/>
        <w:spacing w:after="0"/>
        <w:rPr>
          <w:sz w:val="20"/>
          <w:szCs w:val="20"/>
          <w:color w:val="auto"/>
        </w:rPr>
      </w:pPr>
      <w:r>
        <w:rPr>
          <w:rFonts w:ascii="Arial" w:cs="Arial" w:eastAsia="Arial" w:hAnsi="Arial"/>
          <w:sz w:val="14"/>
          <w:szCs w:val="14"/>
          <w:u w:val="single" w:color="auto"/>
          <w:color w:val="0000EE"/>
        </w:rPr>
        <w:t>Board Recommendation</w:t>
      </w:r>
    </w:p>
    <w:p>
      <w:pPr>
        <w:spacing w:after="0" w:line="374" w:lineRule="exact"/>
        <w:rPr>
          <w:sz w:val="20"/>
          <w:szCs w:val="20"/>
          <w:color w:val="auto"/>
        </w:rPr>
      </w:pPr>
    </w:p>
    <w:p>
      <w:pPr>
        <w:ind w:left="60"/>
        <w:spacing w:after="0"/>
        <w:rPr>
          <w:sz w:val="20"/>
          <w:szCs w:val="20"/>
          <w:color w:val="auto"/>
        </w:rPr>
      </w:pPr>
      <w:r>
        <w:rPr>
          <w:rFonts w:ascii="Arial" w:cs="Arial" w:eastAsia="Arial" w:hAnsi="Arial"/>
          <w:sz w:val="16"/>
          <w:szCs w:val="16"/>
          <w:b w:val="1"/>
          <w:bCs w:val="1"/>
          <w:u w:val="single" w:color="auto"/>
          <w:color w:val="0000EE"/>
        </w:rPr>
        <w:t>REPORT OF THE AUDIT COMMITTEE</w:t>
      </w:r>
    </w:p>
    <w:p>
      <w:pPr>
        <w:spacing w:after="0" w:line="302" w:lineRule="exact"/>
        <w:rPr>
          <w:sz w:val="20"/>
          <w:szCs w:val="20"/>
          <w:color w:val="auto"/>
        </w:rPr>
      </w:pPr>
    </w:p>
    <w:p>
      <w:pPr>
        <w:ind w:left="240" w:right="80" w:hanging="161"/>
        <w:spacing w:after="0" w:line="296" w:lineRule="auto"/>
        <w:rPr>
          <w:sz w:val="20"/>
          <w:szCs w:val="20"/>
          <w:color w:val="auto"/>
        </w:rPr>
      </w:pPr>
      <w:r>
        <w:rPr>
          <w:rFonts w:ascii="Arial" w:cs="Arial" w:eastAsia="Arial" w:hAnsi="Arial"/>
          <w:sz w:val="16"/>
          <w:szCs w:val="16"/>
          <w:b w:val="1"/>
          <w:bCs w:val="1"/>
          <w:u w:val="single" w:color="auto"/>
          <w:color w:val="0000EE"/>
        </w:rPr>
        <w:t>PROPOSAL NO. 3: APPROVAL OF AN AMENDMENT TO OUR AMENDED AND RESTATED CERTIFICATE OF INCORPORATION</w:t>
      </w:r>
    </w:p>
    <w:p>
      <w:pPr>
        <w:spacing w:after="0" w:line="267" w:lineRule="exact"/>
        <w:rPr>
          <w:sz w:val="20"/>
          <w:szCs w:val="20"/>
          <w:color w:val="auto"/>
        </w:rPr>
      </w:pPr>
    </w:p>
    <w:p>
      <w:pPr>
        <w:ind w:left="240"/>
        <w:spacing w:after="0"/>
        <w:rPr>
          <w:sz w:val="20"/>
          <w:szCs w:val="20"/>
          <w:color w:val="auto"/>
        </w:rPr>
      </w:pPr>
      <w:r>
        <w:rPr>
          <w:rFonts w:ascii="Arial" w:cs="Arial" w:eastAsia="Arial" w:hAnsi="Arial"/>
          <w:sz w:val="14"/>
          <w:szCs w:val="14"/>
          <w:u w:val="single" w:color="auto"/>
          <w:color w:val="0000EE"/>
        </w:rPr>
        <w:t>Proposed Amendment to the Amended and Restated Certificate of Incorporation</w:t>
      </w:r>
    </w:p>
    <w:p>
      <w:pPr>
        <w:spacing w:after="0" w:line="352" w:lineRule="exact"/>
        <w:rPr>
          <w:sz w:val="20"/>
          <w:szCs w:val="20"/>
          <w:color w:val="auto"/>
        </w:rPr>
      </w:pPr>
    </w:p>
    <w:p>
      <w:pPr>
        <w:ind w:left="240"/>
        <w:spacing w:after="0"/>
        <w:rPr>
          <w:sz w:val="20"/>
          <w:szCs w:val="20"/>
          <w:color w:val="auto"/>
        </w:rPr>
      </w:pPr>
      <w:r>
        <w:rPr>
          <w:rFonts w:ascii="Arial" w:cs="Arial" w:eastAsia="Arial" w:hAnsi="Arial"/>
          <w:sz w:val="14"/>
          <w:szCs w:val="14"/>
          <w:u w:val="single" w:color="auto"/>
          <w:color w:val="0000EE"/>
        </w:rPr>
        <w:t>Purpose of the Exculpation Amendment</w:t>
      </w:r>
    </w:p>
    <w:p>
      <w:pPr>
        <w:spacing w:after="0" w:line="393" w:lineRule="exact"/>
        <w:rPr>
          <w:sz w:val="20"/>
          <w:szCs w:val="20"/>
          <w:color w:val="auto"/>
        </w:rPr>
      </w:pPr>
    </w:p>
    <w:p>
      <w:pPr>
        <w:ind w:left="240"/>
        <w:spacing w:after="0"/>
        <w:rPr>
          <w:sz w:val="20"/>
          <w:szCs w:val="20"/>
          <w:color w:val="auto"/>
        </w:rPr>
      </w:pPr>
      <w:r>
        <w:rPr>
          <w:rFonts w:ascii="Arial" w:cs="Arial" w:eastAsia="Arial" w:hAnsi="Arial"/>
          <w:sz w:val="14"/>
          <w:szCs w:val="14"/>
          <w:u w:val="single" w:color="auto"/>
          <w:color w:val="0000EE"/>
        </w:rPr>
        <w:t>Effectiveness of the Exculpation Amendment</w:t>
      </w:r>
    </w:p>
    <w:p>
      <w:pPr>
        <w:spacing w:after="0" w:line="393" w:lineRule="exact"/>
        <w:rPr>
          <w:sz w:val="20"/>
          <w:szCs w:val="20"/>
          <w:color w:val="auto"/>
        </w:rPr>
      </w:pPr>
    </w:p>
    <w:p>
      <w:pPr>
        <w:ind w:left="240"/>
        <w:spacing w:after="0"/>
        <w:rPr>
          <w:sz w:val="20"/>
          <w:szCs w:val="20"/>
          <w:color w:val="auto"/>
        </w:rPr>
      </w:pPr>
      <w:r>
        <w:rPr>
          <w:rFonts w:ascii="Arial" w:cs="Arial" w:eastAsia="Arial" w:hAnsi="Arial"/>
          <w:sz w:val="14"/>
          <w:szCs w:val="14"/>
          <w:u w:val="single" w:color="auto"/>
          <w:color w:val="0000EE"/>
        </w:rPr>
        <w:t>Vote Required</w:t>
      </w:r>
    </w:p>
    <w:p>
      <w:pPr>
        <w:spacing w:after="0" w:line="393" w:lineRule="exact"/>
        <w:rPr>
          <w:sz w:val="20"/>
          <w:szCs w:val="20"/>
          <w:color w:val="auto"/>
        </w:rPr>
      </w:pPr>
    </w:p>
    <w:p>
      <w:pPr>
        <w:ind w:left="240"/>
        <w:spacing w:after="0"/>
        <w:rPr>
          <w:sz w:val="20"/>
          <w:szCs w:val="20"/>
          <w:color w:val="auto"/>
        </w:rPr>
      </w:pPr>
      <w:r>
        <w:rPr>
          <w:rFonts w:ascii="Arial" w:cs="Arial" w:eastAsia="Arial" w:hAnsi="Arial"/>
          <w:sz w:val="14"/>
          <w:szCs w:val="14"/>
          <w:u w:val="single" w:color="auto"/>
          <w:color w:val="0000EE"/>
        </w:rPr>
        <w:t>Board Recommendation</w:t>
      </w:r>
    </w:p>
    <w:p>
      <w:pPr>
        <w:spacing w:after="0" w:line="374" w:lineRule="exact"/>
        <w:rPr>
          <w:sz w:val="20"/>
          <w:szCs w:val="20"/>
          <w:color w:val="auto"/>
        </w:rPr>
      </w:pPr>
    </w:p>
    <w:p>
      <w:pPr>
        <w:ind w:left="60"/>
        <w:spacing w:after="0"/>
        <w:rPr>
          <w:sz w:val="20"/>
          <w:szCs w:val="20"/>
          <w:color w:val="auto"/>
        </w:rPr>
      </w:pPr>
      <w:r>
        <w:rPr>
          <w:rFonts w:ascii="Arial" w:cs="Arial" w:eastAsia="Arial" w:hAnsi="Arial"/>
          <w:sz w:val="16"/>
          <w:szCs w:val="16"/>
          <w:b w:val="1"/>
          <w:bCs w:val="1"/>
          <w:u w:val="single" w:color="auto"/>
          <w:color w:val="0000EE"/>
        </w:rPr>
        <w:t>EXECUTIVE OFFICERS</w:t>
      </w:r>
    </w:p>
    <w:p>
      <w:pPr>
        <w:spacing w:after="0" w:line="388" w:lineRule="exact"/>
        <w:rPr>
          <w:sz w:val="20"/>
          <w:szCs w:val="20"/>
          <w:color w:val="auto"/>
        </w:rPr>
      </w:pPr>
    </w:p>
    <w:p>
      <w:pPr>
        <w:ind w:left="240"/>
        <w:spacing w:after="0"/>
        <w:rPr>
          <w:sz w:val="20"/>
          <w:szCs w:val="20"/>
          <w:color w:val="auto"/>
        </w:rPr>
      </w:pPr>
      <w:r>
        <w:rPr>
          <w:rFonts w:ascii="Arial" w:cs="Arial" w:eastAsia="Arial" w:hAnsi="Arial"/>
          <w:sz w:val="14"/>
          <w:szCs w:val="14"/>
          <w:u w:val="single" w:color="auto"/>
          <w:color w:val="0000EE"/>
        </w:rPr>
        <w:t>Executive Officers</w:t>
      </w:r>
    </w:p>
    <w:p>
      <w:pPr>
        <w:spacing w:after="0" w:line="374" w:lineRule="exact"/>
        <w:rPr>
          <w:sz w:val="20"/>
          <w:szCs w:val="20"/>
          <w:color w:val="auto"/>
        </w:rPr>
      </w:pPr>
    </w:p>
    <w:p>
      <w:pPr>
        <w:ind w:left="60"/>
        <w:spacing w:after="0"/>
        <w:rPr>
          <w:sz w:val="20"/>
          <w:szCs w:val="20"/>
          <w:color w:val="auto"/>
        </w:rPr>
      </w:pPr>
      <w:r>
        <w:rPr>
          <w:rFonts w:ascii="Arial" w:cs="Arial" w:eastAsia="Arial" w:hAnsi="Arial"/>
          <w:sz w:val="16"/>
          <w:szCs w:val="16"/>
          <w:b w:val="1"/>
          <w:bCs w:val="1"/>
          <w:u w:val="single" w:color="auto"/>
          <w:color w:val="0000EE"/>
        </w:rPr>
        <w:t>EXECUTIVE COMPENSATION</w:t>
      </w:r>
    </w:p>
    <w:p>
      <w:pPr>
        <w:spacing w:after="0" w:line="388" w:lineRule="exact"/>
        <w:rPr>
          <w:sz w:val="20"/>
          <w:szCs w:val="20"/>
          <w:color w:val="auto"/>
        </w:rPr>
      </w:pPr>
    </w:p>
    <w:p>
      <w:pPr>
        <w:ind w:left="240"/>
        <w:spacing w:after="0"/>
        <w:rPr>
          <w:sz w:val="20"/>
          <w:szCs w:val="20"/>
          <w:color w:val="auto"/>
        </w:rPr>
      </w:pPr>
      <w:r>
        <w:rPr>
          <w:rFonts w:ascii="Arial" w:cs="Arial" w:eastAsia="Arial" w:hAnsi="Arial"/>
          <w:sz w:val="14"/>
          <w:szCs w:val="14"/>
          <w:u w:val="single" w:color="auto"/>
          <w:color w:val="0000EE"/>
        </w:rPr>
        <w:t>Processes and Procedures for Compensation Decisions</w:t>
      </w:r>
    </w:p>
    <w:p>
      <w:pPr>
        <w:spacing w:after="0" w:line="393" w:lineRule="exact"/>
        <w:rPr>
          <w:sz w:val="20"/>
          <w:szCs w:val="20"/>
          <w:color w:val="auto"/>
        </w:rPr>
      </w:pPr>
    </w:p>
    <w:p>
      <w:pPr>
        <w:ind w:left="240"/>
        <w:spacing w:after="0"/>
        <w:rPr>
          <w:sz w:val="20"/>
          <w:szCs w:val="20"/>
          <w:color w:val="auto"/>
        </w:rPr>
      </w:pPr>
      <w:r>
        <w:rPr>
          <w:rFonts w:ascii="Arial" w:cs="Arial" w:eastAsia="Arial" w:hAnsi="Arial"/>
          <w:sz w:val="14"/>
          <w:szCs w:val="14"/>
          <w:u w:val="single" w:color="auto"/>
          <w:color w:val="0000EE"/>
        </w:rPr>
        <w:t>Executive Compensation</w:t>
      </w:r>
    </w:p>
    <w:p>
      <w:pPr>
        <w:spacing w:after="0" w:line="393" w:lineRule="exact"/>
        <w:rPr>
          <w:sz w:val="20"/>
          <w:szCs w:val="20"/>
          <w:color w:val="auto"/>
        </w:rPr>
      </w:pPr>
    </w:p>
    <w:p>
      <w:pPr>
        <w:ind w:left="240"/>
        <w:spacing w:after="0"/>
        <w:rPr>
          <w:sz w:val="20"/>
          <w:szCs w:val="20"/>
          <w:color w:val="auto"/>
        </w:rPr>
      </w:pPr>
      <w:r>
        <w:rPr>
          <w:rFonts w:ascii="Arial" w:cs="Arial" w:eastAsia="Arial" w:hAnsi="Arial"/>
          <w:sz w:val="14"/>
          <w:szCs w:val="14"/>
          <w:u w:val="single" w:color="auto"/>
          <w:color w:val="0000EE"/>
        </w:rPr>
        <w:t>2022-2023 Summary Compensation Table</w:t>
      </w:r>
    </w:p>
    <w:p>
      <w:pPr>
        <w:spacing w:after="0" w:line="393" w:lineRule="exact"/>
        <w:rPr>
          <w:sz w:val="20"/>
          <w:szCs w:val="20"/>
          <w:color w:val="auto"/>
        </w:rPr>
      </w:pPr>
    </w:p>
    <w:p>
      <w:pPr>
        <w:ind w:left="240"/>
        <w:spacing w:after="0"/>
        <w:rPr>
          <w:sz w:val="20"/>
          <w:szCs w:val="20"/>
          <w:color w:val="auto"/>
        </w:rPr>
      </w:pPr>
      <w:r>
        <w:rPr>
          <w:rFonts w:ascii="Arial" w:cs="Arial" w:eastAsia="Arial" w:hAnsi="Arial"/>
          <w:sz w:val="14"/>
          <w:szCs w:val="14"/>
          <w:u w:val="single" w:color="auto"/>
          <w:color w:val="0000EE"/>
        </w:rPr>
        <w:t>Outstanding Equity Awards at December 31, 2023</w:t>
      </w:r>
    </w:p>
    <w:p>
      <w:pPr>
        <w:spacing w:after="0" w:line="393" w:lineRule="exact"/>
        <w:rPr>
          <w:sz w:val="20"/>
          <w:szCs w:val="20"/>
          <w:color w:val="auto"/>
        </w:rPr>
      </w:pPr>
    </w:p>
    <w:p>
      <w:pPr>
        <w:ind w:left="240"/>
        <w:spacing w:after="0"/>
        <w:rPr>
          <w:sz w:val="20"/>
          <w:szCs w:val="20"/>
          <w:color w:val="auto"/>
        </w:rPr>
      </w:pPr>
      <w:r>
        <w:rPr>
          <w:rFonts w:ascii="Arial" w:cs="Arial" w:eastAsia="Arial" w:hAnsi="Arial"/>
          <w:sz w:val="14"/>
          <w:szCs w:val="14"/>
          <w:u w:val="single" w:color="auto"/>
          <w:color w:val="0000EE"/>
        </w:rPr>
        <w:t>Executive Employment Arrangements</w:t>
      </w:r>
    </w:p>
    <w:p>
      <w:pPr>
        <w:spacing w:after="0" w:line="393" w:lineRule="exact"/>
        <w:rPr>
          <w:sz w:val="20"/>
          <w:szCs w:val="20"/>
          <w:color w:val="auto"/>
        </w:rPr>
      </w:pPr>
    </w:p>
    <w:p>
      <w:pPr>
        <w:ind w:left="240"/>
        <w:spacing w:after="0"/>
        <w:rPr>
          <w:sz w:val="20"/>
          <w:szCs w:val="20"/>
          <w:color w:val="auto"/>
        </w:rPr>
      </w:pPr>
      <w:r>
        <w:rPr>
          <w:rFonts w:ascii="Arial" w:cs="Arial" w:eastAsia="Arial" w:hAnsi="Arial"/>
          <w:sz w:val="14"/>
          <w:szCs w:val="14"/>
          <w:u w:val="single" w:color="auto"/>
          <w:color w:val="0000EE"/>
        </w:rPr>
        <w:t>Change in Control and Severance Agreements</w:t>
      </w:r>
    </w:p>
    <w:p>
      <w:pPr>
        <w:spacing w:after="0" w:line="393" w:lineRule="exact"/>
        <w:rPr>
          <w:sz w:val="20"/>
          <w:szCs w:val="20"/>
          <w:color w:val="auto"/>
        </w:rPr>
      </w:pPr>
    </w:p>
    <w:p>
      <w:pPr>
        <w:ind w:left="240"/>
        <w:spacing w:after="0"/>
        <w:rPr>
          <w:sz w:val="20"/>
          <w:szCs w:val="20"/>
          <w:color w:val="auto"/>
        </w:rPr>
      </w:pPr>
      <w:r>
        <w:rPr>
          <w:rFonts w:ascii="Arial" w:cs="Arial" w:eastAsia="Arial" w:hAnsi="Arial"/>
          <w:sz w:val="14"/>
          <w:szCs w:val="14"/>
          <w:u w:val="single" w:color="auto"/>
          <w:color w:val="0000EE"/>
        </w:rPr>
        <w:t>Equity Incentive Plans</w:t>
      </w:r>
    </w:p>
    <w:p>
      <w:pPr>
        <w:spacing w:after="0" w:line="393" w:lineRule="exact"/>
        <w:rPr>
          <w:sz w:val="20"/>
          <w:szCs w:val="20"/>
          <w:color w:val="auto"/>
        </w:rPr>
      </w:pPr>
    </w:p>
    <w:p>
      <w:pPr>
        <w:ind w:left="240"/>
        <w:spacing w:after="0"/>
        <w:rPr>
          <w:sz w:val="20"/>
          <w:szCs w:val="20"/>
          <w:color w:val="auto"/>
        </w:rPr>
      </w:pPr>
      <w:r>
        <w:rPr>
          <w:rFonts w:ascii="Arial" w:cs="Arial" w:eastAsia="Arial" w:hAnsi="Arial"/>
          <w:sz w:val="14"/>
          <w:szCs w:val="14"/>
          <w:u w:val="single" w:color="auto"/>
          <w:color w:val="0000EE"/>
        </w:rPr>
        <w:t>Clawback Policy</w:t>
      </w:r>
    </w:p>
    <w:p>
      <w:pPr>
        <w:spacing w:after="0" w:line="393" w:lineRule="exact"/>
        <w:rPr>
          <w:sz w:val="20"/>
          <w:szCs w:val="20"/>
          <w:color w:val="auto"/>
        </w:rPr>
      </w:pPr>
    </w:p>
    <w:p>
      <w:pPr>
        <w:ind w:left="240"/>
        <w:spacing w:after="0"/>
        <w:rPr>
          <w:sz w:val="20"/>
          <w:szCs w:val="20"/>
          <w:color w:val="auto"/>
        </w:rPr>
      </w:pPr>
      <w:r>
        <w:rPr>
          <w:rFonts w:ascii="Arial" w:cs="Arial" w:eastAsia="Arial" w:hAnsi="Arial"/>
          <w:sz w:val="14"/>
          <w:szCs w:val="14"/>
          <w:u w:val="single" w:color="auto"/>
          <w:color w:val="0000EE"/>
        </w:rPr>
        <w:t>Executive Incentive Compensation Plan</w:t>
      </w:r>
    </w:p>
    <w:p>
      <w:pPr>
        <w:spacing w:after="0" w:line="374" w:lineRule="exact"/>
        <w:rPr>
          <w:sz w:val="20"/>
          <w:szCs w:val="20"/>
          <w:color w:val="auto"/>
        </w:rPr>
      </w:pPr>
    </w:p>
    <w:p>
      <w:pPr>
        <w:ind w:left="60"/>
        <w:spacing w:after="0"/>
        <w:rPr>
          <w:sz w:val="20"/>
          <w:szCs w:val="20"/>
          <w:color w:val="auto"/>
        </w:rPr>
      </w:pPr>
      <w:r>
        <w:rPr>
          <w:rFonts w:ascii="Arial" w:cs="Arial" w:eastAsia="Arial" w:hAnsi="Arial"/>
          <w:sz w:val="16"/>
          <w:szCs w:val="16"/>
          <w:b w:val="1"/>
          <w:bCs w:val="1"/>
          <w:u w:val="single" w:color="auto"/>
          <w:color w:val="0000EE"/>
        </w:rPr>
        <w:t>SECURITY OWNERSHIP OF CERTAIN BENEFICIAL OWNERS AND MANAGEMENT</w:t>
      </w:r>
    </w:p>
    <w:p>
      <w:pPr>
        <w:spacing w:after="0" w:line="370" w:lineRule="exact"/>
        <w:rPr>
          <w:sz w:val="20"/>
          <w:szCs w:val="20"/>
          <w:color w:val="auto"/>
        </w:rPr>
      </w:pPr>
    </w:p>
    <w:p>
      <w:pPr>
        <w:ind w:left="60"/>
        <w:spacing w:after="0"/>
        <w:rPr>
          <w:sz w:val="20"/>
          <w:szCs w:val="20"/>
          <w:color w:val="auto"/>
        </w:rPr>
      </w:pPr>
      <w:r>
        <w:rPr>
          <w:rFonts w:ascii="Arial" w:cs="Arial" w:eastAsia="Arial" w:hAnsi="Arial"/>
          <w:sz w:val="16"/>
          <w:szCs w:val="16"/>
          <w:b w:val="1"/>
          <w:bCs w:val="1"/>
          <w:u w:val="single" w:color="auto"/>
          <w:color w:val="0000EE"/>
        </w:rPr>
        <w:t>SECURITIES AUTHORIZED FOR ISSUANCE UNDER EQUITY COMPENSATION PLANS</w:t>
      </w:r>
    </w:p>
    <w:p>
      <w:pPr>
        <w:spacing w:after="0" w:line="370" w:lineRule="exact"/>
        <w:rPr>
          <w:sz w:val="20"/>
          <w:szCs w:val="20"/>
          <w:color w:val="auto"/>
        </w:rPr>
      </w:pPr>
    </w:p>
    <w:p>
      <w:pPr>
        <w:ind w:left="60"/>
        <w:spacing w:after="0"/>
        <w:rPr>
          <w:sz w:val="20"/>
          <w:szCs w:val="20"/>
          <w:color w:val="auto"/>
        </w:rPr>
      </w:pPr>
      <w:r>
        <w:rPr>
          <w:rFonts w:ascii="Arial" w:cs="Arial" w:eastAsia="Arial" w:hAnsi="Arial"/>
          <w:sz w:val="16"/>
          <w:szCs w:val="16"/>
          <w:b w:val="1"/>
          <w:bCs w:val="1"/>
          <w:u w:val="single" w:color="auto"/>
          <w:color w:val="0000EE"/>
        </w:rPr>
        <w:t>RELATED PERSON TRANSACTIONS</w:t>
      </w:r>
    </w:p>
    <w:p>
      <w:pPr>
        <w:spacing w:after="0" w:line="388" w:lineRule="exact"/>
        <w:rPr>
          <w:sz w:val="20"/>
          <w:szCs w:val="20"/>
          <w:color w:val="auto"/>
        </w:rPr>
      </w:pPr>
    </w:p>
    <w:p>
      <w:pPr>
        <w:ind w:left="240"/>
        <w:spacing w:after="0"/>
        <w:rPr>
          <w:sz w:val="20"/>
          <w:szCs w:val="20"/>
          <w:color w:val="auto"/>
        </w:rPr>
      </w:pPr>
      <w:r>
        <w:rPr>
          <w:rFonts w:ascii="Arial" w:cs="Arial" w:eastAsia="Arial" w:hAnsi="Arial"/>
          <w:sz w:val="14"/>
          <w:szCs w:val="14"/>
          <w:u w:val="single" w:color="auto"/>
          <w:color w:val="0000EE"/>
        </w:rPr>
        <w:t>Related-Person Transactions Policy</w:t>
      </w:r>
    </w:p>
    <w:p>
      <w:pPr>
        <w:spacing w:after="0" w:line="393" w:lineRule="exact"/>
        <w:rPr>
          <w:sz w:val="20"/>
          <w:szCs w:val="20"/>
          <w:color w:val="auto"/>
        </w:rPr>
      </w:pPr>
    </w:p>
    <w:p>
      <w:pPr>
        <w:ind w:left="240"/>
        <w:spacing w:after="0"/>
        <w:rPr>
          <w:sz w:val="20"/>
          <w:szCs w:val="20"/>
          <w:color w:val="auto"/>
        </w:rPr>
      </w:pPr>
      <w:r>
        <w:rPr>
          <w:rFonts w:ascii="Arial" w:cs="Arial" w:eastAsia="Arial" w:hAnsi="Arial"/>
          <w:sz w:val="14"/>
          <w:szCs w:val="14"/>
          <w:u w:val="single" w:color="auto"/>
          <w:color w:val="0000EE"/>
        </w:rPr>
        <w:t>Investors’ Rights Agreement</w:t>
      </w:r>
    </w:p>
    <w:p>
      <w:pPr>
        <w:spacing w:after="0" w:line="393" w:lineRule="exact"/>
        <w:rPr>
          <w:sz w:val="20"/>
          <w:szCs w:val="20"/>
          <w:color w:val="auto"/>
        </w:rPr>
      </w:pPr>
    </w:p>
    <w:p>
      <w:pPr>
        <w:ind w:left="240"/>
        <w:spacing w:after="0"/>
        <w:rPr>
          <w:sz w:val="20"/>
          <w:szCs w:val="20"/>
          <w:color w:val="auto"/>
        </w:rPr>
      </w:pPr>
      <w:r>
        <w:rPr>
          <w:rFonts w:ascii="Arial" w:cs="Arial" w:eastAsia="Arial" w:hAnsi="Arial"/>
          <w:sz w:val="14"/>
          <w:szCs w:val="14"/>
          <w:u w:val="single" w:color="auto"/>
          <w:color w:val="0000EE"/>
        </w:rPr>
        <w:t>Other Transactions</w:t>
      </w:r>
    </w:p>
    <w:p>
      <w:pPr>
        <w:spacing w:after="0" w:line="374" w:lineRule="exact"/>
        <w:rPr>
          <w:sz w:val="20"/>
          <w:szCs w:val="20"/>
          <w:color w:val="auto"/>
        </w:rPr>
      </w:pPr>
    </w:p>
    <w:p>
      <w:pPr>
        <w:ind w:left="60"/>
        <w:spacing w:after="0"/>
        <w:rPr>
          <w:sz w:val="20"/>
          <w:szCs w:val="20"/>
          <w:color w:val="auto"/>
        </w:rPr>
      </w:pPr>
      <w:r>
        <w:rPr>
          <w:rFonts w:ascii="Arial" w:cs="Arial" w:eastAsia="Arial" w:hAnsi="Arial"/>
          <w:sz w:val="16"/>
          <w:szCs w:val="16"/>
          <w:b w:val="1"/>
          <w:bCs w:val="1"/>
          <w:u w:val="single" w:color="auto"/>
          <w:color w:val="0000EE"/>
        </w:rPr>
        <w:t>OTHER MATTERS</w:t>
      </w:r>
    </w:p>
    <w:p>
      <w:pPr>
        <w:spacing w:after="0" w:line="388" w:lineRule="exact"/>
        <w:rPr>
          <w:sz w:val="20"/>
          <w:szCs w:val="20"/>
          <w:color w:val="auto"/>
        </w:rPr>
      </w:pPr>
    </w:p>
    <w:p>
      <w:pPr>
        <w:ind w:left="240"/>
        <w:spacing w:after="0"/>
        <w:rPr>
          <w:sz w:val="20"/>
          <w:szCs w:val="20"/>
          <w:color w:val="auto"/>
        </w:rPr>
      </w:pPr>
      <w:r>
        <w:rPr>
          <w:rFonts w:ascii="Arial" w:cs="Arial" w:eastAsia="Arial" w:hAnsi="Arial"/>
          <w:sz w:val="14"/>
          <w:szCs w:val="14"/>
          <w:u w:val="single" w:color="auto"/>
          <w:color w:val="0000EE"/>
        </w:rPr>
        <w:t>Availability of Bylaws</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spacing w:after="0"/>
        <w:rPr>
          <w:sz w:val="20"/>
          <w:szCs w:val="20"/>
          <w:color w:val="auto"/>
        </w:rPr>
      </w:pPr>
      <w:r>
        <w:rPr>
          <w:rFonts w:ascii="Arial" w:cs="Arial" w:eastAsia="Arial" w:hAnsi="Arial"/>
          <w:sz w:val="28"/>
          <w:szCs w:val="28"/>
          <w:u w:val="single" w:color="auto"/>
          <w:color w:val="0000EE"/>
        </w:rPr>
        <w:t>27</w:t>
      </w:r>
    </w:p>
    <w:p>
      <w:pPr>
        <w:spacing w:after="0" w:line="232" w:lineRule="exact"/>
        <w:rPr>
          <w:sz w:val="20"/>
          <w:szCs w:val="20"/>
          <w:color w:val="auto"/>
        </w:rPr>
      </w:pPr>
    </w:p>
    <w:p>
      <w:pPr>
        <w:spacing w:after="0"/>
        <w:rPr>
          <w:sz w:val="20"/>
          <w:szCs w:val="20"/>
          <w:color w:val="auto"/>
        </w:rPr>
      </w:pPr>
      <w:r>
        <w:rPr>
          <w:rFonts w:ascii="Arial" w:cs="Arial" w:eastAsia="Arial" w:hAnsi="Arial"/>
          <w:sz w:val="28"/>
          <w:szCs w:val="28"/>
          <w:u w:val="single" w:color="auto"/>
          <w:color w:val="0000EE"/>
        </w:rPr>
        <w:t>27</w:t>
      </w:r>
    </w:p>
    <w:p>
      <w:pPr>
        <w:spacing w:after="0" w:line="232" w:lineRule="exact"/>
        <w:rPr>
          <w:sz w:val="20"/>
          <w:szCs w:val="20"/>
          <w:color w:val="auto"/>
        </w:rPr>
      </w:pPr>
    </w:p>
    <w:p>
      <w:pPr>
        <w:spacing w:after="0"/>
        <w:rPr>
          <w:sz w:val="20"/>
          <w:szCs w:val="20"/>
          <w:color w:val="auto"/>
        </w:rPr>
      </w:pPr>
      <w:r>
        <w:rPr>
          <w:rFonts w:ascii="Arial" w:cs="Arial" w:eastAsia="Arial" w:hAnsi="Arial"/>
          <w:sz w:val="28"/>
          <w:szCs w:val="28"/>
          <w:u w:val="single" w:color="auto"/>
          <w:color w:val="0000EE"/>
        </w:rPr>
        <w:t>28</w:t>
      </w:r>
    </w:p>
    <w:p>
      <w:pPr>
        <w:spacing w:after="0" w:line="245" w:lineRule="exact"/>
        <w:rPr>
          <w:sz w:val="20"/>
          <w:szCs w:val="20"/>
          <w:color w:val="auto"/>
        </w:rPr>
      </w:pPr>
    </w:p>
    <w:p>
      <w:pPr>
        <w:spacing w:after="0"/>
        <w:rPr>
          <w:sz w:val="20"/>
          <w:szCs w:val="20"/>
          <w:color w:val="auto"/>
        </w:rPr>
      </w:pPr>
      <w:r>
        <w:rPr>
          <w:rFonts w:ascii="Arial" w:cs="Arial" w:eastAsia="Arial" w:hAnsi="Arial"/>
          <w:sz w:val="28"/>
          <w:szCs w:val="28"/>
          <w:u w:val="single" w:color="auto"/>
          <w:color w:val="0000EE"/>
        </w:rPr>
        <w:t>29</w:t>
      </w:r>
    </w:p>
    <w:p>
      <w:pPr>
        <w:spacing w:after="0" w:line="259" w:lineRule="exact"/>
        <w:rPr>
          <w:sz w:val="20"/>
          <w:szCs w:val="20"/>
          <w:color w:val="auto"/>
        </w:rPr>
      </w:pPr>
    </w:p>
    <w:p>
      <w:pPr>
        <w:spacing w:after="0"/>
        <w:rPr>
          <w:sz w:val="20"/>
          <w:szCs w:val="20"/>
          <w:color w:val="auto"/>
        </w:rPr>
      </w:pPr>
      <w:r>
        <w:rPr>
          <w:rFonts w:ascii="Arial" w:cs="Arial" w:eastAsia="Arial" w:hAnsi="Arial"/>
          <w:sz w:val="28"/>
          <w:szCs w:val="28"/>
          <w:u w:val="single" w:color="auto"/>
          <w:color w:val="0000EE"/>
        </w:rPr>
        <w:t>29</w:t>
      </w:r>
    </w:p>
    <w:p>
      <w:pPr>
        <w:spacing w:after="0" w:line="232" w:lineRule="exact"/>
        <w:rPr>
          <w:sz w:val="20"/>
          <w:szCs w:val="20"/>
          <w:color w:val="auto"/>
        </w:rPr>
      </w:pPr>
    </w:p>
    <w:p>
      <w:pPr>
        <w:spacing w:after="0"/>
        <w:rPr>
          <w:sz w:val="20"/>
          <w:szCs w:val="20"/>
          <w:color w:val="auto"/>
        </w:rPr>
      </w:pPr>
      <w:r>
        <w:rPr>
          <w:rFonts w:ascii="Arial" w:cs="Arial" w:eastAsia="Arial" w:hAnsi="Arial"/>
          <w:sz w:val="28"/>
          <w:szCs w:val="28"/>
          <w:u w:val="single" w:color="auto"/>
          <w:color w:val="0000EE"/>
        </w:rPr>
        <w:t>29</w:t>
      </w:r>
    </w:p>
    <w:p>
      <w:pPr>
        <w:spacing w:after="0" w:line="232" w:lineRule="exact"/>
        <w:rPr>
          <w:sz w:val="20"/>
          <w:szCs w:val="20"/>
          <w:color w:val="auto"/>
        </w:rPr>
      </w:pPr>
    </w:p>
    <w:p>
      <w:pPr>
        <w:spacing w:after="0"/>
        <w:rPr>
          <w:sz w:val="20"/>
          <w:szCs w:val="20"/>
          <w:color w:val="auto"/>
        </w:rPr>
      </w:pPr>
      <w:r>
        <w:rPr>
          <w:rFonts w:ascii="Arial" w:cs="Arial" w:eastAsia="Arial" w:hAnsi="Arial"/>
          <w:sz w:val="28"/>
          <w:szCs w:val="28"/>
          <w:u w:val="single" w:color="auto"/>
          <w:color w:val="0000EE"/>
        </w:rPr>
        <w:t>29</w:t>
      </w:r>
    </w:p>
    <w:p>
      <w:pPr>
        <w:spacing w:after="0" w:line="232" w:lineRule="exact"/>
        <w:rPr>
          <w:sz w:val="20"/>
          <w:szCs w:val="20"/>
          <w:color w:val="auto"/>
        </w:rPr>
      </w:pPr>
    </w:p>
    <w:p>
      <w:pPr>
        <w:spacing w:after="0"/>
        <w:rPr>
          <w:sz w:val="20"/>
          <w:szCs w:val="20"/>
          <w:color w:val="auto"/>
        </w:rPr>
      </w:pPr>
      <w:r>
        <w:rPr>
          <w:rFonts w:ascii="Arial" w:cs="Arial" w:eastAsia="Arial" w:hAnsi="Arial"/>
          <w:sz w:val="28"/>
          <w:szCs w:val="28"/>
          <w:u w:val="single" w:color="auto"/>
          <w:color w:val="0000EE"/>
        </w:rPr>
        <w:t>30</w:t>
      </w:r>
    </w:p>
    <w:p>
      <w:pPr>
        <w:spacing w:after="0" w:line="232" w:lineRule="exact"/>
        <w:rPr>
          <w:sz w:val="20"/>
          <w:szCs w:val="20"/>
          <w:color w:val="auto"/>
        </w:rPr>
      </w:pPr>
    </w:p>
    <w:p>
      <w:pPr>
        <w:spacing w:after="0"/>
        <w:rPr>
          <w:sz w:val="20"/>
          <w:szCs w:val="20"/>
          <w:color w:val="auto"/>
        </w:rPr>
      </w:pPr>
      <w:r>
        <w:rPr>
          <w:rFonts w:ascii="Arial" w:cs="Arial" w:eastAsia="Arial" w:hAnsi="Arial"/>
          <w:sz w:val="28"/>
          <w:szCs w:val="28"/>
          <w:u w:val="single" w:color="auto"/>
          <w:color w:val="0000EE"/>
        </w:rPr>
        <w:t>30</w:t>
      </w:r>
    </w:p>
    <w:p>
      <w:pPr>
        <w:spacing w:after="0" w:line="232" w:lineRule="exact"/>
        <w:rPr>
          <w:sz w:val="20"/>
          <w:szCs w:val="20"/>
          <w:color w:val="auto"/>
        </w:rPr>
      </w:pPr>
    </w:p>
    <w:p>
      <w:pPr>
        <w:spacing w:after="0"/>
        <w:rPr>
          <w:sz w:val="20"/>
          <w:szCs w:val="20"/>
          <w:color w:val="auto"/>
        </w:rPr>
      </w:pPr>
      <w:r>
        <w:rPr>
          <w:rFonts w:ascii="Arial" w:cs="Arial" w:eastAsia="Arial" w:hAnsi="Arial"/>
          <w:sz w:val="28"/>
          <w:szCs w:val="28"/>
          <w:u w:val="single" w:color="auto"/>
          <w:color w:val="0000EE"/>
        </w:rPr>
        <w:t>31</w:t>
      </w:r>
    </w:p>
    <w:p>
      <w:pPr>
        <w:spacing w:after="0" w:line="232" w:lineRule="exact"/>
        <w:rPr>
          <w:sz w:val="20"/>
          <w:szCs w:val="20"/>
          <w:color w:val="auto"/>
        </w:rPr>
      </w:pPr>
    </w:p>
    <w:p>
      <w:pPr>
        <w:spacing w:after="0"/>
        <w:rPr>
          <w:sz w:val="20"/>
          <w:szCs w:val="20"/>
          <w:color w:val="auto"/>
        </w:rPr>
      </w:pPr>
      <w:r>
        <w:rPr>
          <w:rFonts w:ascii="Arial" w:cs="Arial" w:eastAsia="Arial" w:hAnsi="Arial"/>
          <w:sz w:val="28"/>
          <w:szCs w:val="28"/>
          <w:u w:val="single" w:color="auto"/>
          <w:color w:val="0000EE"/>
        </w:rPr>
        <w:t>31</w:t>
      </w:r>
    </w:p>
    <w:p>
      <w:pPr>
        <w:spacing w:after="0" w:line="232" w:lineRule="exact"/>
        <w:rPr>
          <w:sz w:val="20"/>
          <w:szCs w:val="20"/>
          <w:color w:val="auto"/>
        </w:rPr>
      </w:pPr>
    </w:p>
    <w:p>
      <w:pPr>
        <w:spacing w:after="0"/>
        <w:rPr>
          <w:sz w:val="20"/>
          <w:szCs w:val="20"/>
          <w:color w:val="auto"/>
        </w:rPr>
      </w:pPr>
      <w:r>
        <w:rPr>
          <w:rFonts w:ascii="Arial" w:cs="Arial" w:eastAsia="Arial" w:hAnsi="Arial"/>
          <w:sz w:val="28"/>
          <w:szCs w:val="28"/>
          <w:u w:val="single" w:color="auto"/>
          <w:color w:val="0000EE"/>
        </w:rPr>
        <w:t>34</w:t>
      </w:r>
    </w:p>
    <w:p>
      <w:pPr>
        <w:spacing w:after="0" w:line="232" w:lineRule="exact"/>
        <w:rPr>
          <w:sz w:val="20"/>
          <w:szCs w:val="20"/>
          <w:color w:val="auto"/>
        </w:rPr>
      </w:pPr>
    </w:p>
    <w:p>
      <w:pPr>
        <w:spacing w:after="0"/>
        <w:rPr>
          <w:sz w:val="20"/>
          <w:szCs w:val="20"/>
          <w:color w:val="auto"/>
        </w:rPr>
      </w:pPr>
      <w:r>
        <w:rPr>
          <w:rFonts w:ascii="Arial" w:cs="Arial" w:eastAsia="Arial" w:hAnsi="Arial"/>
          <w:sz w:val="28"/>
          <w:szCs w:val="28"/>
          <w:u w:val="single" w:color="auto"/>
          <w:color w:val="0000EE"/>
        </w:rPr>
        <w:t>34</w:t>
      </w:r>
    </w:p>
    <w:p>
      <w:pPr>
        <w:spacing w:after="0" w:line="232" w:lineRule="exact"/>
        <w:rPr>
          <w:sz w:val="20"/>
          <w:szCs w:val="20"/>
          <w:color w:val="auto"/>
        </w:rPr>
      </w:pPr>
    </w:p>
    <w:p>
      <w:pPr>
        <w:spacing w:after="0"/>
        <w:rPr>
          <w:sz w:val="20"/>
          <w:szCs w:val="20"/>
          <w:color w:val="auto"/>
        </w:rPr>
      </w:pPr>
      <w:r>
        <w:rPr>
          <w:rFonts w:ascii="Arial" w:cs="Arial" w:eastAsia="Arial" w:hAnsi="Arial"/>
          <w:sz w:val="28"/>
          <w:szCs w:val="28"/>
          <w:u w:val="single" w:color="auto"/>
          <w:color w:val="0000EE"/>
        </w:rPr>
        <w:t>34</w:t>
      </w:r>
    </w:p>
    <w:p>
      <w:pPr>
        <w:spacing w:after="0" w:line="232" w:lineRule="exact"/>
        <w:rPr>
          <w:sz w:val="20"/>
          <w:szCs w:val="20"/>
          <w:color w:val="auto"/>
        </w:rPr>
      </w:pPr>
    </w:p>
    <w:p>
      <w:pPr>
        <w:spacing w:after="0"/>
        <w:rPr>
          <w:sz w:val="20"/>
          <w:szCs w:val="20"/>
          <w:color w:val="auto"/>
        </w:rPr>
      </w:pPr>
      <w:r>
        <w:rPr>
          <w:rFonts w:ascii="Arial" w:cs="Arial" w:eastAsia="Arial" w:hAnsi="Arial"/>
          <w:sz w:val="28"/>
          <w:szCs w:val="28"/>
          <w:u w:val="single" w:color="auto"/>
          <w:color w:val="0000EE"/>
        </w:rPr>
        <w:t>35</w:t>
      </w:r>
    </w:p>
    <w:p>
      <w:pPr>
        <w:spacing w:after="0" w:line="232" w:lineRule="exact"/>
        <w:rPr>
          <w:sz w:val="20"/>
          <w:szCs w:val="20"/>
          <w:color w:val="auto"/>
        </w:rPr>
      </w:pPr>
    </w:p>
    <w:p>
      <w:pPr>
        <w:spacing w:after="0"/>
        <w:rPr>
          <w:sz w:val="20"/>
          <w:szCs w:val="20"/>
          <w:color w:val="auto"/>
        </w:rPr>
      </w:pPr>
      <w:r>
        <w:rPr>
          <w:rFonts w:ascii="Arial" w:cs="Arial" w:eastAsia="Arial" w:hAnsi="Arial"/>
          <w:sz w:val="28"/>
          <w:szCs w:val="28"/>
          <w:u w:val="single" w:color="auto"/>
          <w:color w:val="0000EE"/>
        </w:rPr>
        <w:t>36</w:t>
      </w:r>
    </w:p>
    <w:p>
      <w:pPr>
        <w:spacing w:after="0" w:line="232" w:lineRule="exact"/>
        <w:rPr>
          <w:sz w:val="20"/>
          <w:szCs w:val="20"/>
          <w:color w:val="auto"/>
        </w:rPr>
      </w:pPr>
    </w:p>
    <w:p>
      <w:pPr>
        <w:spacing w:after="0"/>
        <w:rPr>
          <w:sz w:val="20"/>
          <w:szCs w:val="20"/>
          <w:color w:val="auto"/>
        </w:rPr>
      </w:pPr>
      <w:r>
        <w:rPr>
          <w:rFonts w:ascii="Arial" w:cs="Arial" w:eastAsia="Arial" w:hAnsi="Arial"/>
          <w:sz w:val="28"/>
          <w:szCs w:val="28"/>
          <w:u w:val="single" w:color="auto"/>
          <w:color w:val="0000EE"/>
        </w:rPr>
        <w:t>37</w:t>
      </w:r>
    </w:p>
    <w:p>
      <w:pPr>
        <w:spacing w:after="0" w:line="232" w:lineRule="exact"/>
        <w:rPr>
          <w:sz w:val="20"/>
          <w:szCs w:val="20"/>
          <w:color w:val="auto"/>
        </w:rPr>
      </w:pPr>
    </w:p>
    <w:p>
      <w:pPr>
        <w:spacing w:after="0"/>
        <w:rPr>
          <w:sz w:val="20"/>
          <w:szCs w:val="20"/>
          <w:color w:val="auto"/>
        </w:rPr>
      </w:pPr>
      <w:r>
        <w:rPr>
          <w:rFonts w:ascii="Arial" w:cs="Arial" w:eastAsia="Arial" w:hAnsi="Arial"/>
          <w:sz w:val="28"/>
          <w:szCs w:val="28"/>
          <w:u w:val="single" w:color="auto"/>
          <w:color w:val="0000EE"/>
        </w:rPr>
        <w:t>38</w:t>
      </w:r>
    </w:p>
    <w:p>
      <w:pPr>
        <w:spacing w:after="0" w:line="232" w:lineRule="exact"/>
        <w:rPr>
          <w:sz w:val="20"/>
          <w:szCs w:val="20"/>
          <w:color w:val="auto"/>
        </w:rPr>
      </w:pPr>
    </w:p>
    <w:p>
      <w:pPr>
        <w:spacing w:after="0"/>
        <w:rPr>
          <w:sz w:val="20"/>
          <w:szCs w:val="20"/>
          <w:color w:val="auto"/>
        </w:rPr>
      </w:pPr>
      <w:r>
        <w:rPr>
          <w:rFonts w:ascii="Arial" w:cs="Arial" w:eastAsia="Arial" w:hAnsi="Arial"/>
          <w:sz w:val="28"/>
          <w:szCs w:val="28"/>
          <w:u w:val="single" w:color="auto"/>
          <w:color w:val="0000EE"/>
        </w:rPr>
        <w:t>41</w:t>
      </w:r>
    </w:p>
    <w:p>
      <w:pPr>
        <w:spacing w:after="0" w:line="232" w:lineRule="exact"/>
        <w:rPr>
          <w:sz w:val="20"/>
          <w:szCs w:val="20"/>
          <w:color w:val="auto"/>
        </w:rPr>
      </w:pPr>
    </w:p>
    <w:p>
      <w:pPr>
        <w:spacing w:after="0"/>
        <w:rPr>
          <w:sz w:val="20"/>
          <w:szCs w:val="20"/>
          <w:color w:val="auto"/>
        </w:rPr>
      </w:pPr>
      <w:r>
        <w:rPr>
          <w:rFonts w:ascii="Arial" w:cs="Arial" w:eastAsia="Arial" w:hAnsi="Arial"/>
          <w:sz w:val="28"/>
          <w:szCs w:val="28"/>
          <w:u w:val="single" w:color="auto"/>
          <w:color w:val="0000EE"/>
        </w:rPr>
        <w:t>41</w:t>
      </w:r>
    </w:p>
    <w:p>
      <w:pPr>
        <w:spacing w:after="0" w:line="232" w:lineRule="exact"/>
        <w:rPr>
          <w:sz w:val="20"/>
          <w:szCs w:val="20"/>
          <w:color w:val="auto"/>
        </w:rPr>
      </w:pPr>
    </w:p>
    <w:p>
      <w:pPr>
        <w:spacing w:after="0"/>
        <w:rPr>
          <w:sz w:val="20"/>
          <w:szCs w:val="20"/>
          <w:color w:val="auto"/>
        </w:rPr>
      </w:pPr>
      <w:r>
        <w:rPr>
          <w:rFonts w:ascii="Arial" w:cs="Arial" w:eastAsia="Arial" w:hAnsi="Arial"/>
          <w:sz w:val="28"/>
          <w:szCs w:val="28"/>
          <w:u w:val="single" w:color="auto"/>
          <w:color w:val="0000EE"/>
        </w:rPr>
        <w:t>41</w:t>
      </w:r>
    </w:p>
    <w:p>
      <w:pPr>
        <w:spacing w:after="0" w:line="232" w:lineRule="exact"/>
        <w:rPr>
          <w:sz w:val="20"/>
          <w:szCs w:val="20"/>
          <w:color w:val="auto"/>
        </w:rPr>
      </w:pPr>
    </w:p>
    <w:p>
      <w:pPr>
        <w:spacing w:after="0"/>
        <w:rPr>
          <w:sz w:val="20"/>
          <w:szCs w:val="20"/>
          <w:color w:val="auto"/>
        </w:rPr>
      </w:pPr>
      <w:r>
        <w:rPr>
          <w:rFonts w:ascii="Arial" w:cs="Arial" w:eastAsia="Arial" w:hAnsi="Arial"/>
          <w:sz w:val="28"/>
          <w:szCs w:val="28"/>
          <w:u w:val="single" w:color="auto"/>
          <w:color w:val="0000EE"/>
        </w:rPr>
        <w:t>43</w:t>
      </w:r>
    </w:p>
    <w:p>
      <w:pPr>
        <w:spacing w:after="0" w:line="232" w:lineRule="exact"/>
        <w:rPr>
          <w:sz w:val="20"/>
          <w:szCs w:val="20"/>
          <w:color w:val="auto"/>
        </w:rPr>
      </w:pPr>
    </w:p>
    <w:p>
      <w:pPr>
        <w:spacing w:after="0"/>
        <w:rPr>
          <w:sz w:val="20"/>
          <w:szCs w:val="20"/>
          <w:color w:val="auto"/>
        </w:rPr>
      </w:pPr>
      <w:r>
        <w:rPr>
          <w:rFonts w:ascii="Arial" w:cs="Arial" w:eastAsia="Arial" w:hAnsi="Arial"/>
          <w:sz w:val="28"/>
          <w:szCs w:val="28"/>
          <w:u w:val="single" w:color="auto"/>
          <w:color w:val="0000EE"/>
        </w:rPr>
        <w:t>45</w:t>
      </w:r>
    </w:p>
    <w:p>
      <w:pPr>
        <w:spacing w:after="0" w:line="232" w:lineRule="exact"/>
        <w:rPr>
          <w:sz w:val="20"/>
          <w:szCs w:val="20"/>
          <w:color w:val="auto"/>
        </w:rPr>
      </w:pPr>
    </w:p>
    <w:p>
      <w:pPr>
        <w:spacing w:after="0"/>
        <w:rPr>
          <w:sz w:val="20"/>
          <w:szCs w:val="20"/>
          <w:color w:val="auto"/>
        </w:rPr>
      </w:pPr>
      <w:r>
        <w:rPr>
          <w:rFonts w:ascii="Arial" w:cs="Arial" w:eastAsia="Arial" w:hAnsi="Arial"/>
          <w:sz w:val="28"/>
          <w:szCs w:val="28"/>
          <w:u w:val="single" w:color="auto"/>
          <w:color w:val="0000EE"/>
        </w:rPr>
        <w:t>46</w:t>
      </w:r>
    </w:p>
    <w:p>
      <w:pPr>
        <w:spacing w:after="0" w:line="232" w:lineRule="exact"/>
        <w:rPr>
          <w:sz w:val="20"/>
          <w:szCs w:val="20"/>
          <w:color w:val="auto"/>
        </w:rPr>
      </w:pPr>
    </w:p>
    <w:p>
      <w:pPr>
        <w:spacing w:after="0"/>
        <w:rPr>
          <w:sz w:val="20"/>
          <w:szCs w:val="20"/>
          <w:color w:val="auto"/>
        </w:rPr>
      </w:pPr>
      <w:r>
        <w:rPr>
          <w:rFonts w:ascii="Arial" w:cs="Arial" w:eastAsia="Arial" w:hAnsi="Arial"/>
          <w:sz w:val="28"/>
          <w:szCs w:val="28"/>
          <w:u w:val="single" w:color="auto"/>
          <w:color w:val="0000EE"/>
        </w:rPr>
        <w:t>46</w:t>
      </w:r>
    </w:p>
    <w:p>
      <w:pPr>
        <w:spacing w:after="0" w:line="232" w:lineRule="exact"/>
        <w:rPr>
          <w:sz w:val="20"/>
          <w:szCs w:val="20"/>
          <w:color w:val="auto"/>
        </w:rPr>
      </w:pPr>
    </w:p>
    <w:p>
      <w:pPr>
        <w:spacing w:after="0"/>
        <w:rPr>
          <w:sz w:val="20"/>
          <w:szCs w:val="20"/>
          <w:color w:val="auto"/>
        </w:rPr>
      </w:pPr>
      <w:r>
        <w:rPr>
          <w:rFonts w:ascii="Arial" w:cs="Arial" w:eastAsia="Arial" w:hAnsi="Arial"/>
          <w:sz w:val="28"/>
          <w:szCs w:val="28"/>
          <w:u w:val="single" w:color="auto"/>
          <w:color w:val="0000EE"/>
        </w:rPr>
        <w:t>46</w:t>
      </w:r>
    </w:p>
    <w:p>
      <w:pPr>
        <w:spacing w:after="0" w:line="232" w:lineRule="exact"/>
        <w:rPr>
          <w:sz w:val="20"/>
          <w:szCs w:val="20"/>
          <w:color w:val="auto"/>
        </w:rPr>
      </w:pPr>
    </w:p>
    <w:p>
      <w:pPr>
        <w:spacing w:after="0"/>
        <w:rPr>
          <w:sz w:val="20"/>
          <w:szCs w:val="20"/>
          <w:color w:val="auto"/>
        </w:rPr>
      </w:pPr>
      <w:r>
        <w:rPr>
          <w:rFonts w:ascii="Arial" w:cs="Arial" w:eastAsia="Arial" w:hAnsi="Arial"/>
          <w:sz w:val="28"/>
          <w:szCs w:val="28"/>
          <w:u w:val="single" w:color="auto"/>
          <w:color w:val="0000EE"/>
        </w:rPr>
        <w:t>47</w:t>
      </w:r>
    </w:p>
    <w:p>
      <w:pPr>
        <w:spacing w:after="0" w:line="232" w:lineRule="exact"/>
        <w:rPr>
          <w:sz w:val="20"/>
          <w:szCs w:val="20"/>
          <w:color w:val="auto"/>
        </w:rPr>
      </w:pPr>
    </w:p>
    <w:p>
      <w:pPr>
        <w:spacing w:after="0"/>
        <w:rPr>
          <w:sz w:val="20"/>
          <w:szCs w:val="20"/>
          <w:color w:val="auto"/>
        </w:rPr>
      </w:pPr>
      <w:r>
        <w:rPr>
          <w:rFonts w:ascii="Arial" w:cs="Arial" w:eastAsia="Arial" w:hAnsi="Arial"/>
          <w:sz w:val="28"/>
          <w:szCs w:val="28"/>
          <w:u w:val="single" w:color="auto"/>
          <w:color w:val="0000EE"/>
        </w:rPr>
        <w:t>48</w:t>
      </w:r>
    </w:p>
    <w:p>
      <w:pPr>
        <w:spacing w:after="0" w:line="232" w:lineRule="exact"/>
        <w:rPr>
          <w:sz w:val="20"/>
          <w:szCs w:val="20"/>
          <w:color w:val="auto"/>
        </w:rPr>
      </w:pPr>
    </w:p>
    <w:p>
      <w:pPr>
        <w:spacing w:after="0"/>
        <w:rPr>
          <w:sz w:val="20"/>
          <w:szCs w:val="20"/>
          <w:color w:val="auto"/>
        </w:rPr>
      </w:pPr>
      <w:r>
        <w:rPr>
          <w:rFonts w:ascii="Arial" w:cs="Arial" w:eastAsia="Arial" w:hAnsi="Arial"/>
          <w:sz w:val="28"/>
          <w:szCs w:val="28"/>
          <w:u w:val="single" w:color="auto"/>
          <w:color w:val="0000EE"/>
        </w:rPr>
        <w:t>48</w:t>
      </w:r>
    </w:p>
    <w:p>
      <w:pPr>
        <w:sectPr>
          <w:pgSz w:w="11900" w:h="16838" w:orient="portrait"/>
          <w:cols w:equalWidth="0" w:num="2">
            <w:col w:w="8360" w:space="720"/>
            <w:col w:w="320"/>
          </w:cols>
          <w:pgMar w:left="1240" w:top="263" w:right="1259" w:bottom="0" w:gutter="0" w:footer="0" w:header="0"/>
        </w:sectPr>
      </w:pPr>
    </w:p>
    <w:bookmarkStart w:id="8" w:name="page9"/>
    <w:bookmarkEnd w:id="8"/>
    <w:p>
      <w:pPr>
        <w:spacing w:after="0" w:line="2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791210</wp:posOffset>
            </wp:positionH>
            <wp:positionV relativeFrom="page">
              <wp:posOffset>88900</wp:posOffset>
            </wp:positionV>
            <wp:extent cx="5966460" cy="6172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966460" cy="617220"/>
                    </a:xfrm>
                    <a:prstGeom prst="rect">
                      <a:avLst/>
                    </a:prstGeom>
                    <a:noFill/>
                  </pic:spPr>
                </pic:pic>
              </a:graphicData>
            </a:graphic>
          </wp:anchor>
        </w:drawing>
      </w:r>
    </w:p>
    <w:p>
      <w:pPr>
        <w:jc w:val="right"/>
        <w:ind w:right="6840"/>
        <w:spacing w:after="0"/>
        <w:rPr>
          <w:sz w:val="20"/>
          <w:szCs w:val="20"/>
          <w:color w:val="auto"/>
        </w:rPr>
      </w:pPr>
      <w:r>
        <w:rPr>
          <w:rFonts w:ascii="Arial" w:cs="Arial" w:eastAsia="Arial" w:hAnsi="Arial"/>
          <w:sz w:val="14"/>
          <w:szCs w:val="14"/>
          <w:u w:val="single" w:color="auto"/>
          <w:color w:val="0000EE"/>
        </w:rPr>
        <w:t>2023 Annual Report</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0000EE"/>
        </w:rPr>
        <w:t>ANNEX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226695</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8"/>
          <w:szCs w:val="28"/>
          <w:u w:val="single" w:color="auto"/>
          <w:color w:val="0000EE"/>
        </w:rPr>
        <w:t>48</w:t>
      </w:r>
    </w:p>
    <w:p>
      <w:pPr>
        <w:spacing w:after="0" w:line="232" w:lineRule="exact"/>
        <w:rPr>
          <w:sz w:val="20"/>
          <w:szCs w:val="20"/>
          <w:color w:val="auto"/>
        </w:rPr>
      </w:pPr>
    </w:p>
    <w:p>
      <w:pPr>
        <w:spacing w:after="0"/>
        <w:rPr>
          <w:sz w:val="20"/>
          <w:szCs w:val="20"/>
          <w:color w:val="auto"/>
        </w:rPr>
      </w:pPr>
      <w:r>
        <w:rPr>
          <w:rFonts w:ascii="Arial" w:cs="Arial" w:eastAsia="Arial" w:hAnsi="Arial"/>
          <w:sz w:val="28"/>
          <w:szCs w:val="28"/>
          <w:u w:val="single" w:color="auto"/>
          <w:color w:val="0000EE"/>
        </w:rPr>
        <w:t>49</w:t>
      </w:r>
    </w:p>
    <w:p>
      <w:pPr>
        <w:sectPr>
          <w:pgSz w:w="11900" w:h="16838" w:orient="portrait"/>
          <w:cols w:equalWidth="0" w:num="2">
            <w:col w:w="8300" w:space="720"/>
            <w:col w:w="320"/>
          </w:cols>
          <w:pgMar w:left="1300" w:top="121" w:right="12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4632960</wp:posOffset>
            </wp:positionH>
            <wp:positionV relativeFrom="paragraph">
              <wp:posOffset>93345</wp:posOffset>
            </wp:positionV>
            <wp:extent cx="1337310" cy="6515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3731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F8991D"/>
        </w:rPr>
        <w:t>FOR 2024 ANNUAL MEETING</w:t>
      </w:r>
    </w:p>
    <w:p>
      <w:pPr>
        <w:spacing w:after="0" w:line="45" w:lineRule="exact"/>
        <w:rPr>
          <w:sz w:val="20"/>
          <w:szCs w:val="20"/>
          <w:color w:val="auto"/>
        </w:rPr>
      </w:pPr>
    </w:p>
    <w:p>
      <w:pPr>
        <w:spacing w:after="0"/>
        <w:rPr>
          <w:sz w:val="20"/>
          <w:szCs w:val="20"/>
          <w:color w:val="auto"/>
        </w:rPr>
      </w:pPr>
      <w:r>
        <w:rPr>
          <w:rFonts w:ascii="Arial" w:cs="Arial" w:eastAsia="Arial" w:hAnsi="Arial"/>
          <w:sz w:val="57"/>
          <w:szCs w:val="57"/>
          <w:color w:val="255993"/>
        </w:rPr>
        <w:t>Proxy Statement</w:t>
      </w:r>
    </w:p>
    <w:p>
      <w:pPr>
        <w:spacing w:after="0" w:line="53" w:lineRule="exact"/>
        <w:rPr>
          <w:sz w:val="20"/>
          <w:szCs w:val="20"/>
          <w:color w:val="auto"/>
        </w:rPr>
      </w:pPr>
    </w:p>
    <w:p>
      <w:pPr>
        <w:spacing w:after="0"/>
        <w:rPr>
          <w:sz w:val="20"/>
          <w:szCs w:val="20"/>
          <w:color w:val="auto"/>
        </w:rPr>
      </w:pPr>
      <w:r>
        <w:rPr>
          <w:rFonts w:ascii="Arial" w:cs="Arial" w:eastAsia="Arial" w:hAnsi="Arial"/>
          <w:sz w:val="58"/>
          <w:szCs w:val="58"/>
          <w:color w:val="255993"/>
        </w:rPr>
        <w:t>Summary</w:t>
      </w:r>
    </w:p>
    <w:p>
      <w:pPr>
        <w:sectPr>
          <w:pgSz w:w="11900" w:h="16838" w:orient="portrait"/>
          <w:cols w:equalWidth="0" w:num="1">
            <w:col w:w="9400"/>
          </w:cols>
          <w:pgMar w:left="1240" w:top="263" w:right="125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color w:val="auto"/>
        </w:rPr>
        <w:t>Meeting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6426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4262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234950</wp:posOffset>
            </wp:positionV>
            <wp:extent cx="299720" cy="2832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99720"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color w:val="auto"/>
        </w:rPr>
        <w:t>May 23, 2024</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auto"/>
        </w:rPr>
        <w:t>Meeting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65151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51510"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234950</wp:posOffset>
            </wp:positionV>
            <wp:extent cx="265430" cy="3003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6543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4"/>
          <w:szCs w:val="14"/>
          <w:color w:val="auto"/>
        </w:rPr>
        <w:t>8:00 a.m.,</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Pacific Time</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color w:val="auto"/>
        </w:rPr>
        <w:t>Meeting 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20955</wp:posOffset>
            </wp:positionV>
            <wp:extent cx="81470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1470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200660</wp:posOffset>
            </wp:positionV>
            <wp:extent cx="205740" cy="3003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0574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4"/>
          <w:szCs w:val="14"/>
          <w:color w:val="auto"/>
        </w:rPr>
        <w:t>The Annual Meeting</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will be conducted</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virtually via live audio</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webcast. You will be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able to attend the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Annual Meeting</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virtually by visiting</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www.</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virtualshareholder</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meeting.com/</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ATHA2024, where you</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will be able to listen to</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the meeting live, submit</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questions and vote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online during the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VOTING MATTERS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20" w:type="dxa"/>
            <w:vAlign w:val="bottom"/>
            <w:shd w:val="clear" w:color="auto" w:fill="255993"/>
          </w:tcPr>
          <w:p>
            <w:pPr>
              <w:spacing w:after="0"/>
              <w:rPr>
                <w:sz w:val="16"/>
                <w:szCs w:val="16"/>
                <w:color w:val="auto"/>
              </w:rPr>
            </w:pPr>
          </w:p>
        </w:tc>
        <w:tc>
          <w:tcPr>
            <w:tcW w:w="3480" w:type="dxa"/>
            <w:vAlign w:val="bottom"/>
            <w:shd w:val="clear" w:color="auto" w:fill="255993"/>
          </w:tcPr>
          <w:p>
            <w:pPr>
              <w:spacing w:after="0"/>
              <w:rPr>
                <w:sz w:val="16"/>
                <w:szCs w:val="16"/>
                <w:color w:val="auto"/>
              </w:rPr>
            </w:pPr>
          </w:p>
        </w:tc>
        <w:tc>
          <w:tcPr>
            <w:tcW w:w="2060" w:type="dxa"/>
            <w:vAlign w:val="bottom"/>
            <w:shd w:val="clear" w:color="auto" w:fill="255993"/>
          </w:tcPr>
          <w:p>
            <w:pPr>
              <w:ind w:left="120"/>
              <w:spacing w:after="0"/>
              <w:rPr>
                <w:sz w:val="20"/>
                <w:szCs w:val="20"/>
                <w:color w:val="auto"/>
              </w:rPr>
            </w:pPr>
            <w:r>
              <w:rPr>
                <w:rFonts w:ascii="Arial" w:cs="Arial" w:eastAsia="Arial" w:hAnsi="Arial"/>
                <w:sz w:val="16"/>
                <w:szCs w:val="16"/>
                <w:b w:val="1"/>
                <w:bCs w:val="1"/>
                <w:color w:val="FFFFFF"/>
              </w:rPr>
              <w:t>Board</w:t>
            </w:r>
          </w:p>
        </w:tc>
        <w:tc>
          <w:tcPr>
            <w:tcW w:w="1100" w:type="dxa"/>
            <w:vAlign w:val="bottom"/>
            <w:gridSpan w:val="3"/>
            <w:shd w:val="clear" w:color="auto" w:fill="255993"/>
          </w:tcPr>
          <w:p>
            <w:pPr>
              <w:ind w:left="380"/>
              <w:spacing w:after="0"/>
              <w:rPr>
                <w:sz w:val="20"/>
                <w:szCs w:val="20"/>
                <w:color w:val="auto"/>
              </w:rPr>
            </w:pPr>
            <w:r>
              <w:rPr>
                <w:rFonts w:ascii="Arial" w:cs="Arial" w:eastAsia="Arial" w:hAnsi="Arial"/>
                <w:sz w:val="16"/>
                <w:szCs w:val="16"/>
                <w:b w:val="1"/>
                <w:bCs w:val="1"/>
                <w:color w:val="FFFFFF"/>
              </w:rPr>
              <w:t>Page</w:t>
            </w:r>
          </w:p>
        </w:tc>
        <w:tc>
          <w:tcPr>
            <w:tcW w:w="0" w:type="dxa"/>
            <w:vAlign w:val="bottom"/>
          </w:tcPr>
          <w:p>
            <w:pPr>
              <w:spacing w:after="0"/>
              <w:rPr>
                <w:sz w:val="1"/>
                <w:szCs w:val="1"/>
                <w:color w:val="auto"/>
              </w:rPr>
            </w:pPr>
          </w:p>
        </w:tc>
      </w:tr>
      <w:tr>
        <w:trPr>
          <w:trHeight w:val="223"/>
        </w:trPr>
        <w:tc>
          <w:tcPr>
            <w:tcW w:w="1020" w:type="dxa"/>
            <w:vAlign w:val="bottom"/>
            <w:shd w:val="clear" w:color="auto" w:fill="255993"/>
          </w:tcPr>
          <w:p>
            <w:pPr>
              <w:jc w:val="center"/>
              <w:spacing w:after="0"/>
              <w:rPr>
                <w:sz w:val="20"/>
                <w:szCs w:val="20"/>
                <w:color w:val="auto"/>
              </w:rPr>
            </w:pPr>
            <w:r>
              <w:rPr>
                <w:rFonts w:ascii="Arial" w:cs="Arial" w:eastAsia="Arial" w:hAnsi="Arial"/>
                <w:sz w:val="16"/>
                <w:szCs w:val="16"/>
                <w:b w:val="1"/>
                <w:bCs w:val="1"/>
                <w:color w:val="FFFFFF"/>
              </w:rPr>
              <w:t>Proposal</w:t>
            </w:r>
          </w:p>
        </w:tc>
        <w:tc>
          <w:tcPr>
            <w:tcW w:w="3480" w:type="dxa"/>
            <w:vAlign w:val="bottom"/>
            <w:shd w:val="clear" w:color="auto" w:fill="255993"/>
          </w:tcPr>
          <w:p>
            <w:pPr>
              <w:spacing w:after="0"/>
              <w:rPr>
                <w:sz w:val="19"/>
                <w:szCs w:val="19"/>
                <w:color w:val="auto"/>
              </w:rPr>
            </w:pPr>
          </w:p>
        </w:tc>
        <w:tc>
          <w:tcPr>
            <w:tcW w:w="2060" w:type="dxa"/>
            <w:vAlign w:val="bottom"/>
            <w:shd w:val="clear" w:color="auto" w:fill="255993"/>
          </w:tcPr>
          <w:p>
            <w:pPr>
              <w:ind w:left="120"/>
              <w:spacing w:after="0"/>
              <w:rPr>
                <w:sz w:val="20"/>
                <w:szCs w:val="20"/>
                <w:color w:val="auto"/>
              </w:rPr>
            </w:pPr>
            <w:r>
              <w:rPr>
                <w:rFonts w:ascii="Arial" w:cs="Arial" w:eastAsia="Arial" w:hAnsi="Arial"/>
                <w:sz w:val="16"/>
                <w:szCs w:val="16"/>
                <w:b w:val="1"/>
                <w:bCs w:val="1"/>
                <w:color w:val="FFFFFF"/>
              </w:rPr>
              <w:t>Recommendation</w:t>
            </w:r>
          </w:p>
        </w:tc>
        <w:tc>
          <w:tcPr>
            <w:tcW w:w="1100" w:type="dxa"/>
            <w:vAlign w:val="bottom"/>
            <w:gridSpan w:val="3"/>
            <w:shd w:val="clear" w:color="auto" w:fill="255993"/>
          </w:tcPr>
          <w:p>
            <w:pPr>
              <w:ind w:left="200"/>
              <w:spacing w:after="0"/>
              <w:rPr>
                <w:sz w:val="20"/>
                <w:szCs w:val="20"/>
                <w:color w:val="auto"/>
              </w:rPr>
            </w:pPr>
            <w:r>
              <w:rPr>
                <w:rFonts w:ascii="Arial" w:cs="Arial" w:eastAsia="Arial" w:hAnsi="Arial"/>
                <w:sz w:val="16"/>
                <w:szCs w:val="16"/>
                <w:b w:val="1"/>
                <w:bCs w:val="1"/>
                <w:color w:val="FFFFFF"/>
              </w:rPr>
              <w:t>Reference</w:t>
            </w:r>
          </w:p>
        </w:tc>
        <w:tc>
          <w:tcPr>
            <w:tcW w:w="0" w:type="dxa"/>
            <w:vAlign w:val="bottom"/>
          </w:tcPr>
          <w:p>
            <w:pPr>
              <w:spacing w:after="0"/>
              <w:rPr>
                <w:sz w:val="1"/>
                <w:szCs w:val="1"/>
                <w:color w:val="auto"/>
              </w:rPr>
            </w:pPr>
          </w:p>
        </w:tc>
      </w:tr>
      <w:tr>
        <w:trPr>
          <w:trHeight w:val="156"/>
        </w:trPr>
        <w:tc>
          <w:tcPr>
            <w:tcW w:w="1020" w:type="dxa"/>
            <w:vAlign w:val="bottom"/>
            <w:shd w:val="clear" w:color="auto" w:fill="255993"/>
          </w:tcPr>
          <w:p>
            <w:pPr>
              <w:spacing w:after="0"/>
              <w:rPr>
                <w:sz w:val="13"/>
                <w:szCs w:val="13"/>
                <w:color w:val="auto"/>
              </w:rPr>
            </w:pPr>
          </w:p>
        </w:tc>
        <w:tc>
          <w:tcPr>
            <w:tcW w:w="3480" w:type="dxa"/>
            <w:vAlign w:val="bottom"/>
            <w:shd w:val="clear" w:color="auto" w:fill="255993"/>
          </w:tcPr>
          <w:p>
            <w:pPr>
              <w:spacing w:after="0"/>
              <w:rPr>
                <w:sz w:val="13"/>
                <w:szCs w:val="13"/>
                <w:color w:val="auto"/>
              </w:rPr>
            </w:pPr>
          </w:p>
        </w:tc>
        <w:tc>
          <w:tcPr>
            <w:tcW w:w="2060" w:type="dxa"/>
            <w:vAlign w:val="bottom"/>
            <w:shd w:val="clear" w:color="auto" w:fill="255993"/>
          </w:tcPr>
          <w:p>
            <w:pPr>
              <w:spacing w:after="0"/>
              <w:rPr>
                <w:sz w:val="13"/>
                <w:szCs w:val="13"/>
                <w:color w:val="auto"/>
              </w:rPr>
            </w:pPr>
          </w:p>
        </w:tc>
        <w:tc>
          <w:tcPr>
            <w:tcW w:w="520" w:type="dxa"/>
            <w:vAlign w:val="bottom"/>
            <w:shd w:val="clear" w:color="auto" w:fill="255993"/>
          </w:tcPr>
          <w:p>
            <w:pPr>
              <w:spacing w:after="0"/>
              <w:rPr>
                <w:sz w:val="13"/>
                <w:szCs w:val="13"/>
                <w:color w:val="auto"/>
              </w:rPr>
            </w:pPr>
          </w:p>
        </w:tc>
        <w:tc>
          <w:tcPr>
            <w:tcW w:w="160" w:type="dxa"/>
            <w:vAlign w:val="bottom"/>
            <w:shd w:val="clear" w:color="auto" w:fill="255993"/>
          </w:tcPr>
          <w:p>
            <w:pPr>
              <w:spacing w:after="0"/>
              <w:rPr>
                <w:sz w:val="13"/>
                <w:szCs w:val="13"/>
                <w:color w:val="auto"/>
              </w:rPr>
            </w:pPr>
          </w:p>
        </w:tc>
        <w:tc>
          <w:tcPr>
            <w:tcW w:w="420" w:type="dxa"/>
            <w:vAlign w:val="bottom"/>
            <w:shd w:val="clear" w:color="auto" w:fill="255993"/>
          </w:tcPr>
          <w:p>
            <w:pPr>
              <w:spacing w:after="0"/>
              <w:rPr>
                <w:sz w:val="13"/>
                <w:szCs w:val="13"/>
                <w:color w:val="auto"/>
              </w:rPr>
            </w:pPr>
          </w:p>
        </w:tc>
        <w:tc>
          <w:tcPr>
            <w:tcW w:w="0" w:type="dxa"/>
            <w:vAlign w:val="bottom"/>
          </w:tcPr>
          <w:p>
            <w:pPr>
              <w:spacing w:after="0"/>
              <w:rPr>
                <w:sz w:val="1"/>
                <w:szCs w:val="1"/>
                <w:color w:val="auto"/>
              </w:rPr>
            </w:pPr>
          </w:p>
        </w:tc>
      </w:tr>
      <w:tr>
        <w:trPr>
          <w:trHeight w:val="328"/>
        </w:trPr>
        <w:tc>
          <w:tcPr>
            <w:tcW w:w="1020" w:type="dxa"/>
            <w:vAlign w:val="bottom"/>
            <w:vMerge w:val="restart"/>
            <w:shd w:val="clear" w:color="auto" w:fill="EBEBEB"/>
          </w:tcPr>
          <w:p>
            <w:pPr>
              <w:jc w:val="center"/>
              <w:spacing w:after="0"/>
              <w:rPr>
                <w:sz w:val="20"/>
                <w:szCs w:val="20"/>
                <w:color w:val="auto"/>
              </w:rPr>
            </w:pPr>
            <w:r>
              <w:rPr>
                <w:rFonts w:ascii="Arial" w:cs="Arial" w:eastAsia="Arial" w:hAnsi="Arial"/>
                <w:sz w:val="58"/>
                <w:szCs w:val="58"/>
                <w:color w:val="255993"/>
                <w:w w:val="99"/>
              </w:rPr>
              <w:t>1</w:t>
            </w:r>
          </w:p>
        </w:tc>
        <w:tc>
          <w:tcPr>
            <w:tcW w:w="3480" w:type="dxa"/>
            <w:vAlign w:val="bottom"/>
            <w:shd w:val="clear" w:color="auto" w:fill="EBEBEB"/>
          </w:tcPr>
          <w:p>
            <w:pPr>
              <w:ind w:left="100"/>
              <w:spacing w:after="0"/>
              <w:rPr>
                <w:sz w:val="20"/>
                <w:szCs w:val="20"/>
                <w:color w:val="auto"/>
              </w:rPr>
            </w:pPr>
            <w:r>
              <w:rPr>
                <w:rFonts w:ascii="Arial" w:cs="Arial" w:eastAsia="Arial" w:hAnsi="Arial"/>
                <w:sz w:val="14"/>
                <w:szCs w:val="14"/>
                <w:color w:val="auto"/>
              </w:rPr>
              <w:t>To elect three Class I directors of the Company,</w:t>
            </w:r>
          </w:p>
        </w:tc>
        <w:tc>
          <w:tcPr>
            <w:tcW w:w="2060" w:type="dxa"/>
            <w:vAlign w:val="bottom"/>
            <w:shd w:val="clear" w:color="auto" w:fill="EBEBEB"/>
          </w:tcPr>
          <w:p>
            <w:pPr>
              <w:spacing w:after="0"/>
              <w:rPr>
                <w:sz w:val="24"/>
                <w:szCs w:val="24"/>
                <w:color w:val="auto"/>
              </w:rPr>
            </w:pPr>
          </w:p>
        </w:tc>
        <w:tc>
          <w:tcPr>
            <w:tcW w:w="520" w:type="dxa"/>
            <w:vAlign w:val="bottom"/>
            <w:shd w:val="clear" w:color="auto" w:fill="EBEBEB"/>
          </w:tcPr>
          <w:p>
            <w:pPr>
              <w:spacing w:after="0"/>
              <w:rPr>
                <w:sz w:val="24"/>
                <w:szCs w:val="24"/>
                <w:color w:val="auto"/>
              </w:rPr>
            </w:pPr>
          </w:p>
        </w:tc>
        <w:tc>
          <w:tcPr>
            <w:tcW w:w="160" w:type="dxa"/>
            <w:vAlign w:val="bottom"/>
            <w:shd w:val="clear" w:color="auto" w:fill="EBEBEB"/>
          </w:tcPr>
          <w:p>
            <w:pPr>
              <w:spacing w:after="0"/>
              <w:rPr>
                <w:sz w:val="24"/>
                <w:szCs w:val="24"/>
                <w:color w:val="auto"/>
              </w:rPr>
            </w:pPr>
          </w:p>
        </w:tc>
        <w:tc>
          <w:tcPr>
            <w:tcW w:w="420" w:type="dxa"/>
            <w:vAlign w:val="bottom"/>
            <w:shd w:val="clear" w:color="auto" w:fill="EBEBEB"/>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020" w:type="dxa"/>
            <w:vAlign w:val="bottom"/>
            <w:vMerge w:val="continue"/>
            <w:shd w:val="clear" w:color="auto" w:fill="EBEBEB"/>
          </w:tcPr>
          <w:p>
            <w:pPr>
              <w:spacing w:after="0"/>
              <w:rPr>
                <w:sz w:val="14"/>
                <w:szCs w:val="14"/>
                <w:color w:val="auto"/>
              </w:rPr>
            </w:pPr>
          </w:p>
        </w:tc>
        <w:tc>
          <w:tcPr>
            <w:tcW w:w="3480" w:type="dxa"/>
            <w:vAlign w:val="bottom"/>
            <w:shd w:val="clear" w:color="auto" w:fill="EBEBEB"/>
          </w:tcPr>
          <w:p>
            <w:pPr>
              <w:ind w:left="100"/>
              <w:spacing w:after="0"/>
              <w:rPr>
                <w:sz w:val="20"/>
                <w:szCs w:val="20"/>
                <w:color w:val="auto"/>
              </w:rPr>
            </w:pPr>
            <w:r>
              <w:rPr>
                <w:rFonts w:ascii="Arial" w:cs="Arial" w:eastAsia="Arial" w:hAnsi="Arial"/>
                <w:sz w:val="14"/>
                <w:szCs w:val="14"/>
                <w:color w:val="auto"/>
              </w:rPr>
              <w:t>each to serve for a term of three years and until his</w:t>
            </w:r>
          </w:p>
        </w:tc>
        <w:tc>
          <w:tcPr>
            <w:tcW w:w="2060" w:type="dxa"/>
            <w:vAlign w:val="bottom"/>
            <w:shd w:val="clear" w:color="auto" w:fill="EBEBEB"/>
          </w:tcPr>
          <w:p>
            <w:pPr>
              <w:ind w:left="120"/>
              <w:spacing w:after="0"/>
              <w:rPr>
                <w:sz w:val="20"/>
                <w:szCs w:val="20"/>
                <w:color w:val="auto"/>
              </w:rPr>
            </w:pPr>
            <w:r>
              <w:rPr>
                <w:rFonts w:ascii="Arial" w:cs="Arial" w:eastAsia="Arial" w:hAnsi="Arial"/>
                <w:sz w:val="14"/>
                <w:szCs w:val="14"/>
                <w:b w:val="1"/>
                <w:bCs w:val="1"/>
                <w:color w:val="255993"/>
              </w:rPr>
              <w:t xml:space="preserve">“FOR” </w:t>
            </w:r>
            <w:r>
              <w:rPr>
                <w:rFonts w:ascii="Arial" w:cs="Arial" w:eastAsia="Arial" w:hAnsi="Arial"/>
                <w:sz w:val="14"/>
                <w:szCs w:val="14"/>
                <w:color w:val="000000"/>
              </w:rPr>
              <w:t>the election of each</w:t>
            </w:r>
          </w:p>
        </w:tc>
        <w:tc>
          <w:tcPr>
            <w:tcW w:w="520" w:type="dxa"/>
            <w:vAlign w:val="bottom"/>
            <w:shd w:val="clear" w:color="auto" w:fill="EBEBEB"/>
          </w:tcPr>
          <w:p>
            <w:pPr>
              <w:spacing w:after="0"/>
              <w:rPr>
                <w:sz w:val="14"/>
                <w:szCs w:val="14"/>
                <w:color w:val="auto"/>
              </w:rPr>
            </w:pPr>
          </w:p>
        </w:tc>
        <w:tc>
          <w:tcPr>
            <w:tcW w:w="160" w:type="dxa"/>
            <w:vAlign w:val="bottom"/>
            <w:shd w:val="clear" w:color="auto" w:fill="EBEBEB"/>
          </w:tcPr>
          <w:p>
            <w:pPr>
              <w:spacing w:after="0"/>
              <w:rPr>
                <w:sz w:val="14"/>
                <w:szCs w:val="14"/>
                <w:color w:val="auto"/>
              </w:rPr>
            </w:pPr>
          </w:p>
        </w:tc>
        <w:tc>
          <w:tcPr>
            <w:tcW w:w="420" w:type="dxa"/>
            <w:vAlign w:val="bottom"/>
            <w:shd w:val="clear" w:color="auto" w:fill="EBEBEB"/>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1020" w:type="dxa"/>
            <w:vAlign w:val="bottom"/>
            <w:vMerge w:val="continue"/>
            <w:shd w:val="clear" w:color="auto" w:fill="EBEBEB"/>
          </w:tcPr>
          <w:p>
            <w:pPr>
              <w:spacing w:after="0"/>
              <w:rPr>
                <w:sz w:val="13"/>
                <w:szCs w:val="13"/>
                <w:color w:val="auto"/>
              </w:rPr>
            </w:pPr>
          </w:p>
        </w:tc>
        <w:tc>
          <w:tcPr>
            <w:tcW w:w="3480" w:type="dxa"/>
            <w:vAlign w:val="bottom"/>
            <w:shd w:val="clear" w:color="auto" w:fill="EBEBEB"/>
          </w:tcPr>
          <w:p>
            <w:pPr>
              <w:ind w:left="100"/>
              <w:spacing w:after="0" w:line="158" w:lineRule="exact"/>
              <w:rPr>
                <w:sz w:val="20"/>
                <w:szCs w:val="20"/>
                <w:color w:val="auto"/>
              </w:rPr>
            </w:pPr>
            <w:r>
              <w:rPr>
                <w:rFonts w:ascii="Arial" w:cs="Arial" w:eastAsia="Arial" w:hAnsi="Arial"/>
                <w:sz w:val="14"/>
                <w:szCs w:val="14"/>
                <w:color w:val="auto"/>
              </w:rPr>
              <w:t>or her respective successor is elected and</w:t>
            </w:r>
          </w:p>
        </w:tc>
        <w:tc>
          <w:tcPr>
            <w:tcW w:w="2060" w:type="dxa"/>
            <w:vAlign w:val="bottom"/>
            <w:shd w:val="clear" w:color="auto" w:fill="EBEBEB"/>
          </w:tcPr>
          <w:p>
            <w:pPr>
              <w:ind w:left="120"/>
              <w:spacing w:after="0" w:line="158" w:lineRule="exact"/>
              <w:rPr>
                <w:sz w:val="20"/>
                <w:szCs w:val="20"/>
                <w:color w:val="auto"/>
              </w:rPr>
            </w:pPr>
            <w:r>
              <w:rPr>
                <w:rFonts w:ascii="Arial" w:cs="Arial" w:eastAsia="Arial" w:hAnsi="Arial"/>
                <w:sz w:val="14"/>
                <w:szCs w:val="14"/>
                <w:color w:val="auto"/>
              </w:rPr>
              <w:t>Class I director nominee</w:t>
            </w:r>
          </w:p>
        </w:tc>
        <w:tc>
          <w:tcPr>
            <w:tcW w:w="1100" w:type="dxa"/>
            <w:vAlign w:val="bottom"/>
            <w:gridSpan w:val="3"/>
            <w:shd w:val="clear" w:color="auto" w:fill="EBEBEB"/>
          </w:tcPr>
          <w:p>
            <w:pPr>
              <w:jc w:val="center"/>
              <w:ind w:left="24"/>
              <w:spacing w:after="0" w:line="158" w:lineRule="exact"/>
              <w:rPr>
                <w:sz w:val="20"/>
                <w:szCs w:val="20"/>
                <w:color w:val="auto"/>
              </w:rPr>
            </w:pPr>
            <w:r>
              <w:rPr>
                <w:rFonts w:ascii="Arial" w:cs="Arial" w:eastAsia="Arial" w:hAnsi="Arial"/>
                <w:sz w:val="14"/>
                <w:szCs w:val="14"/>
                <w:color w:val="0000EE"/>
              </w:rPr>
              <w:t>25</w:t>
            </w:r>
          </w:p>
        </w:tc>
        <w:tc>
          <w:tcPr>
            <w:tcW w:w="0" w:type="dxa"/>
            <w:vAlign w:val="bottom"/>
          </w:tcPr>
          <w:p>
            <w:pPr>
              <w:spacing w:after="0"/>
              <w:rPr>
                <w:sz w:val="1"/>
                <w:szCs w:val="1"/>
                <w:color w:val="auto"/>
              </w:rPr>
            </w:pPr>
          </w:p>
        </w:tc>
      </w:tr>
      <w:tr>
        <w:trPr>
          <w:trHeight w:val="146"/>
        </w:trPr>
        <w:tc>
          <w:tcPr>
            <w:tcW w:w="1020" w:type="dxa"/>
            <w:vAlign w:val="bottom"/>
            <w:tcBorders>
              <w:top w:val="single" w:sz="8" w:color="EBEBEB"/>
            </w:tcBorders>
            <w:vMerge w:val="continue"/>
            <w:shd w:val="clear" w:color="auto" w:fill="EBEBEB"/>
          </w:tcPr>
          <w:p>
            <w:pPr>
              <w:spacing w:after="0"/>
              <w:rPr>
                <w:sz w:val="12"/>
                <w:szCs w:val="12"/>
                <w:color w:val="auto"/>
              </w:rPr>
            </w:pPr>
          </w:p>
        </w:tc>
        <w:tc>
          <w:tcPr>
            <w:tcW w:w="3480" w:type="dxa"/>
            <w:vAlign w:val="bottom"/>
            <w:tcBorders>
              <w:top w:val="single" w:sz="8" w:color="EBEBEB"/>
            </w:tcBorders>
            <w:shd w:val="clear" w:color="auto" w:fill="EBEBEB"/>
          </w:tcPr>
          <w:p>
            <w:pPr>
              <w:ind w:left="100"/>
              <w:spacing w:after="0" w:line="147" w:lineRule="exact"/>
              <w:rPr>
                <w:sz w:val="20"/>
                <w:szCs w:val="20"/>
                <w:color w:val="auto"/>
              </w:rPr>
            </w:pPr>
            <w:r>
              <w:rPr>
                <w:rFonts w:ascii="Arial" w:cs="Arial" w:eastAsia="Arial" w:hAnsi="Arial"/>
                <w:sz w:val="14"/>
                <w:szCs w:val="14"/>
                <w:color w:val="auto"/>
              </w:rPr>
              <w:t>qualified, or until his or her earlier death,</w:t>
            </w:r>
          </w:p>
        </w:tc>
        <w:tc>
          <w:tcPr>
            <w:tcW w:w="2060" w:type="dxa"/>
            <w:vAlign w:val="bottom"/>
            <w:tcBorders>
              <w:top w:val="single" w:sz="8" w:color="EBEBEB"/>
            </w:tcBorders>
            <w:shd w:val="clear" w:color="auto" w:fill="EBEBEB"/>
          </w:tcPr>
          <w:p>
            <w:pPr>
              <w:ind w:left="120"/>
              <w:spacing w:after="0" w:line="147" w:lineRule="exact"/>
              <w:rPr>
                <w:sz w:val="20"/>
                <w:szCs w:val="20"/>
                <w:color w:val="auto"/>
              </w:rPr>
            </w:pPr>
            <w:r>
              <w:rPr>
                <w:rFonts w:ascii="Arial" w:cs="Arial" w:eastAsia="Arial" w:hAnsi="Arial"/>
                <w:sz w:val="14"/>
                <w:szCs w:val="14"/>
                <w:color w:val="auto"/>
              </w:rPr>
              <w:t>named</w:t>
            </w:r>
          </w:p>
        </w:tc>
        <w:tc>
          <w:tcPr>
            <w:tcW w:w="520" w:type="dxa"/>
            <w:vAlign w:val="bottom"/>
            <w:tcBorders>
              <w:top w:val="single" w:sz="8" w:color="EBEBEB"/>
            </w:tcBorders>
            <w:shd w:val="clear" w:color="auto" w:fill="EBEBEB"/>
          </w:tcPr>
          <w:p>
            <w:pPr>
              <w:spacing w:after="0"/>
              <w:rPr>
                <w:sz w:val="12"/>
                <w:szCs w:val="12"/>
                <w:color w:val="auto"/>
              </w:rPr>
            </w:pPr>
          </w:p>
        </w:tc>
        <w:tc>
          <w:tcPr>
            <w:tcW w:w="160" w:type="dxa"/>
            <w:vAlign w:val="bottom"/>
            <w:tcBorders>
              <w:top w:val="single" w:sz="8" w:color="0000EE"/>
            </w:tcBorders>
            <w:shd w:val="clear" w:color="auto" w:fill="EBEBEB"/>
          </w:tcPr>
          <w:p>
            <w:pPr>
              <w:spacing w:after="0"/>
              <w:rPr>
                <w:sz w:val="12"/>
                <w:szCs w:val="12"/>
                <w:color w:val="auto"/>
              </w:rPr>
            </w:pPr>
          </w:p>
        </w:tc>
        <w:tc>
          <w:tcPr>
            <w:tcW w:w="420" w:type="dxa"/>
            <w:vAlign w:val="bottom"/>
            <w:tcBorders>
              <w:top w:val="single" w:sz="8" w:color="EBEBEB"/>
            </w:tcBorders>
            <w:shd w:val="clear" w:color="auto" w:fill="EBEBEB"/>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1020" w:type="dxa"/>
            <w:vAlign w:val="bottom"/>
            <w:vMerge w:val="continue"/>
            <w:shd w:val="clear" w:color="auto" w:fill="EBEBEB"/>
          </w:tcPr>
          <w:p>
            <w:pPr>
              <w:spacing w:after="0"/>
              <w:rPr>
                <w:sz w:val="16"/>
                <w:szCs w:val="16"/>
                <w:color w:val="auto"/>
              </w:rPr>
            </w:pPr>
          </w:p>
        </w:tc>
        <w:tc>
          <w:tcPr>
            <w:tcW w:w="3480" w:type="dxa"/>
            <w:vAlign w:val="bottom"/>
            <w:shd w:val="clear" w:color="auto" w:fill="EBEBEB"/>
          </w:tcPr>
          <w:p>
            <w:pPr>
              <w:ind w:left="100"/>
              <w:spacing w:after="0"/>
              <w:rPr>
                <w:sz w:val="20"/>
                <w:szCs w:val="20"/>
                <w:color w:val="auto"/>
              </w:rPr>
            </w:pPr>
            <w:r>
              <w:rPr>
                <w:rFonts w:ascii="Arial" w:cs="Arial" w:eastAsia="Arial" w:hAnsi="Arial"/>
                <w:sz w:val="14"/>
                <w:szCs w:val="14"/>
                <w:color w:val="auto"/>
              </w:rPr>
              <w:t>resignation or removal.</w:t>
            </w:r>
          </w:p>
        </w:tc>
        <w:tc>
          <w:tcPr>
            <w:tcW w:w="2060" w:type="dxa"/>
            <w:vAlign w:val="bottom"/>
            <w:shd w:val="clear" w:color="auto" w:fill="EBEBEB"/>
          </w:tcPr>
          <w:p>
            <w:pPr>
              <w:spacing w:after="0"/>
              <w:rPr>
                <w:sz w:val="16"/>
                <w:szCs w:val="16"/>
                <w:color w:val="auto"/>
              </w:rPr>
            </w:pPr>
          </w:p>
        </w:tc>
        <w:tc>
          <w:tcPr>
            <w:tcW w:w="520" w:type="dxa"/>
            <w:vAlign w:val="bottom"/>
            <w:shd w:val="clear" w:color="auto" w:fill="EBEBEB"/>
          </w:tcPr>
          <w:p>
            <w:pPr>
              <w:spacing w:after="0"/>
              <w:rPr>
                <w:sz w:val="16"/>
                <w:szCs w:val="16"/>
                <w:color w:val="auto"/>
              </w:rPr>
            </w:pPr>
          </w:p>
        </w:tc>
        <w:tc>
          <w:tcPr>
            <w:tcW w:w="160" w:type="dxa"/>
            <w:vAlign w:val="bottom"/>
            <w:shd w:val="clear" w:color="auto" w:fill="EBEBEB"/>
          </w:tcPr>
          <w:p>
            <w:pPr>
              <w:spacing w:after="0"/>
              <w:rPr>
                <w:sz w:val="16"/>
                <w:szCs w:val="16"/>
                <w:color w:val="auto"/>
              </w:rPr>
            </w:pPr>
          </w:p>
        </w:tc>
        <w:tc>
          <w:tcPr>
            <w:tcW w:w="420" w:type="dxa"/>
            <w:vAlign w:val="bottom"/>
            <w:shd w:val="clear" w:color="auto" w:fill="EBEBEB"/>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020" w:type="dxa"/>
            <w:vAlign w:val="bottom"/>
            <w:shd w:val="clear" w:color="auto" w:fill="EBEBEB"/>
          </w:tcPr>
          <w:p>
            <w:pPr>
              <w:spacing w:after="0"/>
              <w:rPr>
                <w:sz w:val="13"/>
                <w:szCs w:val="13"/>
                <w:color w:val="auto"/>
              </w:rPr>
            </w:pPr>
          </w:p>
        </w:tc>
        <w:tc>
          <w:tcPr>
            <w:tcW w:w="3480" w:type="dxa"/>
            <w:vAlign w:val="bottom"/>
            <w:shd w:val="clear" w:color="auto" w:fill="EBEBEB"/>
          </w:tcPr>
          <w:p>
            <w:pPr>
              <w:spacing w:after="0"/>
              <w:rPr>
                <w:sz w:val="13"/>
                <w:szCs w:val="13"/>
                <w:color w:val="auto"/>
              </w:rPr>
            </w:pPr>
          </w:p>
        </w:tc>
        <w:tc>
          <w:tcPr>
            <w:tcW w:w="2060" w:type="dxa"/>
            <w:vAlign w:val="bottom"/>
            <w:shd w:val="clear" w:color="auto" w:fill="EBEBEB"/>
          </w:tcPr>
          <w:p>
            <w:pPr>
              <w:spacing w:after="0"/>
              <w:rPr>
                <w:sz w:val="13"/>
                <w:szCs w:val="13"/>
                <w:color w:val="auto"/>
              </w:rPr>
            </w:pPr>
          </w:p>
        </w:tc>
        <w:tc>
          <w:tcPr>
            <w:tcW w:w="520" w:type="dxa"/>
            <w:vAlign w:val="bottom"/>
            <w:shd w:val="clear" w:color="auto" w:fill="EBEBEB"/>
          </w:tcPr>
          <w:p>
            <w:pPr>
              <w:spacing w:after="0"/>
              <w:rPr>
                <w:sz w:val="13"/>
                <w:szCs w:val="13"/>
                <w:color w:val="auto"/>
              </w:rPr>
            </w:pPr>
          </w:p>
        </w:tc>
        <w:tc>
          <w:tcPr>
            <w:tcW w:w="160" w:type="dxa"/>
            <w:vAlign w:val="bottom"/>
            <w:shd w:val="clear" w:color="auto" w:fill="EBEBEB"/>
          </w:tcPr>
          <w:p>
            <w:pPr>
              <w:spacing w:after="0"/>
              <w:rPr>
                <w:sz w:val="13"/>
                <w:szCs w:val="13"/>
                <w:color w:val="auto"/>
              </w:rPr>
            </w:pPr>
          </w:p>
        </w:tc>
        <w:tc>
          <w:tcPr>
            <w:tcW w:w="420" w:type="dxa"/>
            <w:vAlign w:val="bottom"/>
            <w:shd w:val="clear" w:color="auto" w:fill="EBEBEB"/>
          </w:tcPr>
          <w:p>
            <w:pPr>
              <w:spacing w:after="0"/>
              <w:rPr>
                <w:sz w:val="13"/>
                <w:szCs w:val="13"/>
                <w:color w:val="auto"/>
              </w:rPr>
            </w:pPr>
          </w:p>
        </w:tc>
        <w:tc>
          <w:tcPr>
            <w:tcW w:w="0" w:type="dxa"/>
            <w:vAlign w:val="bottom"/>
          </w:tcPr>
          <w:p>
            <w:pPr>
              <w:spacing w:after="0"/>
              <w:rPr>
                <w:sz w:val="1"/>
                <w:szCs w:val="1"/>
                <w:color w:val="auto"/>
              </w:rPr>
            </w:pPr>
          </w:p>
        </w:tc>
      </w:tr>
      <w:tr>
        <w:trPr>
          <w:trHeight w:val="328"/>
        </w:trPr>
        <w:tc>
          <w:tcPr>
            <w:tcW w:w="1020" w:type="dxa"/>
            <w:vAlign w:val="bottom"/>
            <w:shd w:val="clear" w:color="auto" w:fill="FAFAFA"/>
          </w:tcPr>
          <w:p>
            <w:pPr>
              <w:spacing w:after="0"/>
              <w:rPr>
                <w:sz w:val="24"/>
                <w:szCs w:val="24"/>
                <w:color w:val="auto"/>
              </w:rPr>
            </w:pPr>
          </w:p>
        </w:tc>
        <w:tc>
          <w:tcPr>
            <w:tcW w:w="3480" w:type="dxa"/>
            <w:vAlign w:val="bottom"/>
            <w:shd w:val="clear" w:color="auto" w:fill="FAFAFA"/>
          </w:tcPr>
          <w:p>
            <w:pPr>
              <w:spacing w:after="0"/>
              <w:rPr>
                <w:sz w:val="24"/>
                <w:szCs w:val="24"/>
                <w:color w:val="auto"/>
              </w:rPr>
            </w:pPr>
          </w:p>
        </w:tc>
        <w:tc>
          <w:tcPr>
            <w:tcW w:w="2060" w:type="dxa"/>
            <w:vAlign w:val="bottom"/>
            <w:shd w:val="clear" w:color="auto" w:fill="FAFAFA"/>
          </w:tcPr>
          <w:p>
            <w:pPr>
              <w:ind w:left="120"/>
              <w:spacing w:after="0"/>
              <w:rPr>
                <w:sz w:val="20"/>
                <w:szCs w:val="20"/>
                <w:color w:val="auto"/>
              </w:rPr>
            </w:pPr>
            <w:r>
              <w:rPr>
                <w:rFonts w:ascii="Arial" w:cs="Arial" w:eastAsia="Arial" w:hAnsi="Arial"/>
                <w:sz w:val="14"/>
                <w:szCs w:val="14"/>
                <w:b w:val="1"/>
                <w:bCs w:val="1"/>
                <w:color w:val="255993"/>
              </w:rPr>
              <w:t xml:space="preserve">“FOR” </w:t>
            </w:r>
            <w:r>
              <w:rPr>
                <w:rFonts w:ascii="Arial" w:cs="Arial" w:eastAsia="Arial" w:hAnsi="Arial"/>
                <w:sz w:val="14"/>
                <w:szCs w:val="14"/>
                <w:color w:val="000000"/>
              </w:rPr>
              <w:t>the ratification of</w:t>
            </w:r>
          </w:p>
        </w:tc>
        <w:tc>
          <w:tcPr>
            <w:tcW w:w="520" w:type="dxa"/>
            <w:vAlign w:val="bottom"/>
            <w:shd w:val="clear" w:color="auto" w:fill="FAFAFA"/>
          </w:tcPr>
          <w:p>
            <w:pPr>
              <w:spacing w:after="0"/>
              <w:rPr>
                <w:sz w:val="24"/>
                <w:szCs w:val="24"/>
                <w:color w:val="auto"/>
              </w:rPr>
            </w:pPr>
          </w:p>
        </w:tc>
        <w:tc>
          <w:tcPr>
            <w:tcW w:w="160" w:type="dxa"/>
            <w:vAlign w:val="bottom"/>
            <w:shd w:val="clear" w:color="auto" w:fill="FAFAFA"/>
          </w:tcPr>
          <w:p>
            <w:pPr>
              <w:spacing w:after="0"/>
              <w:rPr>
                <w:sz w:val="24"/>
                <w:szCs w:val="24"/>
                <w:color w:val="auto"/>
              </w:rPr>
            </w:pPr>
          </w:p>
        </w:tc>
        <w:tc>
          <w:tcPr>
            <w:tcW w:w="420" w:type="dxa"/>
            <w:vAlign w:val="bottom"/>
            <w:shd w:val="clear" w:color="auto" w:fill="FAFAFA"/>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020" w:type="dxa"/>
            <w:vAlign w:val="bottom"/>
            <w:vMerge w:val="restart"/>
            <w:shd w:val="clear" w:color="auto" w:fill="FAFAFA"/>
          </w:tcPr>
          <w:p>
            <w:pPr>
              <w:jc w:val="center"/>
              <w:spacing w:after="0"/>
              <w:rPr>
                <w:sz w:val="20"/>
                <w:szCs w:val="20"/>
                <w:color w:val="auto"/>
              </w:rPr>
            </w:pPr>
            <w:r>
              <w:rPr>
                <w:rFonts w:ascii="Arial" w:cs="Arial" w:eastAsia="Arial" w:hAnsi="Arial"/>
                <w:sz w:val="58"/>
                <w:szCs w:val="58"/>
                <w:color w:val="F8991D"/>
                <w:w w:val="99"/>
              </w:rPr>
              <w:t>2</w:t>
            </w:r>
          </w:p>
        </w:tc>
        <w:tc>
          <w:tcPr>
            <w:tcW w:w="3480" w:type="dxa"/>
            <w:vAlign w:val="bottom"/>
            <w:vMerge w:val="restart"/>
            <w:shd w:val="clear" w:color="auto" w:fill="FAFAFA"/>
          </w:tcPr>
          <w:p>
            <w:pPr>
              <w:ind w:left="100"/>
              <w:spacing w:after="0"/>
              <w:rPr>
                <w:sz w:val="20"/>
                <w:szCs w:val="20"/>
                <w:color w:val="auto"/>
              </w:rPr>
            </w:pPr>
            <w:r>
              <w:rPr>
                <w:rFonts w:ascii="Arial" w:cs="Arial" w:eastAsia="Arial" w:hAnsi="Arial"/>
                <w:sz w:val="14"/>
                <w:szCs w:val="14"/>
                <w:color w:val="auto"/>
              </w:rPr>
              <w:t>To ratify the appointment of Ernst &amp; Young LLP as</w:t>
            </w:r>
          </w:p>
        </w:tc>
        <w:tc>
          <w:tcPr>
            <w:tcW w:w="2060" w:type="dxa"/>
            <w:vAlign w:val="bottom"/>
            <w:shd w:val="clear" w:color="auto" w:fill="FAFAFA"/>
          </w:tcPr>
          <w:p>
            <w:pPr>
              <w:ind w:left="120"/>
              <w:spacing w:after="0"/>
              <w:rPr>
                <w:sz w:val="20"/>
                <w:szCs w:val="20"/>
                <w:color w:val="auto"/>
              </w:rPr>
            </w:pPr>
            <w:r>
              <w:rPr>
                <w:rFonts w:ascii="Arial" w:cs="Arial" w:eastAsia="Arial" w:hAnsi="Arial"/>
                <w:sz w:val="14"/>
                <w:szCs w:val="14"/>
                <w:color w:val="auto"/>
              </w:rPr>
              <w:t>the appointment of Ernst &amp;</w:t>
            </w:r>
          </w:p>
        </w:tc>
        <w:tc>
          <w:tcPr>
            <w:tcW w:w="520" w:type="dxa"/>
            <w:vAlign w:val="bottom"/>
            <w:shd w:val="clear" w:color="auto" w:fill="FAFAFA"/>
          </w:tcPr>
          <w:p>
            <w:pPr>
              <w:spacing w:after="0"/>
              <w:rPr>
                <w:sz w:val="14"/>
                <w:szCs w:val="14"/>
                <w:color w:val="auto"/>
              </w:rPr>
            </w:pPr>
          </w:p>
        </w:tc>
        <w:tc>
          <w:tcPr>
            <w:tcW w:w="160" w:type="dxa"/>
            <w:vAlign w:val="bottom"/>
            <w:shd w:val="clear" w:color="auto" w:fill="FAFAFA"/>
          </w:tcPr>
          <w:p>
            <w:pPr>
              <w:spacing w:after="0"/>
              <w:rPr>
                <w:sz w:val="14"/>
                <w:szCs w:val="14"/>
                <w:color w:val="auto"/>
              </w:rPr>
            </w:pPr>
          </w:p>
        </w:tc>
        <w:tc>
          <w:tcPr>
            <w:tcW w:w="420" w:type="dxa"/>
            <w:vAlign w:val="bottom"/>
            <w:shd w:val="clear" w:color="auto" w:fill="FAFAFA"/>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1020" w:type="dxa"/>
            <w:vAlign w:val="bottom"/>
            <w:vMerge w:val="continue"/>
            <w:shd w:val="clear" w:color="auto" w:fill="FAFAFA"/>
          </w:tcPr>
          <w:p>
            <w:pPr>
              <w:spacing w:after="0"/>
              <w:rPr>
                <w:sz w:val="7"/>
                <w:szCs w:val="7"/>
                <w:color w:val="auto"/>
              </w:rPr>
            </w:pPr>
          </w:p>
        </w:tc>
        <w:tc>
          <w:tcPr>
            <w:tcW w:w="3480" w:type="dxa"/>
            <w:vAlign w:val="bottom"/>
            <w:vMerge w:val="continue"/>
            <w:shd w:val="clear" w:color="auto" w:fill="FAFAFA"/>
          </w:tcPr>
          <w:p>
            <w:pPr>
              <w:spacing w:after="0"/>
              <w:rPr>
                <w:sz w:val="7"/>
                <w:szCs w:val="7"/>
                <w:color w:val="auto"/>
              </w:rPr>
            </w:pPr>
          </w:p>
        </w:tc>
        <w:tc>
          <w:tcPr>
            <w:tcW w:w="2060" w:type="dxa"/>
            <w:vAlign w:val="bottom"/>
            <w:vMerge w:val="restart"/>
            <w:shd w:val="clear" w:color="auto" w:fill="FAFAFA"/>
          </w:tcPr>
          <w:p>
            <w:pPr>
              <w:ind w:left="120"/>
              <w:spacing w:after="0"/>
              <w:rPr>
                <w:sz w:val="20"/>
                <w:szCs w:val="20"/>
                <w:color w:val="auto"/>
              </w:rPr>
            </w:pPr>
            <w:r>
              <w:rPr>
                <w:rFonts w:ascii="Arial" w:cs="Arial" w:eastAsia="Arial" w:hAnsi="Arial"/>
                <w:sz w:val="14"/>
                <w:szCs w:val="14"/>
                <w:color w:val="auto"/>
              </w:rPr>
              <w:t>Young LLP as our</w:t>
            </w:r>
          </w:p>
        </w:tc>
        <w:tc>
          <w:tcPr>
            <w:tcW w:w="520" w:type="dxa"/>
            <w:vAlign w:val="bottom"/>
            <w:shd w:val="clear" w:color="auto" w:fill="FAFAFA"/>
          </w:tcPr>
          <w:p>
            <w:pPr>
              <w:spacing w:after="0"/>
              <w:rPr>
                <w:sz w:val="7"/>
                <w:szCs w:val="7"/>
                <w:color w:val="auto"/>
              </w:rPr>
            </w:pPr>
          </w:p>
        </w:tc>
        <w:tc>
          <w:tcPr>
            <w:tcW w:w="160" w:type="dxa"/>
            <w:vAlign w:val="bottom"/>
            <w:shd w:val="clear" w:color="auto" w:fill="FAFAFA"/>
          </w:tcPr>
          <w:p>
            <w:pPr>
              <w:spacing w:after="0"/>
              <w:rPr>
                <w:sz w:val="7"/>
                <w:szCs w:val="7"/>
                <w:color w:val="auto"/>
              </w:rPr>
            </w:pPr>
          </w:p>
        </w:tc>
        <w:tc>
          <w:tcPr>
            <w:tcW w:w="420" w:type="dxa"/>
            <w:vAlign w:val="bottom"/>
            <w:shd w:val="clear" w:color="auto" w:fill="FAFAFA"/>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020" w:type="dxa"/>
            <w:vAlign w:val="bottom"/>
            <w:vMerge w:val="continue"/>
            <w:shd w:val="clear" w:color="auto" w:fill="FAFAFA"/>
          </w:tcPr>
          <w:p>
            <w:pPr>
              <w:spacing w:after="0"/>
              <w:rPr>
                <w:sz w:val="7"/>
                <w:szCs w:val="7"/>
                <w:color w:val="auto"/>
              </w:rPr>
            </w:pPr>
          </w:p>
        </w:tc>
        <w:tc>
          <w:tcPr>
            <w:tcW w:w="3480" w:type="dxa"/>
            <w:vAlign w:val="bottom"/>
            <w:vMerge w:val="restart"/>
            <w:shd w:val="clear" w:color="auto" w:fill="FAFAFA"/>
          </w:tcPr>
          <w:p>
            <w:pPr>
              <w:ind w:left="100"/>
              <w:spacing w:after="0"/>
              <w:rPr>
                <w:sz w:val="20"/>
                <w:szCs w:val="20"/>
                <w:color w:val="auto"/>
              </w:rPr>
            </w:pPr>
            <w:r>
              <w:rPr>
                <w:rFonts w:ascii="Arial" w:cs="Arial" w:eastAsia="Arial" w:hAnsi="Arial"/>
                <w:sz w:val="14"/>
                <w:szCs w:val="14"/>
                <w:color w:val="auto"/>
              </w:rPr>
              <w:t>the Company’s independent registered public</w:t>
            </w:r>
          </w:p>
        </w:tc>
        <w:tc>
          <w:tcPr>
            <w:tcW w:w="2060" w:type="dxa"/>
            <w:vAlign w:val="bottom"/>
            <w:vMerge w:val="continue"/>
            <w:shd w:val="clear" w:color="auto" w:fill="FAFAFA"/>
          </w:tcPr>
          <w:p>
            <w:pPr>
              <w:spacing w:after="0"/>
              <w:rPr>
                <w:sz w:val="7"/>
                <w:szCs w:val="7"/>
                <w:color w:val="auto"/>
              </w:rPr>
            </w:pPr>
          </w:p>
        </w:tc>
        <w:tc>
          <w:tcPr>
            <w:tcW w:w="520" w:type="dxa"/>
            <w:vAlign w:val="bottom"/>
            <w:shd w:val="clear" w:color="auto" w:fill="FAFAFA"/>
          </w:tcPr>
          <w:p>
            <w:pPr>
              <w:spacing w:after="0"/>
              <w:rPr>
                <w:sz w:val="7"/>
                <w:szCs w:val="7"/>
                <w:color w:val="auto"/>
              </w:rPr>
            </w:pPr>
          </w:p>
        </w:tc>
        <w:tc>
          <w:tcPr>
            <w:tcW w:w="160" w:type="dxa"/>
            <w:vAlign w:val="bottom"/>
            <w:shd w:val="clear" w:color="auto" w:fill="FAFAFA"/>
          </w:tcPr>
          <w:p>
            <w:pPr>
              <w:spacing w:after="0"/>
              <w:rPr>
                <w:sz w:val="7"/>
                <w:szCs w:val="7"/>
                <w:color w:val="auto"/>
              </w:rPr>
            </w:pPr>
          </w:p>
        </w:tc>
        <w:tc>
          <w:tcPr>
            <w:tcW w:w="420" w:type="dxa"/>
            <w:vAlign w:val="bottom"/>
            <w:shd w:val="clear" w:color="auto" w:fill="FAFAFA"/>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020" w:type="dxa"/>
            <w:vAlign w:val="bottom"/>
            <w:vMerge w:val="continue"/>
            <w:shd w:val="clear" w:color="auto" w:fill="FAFAFA"/>
          </w:tcPr>
          <w:p>
            <w:pPr>
              <w:spacing w:after="0"/>
              <w:rPr>
                <w:sz w:val="7"/>
                <w:szCs w:val="7"/>
                <w:color w:val="auto"/>
              </w:rPr>
            </w:pPr>
          </w:p>
        </w:tc>
        <w:tc>
          <w:tcPr>
            <w:tcW w:w="3480" w:type="dxa"/>
            <w:vAlign w:val="bottom"/>
            <w:vMerge w:val="continue"/>
            <w:shd w:val="clear" w:color="auto" w:fill="FAFAFA"/>
          </w:tcPr>
          <w:p>
            <w:pPr>
              <w:spacing w:after="0"/>
              <w:rPr>
                <w:sz w:val="7"/>
                <w:szCs w:val="7"/>
                <w:color w:val="auto"/>
              </w:rPr>
            </w:pPr>
          </w:p>
        </w:tc>
        <w:tc>
          <w:tcPr>
            <w:tcW w:w="2060" w:type="dxa"/>
            <w:vAlign w:val="bottom"/>
            <w:vMerge w:val="restart"/>
            <w:shd w:val="clear" w:color="auto" w:fill="FAFAFA"/>
          </w:tcPr>
          <w:p>
            <w:pPr>
              <w:ind w:left="120"/>
              <w:spacing w:after="0" w:line="158" w:lineRule="exact"/>
              <w:rPr>
                <w:sz w:val="20"/>
                <w:szCs w:val="20"/>
                <w:color w:val="auto"/>
              </w:rPr>
            </w:pPr>
            <w:r>
              <w:rPr>
                <w:rFonts w:ascii="Arial" w:cs="Arial" w:eastAsia="Arial" w:hAnsi="Arial"/>
                <w:sz w:val="14"/>
                <w:szCs w:val="14"/>
                <w:color w:val="auto"/>
              </w:rPr>
              <w:t>independent registered</w:t>
            </w:r>
          </w:p>
        </w:tc>
        <w:tc>
          <w:tcPr>
            <w:tcW w:w="1100" w:type="dxa"/>
            <w:vAlign w:val="bottom"/>
            <w:gridSpan w:val="3"/>
            <w:vMerge w:val="restart"/>
            <w:shd w:val="clear" w:color="auto" w:fill="FAFAFA"/>
          </w:tcPr>
          <w:p>
            <w:pPr>
              <w:jc w:val="center"/>
              <w:ind w:left="24"/>
              <w:spacing w:after="0" w:line="158" w:lineRule="exact"/>
              <w:rPr>
                <w:sz w:val="20"/>
                <w:szCs w:val="20"/>
                <w:color w:val="auto"/>
              </w:rPr>
            </w:pPr>
            <w:r>
              <w:rPr>
                <w:rFonts w:ascii="Arial" w:cs="Arial" w:eastAsia="Arial" w:hAnsi="Arial"/>
                <w:sz w:val="14"/>
                <w:szCs w:val="14"/>
                <w:color w:val="0000EE"/>
              </w:rPr>
              <w:t>26</w:t>
            </w:r>
          </w:p>
        </w:tc>
        <w:tc>
          <w:tcPr>
            <w:tcW w:w="0" w:type="dxa"/>
            <w:vAlign w:val="bottom"/>
          </w:tcPr>
          <w:p>
            <w:pPr>
              <w:spacing w:after="0"/>
              <w:rPr>
                <w:sz w:val="1"/>
                <w:szCs w:val="1"/>
                <w:color w:val="auto"/>
              </w:rPr>
            </w:pPr>
          </w:p>
        </w:tc>
      </w:tr>
      <w:tr>
        <w:trPr>
          <w:trHeight w:val="77"/>
        </w:trPr>
        <w:tc>
          <w:tcPr>
            <w:tcW w:w="1020" w:type="dxa"/>
            <w:vAlign w:val="bottom"/>
            <w:vMerge w:val="continue"/>
            <w:shd w:val="clear" w:color="auto" w:fill="FAFAFA"/>
          </w:tcPr>
          <w:p>
            <w:pPr>
              <w:spacing w:after="0"/>
              <w:rPr>
                <w:sz w:val="6"/>
                <w:szCs w:val="6"/>
                <w:color w:val="auto"/>
              </w:rPr>
            </w:pPr>
          </w:p>
        </w:tc>
        <w:tc>
          <w:tcPr>
            <w:tcW w:w="3480" w:type="dxa"/>
            <w:vAlign w:val="bottom"/>
            <w:vMerge w:val="restart"/>
            <w:shd w:val="clear" w:color="auto" w:fill="FAFAFA"/>
          </w:tcPr>
          <w:p>
            <w:pPr>
              <w:ind w:left="100"/>
              <w:spacing w:after="0"/>
              <w:rPr>
                <w:sz w:val="20"/>
                <w:szCs w:val="20"/>
                <w:color w:val="auto"/>
              </w:rPr>
            </w:pPr>
            <w:r>
              <w:rPr>
                <w:rFonts w:ascii="Arial" w:cs="Arial" w:eastAsia="Arial" w:hAnsi="Arial"/>
                <w:sz w:val="14"/>
                <w:szCs w:val="14"/>
                <w:color w:val="auto"/>
              </w:rPr>
              <w:t>accounting firm for its fiscal year ending</w:t>
            </w:r>
          </w:p>
        </w:tc>
        <w:tc>
          <w:tcPr>
            <w:tcW w:w="2060" w:type="dxa"/>
            <w:vAlign w:val="bottom"/>
            <w:vMerge w:val="continue"/>
            <w:shd w:val="clear" w:color="auto" w:fill="FAFAFA"/>
          </w:tcPr>
          <w:p>
            <w:pPr>
              <w:spacing w:after="0"/>
              <w:rPr>
                <w:sz w:val="6"/>
                <w:szCs w:val="6"/>
                <w:color w:val="auto"/>
              </w:rPr>
            </w:pPr>
          </w:p>
        </w:tc>
        <w:tc>
          <w:tcPr>
            <w:tcW w:w="1100" w:type="dxa"/>
            <w:vAlign w:val="bottom"/>
            <w:gridSpan w:val="3"/>
            <w:vMerge w:val="continue"/>
            <w:shd w:val="clear" w:color="auto" w:fill="FAFAFA"/>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1020" w:type="dxa"/>
            <w:vAlign w:val="bottom"/>
            <w:tcBorders>
              <w:top w:val="single" w:sz="8" w:color="FAFAFA"/>
            </w:tcBorders>
            <w:vMerge w:val="continue"/>
            <w:shd w:val="clear" w:color="auto" w:fill="FAFAFA"/>
          </w:tcPr>
          <w:p>
            <w:pPr>
              <w:spacing w:after="0"/>
              <w:rPr>
                <w:sz w:val="5"/>
                <w:szCs w:val="5"/>
                <w:color w:val="auto"/>
              </w:rPr>
            </w:pPr>
          </w:p>
        </w:tc>
        <w:tc>
          <w:tcPr>
            <w:tcW w:w="3480" w:type="dxa"/>
            <w:vAlign w:val="bottom"/>
            <w:tcBorders>
              <w:top w:val="single" w:sz="8" w:color="FAFAFA"/>
            </w:tcBorders>
            <w:vMerge w:val="continue"/>
            <w:shd w:val="clear" w:color="auto" w:fill="FAFAFA"/>
          </w:tcPr>
          <w:p>
            <w:pPr>
              <w:spacing w:after="0"/>
              <w:rPr>
                <w:sz w:val="5"/>
                <w:szCs w:val="5"/>
                <w:color w:val="auto"/>
              </w:rPr>
            </w:pPr>
          </w:p>
        </w:tc>
        <w:tc>
          <w:tcPr>
            <w:tcW w:w="2060" w:type="dxa"/>
            <w:vAlign w:val="bottom"/>
            <w:tcBorders>
              <w:top w:val="single" w:sz="8" w:color="FAFAFA"/>
            </w:tcBorders>
            <w:vMerge w:val="restart"/>
            <w:shd w:val="clear" w:color="auto" w:fill="FAFAFA"/>
          </w:tcPr>
          <w:p>
            <w:pPr>
              <w:ind w:left="120"/>
              <w:spacing w:after="0" w:line="147" w:lineRule="exact"/>
              <w:rPr>
                <w:sz w:val="20"/>
                <w:szCs w:val="20"/>
                <w:color w:val="auto"/>
              </w:rPr>
            </w:pPr>
            <w:r>
              <w:rPr>
                <w:rFonts w:ascii="Arial" w:cs="Arial" w:eastAsia="Arial" w:hAnsi="Arial"/>
                <w:sz w:val="14"/>
                <w:szCs w:val="14"/>
                <w:color w:val="auto"/>
              </w:rPr>
              <w:t>public accounting firm for</w:t>
            </w:r>
          </w:p>
        </w:tc>
        <w:tc>
          <w:tcPr>
            <w:tcW w:w="520" w:type="dxa"/>
            <w:vAlign w:val="bottom"/>
            <w:tcBorders>
              <w:top w:val="single" w:sz="8" w:color="FAFAFA"/>
            </w:tcBorders>
            <w:shd w:val="clear" w:color="auto" w:fill="FAFAFA"/>
          </w:tcPr>
          <w:p>
            <w:pPr>
              <w:spacing w:after="0"/>
              <w:rPr>
                <w:sz w:val="5"/>
                <w:szCs w:val="5"/>
                <w:color w:val="auto"/>
              </w:rPr>
            </w:pPr>
          </w:p>
        </w:tc>
        <w:tc>
          <w:tcPr>
            <w:tcW w:w="160" w:type="dxa"/>
            <w:vAlign w:val="bottom"/>
            <w:tcBorders>
              <w:top w:val="single" w:sz="8" w:color="0000EE"/>
            </w:tcBorders>
            <w:shd w:val="clear" w:color="auto" w:fill="FAFAFA"/>
          </w:tcPr>
          <w:p>
            <w:pPr>
              <w:spacing w:after="0"/>
              <w:rPr>
                <w:sz w:val="5"/>
                <w:szCs w:val="5"/>
                <w:color w:val="auto"/>
              </w:rPr>
            </w:pPr>
          </w:p>
        </w:tc>
        <w:tc>
          <w:tcPr>
            <w:tcW w:w="420" w:type="dxa"/>
            <w:vAlign w:val="bottom"/>
            <w:tcBorders>
              <w:top w:val="single" w:sz="8" w:color="FAFAFA"/>
            </w:tcBorders>
            <w:shd w:val="clear" w:color="auto" w:fill="FAFAFA"/>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020" w:type="dxa"/>
            <w:vAlign w:val="bottom"/>
            <w:vMerge w:val="continue"/>
            <w:shd w:val="clear" w:color="auto" w:fill="FAFAFA"/>
          </w:tcPr>
          <w:p>
            <w:pPr>
              <w:spacing w:after="0"/>
              <w:rPr>
                <w:sz w:val="7"/>
                <w:szCs w:val="7"/>
                <w:color w:val="auto"/>
              </w:rPr>
            </w:pPr>
          </w:p>
        </w:tc>
        <w:tc>
          <w:tcPr>
            <w:tcW w:w="3480" w:type="dxa"/>
            <w:vAlign w:val="bottom"/>
            <w:vMerge w:val="restart"/>
            <w:shd w:val="clear" w:color="auto" w:fill="FAFAFA"/>
          </w:tcPr>
          <w:p>
            <w:pPr>
              <w:ind w:left="100"/>
              <w:spacing w:after="0"/>
              <w:rPr>
                <w:sz w:val="20"/>
                <w:szCs w:val="20"/>
                <w:color w:val="auto"/>
              </w:rPr>
            </w:pPr>
            <w:r>
              <w:rPr>
                <w:rFonts w:ascii="Arial" w:cs="Arial" w:eastAsia="Arial" w:hAnsi="Arial"/>
                <w:sz w:val="14"/>
                <w:szCs w:val="14"/>
                <w:color w:val="auto"/>
              </w:rPr>
              <w:t>December 31, 2024.</w:t>
            </w:r>
          </w:p>
        </w:tc>
        <w:tc>
          <w:tcPr>
            <w:tcW w:w="2060" w:type="dxa"/>
            <w:vAlign w:val="bottom"/>
            <w:vMerge w:val="continue"/>
            <w:shd w:val="clear" w:color="auto" w:fill="FAFAFA"/>
          </w:tcPr>
          <w:p>
            <w:pPr>
              <w:spacing w:after="0"/>
              <w:rPr>
                <w:sz w:val="7"/>
                <w:szCs w:val="7"/>
                <w:color w:val="auto"/>
              </w:rPr>
            </w:pPr>
          </w:p>
        </w:tc>
        <w:tc>
          <w:tcPr>
            <w:tcW w:w="520" w:type="dxa"/>
            <w:vAlign w:val="bottom"/>
            <w:shd w:val="clear" w:color="auto" w:fill="FAFAFA"/>
          </w:tcPr>
          <w:p>
            <w:pPr>
              <w:spacing w:after="0"/>
              <w:rPr>
                <w:sz w:val="7"/>
                <w:szCs w:val="7"/>
                <w:color w:val="auto"/>
              </w:rPr>
            </w:pPr>
          </w:p>
        </w:tc>
        <w:tc>
          <w:tcPr>
            <w:tcW w:w="160" w:type="dxa"/>
            <w:vAlign w:val="bottom"/>
            <w:shd w:val="clear" w:color="auto" w:fill="FAFAFA"/>
          </w:tcPr>
          <w:p>
            <w:pPr>
              <w:spacing w:after="0"/>
              <w:rPr>
                <w:sz w:val="7"/>
                <w:szCs w:val="7"/>
                <w:color w:val="auto"/>
              </w:rPr>
            </w:pPr>
          </w:p>
        </w:tc>
        <w:tc>
          <w:tcPr>
            <w:tcW w:w="420" w:type="dxa"/>
            <w:vAlign w:val="bottom"/>
            <w:shd w:val="clear" w:color="auto" w:fill="FAFAFA"/>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1020" w:type="dxa"/>
            <w:vAlign w:val="bottom"/>
            <w:vMerge w:val="continue"/>
            <w:shd w:val="clear" w:color="auto" w:fill="FAFAFA"/>
          </w:tcPr>
          <w:p>
            <w:pPr>
              <w:spacing w:after="0"/>
              <w:rPr>
                <w:sz w:val="14"/>
                <w:szCs w:val="14"/>
                <w:color w:val="auto"/>
              </w:rPr>
            </w:pPr>
          </w:p>
        </w:tc>
        <w:tc>
          <w:tcPr>
            <w:tcW w:w="3480" w:type="dxa"/>
            <w:vAlign w:val="bottom"/>
            <w:vMerge w:val="continue"/>
            <w:shd w:val="clear" w:color="auto" w:fill="FAFAFA"/>
          </w:tcPr>
          <w:p>
            <w:pPr>
              <w:spacing w:after="0"/>
              <w:rPr>
                <w:sz w:val="14"/>
                <w:szCs w:val="14"/>
                <w:color w:val="auto"/>
              </w:rPr>
            </w:pPr>
          </w:p>
        </w:tc>
        <w:tc>
          <w:tcPr>
            <w:tcW w:w="2060" w:type="dxa"/>
            <w:vAlign w:val="bottom"/>
            <w:shd w:val="clear" w:color="auto" w:fill="FAFAFA"/>
          </w:tcPr>
          <w:p>
            <w:pPr>
              <w:ind w:left="120"/>
              <w:spacing w:after="0"/>
              <w:rPr>
                <w:sz w:val="20"/>
                <w:szCs w:val="20"/>
                <w:color w:val="auto"/>
              </w:rPr>
            </w:pPr>
            <w:r>
              <w:rPr>
                <w:rFonts w:ascii="Arial" w:cs="Arial" w:eastAsia="Arial" w:hAnsi="Arial"/>
                <w:sz w:val="14"/>
                <w:szCs w:val="14"/>
                <w:color w:val="auto"/>
              </w:rPr>
              <w:t>our fiscal year ending</w:t>
            </w:r>
          </w:p>
        </w:tc>
        <w:tc>
          <w:tcPr>
            <w:tcW w:w="520" w:type="dxa"/>
            <w:vAlign w:val="bottom"/>
            <w:shd w:val="clear" w:color="auto" w:fill="FAFAFA"/>
          </w:tcPr>
          <w:p>
            <w:pPr>
              <w:spacing w:after="0"/>
              <w:rPr>
                <w:sz w:val="14"/>
                <w:szCs w:val="14"/>
                <w:color w:val="auto"/>
              </w:rPr>
            </w:pPr>
          </w:p>
        </w:tc>
        <w:tc>
          <w:tcPr>
            <w:tcW w:w="160" w:type="dxa"/>
            <w:vAlign w:val="bottom"/>
            <w:shd w:val="clear" w:color="auto" w:fill="FAFAFA"/>
          </w:tcPr>
          <w:p>
            <w:pPr>
              <w:spacing w:after="0"/>
              <w:rPr>
                <w:sz w:val="14"/>
                <w:szCs w:val="14"/>
                <w:color w:val="auto"/>
              </w:rPr>
            </w:pPr>
          </w:p>
        </w:tc>
        <w:tc>
          <w:tcPr>
            <w:tcW w:w="420" w:type="dxa"/>
            <w:vAlign w:val="bottom"/>
            <w:shd w:val="clear" w:color="auto" w:fill="FAFAFA"/>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020" w:type="dxa"/>
            <w:vAlign w:val="bottom"/>
            <w:shd w:val="clear" w:color="auto" w:fill="FAFAFA"/>
          </w:tcPr>
          <w:p>
            <w:pPr>
              <w:spacing w:after="0"/>
              <w:rPr>
                <w:sz w:val="16"/>
                <w:szCs w:val="16"/>
                <w:color w:val="auto"/>
              </w:rPr>
            </w:pPr>
          </w:p>
        </w:tc>
        <w:tc>
          <w:tcPr>
            <w:tcW w:w="3480" w:type="dxa"/>
            <w:vAlign w:val="bottom"/>
            <w:shd w:val="clear" w:color="auto" w:fill="FAFAFA"/>
          </w:tcPr>
          <w:p>
            <w:pPr>
              <w:spacing w:after="0"/>
              <w:rPr>
                <w:sz w:val="16"/>
                <w:szCs w:val="16"/>
                <w:color w:val="auto"/>
              </w:rPr>
            </w:pPr>
          </w:p>
        </w:tc>
        <w:tc>
          <w:tcPr>
            <w:tcW w:w="2060" w:type="dxa"/>
            <w:vAlign w:val="bottom"/>
            <w:shd w:val="clear" w:color="auto" w:fill="FAFAFA"/>
          </w:tcPr>
          <w:p>
            <w:pPr>
              <w:ind w:left="120"/>
              <w:spacing w:after="0"/>
              <w:rPr>
                <w:sz w:val="20"/>
                <w:szCs w:val="20"/>
                <w:color w:val="auto"/>
              </w:rPr>
            </w:pPr>
            <w:r>
              <w:rPr>
                <w:rFonts w:ascii="Arial" w:cs="Arial" w:eastAsia="Arial" w:hAnsi="Arial"/>
                <w:sz w:val="14"/>
                <w:szCs w:val="14"/>
                <w:color w:val="auto"/>
              </w:rPr>
              <w:t>December 31, 2024</w:t>
            </w:r>
          </w:p>
        </w:tc>
        <w:tc>
          <w:tcPr>
            <w:tcW w:w="520" w:type="dxa"/>
            <w:vAlign w:val="bottom"/>
            <w:shd w:val="clear" w:color="auto" w:fill="FAFAFA"/>
          </w:tcPr>
          <w:p>
            <w:pPr>
              <w:spacing w:after="0"/>
              <w:rPr>
                <w:sz w:val="16"/>
                <w:szCs w:val="16"/>
                <w:color w:val="auto"/>
              </w:rPr>
            </w:pPr>
          </w:p>
        </w:tc>
        <w:tc>
          <w:tcPr>
            <w:tcW w:w="160" w:type="dxa"/>
            <w:vAlign w:val="bottom"/>
            <w:shd w:val="clear" w:color="auto" w:fill="FAFAFA"/>
          </w:tcPr>
          <w:p>
            <w:pPr>
              <w:spacing w:after="0"/>
              <w:rPr>
                <w:sz w:val="16"/>
                <w:szCs w:val="16"/>
                <w:color w:val="auto"/>
              </w:rPr>
            </w:pPr>
          </w:p>
        </w:tc>
        <w:tc>
          <w:tcPr>
            <w:tcW w:w="420" w:type="dxa"/>
            <w:vAlign w:val="bottom"/>
            <w:shd w:val="clear" w:color="auto" w:fill="FAFAFA"/>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020" w:type="dxa"/>
            <w:vAlign w:val="bottom"/>
            <w:shd w:val="clear" w:color="auto" w:fill="FAFAFA"/>
          </w:tcPr>
          <w:p>
            <w:pPr>
              <w:spacing w:after="0"/>
              <w:rPr>
                <w:sz w:val="13"/>
                <w:szCs w:val="13"/>
                <w:color w:val="auto"/>
              </w:rPr>
            </w:pPr>
          </w:p>
        </w:tc>
        <w:tc>
          <w:tcPr>
            <w:tcW w:w="3480" w:type="dxa"/>
            <w:vAlign w:val="bottom"/>
            <w:shd w:val="clear" w:color="auto" w:fill="FAFAFA"/>
          </w:tcPr>
          <w:p>
            <w:pPr>
              <w:spacing w:after="0"/>
              <w:rPr>
                <w:sz w:val="13"/>
                <w:szCs w:val="13"/>
                <w:color w:val="auto"/>
              </w:rPr>
            </w:pPr>
          </w:p>
        </w:tc>
        <w:tc>
          <w:tcPr>
            <w:tcW w:w="2060" w:type="dxa"/>
            <w:vAlign w:val="bottom"/>
            <w:shd w:val="clear" w:color="auto" w:fill="FAFAFA"/>
          </w:tcPr>
          <w:p>
            <w:pPr>
              <w:spacing w:after="0"/>
              <w:rPr>
                <w:sz w:val="13"/>
                <w:szCs w:val="13"/>
                <w:color w:val="auto"/>
              </w:rPr>
            </w:pPr>
          </w:p>
        </w:tc>
        <w:tc>
          <w:tcPr>
            <w:tcW w:w="520" w:type="dxa"/>
            <w:vAlign w:val="bottom"/>
            <w:shd w:val="clear" w:color="auto" w:fill="FAFAFA"/>
          </w:tcPr>
          <w:p>
            <w:pPr>
              <w:spacing w:after="0"/>
              <w:rPr>
                <w:sz w:val="13"/>
                <w:szCs w:val="13"/>
                <w:color w:val="auto"/>
              </w:rPr>
            </w:pPr>
          </w:p>
        </w:tc>
        <w:tc>
          <w:tcPr>
            <w:tcW w:w="160" w:type="dxa"/>
            <w:vAlign w:val="bottom"/>
            <w:shd w:val="clear" w:color="auto" w:fill="FAFAFA"/>
          </w:tcPr>
          <w:p>
            <w:pPr>
              <w:spacing w:after="0"/>
              <w:rPr>
                <w:sz w:val="13"/>
                <w:szCs w:val="13"/>
                <w:color w:val="auto"/>
              </w:rPr>
            </w:pPr>
          </w:p>
        </w:tc>
        <w:tc>
          <w:tcPr>
            <w:tcW w:w="420" w:type="dxa"/>
            <w:vAlign w:val="bottom"/>
            <w:shd w:val="clear" w:color="auto" w:fill="FAFAFA"/>
          </w:tcPr>
          <w:p>
            <w:pPr>
              <w:spacing w:after="0"/>
              <w:rPr>
                <w:sz w:val="13"/>
                <w:szCs w:val="13"/>
                <w:color w:val="auto"/>
              </w:rPr>
            </w:pPr>
          </w:p>
        </w:tc>
        <w:tc>
          <w:tcPr>
            <w:tcW w:w="0" w:type="dxa"/>
            <w:vAlign w:val="bottom"/>
          </w:tcPr>
          <w:p>
            <w:pPr>
              <w:spacing w:after="0"/>
              <w:rPr>
                <w:sz w:val="1"/>
                <w:szCs w:val="1"/>
                <w:color w:val="auto"/>
              </w:rPr>
            </w:pPr>
          </w:p>
        </w:tc>
      </w:tr>
      <w:tr>
        <w:trPr>
          <w:trHeight w:val="328"/>
        </w:trPr>
        <w:tc>
          <w:tcPr>
            <w:tcW w:w="1020" w:type="dxa"/>
            <w:vAlign w:val="bottom"/>
            <w:vMerge w:val="restart"/>
            <w:shd w:val="clear" w:color="auto" w:fill="EBEBEB"/>
          </w:tcPr>
          <w:p>
            <w:pPr>
              <w:jc w:val="center"/>
              <w:spacing w:after="0"/>
              <w:rPr>
                <w:sz w:val="20"/>
                <w:szCs w:val="20"/>
                <w:color w:val="auto"/>
              </w:rPr>
            </w:pPr>
            <w:r>
              <w:rPr>
                <w:rFonts w:ascii="Arial" w:cs="Arial" w:eastAsia="Arial" w:hAnsi="Arial"/>
                <w:sz w:val="58"/>
                <w:szCs w:val="58"/>
                <w:color w:val="6CCAD0"/>
                <w:w w:val="99"/>
              </w:rPr>
              <w:t>3</w:t>
            </w:r>
          </w:p>
        </w:tc>
        <w:tc>
          <w:tcPr>
            <w:tcW w:w="3480" w:type="dxa"/>
            <w:vAlign w:val="bottom"/>
            <w:shd w:val="clear" w:color="auto" w:fill="EBEBEB"/>
          </w:tcPr>
          <w:p>
            <w:pPr>
              <w:spacing w:after="0"/>
              <w:rPr>
                <w:sz w:val="24"/>
                <w:szCs w:val="24"/>
                <w:color w:val="auto"/>
              </w:rPr>
            </w:pPr>
          </w:p>
        </w:tc>
        <w:tc>
          <w:tcPr>
            <w:tcW w:w="2060" w:type="dxa"/>
            <w:vAlign w:val="bottom"/>
            <w:shd w:val="clear" w:color="auto" w:fill="EBEBEB"/>
          </w:tcPr>
          <w:p>
            <w:pPr>
              <w:ind w:left="120"/>
              <w:spacing w:after="0"/>
              <w:rPr>
                <w:sz w:val="20"/>
                <w:szCs w:val="20"/>
                <w:color w:val="auto"/>
              </w:rPr>
            </w:pPr>
            <w:r>
              <w:rPr>
                <w:rFonts w:ascii="Arial" w:cs="Arial" w:eastAsia="Arial" w:hAnsi="Arial"/>
                <w:sz w:val="14"/>
                <w:szCs w:val="14"/>
                <w:b w:val="1"/>
                <w:bCs w:val="1"/>
                <w:color w:val="255993"/>
              </w:rPr>
              <w:t xml:space="preserve">“FOR” </w:t>
            </w:r>
            <w:r>
              <w:rPr>
                <w:rFonts w:ascii="Arial" w:cs="Arial" w:eastAsia="Arial" w:hAnsi="Arial"/>
                <w:sz w:val="14"/>
                <w:szCs w:val="14"/>
                <w:color w:val="000000"/>
              </w:rPr>
              <w:t>an amendment to</w:t>
            </w:r>
          </w:p>
        </w:tc>
        <w:tc>
          <w:tcPr>
            <w:tcW w:w="520" w:type="dxa"/>
            <w:vAlign w:val="bottom"/>
            <w:shd w:val="clear" w:color="auto" w:fill="EBEBEB"/>
          </w:tcPr>
          <w:p>
            <w:pPr>
              <w:spacing w:after="0"/>
              <w:rPr>
                <w:sz w:val="24"/>
                <w:szCs w:val="24"/>
                <w:color w:val="auto"/>
              </w:rPr>
            </w:pPr>
          </w:p>
        </w:tc>
        <w:tc>
          <w:tcPr>
            <w:tcW w:w="160" w:type="dxa"/>
            <w:vAlign w:val="bottom"/>
            <w:shd w:val="clear" w:color="auto" w:fill="EBEBEB"/>
          </w:tcPr>
          <w:p>
            <w:pPr>
              <w:spacing w:after="0"/>
              <w:rPr>
                <w:sz w:val="24"/>
                <w:szCs w:val="24"/>
                <w:color w:val="auto"/>
              </w:rPr>
            </w:pPr>
          </w:p>
        </w:tc>
        <w:tc>
          <w:tcPr>
            <w:tcW w:w="420" w:type="dxa"/>
            <w:vAlign w:val="bottom"/>
            <w:shd w:val="clear" w:color="auto" w:fill="EBEBEB"/>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020" w:type="dxa"/>
            <w:vAlign w:val="bottom"/>
            <w:vMerge w:val="continue"/>
            <w:shd w:val="clear" w:color="auto" w:fill="EBEBEB"/>
          </w:tcPr>
          <w:p>
            <w:pPr>
              <w:spacing w:after="0"/>
              <w:rPr>
                <w:sz w:val="14"/>
                <w:szCs w:val="14"/>
                <w:color w:val="auto"/>
              </w:rPr>
            </w:pPr>
          </w:p>
        </w:tc>
        <w:tc>
          <w:tcPr>
            <w:tcW w:w="3480" w:type="dxa"/>
            <w:vAlign w:val="bottom"/>
            <w:shd w:val="clear" w:color="auto" w:fill="EBEBEB"/>
          </w:tcPr>
          <w:p>
            <w:pPr>
              <w:ind w:left="100"/>
              <w:spacing w:after="0"/>
              <w:rPr>
                <w:sz w:val="20"/>
                <w:szCs w:val="20"/>
                <w:color w:val="auto"/>
              </w:rPr>
            </w:pPr>
            <w:r>
              <w:rPr>
                <w:rFonts w:ascii="Arial" w:cs="Arial" w:eastAsia="Arial" w:hAnsi="Arial"/>
                <w:sz w:val="14"/>
                <w:szCs w:val="14"/>
                <w:color w:val="auto"/>
              </w:rPr>
              <w:t>To approve an amendment to the Company’s</w:t>
            </w:r>
          </w:p>
        </w:tc>
        <w:tc>
          <w:tcPr>
            <w:tcW w:w="2060" w:type="dxa"/>
            <w:vAlign w:val="bottom"/>
            <w:shd w:val="clear" w:color="auto" w:fill="EBEBEB"/>
          </w:tcPr>
          <w:p>
            <w:pPr>
              <w:ind w:left="120"/>
              <w:spacing w:after="0"/>
              <w:rPr>
                <w:sz w:val="20"/>
                <w:szCs w:val="20"/>
                <w:color w:val="auto"/>
              </w:rPr>
            </w:pPr>
            <w:r>
              <w:rPr>
                <w:rFonts w:ascii="Arial" w:cs="Arial" w:eastAsia="Arial" w:hAnsi="Arial"/>
                <w:sz w:val="14"/>
                <w:szCs w:val="14"/>
                <w:color w:val="auto"/>
              </w:rPr>
              <w:t>the Company’s amended</w:t>
            </w:r>
          </w:p>
        </w:tc>
        <w:tc>
          <w:tcPr>
            <w:tcW w:w="520" w:type="dxa"/>
            <w:vAlign w:val="bottom"/>
            <w:shd w:val="clear" w:color="auto" w:fill="EBEBEB"/>
          </w:tcPr>
          <w:p>
            <w:pPr>
              <w:spacing w:after="0"/>
              <w:rPr>
                <w:sz w:val="14"/>
                <w:szCs w:val="14"/>
                <w:color w:val="auto"/>
              </w:rPr>
            </w:pPr>
          </w:p>
        </w:tc>
        <w:tc>
          <w:tcPr>
            <w:tcW w:w="160" w:type="dxa"/>
            <w:vAlign w:val="bottom"/>
            <w:shd w:val="clear" w:color="auto" w:fill="EBEBEB"/>
          </w:tcPr>
          <w:p>
            <w:pPr>
              <w:spacing w:after="0"/>
              <w:rPr>
                <w:sz w:val="14"/>
                <w:szCs w:val="14"/>
                <w:color w:val="auto"/>
              </w:rPr>
            </w:pPr>
          </w:p>
        </w:tc>
        <w:tc>
          <w:tcPr>
            <w:tcW w:w="420" w:type="dxa"/>
            <w:vAlign w:val="bottom"/>
            <w:shd w:val="clear" w:color="auto" w:fill="EBEBEB"/>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20" w:type="dxa"/>
            <w:vAlign w:val="bottom"/>
            <w:vMerge w:val="continue"/>
            <w:shd w:val="clear" w:color="auto" w:fill="EBEBEB"/>
          </w:tcPr>
          <w:p>
            <w:pPr>
              <w:spacing w:after="0"/>
              <w:rPr>
                <w:sz w:val="14"/>
                <w:szCs w:val="14"/>
                <w:color w:val="auto"/>
              </w:rPr>
            </w:pPr>
          </w:p>
        </w:tc>
        <w:tc>
          <w:tcPr>
            <w:tcW w:w="3480" w:type="dxa"/>
            <w:vAlign w:val="bottom"/>
            <w:shd w:val="clear" w:color="auto" w:fill="EBEBEB"/>
          </w:tcPr>
          <w:p>
            <w:pPr>
              <w:ind w:left="100"/>
              <w:spacing w:after="0"/>
              <w:rPr>
                <w:sz w:val="20"/>
                <w:szCs w:val="20"/>
                <w:color w:val="auto"/>
              </w:rPr>
            </w:pPr>
            <w:r>
              <w:rPr>
                <w:rFonts w:ascii="Arial" w:cs="Arial" w:eastAsia="Arial" w:hAnsi="Arial"/>
                <w:sz w:val="14"/>
                <w:szCs w:val="14"/>
                <w:color w:val="auto"/>
              </w:rPr>
              <w:t>amended and restated certificate of incorporation</w:t>
            </w:r>
          </w:p>
        </w:tc>
        <w:tc>
          <w:tcPr>
            <w:tcW w:w="2060" w:type="dxa"/>
            <w:vAlign w:val="bottom"/>
            <w:shd w:val="clear" w:color="auto" w:fill="EBEBEB"/>
          </w:tcPr>
          <w:p>
            <w:pPr>
              <w:ind w:left="120"/>
              <w:spacing w:after="0"/>
              <w:rPr>
                <w:sz w:val="20"/>
                <w:szCs w:val="20"/>
                <w:color w:val="auto"/>
              </w:rPr>
            </w:pPr>
            <w:r>
              <w:rPr>
                <w:rFonts w:ascii="Arial" w:cs="Arial" w:eastAsia="Arial" w:hAnsi="Arial"/>
                <w:sz w:val="14"/>
                <w:szCs w:val="14"/>
                <w:color w:val="auto"/>
              </w:rPr>
              <w:t>and restated certificate of</w:t>
            </w:r>
          </w:p>
        </w:tc>
        <w:tc>
          <w:tcPr>
            <w:tcW w:w="1100" w:type="dxa"/>
            <w:vAlign w:val="bottom"/>
            <w:gridSpan w:val="3"/>
            <w:vMerge w:val="restart"/>
            <w:shd w:val="clear" w:color="auto" w:fill="EBEBEB"/>
          </w:tcPr>
          <w:p>
            <w:pPr>
              <w:jc w:val="center"/>
              <w:ind w:left="24"/>
              <w:spacing w:after="0"/>
              <w:rPr>
                <w:sz w:val="20"/>
                <w:szCs w:val="20"/>
                <w:color w:val="auto"/>
              </w:rPr>
            </w:pPr>
            <w:r>
              <w:rPr>
                <w:rFonts w:ascii="Arial" w:cs="Arial" w:eastAsia="Arial" w:hAnsi="Arial"/>
                <w:sz w:val="14"/>
                <w:szCs w:val="14"/>
                <w:color w:val="0000EE"/>
              </w:rPr>
              <w:t>29</w:t>
            </w:r>
          </w:p>
        </w:tc>
        <w:tc>
          <w:tcPr>
            <w:tcW w:w="0" w:type="dxa"/>
            <w:vAlign w:val="bottom"/>
          </w:tcPr>
          <w:p>
            <w:pPr>
              <w:spacing w:after="0"/>
              <w:rPr>
                <w:sz w:val="1"/>
                <w:szCs w:val="1"/>
                <w:color w:val="auto"/>
              </w:rPr>
            </w:pPr>
          </w:p>
        </w:tc>
      </w:tr>
      <w:tr>
        <w:trPr>
          <w:trHeight w:val="77"/>
        </w:trPr>
        <w:tc>
          <w:tcPr>
            <w:tcW w:w="1020" w:type="dxa"/>
            <w:vAlign w:val="bottom"/>
            <w:vMerge w:val="continue"/>
            <w:shd w:val="clear" w:color="auto" w:fill="EBEBEB"/>
          </w:tcPr>
          <w:p>
            <w:pPr>
              <w:spacing w:after="0"/>
              <w:rPr>
                <w:sz w:val="6"/>
                <w:szCs w:val="6"/>
                <w:color w:val="auto"/>
              </w:rPr>
            </w:pPr>
          </w:p>
        </w:tc>
        <w:tc>
          <w:tcPr>
            <w:tcW w:w="3480" w:type="dxa"/>
            <w:vAlign w:val="bottom"/>
            <w:vMerge w:val="restart"/>
            <w:shd w:val="clear" w:color="auto" w:fill="EBEBEB"/>
          </w:tcPr>
          <w:p>
            <w:pPr>
              <w:ind w:left="100"/>
              <w:spacing w:after="0"/>
              <w:rPr>
                <w:sz w:val="20"/>
                <w:szCs w:val="20"/>
                <w:color w:val="auto"/>
              </w:rPr>
            </w:pPr>
            <w:r>
              <w:rPr>
                <w:rFonts w:ascii="Arial" w:cs="Arial" w:eastAsia="Arial" w:hAnsi="Arial"/>
                <w:sz w:val="14"/>
                <w:szCs w:val="14"/>
                <w:color w:val="auto"/>
              </w:rPr>
              <w:t>to limit the liability of officers as permitted by</w:t>
            </w:r>
          </w:p>
        </w:tc>
        <w:tc>
          <w:tcPr>
            <w:tcW w:w="2060" w:type="dxa"/>
            <w:vAlign w:val="bottom"/>
            <w:vMerge w:val="restart"/>
            <w:shd w:val="clear" w:color="auto" w:fill="EBEBEB"/>
          </w:tcPr>
          <w:p>
            <w:pPr>
              <w:ind w:left="120"/>
              <w:spacing w:after="0"/>
              <w:rPr>
                <w:sz w:val="20"/>
                <w:szCs w:val="20"/>
                <w:color w:val="auto"/>
              </w:rPr>
            </w:pPr>
            <w:r>
              <w:rPr>
                <w:rFonts w:ascii="Arial" w:cs="Arial" w:eastAsia="Arial" w:hAnsi="Arial"/>
                <w:sz w:val="14"/>
                <w:szCs w:val="14"/>
                <w:color w:val="auto"/>
              </w:rPr>
              <w:t>incorporation to limit the</w:t>
            </w:r>
          </w:p>
        </w:tc>
        <w:tc>
          <w:tcPr>
            <w:tcW w:w="1100" w:type="dxa"/>
            <w:vAlign w:val="bottom"/>
            <w:gridSpan w:val="3"/>
            <w:vMerge w:val="continue"/>
            <w:shd w:val="clear" w:color="auto" w:fill="EBEBEB"/>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1020" w:type="dxa"/>
            <w:vAlign w:val="bottom"/>
            <w:tcBorders>
              <w:top w:val="single" w:sz="8" w:color="EBEBEB"/>
            </w:tcBorders>
            <w:vMerge w:val="continue"/>
            <w:shd w:val="clear" w:color="auto" w:fill="EBEBEB"/>
          </w:tcPr>
          <w:p>
            <w:pPr>
              <w:spacing w:after="0"/>
              <w:rPr>
                <w:sz w:val="5"/>
                <w:szCs w:val="5"/>
                <w:color w:val="auto"/>
              </w:rPr>
            </w:pPr>
          </w:p>
        </w:tc>
        <w:tc>
          <w:tcPr>
            <w:tcW w:w="3480" w:type="dxa"/>
            <w:vAlign w:val="bottom"/>
            <w:tcBorders>
              <w:top w:val="single" w:sz="8" w:color="EBEBEB"/>
            </w:tcBorders>
            <w:vMerge w:val="continue"/>
            <w:shd w:val="clear" w:color="auto" w:fill="EBEBEB"/>
          </w:tcPr>
          <w:p>
            <w:pPr>
              <w:spacing w:after="0"/>
              <w:rPr>
                <w:sz w:val="5"/>
                <w:szCs w:val="5"/>
                <w:color w:val="auto"/>
              </w:rPr>
            </w:pPr>
          </w:p>
        </w:tc>
        <w:tc>
          <w:tcPr>
            <w:tcW w:w="2060" w:type="dxa"/>
            <w:vAlign w:val="bottom"/>
            <w:tcBorders>
              <w:top w:val="single" w:sz="8" w:color="EBEBEB"/>
            </w:tcBorders>
            <w:vMerge w:val="continue"/>
            <w:shd w:val="clear" w:color="auto" w:fill="EBEBEB"/>
          </w:tcPr>
          <w:p>
            <w:pPr>
              <w:spacing w:after="0"/>
              <w:rPr>
                <w:sz w:val="5"/>
                <w:szCs w:val="5"/>
                <w:color w:val="auto"/>
              </w:rPr>
            </w:pPr>
          </w:p>
        </w:tc>
        <w:tc>
          <w:tcPr>
            <w:tcW w:w="520" w:type="dxa"/>
            <w:vAlign w:val="bottom"/>
            <w:tcBorders>
              <w:top w:val="single" w:sz="8" w:color="EBEBEB"/>
            </w:tcBorders>
            <w:shd w:val="clear" w:color="auto" w:fill="EBEBEB"/>
          </w:tcPr>
          <w:p>
            <w:pPr>
              <w:spacing w:after="0"/>
              <w:rPr>
                <w:sz w:val="5"/>
                <w:szCs w:val="5"/>
                <w:color w:val="auto"/>
              </w:rPr>
            </w:pPr>
          </w:p>
        </w:tc>
        <w:tc>
          <w:tcPr>
            <w:tcW w:w="160" w:type="dxa"/>
            <w:vAlign w:val="bottom"/>
            <w:tcBorders>
              <w:top w:val="single" w:sz="8" w:color="0000EE"/>
            </w:tcBorders>
            <w:shd w:val="clear" w:color="auto" w:fill="EBEBEB"/>
          </w:tcPr>
          <w:p>
            <w:pPr>
              <w:spacing w:after="0"/>
              <w:rPr>
                <w:sz w:val="5"/>
                <w:szCs w:val="5"/>
                <w:color w:val="auto"/>
              </w:rPr>
            </w:pPr>
          </w:p>
        </w:tc>
        <w:tc>
          <w:tcPr>
            <w:tcW w:w="420" w:type="dxa"/>
            <w:vAlign w:val="bottom"/>
            <w:tcBorders>
              <w:top w:val="single" w:sz="8" w:color="EBEBEB"/>
            </w:tcBorders>
            <w:shd w:val="clear" w:color="auto" w:fill="EBEBEB"/>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1020" w:type="dxa"/>
            <w:vAlign w:val="bottom"/>
            <w:vMerge w:val="continue"/>
            <w:shd w:val="clear" w:color="auto" w:fill="EBEBEB"/>
          </w:tcPr>
          <w:p>
            <w:pPr>
              <w:spacing w:after="0"/>
              <w:rPr>
                <w:sz w:val="14"/>
                <w:szCs w:val="14"/>
                <w:color w:val="auto"/>
              </w:rPr>
            </w:pPr>
          </w:p>
        </w:tc>
        <w:tc>
          <w:tcPr>
            <w:tcW w:w="3480" w:type="dxa"/>
            <w:vAlign w:val="bottom"/>
            <w:shd w:val="clear" w:color="auto" w:fill="EBEBEB"/>
          </w:tcPr>
          <w:p>
            <w:pPr>
              <w:ind w:left="100"/>
              <w:spacing w:after="0"/>
              <w:rPr>
                <w:sz w:val="20"/>
                <w:szCs w:val="20"/>
                <w:color w:val="auto"/>
              </w:rPr>
            </w:pPr>
            <w:r>
              <w:rPr>
                <w:rFonts w:ascii="Arial" w:cs="Arial" w:eastAsia="Arial" w:hAnsi="Arial"/>
                <w:sz w:val="14"/>
                <w:szCs w:val="14"/>
                <w:color w:val="auto"/>
              </w:rPr>
              <w:t>Delaware law.</w:t>
            </w:r>
          </w:p>
        </w:tc>
        <w:tc>
          <w:tcPr>
            <w:tcW w:w="2060" w:type="dxa"/>
            <w:vAlign w:val="bottom"/>
            <w:shd w:val="clear" w:color="auto" w:fill="EBEBEB"/>
          </w:tcPr>
          <w:p>
            <w:pPr>
              <w:ind w:left="120"/>
              <w:spacing w:after="0"/>
              <w:rPr>
                <w:sz w:val="20"/>
                <w:szCs w:val="20"/>
                <w:color w:val="auto"/>
              </w:rPr>
            </w:pPr>
            <w:r>
              <w:rPr>
                <w:rFonts w:ascii="Arial" w:cs="Arial" w:eastAsia="Arial" w:hAnsi="Arial"/>
                <w:sz w:val="14"/>
                <w:szCs w:val="14"/>
                <w:color w:val="auto"/>
              </w:rPr>
              <w:t>liability of officers as</w:t>
            </w:r>
          </w:p>
        </w:tc>
        <w:tc>
          <w:tcPr>
            <w:tcW w:w="520" w:type="dxa"/>
            <w:vAlign w:val="bottom"/>
            <w:shd w:val="clear" w:color="auto" w:fill="EBEBEB"/>
          </w:tcPr>
          <w:p>
            <w:pPr>
              <w:spacing w:after="0"/>
              <w:rPr>
                <w:sz w:val="14"/>
                <w:szCs w:val="14"/>
                <w:color w:val="auto"/>
              </w:rPr>
            </w:pPr>
          </w:p>
        </w:tc>
        <w:tc>
          <w:tcPr>
            <w:tcW w:w="160" w:type="dxa"/>
            <w:vAlign w:val="bottom"/>
            <w:shd w:val="clear" w:color="auto" w:fill="EBEBEB"/>
          </w:tcPr>
          <w:p>
            <w:pPr>
              <w:spacing w:after="0"/>
              <w:rPr>
                <w:sz w:val="14"/>
                <w:szCs w:val="14"/>
                <w:color w:val="auto"/>
              </w:rPr>
            </w:pPr>
          </w:p>
        </w:tc>
        <w:tc>
          <w:tcPr>
            <w:tcW w:w="420" w:type="dxa"/>
            <w:vAlign w:val="bottom"/>
            <w:shd w:val="clear" w:color="auto" w:fill="EBEBEB"/>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020" w:type="dxa"/>
            <w:vAlign w:val="bottom"/>
            <w:shd w:val="clear" w:color="auto" w:fill="EBEBEB"/>
          </w:tcPr>
          <w:p>
            <w:pPr>
              <w:spacing w:after="0"/>
              <w:rPr>
                <w:sz w:val="16"/>
                <w:szCs w:val="16"/>
                <w:color w:val="auto"/>
              </w:rPr>
            </w:pPr>
          </w:p>
        </w:tc>
        <w:tc>
          <w:tcPr>
            <w:tcW w:w="3480" w:type="dxa"/>
            <w:vAlign w:val="bottom"/>
            <w:shd w:val="clear" w:color="auto" w:fill="EBEBEB"/>
          </w:tcPr>
          <w:p>
            <w:pPr>
              <w:spacing w:after="0"/>
              <w:rPr>
                <w:sz w:val="16"/>
                <w:szCs w:val="16"/>
                <w:color w:val="auto"/>
              </w:rPr>
            </w:pPr>
          </w:p>
        </w:tc>
        <w:tc>
          <w:tcPr>
            <w:tcW w:w="2060" w:type="dxa"/>
            <w:vAlign w:val="bottom"/>
            <w:shd w:val="clear" w:color="auto" w:fill="EBEBEB"/>
          </w:tcPr>
          <w:p>
            <w:pPr>
              <w:ind w:left="120"/>
              <w:spacing w:after="0"/>
              <w:rPr>
                <w:sz w:val="20"/>
                <w:szCs w:val="20"/>
                <w:color w:val="auto"/>
              </w:rPr>
            </w:pPr>
            <w:r>
              <w:rPr>
                <w:rFonts w:ascii="Arial" w:cs="Arial" w:eastAsia="Arial" w:hAnsi="Arial"/>
                <w:sz w:val="14"/>
                <w:szCs w:val="14"/>
                <w:color w:val="auto"/>
              </w:rPr>
              <w:t>permitted by Delaware law</w:t>
            </w:r>
          </w:p>
        </w:tc>
        <w:tc>
          <w:tcPr>
            <w:tcW w:w="520" w:type="dxa"/>
            <w:vAlign w:val="bottom"/>
            <w:shd w:val="clear" w:color="auto" w:fill="EBEBEB"/>
          </w:tcPr>
          <w:p>
            <w:pPr>
              <w:spacing w:after="0"/>
              <w:rPr>
                <w:sz w:val="16"/>
                <w:szCs w:val="16"/>
                <w:color w:val="auto"/>
              </w:rPr>
            </w:pPr>
          </w:p>
        </w:tc>
        <w:tc>
          <w:tcPr>
            <w:tcW w:w="160" w:type="dxa"/>
            <w:vAlign w:val="bottom"/>
            <w:shd w:val="clear" w:color="auto" w:fill="EBEBEB"/>
          </w:tcPr>
          <w:p>
            <w:pPr>
              <w:spacing w:after="0"/>
              <w:rPr>
                <w:sz w:val="16"/>
                <w:szCs w:val="16"/>
                <w:color w:val="auto"/>
              </w:rPr>
            </w:pPr>
          </w:p>
        </w:tc>
        <w:tc>
          <w:tcPr>
            <w:tcW w:w="420" w:type="dxa"/>
            <w:vAlign w:val="bottom"/>
            <w:shd w:val="clear" w:color="auto" w:fill="EBEBEB"/>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1020" w:type="dxa"/>
            <w:vAlign w:val="bottom"/>
            <w:shd w:val="clear" w:color="auto" w:fill="EBEBEB"/>
          </w:tcPr>
          <w:p>
            <w:pPr>
              <w:spacing w:after="0"/>
              <w:rPr>
                <w:sz w:val="10"/>
                <w:szCs w:val="10"/>
                <w:color w:val="auto"/>
              </w:rPr>
            </w:pPr>
          </w:p>
        </w:tc>
        <w:tc>
          <w:tcPr>
            <w:tcW w:w="3480" w:type="dxa"/>
            <w:vAlign w:val="bottom"/>
            <w:shd w:val="clear" w:color="auto" w:fill="EBEBEB"/>
          </w:tcPr>
          <w:p>
            <w:pPr>
              <w:spacing w:after="0"/>
              <w:rPr>
                <w:sz w:val="10"/>
                <w:szCs w:val="10"/>
                <w:color w:val="auto"/>
              </w:rPr>
            </w:pPr>
          </w:p>
        </w:tc>
        <w:tc>
          <w:tcPr>
            <w:tcW w:w="2060" w:type="dxa"/>
            <w:vAlign w:val="bottom"/>
            <w:shd w:val="clear" w:color="auto" w:fill="EBEBEB"/>
          </w:tcPr>
          <w:p>
            <w:pPr>
              <w:spacing w:after="0"/>
              <w:rPr>
                <w:sz w:val="10"/>
                <w:szCs w:val="10"/>
                <w:color w:val="auto"/>
              </w:rPr>
            </w:pPr>
          </w:p>
        </w:tc>
        <w:tc>
          <w:tcPr>
            <w:tcW w:w="520" w:type="dxa"/>
            <w:vAlign w:val="bottom"/>
            <w:shd w:val="clear" w:color="auto" w:fill="EBEBEB"/>
          </w:tcPr>
          <w:p>
            <w:pPr>
              <w:spacing w:after="0"/>
              <w:rPr>
                <w:sz w:val="10"/>
                <w:szCs w:val="10"/>
                <w:color w:val="auto"/>
              </w:rPr>
            </w:pPr>
          </w:p>
        </w:tc>
        <w:tc>
          <w:tcPr>
            <w:tcW w:w="160" w:type="dxa"/>
            <w:vAlign w:val="bottom"/>
            <w:shd w:val="clear" w:color="auto" w:fill="EBEBEB"/>
          </w:tcPr>
          <w:p>
            <w:pPr>
              <w:spacing w:after="0"/>
              <w:rPr>
                <w:sz w:val="10"/>
                <w:szCs w:val="10"/>
                <w:color w:val="auto"/>
              </w:rPr>
            </w:pPr>
          </w:p>
        </w:tc>
        <w:tc>
          <w:tcPr>
            <w:tcW w:w="420" w:type="dxa"/>
            <w:vAlign w:val="bottom"/>
            <w:shd w:val="clear" w:color="auto" w:fill="EBEBEB"/>
          </w:tcPr>
          <w:p>
            <w:pPr>
              <w:spacing w:after="0"/>
              <w:rPr>
                <w:sz w:val="10"/>
                <w:szCs w:val="10"/>
                <w:color w:val="auto"/>
              </w:rPr>
            </w:pPr>
          </w:p>
        </w:tc>
        <w:tc>
          <w:tcPr>
            <w:tcW w:w="0" w:type="dxa"/>
            <w:vAlign w:val="bottom"/>
          </w:tcPr>
          <w:p>
            <w:pPr>
              <w:spacing w:after="0"/>
              <w:rPr>
                <w:sz w:val="1"/>
                <w:szCs w:val="1"/>
                <w:color w:val="auto"/>
              </w:rPr>
            </w:pPr>
          </w:p>
        </w:tc>
      </w:tr>
      <w:tr>
        <w:trPr>
          <w:trHeight w:val="504"/>
        </w:trPr>
        <w:tc>
          <w:tcPr>
            <w:tcW w:w="1020" w:type="dxa"/>
            <w:vAlign w:val="bottom"/>
            <w:vMerge w:val="restart"/>
            <w:shd w:val="clear" w:color="auto" w:fill="FAFAFA"/>
          </w:tcPr>
          <w:p>
            <w:pPr>
              <w:jc w:val="center"/>
              <w:spacing w:after="0"/>
              <w:rPr>
                <w:sz w:val="20"/>
                <w:szCs w:val="20"/>
                <w:color w:val="auto"/>
              </w:rPr>
            </w:pPr>
            <w:r>
              <w:rPr>
                <w:rFonts w:ascii="Arial" w:cs="Arial" w:eastAsia="Arial" w:hAnsi="Arial"/>
                <w:sz w:val="58"/>
                <w:szCs w:val="58"/>
                <w:color w:val="255993"/>
                <w:w w:val="99"/>
              </w:rPr>
              <w:t>4</w:t>
            </w:r>
            <w:r>
              <w:rPr>
                <w:rFonts w:ascii="Arial" w:cs="Arial" w:eastAsia="Arial" w:hAnsi="Arial"/>
                <w:sz w:val="14"/>
                <w:szCs w:val="14"/>
                <w:color w:val="255993"/>
                <w:w w:val="99"/>
              </w:rPr>
              <w:t>​</w:t>
            </w:r>
          </w:p>
        </w:tc>
        <w:tc>
          <w:tcPr>
            <w:tcW w:w="3480" w:type="dxa"/>
            <w:vAlign w:val="bottom"/>
            <w:shd w:val="clear" w:color="auto" w:fill="FAFAFA"/>
          </w:tcPr>
          <w:p>
            <w:pPr>
              <w:ind w:left="100"/>
              <w:spacing w:after="0"/>
              <w:rPr>
                <w:sz w:val="20"/>
                <w:szCs w:val="20"/>
                <w:color w:val="auto"/>
              </w:rPr>
            </w:pPr>
            <w:r>
              <w:rPr>
                <w:rFonts w:ascii="Arial" w:cs="Arial" w:eastAsia="Arial" w:hAnsi="Arial"/>
                <w:sz w:val="14"/>
                <w:szCs w:val="14"/>
                <w:color w:val="auto"/>
              </w:rPr>
              <w:t>To vote on any other matters that may properly</w:t>
            </w:r>
          </w:p>
        </w:tc>
        <w:tc>
          <w:tcPr>
            <w:tcW w:w="2060" w:type="dxa"/>
            <w:vAlign w:val="bottom"/>
            <w:vMerge w:val="restart"/>
            <w:shd w:val="clear" w:color="auto" w:fill="FAFAFA"/>
          </w:tcPr>
          <w:p>
            <w:pPr>
              <w:ind w:left="120"/>
              <w:spacing w:after="0"/>
              <w:rPr>
                <w:sz w:val="20"/>
                <w:szCs w:val="20"/>
                <w:color w:val="auto"/>
              </w:rPr>
            </w:pPr>
            <w:r>
              <w:rPr>
                <w:rFonts w:ascii="Arial" w:cs="Arial" w:eastAsia="Arial" w:hAnsi="Arial"/>
                <w:sz w:val="14"/>
                <w:szCs w:val="14"/>
                <w:color w:val="auto"/>
              </w:rPr>
              <w:t>—</w:t>
            </w:r>
          </w:p>
        </w:tc>
        <w:tc>
          <w:tcPr>
            <w:tcW w:w="520" w:type="dxa"/>
            <w:vAlign w:val="bottom"/>
            <w:shd w:val="clear" w:color="auto" w:fill="FAFAFA"/>
          </w:tcPr>
          <w:p>
            <w:pPr>
              <w:spacing w:after="0"/>
              <w:rPr>
                <w:sz w:val="24"/>
                <w:szCs w:val="24"/>
                <w:color w:val="auto"/>
              </w:rPr>
            </w:pPr>
          </w:p>
        </w:tc>
        <w:tc>
          <w:tcPr>
            <w:tcW w:w="580" w:type="dxa"/>
            <w:vAlign w:val="bottom"/>
            <w:gridSpan w:val="2"/>
            <w:vMerge w:val="restart"/>
            <w:shd w:val="clear" w:color="auto" w:fill="FAFAFA"/>
          </w:tcPr>
          <w:p>
            <w:pPr>
              <w:jc w:val="center"/>
              <w:ind w:right="440"/>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09"/>
        </w:trPr>
        <w:tc>
          <w:tcPr>
            <w:tcW w:w="1020" w:type="dxa"/>
            <w:vAlign w:val="bottom"/>
            <w:vMerge w:val="continue"/>
            <w:shd w:val="clear" w:color="auto" w:fill="FAFAFA"/>
          </w:tcPr>
          <w:p>
            <w:pPr>
              <w:spacing w:after="0"/>
              <w:rPr>
                <w:sz w:val="9"/>
                <w:szCs w:val="9"/>
                <w:color w:val="auto"/>
              </w:rPr>
            </w:pPr>
          </w:p>
        </w:tc>
        <w:tc>
          <w:tcPr>
            <w:tcW w:w="3480" w:type="dxa"/>
            <w:vAlign w:val="bottom"/>
            <w:vMerge w:val="restart"/>
            <w:shd w:val="clear" w:color="auto" w:fill="FAFAFA"/>
          </w:tcPr>
          <w:p>
            <w:pPr>
              <w:ind w:left="100"/>
              <w:spacing w:after="0"/>
              <w:rPr>
                <w:sz w:val="20"/>
                <w:szCs w:val="20"/>
                <w:color w:val="auto"/>
              </w:rPr>
            </w:pPr>
            <w:r>
              <w:rPr>
                <w:rFonts w:ascii="Arial" w:cs="Arial" w:eastAsia="Arial" w:hAnsi="Arial"/>
                <w:sz w:val="14"/>
                <w:szCs w:val="14"/>
                <w:color w:val="auto"/>
              </w:rPr>
              <w:t>come before the Annual Meeting.</w:t>
            </w:r>
          </w:p>
        </w:tc>
        <w:tc>
          <w:tcPr>
            <w:tcW w:w="2060" w:type="dxa"/>
            <w:vAlign w:val="bottom"/>
            <w:vMerge w:val="continue"/>
            <w:shd w:val="clear" w:color="auto" w:fill="FAFAFA"/>
          </w:tcPr>
          <w:p>
            <w:pPr>
              <w:spacing w:after="0"/>
              <w:rPr>
                <w:sz w:val="9"/>
                <w:szCs w:val="9"/>
                <w:color w:val="auto"/>
              </w:rPr>
            </w:pPr>
          </w:p>
        </w:tc>
        <w:tc>
          <w:tcPr>
            <w:tcW w:w="520" w:type="dxa"/>
            <w:vAlign w:val="bottom"/>
            <w:shd w:val="clear" w:color="auto" w:fill="FAFAFA"/>
          </w:tcPr>
          <w:p>
            <w:pPr>
              <w:spacing w:after="0"/>
              <w:rPr>
                <w:sz w:val="9"/>
                <w:szCs w:val="9"/>
                <w:color w:val="auto"/>
              </w:rPr>
            </w:pPr>
          </w:p>
        </w:tc>
        <w:tc>
          <w:tcPr>
            <w:tcW w:w="580" w:type="dxa"/>
            <w:vAlign w:val="bottom"/>
            <w:gridSpan w:val="2"/>
            <w:vMerge w:val="continue"/>
            <w:shd w:val="clear" w:color="auto" w:fill="FAFAFA"/>
          </w:tcPr>
          <w:p>
            <w:pPr>
              <w:spacing w:after="0"/>
              <w:rPr>
                <w:sz w:val="9"/>
                <w:szCs w:val="9"/>
                <w:color w:val="auto"/>
              </w:rPr>
            </w:pPr>
          </w:p>
        </w:tc>
        <w:tc>
          <w:tcPr>
            <w:tcW w:w="0" w:type="dxa"/>
            <w:vAlign w:val="bottom"/>
          </w:tcPr>
          <w:p>
            <w:pPr>
              <w:spacing w:after="0"/>
              <w:rPr>
                <w:sz w:val="1"/>
                <w:szCs w:val="1"/>
                <w:color w:val="auto"/>
              </w:rPr>
            </w:pPr>
          </w:p>
        </w:tc>
      </w:tr>
      <w:tr>
        <w:trPr>
          <w:trHeight w:val="343"/>
        </w:trPr>
        <w:tc>
          <w:tcPr>
            <w:tcW w:w="1020" w:type="dxa"/>
            <w:vAlign w:val="bottom"/>
            <w:vMerge w:val="continue"/>
            <w:shd w:val="clear" w:color="auto" w:fill="FAFAFA"/>
          </w:tcPr>
          <w:p>
            <w:pPr>
              <w:spacing w:after="0"/>
              <w:rPr>
                <w:sz w:val="24"/>
                <w:szCs w:val="24"/>
                <w:color w:val="auto"/>
              </w:rPr>
            </w:pPr>
          </w:p>
        </w:tc>
        <w:tc>
          <w:tcPr>
            <w:tcW w:w="3480" w:type="dxa"/>
            <w:vAlign w:val="bottom"/>
            <w:vMerge w:val="continue"/>
            <w:shd w:val="clear" w:color="auto" w:fill="FAFAFA"/>
          </w:tcPr>
          <w:p>
            <w:pPr>
              <w:spacing w:after="0"/>
              <w:rPr>
                <w:sz w:val="24"/>
                <w:szCs w:val="24"/>
                <w:color w:val="auto"/>
              </w:rPr>
            </w:pPr>
          </w:p>
        </w:tc>
        <w:tc>
          <w:tcPr>
            <w:tcW w:w="2060" w:type="dxa"/>
            <w:vAlign w:val="bottom"/>
            <w:shd w:val="clear" w:color="auto" w:fill="FAFAFA"/>
          </w:tcPr>
          <w:p>
            <w:pPr>
              <w:spacing w:after="0"/>
              <w:rPr>
                <w:sz w:val="24"/>
                <w:szCs w:val="24"/>
                <w:color w:val="auto"/>
              </w:rPr>
            </w:pPr>
          </w:p>
        </w:tc>
        <w:tc>
          <w:tcPr>
            <w:tcW w:w="520" w:type="dxa"/>
            <w:vAlign w:val="bottom"/>
            <w:shd w:val="clear" w:color="auto" w:fill="FAFAFA"/>
          </w:tcPr>
          <w:p>
            <w:pPr>
              <w:spacing w:after="0"/>
              <w:rPr>
                <w:sz w:val="24"/>
                <w:szCs w:val="24"/>
                <w:color w:val="auto"/>
              </w:rPr>
            </w:pPr>
          </w:p>
        </w:tc>
        <w:tc>
          <w:tcPr>
            <w:tcW w:w="160" w:type="dxa"/>
            <w:vAlign w:val="bottom"/>
            <w:shd w:val="clear" w:color="auto" w:fill="FAFAFA"/>
          </w:tcPr>
          <w:p>
            <w:pPr>
              <w:spacing w:after="0"/>
              <w:rPr>
                <w:sz w:val="24"/>
                <w:szCs w:val="24"/>
                <w:color w:val="auto"/>
              </w:rPr>
            </w:pPr>
          </w:p>
        </w:tc>
        <w:tc>
          <w:tcPr>
            <w:tcW w:w="420" w:type="dxa"/>
            <w:vAlign w:val="bottom"/>
            <w:shd w:val="clear" w:color="auto" w:fill="FAFAFA"/>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1020" w:type="dxa"/>
            <w:vAlign w:val="bottom"/>
            <w:shd w:val="clear" w:color="auto" w:fill="FAFAFA"/>
          </w:tcPr>
          <w:p>
            <w:pPr>
              <w:spacing w:after="0"/>
              <w:rPr>
                <w:sz w:val="14"/>
                <w:szCs w:val="14"/>
                <w:color w:val="auto"/>
              </w:rPr>
            </w:pPr>
          </w:p>
        </w:tc>
        <w:tc>
          <w:tcPr>
            <w:tcW w:w="3480" w:type="dxa"/>
            <w:vAlign w:val="bottom"/>
            <w:shd w:val="clear" w:color="auto" w:fill="FAFAFA"/>
          </w:tcPr>
          <w:p>
            <w:pPr>
              <w:spacing w:after="0"/>
              <w:rPr>
                <w:sz w:val="14"/>
                <w:szCs w:val="14"/>
                <w:color w:val="auto"/>
              </w:rPr>
            </w:pPr>
          </w:p>
        </w:tc>
        <w:tc>
          <w:tcPr>
            <w:tcW w:w="2060" w:type="dxa"/>
            <w:vAlign w:val="bottom"/>
            <w:shd w:val="clear" w:color="auto" w:fill="FAFAFA"/>
          </w:tcPr>
          <w:p>
            <w:pPr>
              <w:spacing w:after="0"/>
              <w:rPr>
                <w:sz w:val="14"/>
                <w:szCs w:val="14"/>
                <w:color w:val="auto"/>
              </w:rPr>
            </w:pPr>
          </w:p>
        </w:tc>
        <w:tc>
          <w:tcPr>
            <w:tcW w:w="520" w:type="dxa"/>
            <w:vAlign w:val="bottom"/>
            <w:shd w:val="clear" w:color="auto" w:fill="FAFAFA"/>
          </w:tcPr>
          <w:p>
            <w:pPr>
              <w:spacing w:after="0"/>
              <w:rPr>
                <w:sz w:val="14"/>
                <w:szCs w:val="14"/>
                <w:color w:val="auto"/>
              </w:rPr>
            </w:pPr>
          </w:p>
        </w:tc>
        <w:tc>
          <w:tcPr>
            <w:tcW w:w="160" w:type="dxa"/>
            <w:vAlign w:val="bottom"/>
            <w:shd w:val="clear" w:color="auto" w:fill="FAFAFA"/>
          </w:tcPr>
          <w:p>
            <w:pPr>
              <w:spacing w:after="0"/>
              <w:rPr>
                <w:sz w:val="14"/>
                <w:szCs w:val="14"/>
                <w:color w:val="auto"/>
              </w:rPr>
            </w:pPr>
          </w:p>
        </w:tc>
        <w:tc>
          <w:tcPr>
            <w:tcW w:w="420" w:type="dxa"/>
            <w:vAlign w:val="bottom"/>
            <w:shd w:val="clear" w:color="auto" w:fill="FAFAFA"/>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-1542415</wp:posOffset>
            </wp:positionV>
            <wp:extent cx="4869180"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86918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-2485390</wp:posOffset>
            </wp:positionV>
            <wp:extent cx="4869180" cy="342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86918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-3222625</wp:posOffset>
            </wp:positionV>
            <wp:extent cx="4869180" cy="342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869180" cy="34290"/>
                    </a:xfrm>
                    <a:prstGeom prst="rect">
                      <a:avLst/>
                    </a:prstGeom>
                    <a:noFill/>
                  </pic:spPr>
                </pic:pic>
              </a:graphicData>
            </a:graphic>
          </wp:anchor>
        </w:drawing>
      </w:r>
    </w:p>
    <w:p>
      <w:pPr>
        <w:spacing w:after="0" w:line="114"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auto"/>
        </w:rPr>
        <w:t>The Notice of Internet Availability of Proxy Materials, or Notice of Internet Availability, containing instructions on how to access this proxy statement, the accompanying notice of annual meeting and form of proxy, and our annual report, is first being sent or given on or about April 9, 2024 to all stockholders of record as of March 26, 2024.</w:t>
      </w:r>
    </w:p>
    <w:p>
      <w:pPr>
        <w:spacing w:after="0" w:line="1084" w:lineRule="exact"/>
        <w:rPr>
          <w:sz w:val="20"/>
          <w:szCs w:val="20"/>
          <w:color w:val="auto"/>
        </w:rPr>
      </w:pPr>
    </w:p>
    <w:p>
      <w:pPr>
        <w:sectPr>
          <w:pgSz w:w="11900" w:h="16838" w:orient="portrait"/>
          <w:cols w:equalWidth="0" w:num="2">
            <w:col w:w="1520" w:space="220"/>
            <w:col w:w="7660"/>
          </w:cols>
          <w:pgMar w:left="1240" w:top="263" w:right="1259" w:bottom="1440" w:gutter="0" w:footer="0" w:header="0"/>
          <w:type w:val="continuous"/>
        </w:sectPr>
      </w:pPr>
    </w:p>
    <w:p>
      <w:pPr>
        <w:spacing w:after="0" w:line="111" w:lineRule="exact"/>
        <w:rPr>
          <w:sz w:val="20"/>
          <w:szCs w:val="20"/>
          <w:color w:val="auto"/>
        </w:rPr>
      </w:pPr>
    </w:p>
    <w:p>
      <w:pPr>
        <w:spacing w:after="0"/>
        <w:tabs>
          <w:tab w:leader="none" w:pos="4640" w:val="left"/>
          <w:tab w:leader="none" w:pos="7960" w:val="left"/>
        </w:tabs>
        <w:rPr>
          <w:sz w:val="20"/>
          <w:szCs w:val="20"/>
          <w:color w:val="auto"/>
        </w:rPr>
      </w:pPr>
      <w:r>
        <w:rPr>
          <w:rFonts w:ascii="Arial" w:cs="Arial" w:eastAsia="Arial" w:hAnsi="Arial"/>
          <w:sz w:val="14"/>
          <w:szCs w:val="14"/>
          <w:color w:val="255993"/>
        </w:rPr>
        <w:t>Athira Pharma, Inc.</w:t>
      </w:r>
      <w:r>
        <w:rPr>
          <w:sz w:val="20"/>
          <w:szCs w:val="20"/>
          <w:color w:val="auto"/>
        </w:rPr>
        <w:tab/>
      </w:r>
      <w:r>
        <w:rPr>
          <w:rFonts w:ascii="Arial" w:cs="Arial" w:eastAsia="Arial" w:hAnsi="Arial"/>
          <w:sz w:val="14"/>
          <w:szCs w:val="14"/>
          <w:b w:val="1"/>
          <w:bCs w:val="1"/>
          <w:color w:val="255993"/>
        </w:rPr>
        <w:t>1</w:t>
      </w:r>
      <w:r>
        <w:rPr>
          <w:sz w:val="20"/>
          <w:szCs w:val="20"/>
          <w:color w:val="auto"/>
        </w:rPr>
        <w:tab/>
      </w:r>
      <w:r>
        <w:rPr>
          <w:rFonts w:ascii="Arial" w:cs="Arial" w:eastAsia="Arial" w:hAnsi="Arial"/>
          <w:sz w:val="14"/>
          <w:szCs w:val="14"/>
          <w:color w:val="255993"/>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126365</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263" w:right="125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4632960</wp:posOffset>
            </wp:positionH>
            <wp:positionV relativeFrom="paragraph">
              <wp:posOffset>93345</wp:posOffset>
            </wp:positionV>
            <wp:extent cx="1337310" cy="6515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33731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  </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b w:val="1"/>
          <w:bCs w:val="1"/>
          <w:color w:val="F8991D"/>
        </w:rPr>
        <w:t>PROXY STATEMENT</w:t>
      </w:r>
    </w:p>
    <w:p>
      <w:pPr>
        <w:spacing w:after="0" w:line="45" w:lineRule="exact"/>
        <w:rPr>
          <w:sz w:val="20"/>
          <w:szCs w:val="20"/>
          <w:color w:val="auto"/>
        </w:rPr>
      </w:pPr>
    </w:p>
    <w:p>
      <w:pPr>
        <w:ind w:right="2280"/>
        <w:spacing w:after="0" w:line="269" w:lineRule="auto"/>
        <w:rPr>
          <w:sz w:val="20"/>
          <w:szCs w:val="20"/>
          <w:color w:val="auto"/>
        </w:rPr>
      </w:pPr>
      <w:r>
        <w:rPr>
          <w:rFonts w:ascii="Arial" w:cs="Arial" w:eastAsia="Arial" w:hAnsi="Arial"/>
          <w:sz w:val="58"/>
          <w:szCs w:val="58"/>
          <w:color w:val="255993"/>
        </w:rPr>
        <w:t>For 2024 Annual Meeting of Stockholders</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 be Held at 8:00 a.m., Pacific Time, on May 23, 2024</w:t>
      </w:r>
    </w:p>
    <w:p>
      <w:pPr>
        <w:spacing w:after="0" w:line="154" w:lineRule="exact"/>
        <w:rPr>
          <w:sz w:val="20"/>
          <w:szCs w:val="20"/>
          <w:color w:val="auto"/>
        </w:rPr>
      </w:pPr>
    </w:p>
    <w:p>
      <w:pPr>
        <w:ind w:right="160"/>
        <w:spacing w:after="0" w:line="254" w:lineRule="auto"/>
        <w:rPr>
          <w:sz w:val="20"/>
          <w:szCs w:val="20"/>
          <w:color w:val="auto"/>
        </w:rPr>
      </w:pPr>
      <w:r>
        <w:rPr>
          <w:rFonts w:ascii="Arial" w:cs="Arial" w:eastAsia="Arial" w:hAnsi="Arial"/>
          <w:sz w:val="16"/>
          <w:szCs w:val="16"/>
          <w:color w:val="auto"/>
        </w:rPr>
        <w:t>The board of directors of Athira Pharma, Inc., a Delaware corporation (“we,” “us,” “our,” the “Company” or “Athira”), is soliciting proxies to be used at our 2024 annual meeting of stockholders (together with any postponement, adjournment or continuation thereof, the “Annual Meeting”). The Annual Meeting will be held on May 23, 2024, at 8:00 a.m., Pacific Time. The Annual Meeting will be conducted virtually via live audio webcast. You will be able to attend the Annual Meeting virtually by visiting www.virtualshareholdermeeting.com/ATHA2024, where you will be able to listen to the meeting live, submit questions and vote online during the meeting.</w:t>
      </w:r>
    </w:p>
    <w:p>
      <w:pPr>
        <w:spacing w:after="0" w:line="101"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The Notice of Internet Availability of Proxy Materials, or Notice of Internet Availability, containing instructions on how to access this proxy statement, the accompanying notice of annual meeting and form of proxy, and our annual report, is first being sent or given on or about April 9, 2024 to all stockholders of record as of March 26, 2024. The proxy materials and our annual report can be accessed as of April 9, 2024 by visiting www.proxyvote.com. If you receive a Notice of Internet Availability, then you will not receive a printed copy of the proxy materials or our annual report in the mail unless you specifically request these materials. Instructions for requesting a printed copy of the proxy materials and our annual report are set forth in the Notice of Internet Availability.</w:t>
      </w:r>
    </w:p>
    <w:p>
      <w:pPr>
        <w:spacing w:after="0" w:line="114"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The information provided in the “question and answer” format below is for your convenience only and is merely a summary of the information contained in this proxy statement. You should read this entire proxy statement carefully.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QUESTIONS AND ANSWERS ABOUT THE PROXY MATERIALS AND OUR ANNUAL MEETING</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WHY AM I RECEIVING THESE MATERIALS?</w:t>
      </w:r>
    </w:p>
    <w:p>
      <w:pPr>
        <w:spacing w:after="0" w:line="113"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This proxy statement and the accompanying proxy card are furnished in connection with the solicitation of proxies by our board of directors for use at the Annual Meeting.</w:t>
      </w:r>
    </w:p>
    <w:p>
      <w:pPr>
        <w:spacing w:after="0" w:line="75"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b w:val="1"/>
          <w:bCs w:val="1"/>
          <w:color w:val="255993"/>
        </w:rPr>
        <w:t xml:space="preserve">Your vote is very important. </w:t>
      </w:r>
      <w:r>
        <w:rPr>
          <w:rFonts w:ascii="Arial" w:cs="Arial" w:eastAsia="Arial" w:hAnsi="Arial"/>
          <w:sz w:val="16"/>
          <w:szCs w:val="16"/>
          <w:color w:val="000000"/>
        </w:rPr>
        <w:t>Whether or not you attend the virtual Annual Meeting, it is important that your shares be represented</w:t>
      </w:r>
      <w:r>
        <w:rPr>
          <w:rFonts w:ascii="Arial" w:cs="Arial" w:eastAsia="Arial" w:hAnsi="Arial"/>
          <w:sz w:val="16"/>
          <w:szCs w:val="16"/>
          <w:b w:val="1"/>
          <w:bCs w:val="1"/>
          <w:color w:val="255993"/>
        </w:rPr>
        <w:t xml:space="preserve"> </w:t>
      </w:r>
      <w:r>
        <w:rPr>
          <w:rFonts w:ascii="Arial" w:cs="Arial" w:eastAsia="Arial" w:hAnsi="Arial"/>
          <w:sz w:val="16"/>
          <w:szCs w:val="16"/>
          <w:color w:val="000000"/>
        </w:rPr>
        <w:t>and voted at the Annual Meeting. Therefore, we urge you to vote and submit your proxy promptly via the internet, telephone or mail. Voting your shares by proxy ensures that if you are unable to attend the Annual Meeting, your shares will be voted at the Annual Meeting. Voting now will not limit your right to change your vote or to attend the Annual Meeting.</w:t>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WHAT PROPOSALS WILL BE VOTED ON AT THE ANNUAL MEETING?</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proposals will be voted on at the Annual Meeting:</w:t>
      </w:r>
    </w:p>
    <w:p>
      <w:pPr>
        <w:spacing w:after="0" w:line="167" w:lineRule="exact"/>
        <w:rPr>
          <w:sz w:val="20"/>
          <w:szCs w:val="20"/>
          <w:color w:val="auto"/>
        </w:rPr>
      </w:pPr>
    </w:p>
    <w:p>
      <w:pPr>
        <w:ind w:left="140" w:right="80" w:hanging="134"/>
        <w:spacing w:after="0" w:line="281" w:lineRule="auto"/>
        <w:tabs>
          <w:tab w:leader="none" w:pos="140" w:val="left"/>
        </w:tabs>
        <w:numPr>
          <w:ilvl w:val="0"/>
          <w:numId w:val="6"/>
        </w:numPr>
        <w:rPr>
          <w:rFonts w:ascii="Arial" w:cs="Arial" w:eastAsia="Arial" w:hAnsi="Arial"/>
          <w:sz w:val="16"/>
          <w:szCs w:val="16"/>
          <w:color w:val="255993"/>
        </w:rPr>
      </w:pPr>
      <w:r>
        <w:rPr>
          <w:rFonts w:ascii="Arial" w:cs="Arial" w:eastAsia="Arial" w:hAnsi="Arial"/>
          <w:sz w:val="16"/>
          <w:szCs w:val="16"/>
          <w:b w:val="1"/>
          <w:bCs w:val="1"/>
          <w:color w:val="255993"/>
        </w:rPr>
        <w:t>Proposal No. 1</w:t>
      </w:r>
      <w:r>
        <w:rPr>
          <w:rFonts w:ascii="Arial" w:cs="Arial" w:eastAsia="Arial" w:hAnsi="Arial"/>
          <w:sz w:val="16"/>
          <w:szCs w:val="16"/>
          <w:color w:val="255993"/>
        </w:rPr>
        <w:t>:</w:t>
      </w:r>
      <w:r>
        <w:rPr>
          <w:rFonts w:ascii="Arial" w:cs="Arial" w:eastAsia="Arial" w:hAnsi="Arial"/>
          <w:sz w:val="16"/>
          <w:szCs w:val="16"/>
          <w:b w:val="1"/>
          <w:bCs w:val="1"/>
          <w:color w:val="255993"/>
        </w:rPr>
        <w:t xml:space="preserve"> </w:t>
      </w:r>
      <w:r>
        <w:rPr>
          <w:rFonts w:ascii="Arial" w:cs="Arial" w:eastAsia="Arial" w:hAnsi="Arial"/>
          <w:sz w:val="16"/>
          <w:szCs w:val="16"/>
          <w:color w:val="000000"/>
        </w:rPr>
        <w:t>the election of three nominees as Class I directors of the Company, each to hold office for a term of three years</w:t>
      </w:r>
      <w:r>
        <w:rPr>
          <w:rFonts w:ascii="Arial" w:cs="Arial" w:eastAsia="Arial" w:hAnsi="Arial"/>
          <w:sz w:val="16"/>
          <w:szCs w:val="16"/>
          <w:b w:val="1"/>
          <w:bCs w:val="1"/>
          <w:color w:val="255993"/>
        </w:rPr>
        <w:t xml:space="preserve"> </w:t>
      </w:r>
      <w:r>
        <w:rPr>
          <w:rFonts w:ascii="Arial" w:cs="Arial" w:eastAsia="Arial" w:hAnsi="Arial"/>
          <w:sz w:val="16"/>
          <w:szCs w:val="16"/>
          <w:color w:val="000000"/>
        </w:rPr>
        <w:t>and until his or her respective successor is elected and qualified, or until his or her earlier death, resignation or removal.</w:t>
      </w:r>
    </w:p>
    <w:p>
      <w:pPr>
        <w:spacing w:after="0" w:line="1" w:lineRule="exact"/>
        <w:rPr>
          <w:rFonts w:ascii="Arial" w:cs="Arial" w:eastAsia="Arial" w:hAnsi="Arial"/>
          <w:sz w:val="16"/>
          <w:szCs w:val="16"/>
          <w:color w:val="255993"/>
        </w:rPr>
      </w:pPr>
    </w:p>
    <w:p>
      <w:pPr>
        <w:ind w:left="140" w:right="540" w:hanging="134"/>
        <w:spacing w:after="0" w:line="281" w:lineRule="auto"/>
        <w:tabs>
          <w:tab w:leader="none" w:pos="140" w:val="left"/>
        </w:tabs>
        <w:numPr>
          <w:ilvl w:val="0"/>
          <w:numId w:val="6"/>
        </w:numPr>
        <w:rPr>
          <w:rFonts w:ascii="Arial" w:cs="Arial" w:eastAsia="Arial" w:hAnsi="Arial"/>
          <w:sz w:val="16"/>
          <w:szCs w:val="16"/>
          <w:color w:val="255993"/>
        </w:rPr>
      </w:pPr>
      <w:r>
        <w:rPr>
          <w:rFonts w:ascii="Arial" w:cs="Arial" w:eastAsia="Arial" w:hAnsi="Arial"/>
          <w:sz w:val="16"/>
          <w:szCs w:val="16"/>
          <w:b w:val="1"/>
          <w:bCs w:val="1"/>
          <w:color w:val="255993"/>
        </w:rPr>
        <w:t>Proposal No. 2</w:t>
      </w:r>
      <w:r>
        <w:rPr>
          <w:rFonts w:ascii="Arial" w:cs="Arial" w:eastAsia="Arial" w:hAnsi="Arial"/>
          <w:sz w:val="16"/>
          <w:szCs w:val="16"/>
          <w:color w:val="000000"/>
        </w:rPr>
        <w:t>: the ratification of the appointment of Ernst &amp; Young LLP as the Company’s independent registered public</w:t>
      </w:r>
      <w:r>
        <w:rPr>
          <w:rFonts w:ascii="Arial" w:cs="Arial" w:eastAsia="Arial" w:hAnsi="Arial"/>
          <w:sz w:val="16"/>
          <w:szCs w:val="16"/>
          <w:b w:val="1"/>
          <w:bCs w:val="1"/>
          <w:color w:val="255993"/>
        </w:rPr>
        <w:t xml:space="preserve"> </w:t>
      </w:r>
      <w:r>
        <w:rPr>
          <w:rFonts w:ascii="Arial" w:cs="Arial" w:eastAsia="Arial" w:hAnsi="Arial"/>
          <w:sz w:val="16"/>
          <w:szCs w:val="16"/>
          <w:color w:val="000000"/>
        </w:rPr>
        <w:t>accounting firm for its fiscal year ending December 31, 2024.</w:t>
      </w:r>
    </w:p>
    <w:p>
      <w:pPr>
        <w:spacing w:after="0" w:line="1" w:lineRule="exact"/>
        <w:rPr>
          <w:rFonts w:ascii="Arial" w:cs="Arial" w:eastAsia="Arial" w:hAnsi="Arial"/>
          <w:sz w:val="16"/>
          <w:szCs w:val="16"/>
          <w:color w:val="255993"/>
        </w:rPr>
      </w:pPr>
    </w:p>
    <w:p>
      <w:pPr>
        <w:ind w:left="140" w:right="180" w:hanging="134"/>
        <w:spacing w:after="0" w:line="281" w:lineRule="auto"/>
        <w:tabs>
          <w:tab w:leader="none" w:pos="140" w:val="left"/>
        </w:tabs>
        <w:numPr>
          <w:ilvl w:val="0"/>
          <w:numId w:val="6"/>
        </w:numPr>
        <w:rPr>
          <w:rFonts w:ascii="Arial" w:cs="Arial" w:eastAsia="Arial" w:hAnsi="Arial"/>
          <w:sz w:val="16"/>
          <w:szCs w:val="16"/>
          <w:color w:val="255993"/>
        </w:rPr>
      </w:pPr>
      <w:r>
        <w:rPr>
          <w:rFonts w:ascii="Arial" w:cs="Arial" w:eastAsia="Arial" w:hAnsi="Arial"/>
          <w:sz w:val="16"/>
          <w:szCs w:val="16"/>
          <w:b w:val="1"/>
          <w:bCs w:val="1"/>
          <w:color w:val="255993"/>
        </w:rPr>
        <w:t>Proposal No. 3</w:t>
      </w:r>
      <w:r>
        <w:rPr>
          <w:rFonts w:ascii="Arial" w:cs="Arial" w:eastAsia="Arial" w:hAnsi="Arial"/>
          <w:sz w:val="16"/>
          <w:szCs w:val="16"/>
          <w:color w:val="000000"/>
        </w:rPr>
        <w:t>: the approval of an amendment to the Company’s amended and restated certificate of incorporation to limit the</w:t>
      </w:r>
      <w:r>
        <w:rPr>
          <w:rFonts w:ascii="Arial" w:cs="Arial" w:eastAsia="Arial" w:hAnsi="Arial"/>
          <w:sz w:val="16"/>
          <w:szCs w:val="16"/>
          <w:b w:val="1"/>
          <w:bCs w:val="1"/>
          <w:color w:val="255993"/>
        </w:rPr>
        <w:t xml:space="preserve"> </w:t>
      </w:r>
      <w:r>
        <w:rPr>
          <w:rFonts w:ascii="Arial" w:cs="Arial" w:eastAsia="Arial" w:hAnsi="Arial"/>
          <w:sz w:val="16"/>
          <w:szCs w:val="16"/>
          <w:color w:val="000000"/>
        </w:rPr>
        <w:t>liability of officers as permitted by Delaware law.</w:t>
      </w:r>
    </w:p>
    <w:p>
      <w:pPr>
        <w:spacing w:after="0" w:line="1" w:lineRule="exact"/>
        <w:rPr>
          <w:rFonts w:ascii="Arial" w:cs="Arial" w:eastAsia="Arial" w:hAnsi="Arial"/>
          <w:sz w:val="16"/>
          <w:szCs w:val="16"/>
          <w:color w:val="255993"/>
        </w:rPr>
      </w:pPr>
    </w:p>
    <w:p>
      <w:pPr>
        <w:ind w:left="140" w:right="120" w:hanging="134"/>
        <w:spacing w:after="0" w:line="286" w:lineRule="auto"/>
        <w:tabs>
          <w:tab w:leader="none" w:pos="140" w:val="left"/>
        </w:tabs>
        <w:numPr>
          <w:ilvl w:val="0"/>
          <w:numId w:val="6"/>
        </w:numPr>
        <w:rPr>
          <w:rFonts w:ascii="Arial" w:cs="Arial" w:eastAsia="Arial" w:hAnsi="Arial"/>
          <w:sz w:val="16"/>
          <w:szCs w:val="16"/>
          <w:color w:val="255993"/>
        </w:rPr>
      </w:pPr>
      <w:r>
        <w:rPr>
          <w:rFonts w:ascii="Arial" w:cs="Arial" w:eastAsia="Arial" w:hAnsi="Arial"/>
          <w:sz w:val="16"/>
          <w:szCs w:val="16"/>
          <w:b w:val="1"/>
          <w:bCs w:val="1"/>
          <w:color w:val="255993"/>
        </w:rPr>
        <w:t>Proposal No. 4</w:t>
      </w:r>
      <w:r>
        <w:rPr>
          <w:rFonts w:ascii="Arial" w:cs="Arial" w:eastAsia="Arial" w:hAnsi="Arial"/>
          <w:sz w:val="16"/>
          <w:szCs w:val="16"/>
          <w:color w:val="000000"/>
        </w:rPr>
        <w:t>: any other business that may properly come before the Annual Meeting or any adjournments or postponements</w:t>
      </w:r>
      <w:r>
        <w:rPr>
          <w:rFonts w:ascii="Arial" w:cs="Arial" w:eastAsia="Arial" w:hAnsi="Arial"/>
          <w:sz w:val="16"/>
          <w:szCs w:val="16"/>
          <w:b w:val="1"/>
          <w:bCs w:val="1"/>
          <w:color w:val="255993"/>
        </w:rPr>
        <w:t xml:space="preserve"> </w:t>
      </w:r>
      <w:r>
        <w:rPr>
          <w:rFonts w:ascii="Arial" w:cs="Arial" w:eastAsia="Arial" w:hAnsi="Arial"/>
          <w:sz w:val="16"/>
          <w:szCs w:val="16"/>
          <w:color w:val="000000"/>
        </w:rPr>
        <w:t>thereof.</w:t>
      </w:r>
    </w:p>
    <w:p>
      <w:pPr>
        <w:spacing w:after="0" w:line="160" w:lineRule="exact"/>
        <w:rPr>
          <w:sz w:val="20"/>
          <w:szCs w:val="20"/>
          <w:color w:val="auto"/>
        </w:rPr>
      </w:pPr>
    </w:p>
    <w:p>
      <w:pPr>
        <w:spacing w:after="0"/>
        <w:tabs>
          <w:tab w:leader="none" w:pos="4640" w:val="left"/>
          <w:tab w:leader="none" w:pos="7960" w:val="left"/>
        </w:tabs>
        <w:rPr>
          <w:sz w:val="20"/>
          <w:szCs w:val="20"/>
          <w:color w:val="auto"/>
        </w:rPr>
      </w:pPr>
      <w:r>
        <w:rPr>
          <w:rFonts w:ascii="Arial" w:cs="Arial" w:eastAsia="Arial" w:hAnsi="Arial"/>
          <w:sz w:val="14"/>
          <w:szCs w:val="14"/>
          <w:color w:val="255993"/>
        </w:rPr>
        <w:t>Athira Pharma, Inc.</w:t>
      </w:r>
      <w:r>
        <w:rPr>
          <w:sz w:val="20"/>
          <w:szCs w:val="20"/>
          <w:color w:val="auto"/>
        </w:rPr>
        <w:tab/>
      </w:r>
      <w:r>
        <w:rPr>
          <w:rFonts w:ascii="Arial" w:cs="Arial" w:eastAsia="Arial" w:hAnsi="Arial"/>
          <w:sz w:val="14"/>
          <w:szCs w:val="14"/>
          <w:b w:val="1"/>
          <w:bCs w:val="1"/>
          <w:color w:val="255993"/>
        </w:rPr>
        <w:t>2</w:t>
      </w:r>
      <w:r>
        <w:rPr>
          <w:sz w:val="20"/>
          <w:szCs w:val="20"/>
          <w:color w:val="auto"/>
        </w:rPr>
        <w:tab/>
      </w:r>
      <w:r>
        <w:rPr>
          <w:rFonts w:ascii="Arial" w:cs="Arial" w:eastAsia="Arial" w:hAnsi="Arial"/>
          <w:sz w:val="14"/>
          <w:szCs w:val="14"/>
          <w:color w:val="255993"/>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118110</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263" w:right="12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ind w:left="6760"/>
        <w:spacing w:after="0"/>
        <w:rPr>
          <w:sz w:val="20"/>
          <w:szCs w:val="20"/>
          <w:color w:val="auto"/>
        </w:rPr>
      </w:pPr>
      <w:r>
        <w:rPr>
          <w:rFonts w:ascii="Arial" w:cs="Arial" w:eastAsia="Arial" w:hAnsi="Arial"/>
          <w:sz w:val="14"/>
          <w:szCs w:val="14"/>
          <w:color w:val="255993"/>
        </w:rPr>
        <w:t>For 2024 Annual Meeting of Stockholders</w:t>
      </w:r>
    </w:p>
    <w:p>
      <w:pPr>
        <w:spacing w:after="0" w:line="104" w:lineRule="exact"/>
        <w:rPr>
          <w:sz w:val="20"/>
          <w:szCs w:val="20"/>
          <w:color w:val="auto"/>
        </w:rPr>
      </w:pPr>
    </w:p>
    <w:p>
      <w:pPr>
        <w:ind w:right="740"/>
        <w:spacing w:after="0" w:line="286" w:lineRule="auto"/>
        <w:rPr>
          <w:sz w:val="20"/>
          <w:szCs w:val="20"/>
          <w:color w:val="auto"/>
        </w:rPr>
      </w:pPr>
      <w:r>
        <w:rPr>
          <w:rFonts w:ascii="Arial" w:cs="Arial" w:eastAsia="Arial" w:hAnsi="Arial"/>
          <w:sz w:val="16"/>
          <w:szCs w:val="16"/>
          <w:color w:val="auto"/>
        </w:rPr>
        <w:t>As of the date of this proxy statement, our management and board of directors were not aware of any other matters to be presented at the Annual Meeting.</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HOW DOES THE BOARD OF DIRECTORS RECOMMEND THAT I VOTE ON THESE PROPOSALS?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Our board of directors recommends that you vote your shares:</w:t>
      </w:r>
    </w:p>
    <w:p>
      <w:pPr>
        <w:spacing w:after="0" w:line="167" w:lineRule="exact"/>
        <w:rPr>
          <w:sz w:val="20"/>
          <w:szCs w:val="20"/>
          <w:color w:val="auto"/>
        </w:rPr>
      </w:pPr>
    </w:p>
    <w:p>
      <w:pPr>
        <w:ind w:left="140" w:right="540" w:hanging="134"/>
        <w:spacing w:after="0" w:line="281" w:lineRule="auto"/>
        <w:tabs>
          <w:tab w:leader="none" w:pos="140" w:val="left"/>
        </w:tabs>
        <w:numPr>
          <w:ilvl w:val="0"/>
          <w:numId w:val="7"/>
        </w:numPr>
        <w:rPr>
          <w:rFonts w:ascii="Arial" w:cs="Arial" w:eastAsia="Arial" w:hAnsi="Arial"/>
          <w:sz w:val="16"/>
          <w:szCs w:val="16"/>
          <w:color w:val="255993"/>
        </w:rPr>
      </w:pPr>
      <w:r>
        <w:rPr>
          <w:rFonts w:ascii="Arial" w:cs="Arial" w:eastAsia="Arial" w:hAnsi="Arial"/>
          <w:sz w:val="16"/>
          <w:szCs w:val="16"/>
          <w:b w:val="1"/>
          <w:bCs w:val="1"/>
          <w:color w:val="255993"/>
        </w:rPr>
        <w:t xml:space="preserve">“FOR” </w:t>
      </w:r>
      <w:r>
        <w:rPr>
          <w:rFonts w:ascii="Arial" w:cs="Arial" w:eastAsia="Arial" w:hAnsi="Arial"/>
          <w:sz w:val="16"/>
          <w:szCs w:val="16"/>
          <w:color w:val="000000"/>
        </w:rPr>
        <w:t>the election of each Class I director nominee named in this proxy statement (Proposal No. 1) (which nominees are</w:t>
      </w:r>
      <w:r>
        <w:rPr>
          <w:rFonts w:ascii="Arial" w:cs="Arial" w:eastAsia="Arial" w:hAnsi="Arial"/>
          <w:sz w:val="16"/>
          <w:szCs w:val="16"/>
          <w:b w:val="1"/>
          <w:bCs w:val="1"/>
          <w:color w:val="255993"/>
        </w:rPr>
        <w:t xml:space="preserve"> </w:t>
      </w:r>
      <w:r>
        <w:rPr>
          <w:rFonts w:ascii="Arial" w:cs="Arial" w:eastAsia="Arial" w:hAnsi="Arial"/>
          <w:sz w:val="16"/>
          <w:szCs w:val="16"/>
          <w:color w:val="000000"/>
        </w:rPr>
        <w:t>Barbara Kosacz, Mark Litton, and Michael Panzara).</w:t>
      </w:r>
    </w:p>
    <w:p>
      <w:pPr>
        <w:spacing w:after="0" w:line="1" w:lineRule="exact"/>
        <w:rPr>
          <w:rFonts w:ascii="Arial" w:cs="Arial" w:eastAsia="Arial" w:hAnsi="Arial"/>
          <w:sz w:val="16"/>
          <w:szCs w:val="16"/>
          <w:color w:val="255993"/>
        </w:rPr>
      </w:pPr>
    </w:p>
    <w:p>
      <w:pPr>
        <w:ind w:left="140" w:right="400" w:hanging="134"/>
        <w:spacing w:after="0" w:line="281" w:lineRule="auto"/>
        <w:tabs>
          <w:tab w:leader="none" w:pos="140" w:val="left"/>
        </w:tabs>
        <w:numPr>
          <w:ilvl w:val="0"/>
          <w:numId w:val="7"/>
        </w:numPr>
        <w:rPr>
          <w:rFonts w:ascii="Arial" w:cs="Arial" w:eastAsia="Arial" w:hAnsi="Arial"/>
          <w:sz w:val="16"/>
          <w:szCs w:val="16"/>
          <w:color w:val="255993"/>
        </w:rPr>
      </w:pPr>
      <w:r>
        <w:rPr>
          <w:rFonts w:ascii="Arial" w:cs="Arial" w:eastAsia="Arial" w:hAnsi="Arial"/>
          <w:sz w:val="16"/>
          <w:szCs w:val="16"/>
          <w:b w:val="1"/>
          <w:bCs w:val="1"/>
          <w:color w:val="255993"/>
        </w:rPr>
        <w:t xml:space="preserve">“FOR” </w:t>
      </w:r>
      <w:r>
        <w:rPr>
          <w:rFonts w:ascii="Arial" w:cs="Arial" w:eastAsia="Arial" w:hAnsi="Arial"/>
          <w:sz w:val="16"/>
          <w:szCs w:val="16"/>
          <w:color w:val="000000"/>
        </w:rPr>
        <w:t>the ratification of the appointment of Ernst &amp; Young LLP as our independent registered public accounting firm for our</w:t>
      </w:r>
      <w:r>
        <w:rPr>
          <w:rFonts w:ascii="Arial" w:cs="Arial" w:eastAsia="Arial" w:hAnsi="Arial"/>
          <w:sz w:val="16"/>
          <w:szCs w:val="16"/>
          <w:b w:val="1"/>
          <w:bCs w:val="1"/>
          <w:color w:val="255993"/>
        </w:rPr>
        <w:t xml:space="preserve"> </w:t>
      </w:r>
      <w:r>
        <w:rPr>
          <w:rFonts w:ascii="Arial" w:cs="Arial" w:eastAsia="Arial" w:hAnsi="Arial"/>
          <w:sz w:val="16"/>
          <w:szCs w:val="16"/>
          <w:color w:val="000000"/>
        </w:rPr>
        <w:t>fiscal year ending December 31, 2024 (Proposal No. 2).</w:t>
      </w:r>
    </w:p>
    <w:p>
      <w:pPr>
        <w:spacing w:after="0" w:line="1" w:lineRule="exact"/>
        <w:rPr>
          <w:rFonts w:ascii="Arial" w:cs="Arial" w:eastAsia="Arial" w:hAnsi="Arial"/>
          <w:sz w:val="16"/>
          <w:szCs w:val="16"/>
          <w:color w:val="255993"/>
        </w:rPr>
      </w:pPr>
    </w:p>
    <w:p>
      <w:pPr>
        <w:ind w:left="140" w:right="220" w:hanging="134"/>
        <w:spacing w:after="0" w:line="286" w:lineRule="auto"/>
        <w:tabs>
          <w:tab w:leader="none" w:pos="140" w:val="left"/>
        </w:tabs>
        <w:numPr>
          <w:ilvl w:val="0"/>
          <w:numId w:val="7"/>
        </w:numPr>
        <w:rPr>
          <w:rFonts w:ascii="Arial" w:cs="Arial" w:eastAsia="Arial" w:hAnsi="Arial"/>
          <w:sz w:val="16"/>
          <w:szCs w:val="16"/>
          <w:color w:val="255993"/>
        </w:rPr>
      </w:pPr>
      <w:r>
        <w:rPr>
          <w:rFonts w:ascii="Arial" w:cs="Arial" w:eastAsia="Arial" w:hAnsi="Arial"/>
          <w:sz w:val="16"/>
          <w:szCs w:val="16"/>
          <w:b w:val="1"/>
          <w:bCs w:val="1"/>
          <w:color w:val="255993"/>
        </w:rPr>
        <w:t xml:space="preserve">“FOR” </w:t>
      </w:r>
      <w:r>
        <w:rPr>
          <w:rFonts w:ascii="Arial" w:cs="Arial" w:eastAsia="Arial" w:hAnsi="Arial"/>
          <w:sz w:val="16"/>
          <w:szCs w:val="16"/>
          <w:color w:val="000000"/>
        </w:rPr>
        <w:t>the approval of an amendment to our amended and restated certificate of incorporation to limit the liability of officers as</w:t>
      </w:r>
      <w:r>
        <w:rPr>
          <w:rFonts w:ascii="Arial" w:cs="Arial" w:eastAsia="Arial" w:hAnsi="Arial"/>
          <w:sz w:val="16"/>
          <w:szCs w:val="16"/>
          <w:b w:val="1"/>
          <w:bCs w:val="1"/>
          <w:color w:val="255993"/>
        </w:rPr>
        <w:t xml:space="preserve"> </w:t>
      </w:r>
      <w:r>
        <w:rPr>
          <w:rFonts w:ascii="Arial" w:cs="Arial" w:eastAsia="Arial" w:hAnsi="Arial"/>
          <w:sz w:val="16"/>
          <w:szCs w:val="16"/>
          <w:color w:val="000000"/>
        </w:rPr>
        <w:t>permitted by Delaware law (Proposal No. 3).</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WHO IS ENTITLED TO VOTE AT THE ANNUAL MEETING?</w:t>
      </w:r>
    </w:p>
    <w:p>
      <w:pPr>
        <w:spacing w:after="0" w:line="113"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Holders of our common stock as of the close of business on March 26, 2024, the record date for the Annual Meeting, may vote at the Annual Meeting. As of the record date, there were 38,326,652 shares of our common stock outstanding. Each share of common stock is entitled to one vote on each matter properly brought before the Annual Meeting. Stockholders are not permitted to cumulate votes with respect to the election of directors. We do not have any outstanding shares of preferred stock.</w:t>
      </w:r>
    </w:p>
    <w:p>
      <w:pPr>
        <w:spacing w:after="0" w:line="110"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i w:val="1"/>
          <w:iCs w:val="1"/>
          <w:color w:val="auto"/>
        </w:rPr>
        <w:t>Stockholders of Record</w:t>
      </w:r>
      <w:r>
        <w:rPr>
          <w:rFonts w:ascii="Arial" w:cs="Arial" w:eastAsia="Arial" w:hAnsi="Arial"/>
          <w:sz w:val="16"/>
          <w:szCs w:val="16"/>
          <w:color w:val="auto"/>
        </w:rPr>
        <w:t>. If your shares are registered directly in your name with our transfer agent, Computershare Inc., then you</w:t>
      </w:r>
      <w:r>
        <w:rPr>
          <w:rFonts w:ascii="Arial" w:cs="Arial" w:eastAsia="Arial" w:hAnsi="Arial"/>
          <w:sz w:val="16"/>
          <w:szCs w:val="16"/>
          <w:i w:val="1"/>
          <w:iCs w:val="1"/>
          <w:color w:val="auto"/>
        </w:rPr>
        <w:t xml:space="preserve"> </w:t>
      </w:r>
      <w:r>
        <w:rPr>
          <w:rFonts w:ascii="Arial" w:cs="Arial" w:eastAsia="Arial" w:hAnsi="Arial"/>
          <w:sz w:val="16"/>
          <w:szCs w:val="16"/>
          <w:color w:val="auto"/>
        </w:rPr>
        <w:t>are considered the stockholder of record with respect to those shares, and this Notice of Internet Availability was sent directly to you by us. As a stockholder of record, you have the right to grant your proxy directly to the individuals listed on the proxy card or to vote by ballot at the Annual Meeting. Throughout this proxy statement, we refer to these holders as “stockholders of record.” Only stockholders of record as of March 26, 2024 are entitled to notice of and to vote at the Annual Meeting. For ten days prior to the Annual Meeting, a complete list of stockholders of record entitled to vote at the Annual Meeting will be available for examination by any stockholder for any purpose relevant to the Annual Meeting. If you would like to view the list, please contact our corporate secretary to schedule an appointment by calling (425) 620-8520 or writing to Athira Pharma, Inc., 18706 North Creek Parkway, Suite 104, Bothell, Washington 98011, Attention: Corporate Secretary.</w:t>
      </w:r>
    </w:p>
    <w:p>
      <w:pPr>
        <w:spacing w:after="0" w:line="104"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i w:val="1"/>
          <w:iCs w:val="1"/>
          <w:color w:val="auto"/>
        </w:rPr>
        <w:t>Street Name Stockholders</w:t>
      </w:r>
      <w:r>
        <w:rPr>
          <w:rFonts w:ascii="Arial" w:cs="Arial" w:eastAsia="Arial" w:hAnsi="Arial"/>
          <w:sz w:val="16"/>
          <w:szCs w:val="16"/>
          <w:color w:val="auto"/>
        </w:rPr>
        <w:t>. If your shares are held in a brokerage account or by a broker, bank or other nominee, then you are</w:t>
      </w:r>
      <w:r>
        <w:rPr>
          <w:rFonts w:ascii="Arial" w:cs="Arial" w:eastAsia="Arial" w:hAnsi="Arial"/>
          <w:sz w:val="16"/>
          <w:szCs w:val="16"/>
          <w:i w:val="1"/>
          <w:iCs w:val="1"/>
          <w:color w:val="auto"/>
        </w:rPr>
        <w:t xml:space="preserve"> </w:t>
      </w:r>
      <w:r>
        <w:rPr>
          <w:rFonts w:ascii="Arial" w:cs="Arial" w:eastAsia="Arial" w:hAnsi="Arial"/>
          <w:sz w:val="16"/>
          <w:szCs w:val="16"/>
          <w:color w:val="auto"/>
        </w:rPr>
        <w:t>considered the beneficial owner of shares held in street name, and the Notice of Internet Availability was forwarded to you by your broker, bank or other nominee, which is considered the stockholder of record with respect to those shares. As a beneficial owner, you have the right to direct your broker, bank or other nominee on how to vote your shares. Beneficial owners are also invited to attend the virtual Annual Meeting. However, since a beneficial owner is not the stockholder of record, you may not vote your shares directly at the Annual Meeting unless you follow the procedures for obtaining a legal proxy from your broker, bank or other nominee. If you request a printed copy of the proxy materials by mail, your broker, bank or other nominee will provide a voting instruction card for you to use. Throughout this proxy statement, we refer to these holders as “street name stockholders.”</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HOW MANY VOTES ARE NEEDED FOR APPROVAL OF EACH PROPOSAL?</w:t>
      </w:r>
    </w:p>
    <w:p>
      <w:pPr>
        <w:spacing w:after="0" w:line="208" w:lineRule="exact"/>
        <w:rPr>
          <w:sz w:val="20"/>
          <w:szCs w:val="20"/>
          <w:color w:val="auto"/>
        </w:rPr>
      </w:pPr>
    </w:p>
    <w:p>
      <w:pPr>
        <w:ind w:left="140" w:right="140" w:hanging="134"/>
        <w:spacing w:after="0" w:line="256" w:lineRule="auto"/>
        <w:tabs>
          <w:tab w:leader="none" w:pos="140" w:val="left"/>
        </w:tabs>
        <w:numPr>
          <w:ilvl w:val="0"/>
          <w:numId w:val="8"/>
        </w:numPr>
        <w:rPr>
          <w:rFonts w:ascii="Arial" w:cs="Arial" w:eastAsia="Arial" w:hAnsi="Arial"/>
          <w:sz w:val="16"/>
          <w:szCs w:val="16"/>
          <w:color w:val="255993"/>
        </w:rPr>
      </w:pPr>
      <w:r>
        <w:rPr>
          <w:rFonts w:ascii="Arial" w:cs="Arial" w:eastAsia="Arial" w:hAnsi="Arial"/>
          <w:sz w:val="16"/>
          <w:szCs w:val="16"/>
          <w:b w:val="1"/>
          <w:bCs w:val="1"/>
          <w:color w:val="255993"/>
        </w:rPr>
        <w:t>Proposal No. 1</w:t>
      </w:r>
      <w:r>
        <w:rPr>
          <w:rFonts w:ascii="Arial" w:cs="Arial" w:eastAsia="Arial" w:hAnsi="Arial"/>
          <w:sz w:val="16"/>
          <w:szCs w:val="16"/>
          <w:color w:val="000000"/>
        </w:rPr>
        <w:t>: Each director is elected by a plurality of the voting power of the shares present or represented by proxy at the</w:t>
      </w:r>
      <w:r>
        <w:rPr>
          <w:rFonts w:ascii="Arial" w:cs="Arial" w:eastAsia="Arial" w:hAnsi="Arial"/>
          <w:sz w:val="16"/>
          <w:szCs w:val="16"/>
          <w:b w:val="1"/>
          <w:bCs w:val="1"/>
          <w:color w:val="255993"/>
        </w:rPr>
        <w:t xml:space="preserve"> </w:t>
      </w:r>
      <w:r>
        <w:rPr>
          <w:rFonts w:ascii="Arial" w:cs="Arial" w:eastAsia="Arial" w:hAnsi="Arial"/>
          <w:sz w:val="16"/>
          <w:szCs w:val="16"/>
          <w:color w:val="000000"/>
        </w:rPr>
        <w:t xml:space="preserve">Annual Meeting and entitled to vote on the election of directors. A plurality means that the nominees with the largest number of </w:t>
      </w:r>
      <w:r>
        <w:rPr>
          <w:rFonts w:ascii="Arial" w:cs="Arial" w:eastAsia="Arial" w:hAnsi="Arial"/>
          <w:sz w:val="16"/>
          <w:szCs w:val="16"/>
          <w:b w:val="1"/>
          <w:bCs w:val="1"/>
          <w:color w:val="255993"/>
        </w:rPr>
        <w:t xml:space="preserve">FOR </w:t>
      </w:r>
      <w:r>
        <w:rPr>
          <w:rFonts w:ascii="Arial" w:cs="Arial" w:eastAsia="Arial" w:hAnsi="Arial"/>
          <w:sz w:val="16"/>
          <w:szCs w:val="16"/>
          <w:color w:val="000000"/>
        </w:rPr>
        <w:t>votes are elected as directors. Because the outcome of this proposal will be determined by a plurality vote, any shares not</w:t>
      </w:r>
      <w:r>
        <w:rPr>
          <w:rFonts w:ascii="Arial" w:cs="Arial" w:eastAsia="Arial" w:hAnsi="Arial"/>
          <w:sz w:val="16"/>
          <w:szCs w:val="16"/>
          <w:b w:val="1"/>
          <w:bCs w:val="1"/>
          <w:color w:val="255993"/>
        </w:rPr>
        <w:t xml:space="preserve"> </w:t>
      </w:r>
      <w:r>
        <w:rPr>
          <w:rFonts w:ascii="Arial" w:cs="Arial" w:eastAsia="Arial" w:hAnsi="Arial"/>
          <w:sz w:val="16"/>
          <w:szCs w:val="16"/>
          <w:color w:val="000000"/>
        </w:rPr>
        <w:t xml:space="preserve">voted </w:t>
      </w:r>
      <w:r>
        <w:rPr>
          <w:rFonts w:ascii="Arial" w:cs="Arial" w:eastAsia="Arial" w:hAnsi="Arial"/>
          <w:sz w:val="16"/>
          <w:szCs w:val="16"/>
          <w:b w:val="1"/>
          <w:bCs w:val="1"/>
          <w:color w:val="255993"/>
        </w:rPr>
        <w:t>FOR</w:t>
      </w:r>
      <w:r>
        <w:rPr>
          <w:rFonts w:ascii="Arial" w:cs="Arial" w:eastAsia="Arial" w:hAnsi="Arial"/>
          <w:sz w:val="16"/>
          <w:szCs w:val="16"/>
          <w:color w:val="000000"/>
        </w:rPr>
        <w:t xml:space="preserve"> a particular nominee, whether as a result of a </w:t>
      </w:r>
      <w:r>
        <w:rPr>
          <w:rFonts w:ascii="Arial" w:cs="Arial" w:eastAsia="Arial" w:hAnsi="Arial"/>
          <w:sz w:val="16"/>
          <w:szCs w:val="16"/>
          <w:b w:val="1"/>
          <w:bCs w:val="1"/>
          <w:color w:val="255993"/>
        </w:rPr>
        <w:t>WITHHOLD</w:t>
      </w:r>
      <w:r>
        <w:rPr>
          <w:rFonts w:ascii="Arial" w:cs="Arial" w:eastAsia="Arial" w:hAnsi="Arial"/>
          <w:sz w:val="16"/>
          <w:szCs w:val="16"/>
          <w:color w:val="000000"/>
        </w:rPr>
        <w:t xml:space="preserve"> vote or a broker non-vote, will have no effect on the outcome of the election.</w:t>
      </w:r>
    </w:p>
    <w:p>
      <w:pPr>
        <w:spacing w:after="0" w:line="17" w:lineRule="exact"/>
        <w:rPr>
          <w:rFonts w:ascii="Arial" w:cs="Arial" w:eastAsia="Arial" w:hAnsi="Arial"/>
          <w:sz w:val="16"/>
          <w:szCs w:val="16"/>
          <w:color w:val="255993"/>
        </w:rPr>
      </w:pPr>
    </w:p>
    <w:p>
      <w:pPr>
        <w:ind w:left="140" w:right="180" w:hanging="134"/>
        <w:spacing w:after="0" w:line="259" w:lineRule="auto"/>
        <w:tabs>
          <w:tab w:leader="none" w:pos="140" w:val="left"/>
        </w:tabs>
        <w:numPr>
          <w:ilvl w:val="0"/>
          <w:numId w:val="8"/>
        </w:numPr>
        <w:rPr>
          <w:rFonts w:ascii="Arial" w:cs="Arial" w:eastAsia="Arial" w:hAnsi="Arial"/>
          <w:sz w:val="16"/>
          <w:szCs w:val="16"/>
          <w:color w:val="255993"/>
        </w:rPr>
      </w:pPr>
      <w:r>
        <w:rPr>
          <w:rFonts w:ascii="Arial" w:cs="Arial" w:eastAsia="Arial" w:hAnsi="Arial"/>
          <w:sz w:val="16"/>
          <w:szCs w:val="16"/>
          <w:b w:val="1"/>
          <w:bCs w:val="1"/>
          <w:color w:val="255993"/>
        </w:rPr>
        <w:t>Proposal No. 2</w:t>
      </w:r>
      <w:r>
        <w:rPr>
          <w:rFonts w:ascii="Arial" w:cs="Arial" w:eastAsia="Arial" w:hAnsi="Arial"/>
          <w:sz w:val="16"/>
          <w:szCs w:val="16"/>
          <w:color w:val="000000"/>
        </w:rPr>
        <w:t>: The ratification of the appointment of Ernst &amp; Young LLP as our independent registered public accounting firm</w:t>
      </w:r>
      <w:r>
        <w:rPr>
          <w:rFonts w:ascii="Arial" w:cs="Arial" w:eastAsia="Arial" w:hAnsi="Arial"/>
          <w:sz w:val="16"/>
          <w:szCs w:val="16"/>
          <w:b w:val="1"/>
          <w:bCs w:val="1"/>
          <w:color w:val="255993"/>
        </w:rPr>
        <w:t xml:space="preserve"> </w:t>
      </w:r>
      <w:r>
        <w:rPr>
          <w:rFonts w:ascii="Arial" w:cs="Arial" w:eastAsia="Arial" w:hAnsi="Arial"/>
          <w:sz w:val="16"/>
          <w:szCs w:val="16"/>
          <w:color w:val="000000"/>
        </w:rPr>
        <w:t xml:space="preserve">for our fiscal year ending December 31, 2024 requires the affirmative vote of a majority of the voting power of the shares cast, affirmatively or negatively. You may vote </w:t>
      </w:r>
      <w:r>
        <w:rPr>
          <w:rFonts w:ascii="Arial" w:cs="Arial" w:eastAsia="Arial" w:hAnsi="Arial"/>
          <w:sz w:val="16"/>
          <w:szCs w:val="16"/>
          <w:b w:val="1"/>
          <w:bCs w:val="1"/>
          <w:color w:val="255993"/>
        </w:rPr>
        <w:t>FOR</w:t>
      </w:r>
      <w:r>
        <w:rPr>
          <w:rFonts w:ascii="Arial" w:cs="Arial" w:eastAsia="Arial" w:hAnsi="Arial"/>
          <w:sz w:val="16"/>
          <w:szCs w:val="16"/>
          <w:color w:val="000000"/>
        </w:rPr>
        <w:t xml:space="preserve"> or </w:t>
      </w:r>
      <w:r>
        <w:rPr>
          <w:rFonts w:ascii="Arial" w:cs="Arial" w:eastAsia="Arial" w:hAnsi="Arial"/>
          <w:sz w:val="16"/>
          <w:szCs w:val="16"/>
          <w:b w:val="1"/>
          <w:bCs w:val="1"/>
          <w:color w:val="255993"/>
        </w:rPr>
        <w:t>AGAINST</w:t>
      </w:r>
      <w:r>
        <w:rPr>
          <w:rFonts w:ascii="Arial" w:cs="Arial" w:eastAsia="Arial" w:hAnsi="Arial"/>
          <w:sz w:val="16"/>
          <w:szCs w:val="16"/>
          <w:color w:val="000000"/>
        </w:rPr>
        <w:t xml:space="preserve"> this proposal, or you may indicate that you wish to </w:t>
      </w:r>
      <w:r>
        <w:rPr>
          <w:rFonts w:ascii="Arial" w:cs="Arial" w:eastAsia="Arial" w:hAnsi="Arial"/>
          <w:sz w:val="16"/>
          <w:szCs w:val="16"/>
          <w:b w:val="1"/>
          <w:bCs w:val="1"/>
          <w:color w:val="255993"/>
        </w:rPr>
        <w:t>ABSTAIN</w:t>
      </w:r>
      <w:r>
        <w:rPr>
          <w:rFonts w:ascii="Arial" w:cs="Arial" w:eastAsia="Arial" w:hAnsi="Arial"/>
          <w:sz w:val="16"/>
          <w:szCs w:val="16"/>
          <w:color w:val="000000"/>
        </w:rPr>
        <w:t xml:space="preserve"> from voting</w:t>
      </w:r>
    </w:p>
    <w:p>
      <w:pPr>
        <w:spacing w:after="0" w:line="183" w:lineRule="exact"/>
        <w:rPr>
          <w:sz w:val="20"/>
          <w:szCs w:val="20"/>
          <w:color w:val="auto"/>
        </w:rPr>
      </w:pPr>
    </w:p>
    <w:p>
      <w:pPr>
        <w:spacing w:after="0"/>
        <w:tabs>
          <w:tab w:leader="none" w:pos="4640" w:val="left"/>
          <w:tab w:leader="none" w:pos="7960" w:val="left"/>
        </w:tabs>
        <w:rPr>
          <w:sz w:val="20"/>
          <w:szCs w:val="20"/>
          <w:color w:val="auto"/>
        </w:rPr>
      </w:pPr>
      <w:r>
        <w:rPr>
          <w:rFonts w:ascii="Arial" w:cs="Arial" w:eastAsia="Arial" w:hAnsi="Arial"/>
          <w:sz w:val="14"/>
          <w:szCs w:val="14"/>
          <w:color w:val="255993"/>
        </w:rPr>
        <w:t>Athira Pharma, Inc.</w:t>
      </w:r>
      <w:r>
        <w:rPr>
          <w:sz w:val="20"/>
          <w:szCs w:val="20"/>
          <w:color w:val="auto"/>
        </w:rPr>
        <w:tab/>
      </w:r>
      <w:r>
        <w:rPr>
          <w:rFonts w:ascii="Arial" w:cs="Arial" w:eastAsia="Arial" w:hAnsi="Arial"/>
          <w:sz w:val="14"/>
          <w:szCs w:val="14"/>
          <w:b w:val="1"/>
          <w:bCs w:val="1"/>
          <w:color w:val="255993"/>
        </w:rPr>
        <w:t>3</w:t>
      </w:r>
      <w:r>
        <w:rPr>
          <w:sz w:val="20"/>
          <w:szCs w:val="20"/>
          <w:color w:val="auto"/>
        </w:rPr>
        <w:tab/>
      </w:r>
      <w:r>
        <w:rPr>
          <w:rFonts w:ascii="Arial" w:cs="Arial" w:eastAsia="Arial" w:hAnsi="Arial"/>
          <w:sz w:val="14"/>
          <w:szCs w:val="14"/>
          <w:color w:val="255993"/>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118110</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263" w:right="12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255993"/>
        </w:rPr>
        <w:t>For 2024 Annual Meeting of Stockholders</w:t>
      </w:r>
    </w:p>
    <w:p>
      <w:pPr>
        <w:spacing w:after="0" w:line="104" w:lineRule="exact"/>
        <w:rPr>
          <w:sz w:val="20"/>
          <w:szCs w:val="20"/>
          <w:color w:val="auto"/>
        </w:rPr>
      </w:pPr>
    </w:p>
    <w:p>
      <w:pPr>
        <w:ind w:left="140" w:right="320"/>
        <w:spacing w:after="0" w:line="266" w:lineRule="auto"/>
        <w:rPr>
          <w:sz w:val="20"/>
          <w:szCs w:val="20"/>
          <w:color w:val="auto"/>
        </w:rPr>
      </w:pPr>
      <w:r>
        <w:rPr>
          <w:rFonts w:ascii="Arial" w:cs="Arial" w:eastAsia="Arial" w:hAnsi="Arial"/>
          <w:sz w:val="16"/>
          <w:szCs w:val="16"/>
          <w:color w:val="auto"/>
        </w:rPr>
        <w:t>on this proposal. Broker non-votes and abstentions will be counted for purposes of determining the presence or absence of a quorum. However, neither broker non-votes nor abstentions will be considered votes cast for or against this proposal. Accordingly, broker non-votes and abstentions will have no impact on the outcome of this proposal.</w:t>
      </w:r>
    </w:p>
    <w:p>
      <w:pPr>
        <w:spacing w:after="0" w:line="117" w:lineRule="exact"/>
        <w:rPr>
          <w:sz w:val="20"/>
          <w:szCs w:val="20"/>
          <w:color w:val="auto"/>
        </w:rPr>
      </w:pPr>
    </w:p>
    <w:p>
      <w:pPr>
        <w:ind w:left="140" w:right="100" w:hanging="134"/>
        <w:spacing w:after="0" w:line="256" w:lineRule="auto"/>
        <w:tabs>
          <w:tab w:leader="none" w:pos="140" w:val="left"/>
        </w:tabs>
        <w:numPr>
          <w:ilvl w:val="0"/>
          <w:numId w:val="9"/>
        </w:numPr>
        <w:rPr>
          <w:rFonts w:ascii="Arial" w:cs="Arial" w:eastAsia="Arial" w:hAnsi="Arial"/>
          <w:sz w:val="16"/>
          <w:szCs w:val="16"/>
          <w:color w:val="255993"/>
        </w:rPr>
      </w:pPr>
      <w:r>
        <w:rPr>
          <w:rFonts w:ascii="Arial" w:cs="Arial" w:eastAsia="Arial" w:hAnsi="Arial"/>
          <w:sz w:val="16"/>
          <w:szCs w:val="16"/>
          <w:b w:val="1"/>
          <w:bCs w:val="1"/>
          <w:color w:val="255993"/>
        </w:rPr>
        <w:t>Proposal No. 3</w:t>
      </w:r>
      <w:r>
        <w:rPr>
          <w:rFonts w:ascii="Arial" w:cs="Arial" w:eastAsia="Arial" w:hAnsi="Arial"/>
          <w:sz w:val="16"/>
          <w:szCs w:val="16"/>
          <w:color w:val="000000"/>
        </w:rPr>
        <w:t>: The approval of an amendment to our amended and restated certificate of incorporation to limit the liability of</w:t>
      </w:r>
      <w:r>
        <w:rPr>
          <w:rFonts w:ascii="Arial" w:cs="Arial" w:eastAsia="Arial" w:hAnsi="Arial"/>
          <w:sz w:val="16"/>
          <w:szCs w:val="16"/>
          <w:b w:val="1"/>
          <w:bCs w:val="1"/>
          <w:color w:val="255993"/>
        </w:rPr>
        <w:t xml:space="preserve"> </w:t>
      </w:r>
      <w:r>
        <w:rPr>
          <w:rFonts w:ascii="Arial" w:cs="Arial" w:eastAsia="Arial" w:hAnsi="Arial"/>
          <w:sz w:val="16"/>
          <w:szCs w:val="16"/>
          <w:color w:val="000000"/>
        </w:rPr>
        <w:t xml:space="preserve">officers as permitted by Delaware law requires the affirmative “FOR” vote of the holders of a majority of the voting power of all of the outstanding shares of our common stock entitled to vote thereon. You may vote </w:t>
      </w:r>
      <w:r>
        <w:rPr>
          <w:rFonts w:ascii="Arial" w:cs="Arial" w:eastAsia="Arial" w:hAnsi="Arial"/>
          <w:sz w:val="16"/>
          <w:szCs w:val="16"/>
          <w:b w:val="1"/>
          <w:bCs w:val="1"/>
          <w:color w:val="255993"/>
        </w:rPr>
        <w:t>FOR</w:t>
      </w:r>
      <w:r>
        <w:rPr>
          <w:rFonts w:ascii="Arial" w:cs="Arial" w:eastAsia="Arial" w:hAnsi="Arial"/>
          <w:sz w:val="16"/>
          <w:szCs w:val="16"/>
          <w:color w:val="000000"/>
        </w:rPr>
        <w:t xml:space="preserve"> or </w:t>
      </w:r>
      <w:r>
        <w:rPr>
          <w:rFonts w:ascii="Arial" w:cs="Arial" w:eastAsia="Arial" w:hAnsi="Arial"/>
          <w:sz w:val="16"/>
          <w:szCs w:val="16"/>
          <w:b w:val="1"/>
          <w:bCs w:val="1"/>
          <w:color w:val="255993"/>
        </w:rPr>
        <w:t>AGAINST</w:t>
      </w:r>
      <w:r>
        <w:rPr>
          <w:rFonts w:ascii="Arial" w:cs="Arial" w:eastAsia="Arial" w:hAnsi="Arial"/>
          <w:sz w:val="16"/>
          <w:szCs w:val="16"/>
          <w:color w:val="000000"/>
        </w:rPr>
        <w:t xml:space="preserve"> this proposal, or you may indicate that you wish to </w:t>
      </w:r>
      <w:r>
        <w:rPr>
          <w:rFonts w:ascii="Arial" w:cs="Arial" w:eastAsia="Arial" w:hAnsi="Arial"/>
          <w:sz w:val="16"/>
          <w:szCs w:val="16"/>
          <w:b w:val="1"/>
          <w:bCs w:val="1"/>
          <w:color w:val="255993"/>
        </w:rPr>
        <w:t>ABSTAIN</w:t>
      </w:r>
      <w:r>
        <w:rPr>
          <w:rFonts w:ascii="Arial" w:cs="Arial" w:eastAsia="Arial" w:hAnsi="Arial"/>
          <w:sz w:val="16"/>
          <w:szCs w:val="16"/>
          <w:color w:val="000000"/>
        </w:rPr>
        <w:t xml:space="preserve"> from voting on this proposal. Abstentions and broker non-votes will have the same effect as votes “AGAINST” this proposal.</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WHAT IS THE QUORUM REQUIREMENT FOR THE ANNUAL MEETING?</w:t>
      </w:r>
    </w:p>
    <w:p>
      <w:pPr>
        <w:spacing w:after="0" w:line="113"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A quorum is the minimum number of shares required to be present or represented at the Annual Meeting for the meeting to be properly held under our amended and restated bylaws, or the Bylaws, and Delaware law. The presence, including virtually or by proxy, of a majority of the voting power of all of the outstanding shares of our common stock entitled to vote will constitute a quorum to transact business at the Annual Meeting. Abstentions, withheld votes and broker non-votes, if any, are counted as present and entitled to vote for purposes of determining a quorum. Whether or not a quorum exists, the chairperson of the meeting may adjourn the meeting to another time or place.</w:t>
      </w: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HOW DO I VOTE AND WHAT ARE THE VOTING DEADLINES?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Stockholder of Record</w:t>
      </w:r>
      <w:r>
        <w:rPr>
          <w:rFonts w:ascii="Arial" w:cs="Arial" w:eastAsia="Arial" w:hAnsi="Arial"/>
          <w:sz w:val="16"/>
          <w:szCs w:val="16"/>
          <w:color w:val="auto"/>
        </w:rPr>
        <w:t>. If you are a stockholder of record, you may vote in one of the following ways: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WAYS TO VOTE:</w:t>
      </w:r>
    </w:p>
    <w:p>
      <w:pPr>
        <w:spacing w:after="0" w:line="243" w:lineRule="exact"/>
        <w:rPr>
          <w:sz w:val="20"/>
          <w:szCs w:val="20"/>
          <w:color w:val="auto"/>
        </w:rPr>
      </w:pPr>
    </w:p>
    <w:p>
      <w:pPr>
        <w:spacing w:after="0"/>
        <w:tabs>
          <w:tab w:leader="none" w:pos="1560" w:val="left"/>
          <w:tab w:leader="none" w:pos="3160" w:val="left"/>
          <w:tab w:leader="none" w:pos="5420" w:val="left"/>
        </w:tabs>
        <w:rPr>
          <w:sz w:val="20"/>
          <w:szCs w:val="20"/>
          <w:color w:val="auto"/>
        </w:rPr>
      </w:pPr>
      <w:r>
        <w:rPr>
          <w:rFonts w:ascii="Arial" w:cs="Arial" w:eastAsia="Arial" w:hAnsi="Arial"/>
          <w:sz w:val="16"/>
          <w:szCs w:val="16"/>
          <w:color w:val="auto"/>
        </w:rPr>
        <w:t>Online</w:t>
      </w:r>
      <w:r>
        <w:rPr>
          <w:sz w:val="20"/>
          <w:szCs w:val="20"/>
          <w:color w:val="auto"/>
        </w:rPr>
        <w:tab/>
      </w:r>
      <w:r>
        <w:rPr>
          <w:rFonts w:ascii="Arial" w:cs="Arial" w:eastAsia="Arial" w:hAnsi="Arial"/>
          <w:sz w:val="16"/>
          <w:szCs w:val="16"/>
          <w:color w:val="auto"/>
        </w:rPr>
        <w:t>By Phone</w:t>
      </w:r>
      <w:r>
        <w:rPr>
          <w:sz w:val="20"/>
          <w:szCs w:val="20"/>
          <w:color w:val="auto"/>
        </w:rPr>
        <w:tab/>
      </w:r>
      <w:r>
        <w:rPr>
          <w:rFonts w:ascii="Arial" w:cs="Arial" w:eastAsia="Arial" w:hAnsi="Arial"/>
          <w:sz w:val="16"/>
          <w:szCs w:val="16"/>
          <w:color w:val="auto"/>
        </w:rPr>
        <w:t>Virtually</w:t>
      </w:r>
      <w:r>
        <w:rPr>
          <w:sz w:val="20"/>
          <w:szCs w:val="20"/>
          <w:color w:val="auto"/>
        </w:rPr>
        <w:tab/>
      </w:r>
      <w:r>
        <w:rPr>
          <w:rFonts w:ascii="Arial" w:cs="Arial" w:eastAsia="Arial" w:hAnsi="Arial"/>
          <w:sz w:val="16"/>
          <w:szCs w:val="16"/>
          <w:color w:val="auto"/>
        </w:rPr>
        <w:t>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2997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99720" cy="8255"/>
                    </a:xfrm>
                    <a:prstGeom prst="rect">
                      <a:avLst/>
                    </a:prstGeom>
                    <a:noFill/>
                  </pic:spPr>
                </pic:pic>
              </a:graphicData>
            </a:graphic>
          </wp:anchor>
        </w:drawing>
        <w:drawing>
          <wp:anchor simplePos="0" relativeHeight="251657728" behindDoc="1" locked="0" layoutInCell="0" allowOverlap="1">
            <wp:simplePos x="0" y="0"/>
            <wp:positionH relativeFrom="column">
              <wp:posOffset>1006475</wp:posOffset>
            </wp:positionH>
            <wp:positionV relativeFrom="paragraph">
              <wp:posOffset>12065</wp:posOffset>
            </wp:positionV>
            <wp:extent cx="4457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45770" cy="8255"/>
                    </a:xfrm>
                    <a:prstGeom prst="rect">
                      <a:avLst/>
                    </a:prstGeom>
                    <a:noFill/>
                  </pic:spPr>
                </pic:pic>
              </a:graphicData>
            </a:graphic>
          </wp:anchor>
        </w:drawing>
        <w:drawing>
          <wp:anchor simplePos="0" relativeHeight="251657728" behindDoc="1" locked="0" layoutInCell="0" allowOverlap="1">
            <wp:simplePos x="0" y="0"/>
            <wp:positionH relativeFrom="column">
              <wp:posOffset>2018030</wp:posOffset>
            </wp:positionH>
            <wp:positionV relativeFrom="paragraph">
              <wp:posOffset>12065</wp:posOffset>
            </wp:positionV>
            <wp:extent cx="36004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60045" cy="8255"/>
                    </a:xfrm>
                    <a:prstGeom prst="rect">
                      <a:avLst/>
                    </a:prstGeom>
                    <a:noFill/>
                  </pic:spPr>
                </pic:pic>
              </a:graphicData>
            </a:graphic>
          </wp:anchor>
        </w:drawing>
        <w:drawing>
          <wp:anchor simplePos="0" relativeHeight="251657728" behindDoc="1" locked="0" layoutInCell="0" allowOverlap="1">
            <wp:simplePos x="0" y="0"/>
            <wp:positionH relativeFrom="column">
              <wp:posOffset>3458210</wp:posOffset>
            </wp:positionH>
            <wp:positionV relativeFrom="paragraph">
              <wp:posOffset>12065</wp:posOffset>
            </wp:positionV>
            <wp:extent cx="33464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464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269240</wp:posOffset>
            </wp:positionV>
            <wp:extent cx="274320" cy="2743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74320" cy="274320"/>
                    </a:xfrm>
                    <a:prstGeom prst="rect">
                      <a:avLst/>
                    </a:prstGeom>
                    <a:noFill/>
                  </pic:spPr>
                </pic:pic>
              </a:graphicData>
            </a:graphic>
          </wp:anchor>
        </w:drawing>
        <w:drawing>
          <wp:anchor simplePos="0" relativeHeight="251657728" behindDoc="1" locked="0" layoutInCell="0" allowOverlap="1">
            <wp:simplePos x="0" y="0"/>
            <wp:positionH relativeFrom="column">
              <wp:posOffset>1006475</wp:posOffset>
            </wp:positionH>
            <wp:positionV relativeFrom="paragraph">
              <wp:posOffset>269240</wp:posOffset>
            </wp:positionV>
            <wp:extent cx="274320" cy="2743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74320" cy="274320"/>
                    </a:xfrm>
                    <a:prstGeom prst="rect">
                      <a:avLst/>
                    </a:prstGeom>
                    <a:noFill/>
                  </pic:spPr>
                </pic:pic>
              </a:graphicData>
            </a:graphic>
          </wp:anchor>
        </w:drawing>
        <w:drawing>
          <wp:anchor simplePos="0" relativeHeight="251657728" behindDoc="1" locked="0" layoutInCell="0" allowOverlap="1">
            <wp:simplePos x="0" y="0"/>
            <wp:positionH relativeFrom="column">
              <wp:posOffset>2018030</wp:posOffset>
            </wp:positionH>
            <wp:positionV relativeFrom="paragraph">
              <wp:posOffset>269240</wp:posOffset>
            </wp:positionV>
            <wp:extent cx="282575" cy="2743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82575" cy="274320"/>
                    </a:xfrm>
                    <a:prstGeom prst="rect">
                      <a:avLst/>
                    </a:prstGeom>
                    <a:noFill/>
                  </pic:spPr>
                </pic:pic>
              </a:graphicData>
            </a:graphic>
          </wp:anchor>
        </w:drawing>
        <w:drawing>
          <wp:anchor simplePos="0" relativeHeight="251657728" behindDoc="1" locked="0" layoutInCell="0" allowOverlap="1">
            <wp:simplePos x="0" y="0"/>
            <wp:positionH relativeFrom="column">
              <wp:posOffset>3458210</wp:posOffset>
            </wp:positionH>
            <wp:positionV relativeFrom="paragraph">
              <wp:posOffset>269240</wp:posOffset>
            </wp:positionV>
            <wp:extent cx="308610" cy="1968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08610" cy="196850"/>
                    </a:xfrm>
                    <a:prstGeom prst="rect">
                      <a:avLst/>
                    </a:prstGeom>
                    <a:noFill/>
                  </pic:spPr>
                </pic:pic>
              </a:graphicData>
            </a:graphic>
          </wp:anchor>
        </w:drawing>
      </w:r>
    </w:p>
    <w:p>
      <w:pPr>
        <w:sectPr>
          <w:pgSz w:w="11900" w:h="16838" w:orient="portrait"/>
          <w:cols w:equalWidth="0" w:num="1">
            <w:col w:w="9400"/>
          </w:cols>
          <w:pgMar w:left="1240" w:top="263"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480" w:type="dxa"/>
            <w:vAlign w:val="bottom"/>
          </w:tcPr>
          <w:p>
            <w:pPr>
              <w:spacing w:after="0"/>
              <w:rPr>
                <w:sz w:val="20"/>
                <w:szCs w:val="20"/>
                <w:color w:val="auto"/>
              </w:rPr>
            </w:pPr>
            <w:r>
              <w:rPr>
                <w:rFonts w:ascii="Arial" w:cs="Arial" w:eastAsia="Arial" w:hAnsi="Arial"/>
                <w:sz w:val="14"/>
                <w:szCs w:val="14"/>
                <w:color w:val="auto"/>
              </w:rPr>
              <w:t> </w:t>
            </w:r>
          </w:p>
        </w:tc>
        <w:tc>
          <w:tcPr>
            <w:tcW w:w="1520" w:type="dxa"/>
            <w:vAlign w:val="bottom"/>
          </w:tcPr>
          <w:p>
            <w:pPr>
              <w:ind w:left="100"/>
              <w:spacing w:after="0"/>
              <w:rPr>
                <w:sz w:val="20"/>
                <w:szCs w:val="20"/>
                <w:color w:val="auto"/>
              </w:rPr>
            </w:pPr>
            <w:r>
              <w:rPr>
                <w:rFonts w:ascii="Arial" w:cs="Arial" w:eastAsia="Arial" w:hAnsi="Arial"/>
                <w:sz w:val="14"/>
                <w:szCs w:val="14"/>
                <w:color w:val="auto"/>
              </w:rPr>
              <w:t> </w:t>
            </w:r>
          </w:p>
        </w:tc>
        <w:tc>
          <w:tcPr>
            <w:tcW w:w="2220" w:type="dxa"/>
            <w:vAlign w:val="bottom"/>
          </w:tcPr>
          <w:p>
            <w:pPr>
              <w:ind w:left="180"/>
              <w:spacing w:after="0"/>
              <w:rPr>
                <w:sz w:val="20"/>
                <w:szCs w:val="20"/>
                <w:color w:val="auto"/>
              </w:rPr>
            </w:pPr>
            <w:r>
              <w:rPr>
                <w:rFonts w:ascii="Arial" w:cs="Arial" w:eastAsia="Arial" w:hAnsi="Arial"/>
                <w:sz w:val="14"/>
                <w:szCs w:val="14"/>
                <w:color w:val="auto"/>
              </w:rPr>
              <w:t> </w:t>
            </w:r>
          </w:p>
        </w:tc>
      </w:tr>
      <w:tr>
        <w:trPr>
          <w:trHeight w:val="201"/>
        </w:trPr>
        <w:tc>
          <w:tcPr>
            <w:tcW w:w="1480" w:type="dxa"/>
            <w:vAlign w:val="bottom"/>
          </w:tcPr>
          <w:p>
            <w:pPr>
              <w:spacing w:after="0"/>
              <w:rPr>
                <w:sz w:val="20"/>
                <w:szCs w:val="20"/>
                <w:color w:val="auto"/>
              </w:rPr>
            </w:pPr>
            <w:r>
              <w:rPr>
                <w:rFonts w:ascii="Arial" w:cs="Arial" w:eastAsia="Arial" w:hAnsi="Arial"/>
                <w:sz w:val="14"/>
                <w:szCs w:val="14"/>
                <w:color w:val="auto"/>
              </w:rPr>
              <w:t>By internet following</w:t>
            </w:r>
          </w:p>
        </w:tc>
        <w:tc>
          <w:tcPr>
            <w:tcW w:w="1520" w:type="dxa"/>
            <w:vAlign w:val="bottom"/>
          </w:tcPr>
          <w:p>
            <w:pPr>
              <w:ind w:left="100"/>
              <w:spacing w:after="0"/>
              <w:rPr>
                <w:sz w:val="20"/>
                <w:szCs w:val="20"/>
                <w:color w:val="auto"/>
              </w:rPr>
            </w:pPr>
            <w:r>
              <w:rPr>
                <w:rFonts w:ascii="Arial" w:cs="Arial" w:eastAsia="Arial" w:hAnsi="Arial"/>
                <w:sz w:val="14"/>
                <w:szCs w:val="14"/>
                <w:color w:val="auto"/>
              </w:rPr>
              <w:t>By telephone using</w:t>
            </w:r>
          </w:p>
        </w:tc>
        <w:tc>
          <w:tcPr>
            <w:tcW w:w="2220" w:type="dxa"/>
            <w:vAlign w:val="bottom"/>
          </w:tcPr>
          <w:p>
            <w:pPr>
              <w:ind w:left="180"/>
              <w:spacing w:after="0"/>
              <w:rPr>
                <w:sz w:val="20"/>
                <w:szCs w:val="20"/>
                <w:color w:val="auto"/>
              </w:rPr>
            </w:pPr>
            <w:r>
              <w:rPr>
                <w:rFonts w:ascii="Arial" w:cs="Arial" w:eastAsia="Arial" w:hAnsi="Arial"/>
                <w:sz w:val="14"/>
                <w:szCs w:val="14"/>
                <w:color w:val="auto"/>
              </w:rPr>
              <w:t>By attending the Annual</w:t>
            </w:r>
          </w:p>
        </w:tc>
      </w:tr>
      <w:tr>
        <w:trPr>
          <w:trHeight w:val="162"/>
        </w:trPr>
        <w:tc>
          <w:tcPr>
            <w:tcW w:w="1480" w:type="dxa"/>
            <w:vAlign w:val="bottom"/>
          </w:tcPr>
          <w:p>
            <w:pPr>
              <w:spacing w:after="0"/>
              <w:rPr>
                <w:sz w:val="20"/>
                <w:szCs w:val="20"/>
                <w:color w:val="auto"/>
              </w:rPr>
            </w:pPr>
            <w:r>
              <w:rPr>
                <w:rFonts w:ascii="Arial" w:cs="Arial" w:eastAsia="Arial" w:hAnsi="Arial"/>
                <w:sz w:val="14"/>
                <w:szCs w:val="14"/>
                <w:color w:val="auto"/>
              </w:rPr>
              <w:t>the instructions using</w:t>
            </w:r>
          </w:p>
        </w:tc>
        <w:tc>
          <w:tcPr>
            <w:tcW w:w="1520" w:type="dxa"/>
            <w:vAlign w:val="bottom"/>
          </w:tcPr>
          <w:p>
            <w:pPr>
              <w:ind w:left="100"/>
              <w:spacing w:after="0"/>
              <w:rPr>
                <w:sz w:val="20"/>
                <w:szCs w:val="20"/>
                <w:color w:val="auto"/>
              </w:rPr>
            </w:pPr>
            <w:r>
              <w:rPr>
                <w:rFonts w:ascii="Arial" w:cs="Arial" w:eastAsia="Arial" w:hAnsi="Arial"/>
                <w:sz w:val="14"/>
                <w:szCs w:val="14"/>
                <w:color w:val="auto"/>
              </w:rPr>
              <w:t>the numbers</w:t>
            </w:r>
          </w:p>
        </w:tc>
        <w:tc>
          <w:tcPr>
            <w:tcW w:w="2220" w:type="dxa"/>
            <w:vAlign w:val="bottom"/>
          </w:tcPr>
          <w:p>
            <w:pPr>
              <w:ind w:left="180"/>
              <w:spacing w:after="0"/>
              <w:rPr>
                <w:sz w:val="20"/>
                <w:szCs w:val="20"/>
                <w:color w:val="auto"/>
              </w:rPr>
            </w:pPr>
            <w:r>
              <w:rPr>
                <w:rFonts w:ascii="Arial" w:cs="Arial" w:eastAsia="Arial" w:hAnsi="Arial"/>
                <w:sz w:val="14"/>
                <w:szCs w:val="14"/>
                <w:color w:val="auto"/>
              </w:rPr>
              <w:t>Meeting virtually by visiting</w:t>
            </w:r>
          </w:p>
        </w:tc>
      </w:tr>
      <w:tr>
        <w:trPr>
          <w:trHeight w:val="162"/>
        </w:trPr>
        <w:tc>
          <w:tcPr>
            <w:tcW w:w="1480" w:type="dxa"/>
            <w:vAlign w:val="bottom"/>
          </w:tcPr>
          <w:p>
            <w:pPr>
              <w:spacing w:after="0"/>
              <w:rPr>
                <w:sz w:val="20"/>
                <w:szCs w:val="20"/>
                <w:color w:val="auto"/>
              </w:rPr>
            </w:pPr>
            <w:r>
              <w:rPr>
                <w:rFonts w:ascii="Arial" w:cs="Arial" w:eastAsia="Arial" w:hAnsi="Arial"/>
                <w:sz w:val="14"/>
                <w:szCs w:val="14"/>
                <w:color w:val="auto"/>
              </w:rPr>
              <w:t>the control number</w:t>
            </w:r>
          </w:p>
        </w:tc>
        <w:tc>
          <w:tcPr>
            <w:tcW w:w="1520" w:type="dxa"/>
            <w:vAlign w:val="bottom"/>
          </w:tcPr>
          <w:p>
            <w:pPr>
              <w:ind w:left="100"/>
              <w:spacing w:after="0"/>
              <w:rPr>
                <w:sz w:val="20"/>
                <w:szCs w:val="20"/>
                <w:color w:val="auto"/>
              </w:rPr>
            </w:pPr>
            <w:r>
              <w:rPr>
                <w:rFonts w:ascii="Arial" w:cs="Arial" w:eastAsia="Arial" w:hAnsi="Arial"/>
                <w:sz w:val="14"/>
                <w:szCs w:val="14"/>
                <w:color w:val="auto"/>
              </w:rPr>
              <w:t>provided on your</w:t>
            </w:r>
          </w:p>
        </w:tc>
        <w:tc>
          <w:tcPr>
            <w:tcW w:w="2220" w:type="dxa"/>
            <w:vAlign w:val="bottom"/>
          </w:tcPr>
          <w:p>
            <w:pPr>
              <w:ind w:left="180"/>
              <w:spacing w:after="0"/>
              <w:rPr>
                <w:sz w:val="20"/>
                <w:szCs w:val="20"/>
                <w:color w:val="auto"/>
              </w:rPr>
            </w:pPr>
            <w:r>
              <w:rPr>
                <w:rFonts w:ascii="Arial" w:cs="Arial" w:eastAsia="Arial" w:hAnsi="Arial"/>
                <w:sz w:val="14"/>
                <w:szCs w:val="14"/>
                <w:color w:val="auto"/>
              </w:rPr>
              <w:t>www.virtualshareholdermeeting.</w:t>
            </w:r>
          </w:p>
        </w:tc>
      </w:tr>
      <w:tr>
        <w:trPr>
          <w:trHeight w:val="162"/>
        </w:trPr>
        <w:tc>
          <w:tcPr>
            <w:tcW w:w="1480" w:type="dxa"/>
            <w:vAlign w:val="bottom"/>
          </w:tcPr>
          <w:p>
            <w:pPr>
              <w:spacing w:after="0"/>
              <w:rPr>
                <w:sz w:val="20"/>
                <w:szCs w:val="20"/>
                <w:color w:val="auto"/>
              </w:rPr>
            </w:pPr>
            <w:r>
              <w:rPr>
                <w:rFonts w:ascii="Arial" w:cs="Arial" w:eastAsia="Arial" w:hAnsi="Arial"/>
                <w:sz w:val="14"/>
                <w:szCs w:val="14"/>
                <w:color w:val="auto"/>
              </w:rPr>
              <w:t>provided on your</w:t>
            </w:r>
          </w:p>
        </w:tc>
        <w:tc>
          <w:tcPr>
            <w:tcW w:w="1520" w:type="dxa"/>
            <w:vAlign w:val="bottom"/>
          </w:tcPr>
          <w:p>
            <w:pPr>
              <w:ind w:left="100"/>
              <w:spacing w:after="0"/>
              <w:rPr>
                <w:sz w:val="20"/>
                <w:szCs w:val="20"/>
                <w:color w:val="auto"/>
              </w:rPr>
            </w:pPr>
            <w:r>
              <w:rPr>
                <w:rFonts w:ascii="Arial" w:cs="Arial" w:eastAsia="Arial" w:hAnsi="Arial"/>
                <w:sz w:val="14"/>
                <w:szCs w:val="14"/>
                <w:color w:val="auto"/>
              </w:rPr>
              <w:t>proxy card.</w:t>
            </w:r>
          </w:p>
        </w:tc>
        <w:tc>
          <w:tcPr>
            <w:tcW w:w="2220" w:type="dxa"/>
            <w:vAlign w:val="bottom"/>
          </w:tcPr>
          <w:p>
            <w:pPr>
              <w:ind w:left="180"/>
              <w:spacing w:after="0"/>
              <w:rPr>
                <w:sz w:val="20"/>
                <w:szCs w:val="20"/>
                <w:color w:val="auto"/>
              </w:rPr>
            </w:pPr>
            <w:r>
              <w:rPr>
                <w:rFonts w:ascii="Arial" w:cs="Arial" w:eastAsia="Arial" w:hAnsi="Arial"/>
                <w:sz w:val="14"/>
                <w:szCs w:val="14"/>
                <w:color w:val="auto"/>
              </w:rPr>
              <w:t>com/ATHA2024, where you can</w:t>
            </w:r>
          </w:p>
        </w:tc>
      </w:tr>
      <w:tr>
        <w:trPr>
          <w:trHeight w:val="190"/>
        </w:trPr>
        <w:tc>
          <w:tcPr>
            <w:tcW w:w="1480" w:type="dxa"/>
            <w:vAlign w:val="bottom"/>
          </w:tcPr>
          <w:p>
            <w:pPr>
              <w:spacing w:after="0"/>
              <w:rPr>
                <w:sz w:val="20"/>
                <w:szCs w:val="20"/>
                <w:color w:val="auto"/>
              </w:rPr>
            </w:pPr>
            <w:r>
              <w:rPr>
                <w:rFonts w:ascii="Arial" w:cs="Arial" w:eastAsia="Arial" w:hAnsi="Arial"/>
                <w:sz w:val="14"/>
                <w:szCs w:val="14"/>
                <w:color w:val="auto"/>
              </w:rPr>
              <w:t>proxy card.</w:t>
            </w:r>
          </w:p>
        </w:tc>
        <w:tc>
          <w:tcPr>
            <w:tcW w:w="1520" w:type="dxa"/>
            <w:vAlign w:val="bottom"/>
          </w:tcPr>
          <w:p>
            <w:pPr>
              <w:spacing w:after="0"/>
              <w:rPr>
                <w:sz w:val="16"/>
                <w:szCs w:val="16"/>
                <w:color w:val="auto"/>
              </w:rPr>
            </w:pPr>
          </w:p>
        </w:tc>
        <w:tc>
          <w:tcPr>
            <w:tcW w:w="2220" w:type="dxa"/>
            <w:vAlign w:val="bottom"/>
          </w:tcPr>
          <w:p>
            <w:pPr>
              <w:ind w:left="180"/>
              <w:spacing w:after="0"/>
              <w:rPr>
                <w:sz w:val="20"/>
                <w:szCs w:val="20"/>
                <w:color w:val="auto"/>
              </w:rPr>
            </w:pPr>
            <w:r>
              <w:rPr>
                <w:rFonts w:ascii="Arial" w:cs="Arial" w:eastAsia="Arial" w:hAnsi="Arial"/>
                <w:sz w:val="14"/>
                <w:szCs w:val="14"/>
                <w:color w:val="auto"/>
              </w:rPr>
              <w:t>vote during the meeting.</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color w:val="auto"/>
        </w:rPr>
        <w:t> </w:t>
      </w:r>
    </w:p>
    <w:p>
      <w:pPr>
        <w:spacing w:after="0" w:line="177" w:lineRule="exact"/>
        <w:rPr>
          <w:sz w:val="20"/>
          <w:szCs w:val="20"/>
          <w:color w:val="auto"/>
        </w:rPr>
      </w:pPr>
    </w:p>
    <w:p>
      <w:pPr>
        <w:ind w:right="120"/>
        <w:spacing w:after="0" w:line="263" w:lineRule="auto"/>
        <w:rPr>
          <w:sz w:val="20"/>
          <w:szCs w:val="20"/>
          <w:color w:val="auto"/>
        </w:rPr>
      </w:pPr>
      <w:r>
        <w:rPr>
          <w:rFonts w:ascii="Arial" w:cs="Arial" w:eastAsia="Arial" w:hAnsi="Arial"/>
          <w:sz w:val="14"/>
          <w:szCs w:val="14"/>
          <w:color w:val="auto"/>
        </w:rPr>
        <w:t>By signing, dating and returning your proxy card following the instructions on your proxy card. Your proxy card must be received prior to the Annual Meeting.</w:t>
      </w:r>
    </w:p>
    <w:p>
      <w:pPr>
        <w:spacing w:after="0" w:line="522" w:lineRule="exact"/>
        <w:rPr>
          <w:sz w:val="20"/>
          <w:szCs w:val="20"/>
          <w:color w:val="auto"/>
        </w:rPr>
      </w:pPr>
    </w:p>
    <w:p>
      <w:pPr>
        <w:sectPr>
          <w:pgSz w:w="11900" w:h="16838" w:orient="portrait"/>
          <w:cols w:equalWidth="0" w:num="2">
            <w:col w:w="5220" w:space="220"/>
            <w:col w:w="3960"/>
          </w:cols>
          <w:pgMar w:left="1240" w:top="263" w:right="1259" w:bottom="1440" w:gutter="0" w:footer="0" w:header="0"/>
          <w:type w:val="continuous"/>
        </w:sectPr>
      </w:pPr>
    </w:p>
    <w:p>
      <w:pPr>
        <w:spacing w:after="0" w:line="10"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i w:val="1"/>
          <w:iCs w:val="1"/>
          <w:color w:val="auto"/>
        </w:rPr>
        <w:t>Street Name Stockholders</w:t>
      </w:r>
      <w:r>
        <w:rPr>
          <w:rFonts w:ascii="Arial" w:cs="Arial" w:eastAsia="Arial" w:hAnsi="Arial"/>
          <w:sz w:val="16"/>
          <w:szCs w:val="16"/>
          <w:color w:val="auto"/>
        </w:rPr>
        <w:t>. If you are a street name stockholder, then you will receive voting instructions from your broker, bank 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other nominee. You must follow the instructions provided by your broker, bank or other nominee in order to instruct them on how to vote your shares. The availability of internet and telephone voting options will depend on the voting process of your broker, bank or other nominee. </w:t>
      </w:r>
      <w:r>
        <w:rPr>
          <w:rFonts w:ascii="Arial" w:cs="Arial" w:eastAsia="Arial" w:hAnsi="Arial"/>
          <w:sz w:val="16"/>
          <w:szCs w:val="16"/>
          <w:b w:val="1"/>
          <w:bCs w:val="1"/>
          <w:color w:val="255993"/>
        </w:rPr>
        <w:t>As discussed above, if you are a street name stockholder, then you may not vote your shares by ballot at</w:t>
      </w:r>
      <w:r>
        <w:rPr>
          <w:rFonts w:ascii="Arial" w:cs="Arial" w:eastAsia="Arial" w:hAnsi="Arial"/>
          <w:sz w:val="16"/>
          <w:szCs w:val="16"/>
          <w:color w:val="auto"/>
        </w:rPr>
        <w:t xml:space="preserve"> </w:t>
      </w:r>
      <w:r>
        <w:rPr>
          <w:rFonts w:ascii="Arial" w:cs="Arial" w:eastAsia="Arial" w:hAnsi="Arial"/>
          <w:sz w:val="16"/>
          <w:szCs w:val="16"/>
          <w:b w:val="1"/>
          <w:bCs w:val="1"/>
          <w:color w:val="255993"/>
        </w:rPr>
        <w:t>the Annual Meeting unless you obtain a “legal proxy” from your broker, bank or other nominee.</w:t>
      </w:r>
    </w:p>
    <w:p>
      <w:pPr>
        <w:spacing w:after="0" w:line="168" w:lineRule="exact"/>
        <w:rPr>
          <w:sz w:val="20"/>
          <w:szCs w:val="20"/>
          <w:color w:val="auto"/>
        </w:rPr>
      </w:pPr>
    </w:p>
    <w:p>
      <w:pPr>
        <w:ind w:right="300"/>
        <w:spacing w:after="0" w:line="296" w:lineRule="auto"/>
        <w:rPr>
          <w:sz w:val="20"/>
          <w:szCs w:val="20"/>
          <w:color w:val="auto"/>
        </w:rPr>
      </w:pPr>
      <w:r>
        <w:rPr>
          <w:rFonts w:ascii="Arial" w:cs="Arial" w:eastAsia="Arial" w:hAnsi="Arial"/>
          <w:sz w:val="16"/>
          <w:szCs w:val="16"/>
          <w:b w:val="1"/>
          <w:bCs w:val="1"/>
          <w:color w:val="255993"/>
        </w:rPr>
        <w:t>WHAT IF I DO NOT SPECIFY HOW MY SHARES ARE TO BE VOTED OR FAIL TO PROVIDE TIMELY DIRECTIONS TO MY BROKER, BANK OR OTHER NOMINEE?</w:t>
      </w:r>
    </w:p>
    <w:p>
      <w:pPr>
        <w:spacing w:after="0" w:line="32"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i w:val="1"/>
          <w:iCs w:val="1"/>
          <w:color w:val="auto"/>
        </w:rPr>
        <w:t>Stockholder of Record</w:t>
      </w:r>
      <w:r>
        <w:rPr>
          <w:rFonts w:ascii="Arial" w:cs="Arial" w:eastAsia="Arial" w:hAnsi="Arial"/>
          <w:sz w:val="16"/>
          <w:szCs w:val="16"/>
          <w:color w:val="auto"/>
        </w:rPr>
        <w:t>. If you are a stockholder of record and you submit a proxy but you do not provide voting instructions, your</w:t>
      </w:r>
      <w:r>
        <w:rPr>
          <w:rFonts w:ascii="Arial" w:cs="Arial" w:eastAsia="Arial" w:hAnsi="Arial"/>
          <w:sz w:val="16"/>
          <w:szCs w:val="16"/>
          <w:i w:val="1"/>
          <w:iCs w:val="1"/>
          <w:color w:val="auto"/>
        </w:rPr>
        <w:t xml:space="preserve"> </w:t>
      </w:r>
      <w:r>
        <w:rPr>
          <w:rFonts w:ascii="Arial" w:cs="Arial" w:eastAsia="Arial" w:hAnsi="Arial"/>
          <w:sz w:val="16"/>
          <w:szCs w:val="16"/>
          <w:color w:val="auto"/>
        </w:rPr>
        <w:t>shares will be voted:</w:t>
      </w:r>
    </w:p>
    <w:p>
      <w:pPr>
        <w:spacing w:after="0" w:line="102" w:lineRule="exact"/>
        <w:rPr>
          <w:sz w:val="20"/>
          <w:szCs w:val="20"/>
          <w:color w:val="auto"/>
        </w:rPr>
      </w:pPr>
    </w:p>
    <w:p>
      <w:pPr>
        <w:ind w:left="140" w:hanging="134"/>
        <w:spacing w:after="0"/>
        <w:tabs>
          <w:tab w:leader="none" w:pos="140" w:val="left"/>
        </w:tabs>
        <w:numPr>
          <w:ilvl w:val="0"/>
          <w:numId w:val="10"/>
        </w:numPr>
        <w:rPr>
          <w:rFonts w:ascii="Arial" w:cs="Arial" w:eastAsia="Arial" w:hAnsi="Arial"/>
          <w:sz w:val="16"/>
          <w:szCs w:val="16"/>
          <w:color w:val="255993"/>
        </w:rPr>
      </w:pPr>
      <w:r>
        <w:rPr>
          <w:rFonts w:ascii="Arial" w:cs="Arial" w:eastAsia="Arial" w:hAnsi="Arial"/>
          <w:sz w:val="16"/>
          <w:szCs w:val="16"/>
          <w:color w:val="auto"/>
        </w:rPr>
        <w:t>“</w:t>
      </w:r>
      <w:r>
        <w:rPr>
          <w:rFonts w:ascii="Arial" w:cs="Arial" w:eastAsia="Arial" w:hAnsi="Arial"/>
          <w:sz w:val="16"/>
          <w:szCs w:val="16"/>
          <w:b w:val="1"/>
          <w:bCs w:val="1"/>
          <w:color w:val="255993"/>
        </w:rPr>
        <w:t>FOR</w:t>
      </w:r>
      <w:r>
        <w:rPr>
          <w:rFonts w:ascii="Arial" w:cs="Arial" w:eastAsia="Arial" w:hAnsi="Arial"/>
          <w:sz w:val="16"/>
          <w:szCs w:val="16"/>
          <w:color w:val="auto"/>
        </w:rPr>
        <w:t>” the election of each Class I director nominee named in this proxy statement;</w:t>
      </w:r>
    </w:p>
    <w:p>
      <w:pPr>
        <w:spacing w:after="0" w:line="59" w:lineRule="exact"/>
        <w:rPr>
          <w:rFonts w:ascii="Arial" w:cs="Arial" w:eastAsia="Arial" w:hAnsi="Arial"/>
          <w:sz w:val="16"/>
          <w:szCs w:val="16"/>
          <w:color w:val="255993"/>
        </w:rPr>
      </w:pPr>
    </w:p>
    <w:p>
      <w:pPr>
        <w:ind w:left="140" w:right="460" w:hanging="134"/>
        <w:spacing w:after="0" w:line="281" w:lineRule="auto"/>
        <w:tabs>
          <w:tab w:leader="none" w:pos="140" w:val="left"/>
        </w:tabs>
        <w:numPr>
          <w:ilvl w:val="0"/>
          <w:numId w:val="10"/>
        </w:numPr>
        <w:rPr>
          <w:rFonts w:ascii="Arial" w:cs="Arial" w:eastAsia="Arial" w:hAnsi="Arial"/>
          <w:sz w:val="16"/>
          <w:szCs w:val="16"/>
          <w:color w:val="255993"/>
        </w:rPr>
      </w:pPr>
      <w:r>
        <w:rPr>
          <w:rFonts w:ascii="Arial" w:cs="Arial" w:eastAsia="Arial" w:hAnsi="Arial"/>
          <w:sz w:val="16"/>
          <w:szCs w:val="16"/>
          <w:color w:val="auto"/>
        </w:rPr>
        <w:t>“</w:t>
      </w:r>
      <w:r>
        <w:rPr>
          <w:rFonts w:ascii="Arial" w:cs="Arial" w:eastAsia="Arial" w:hAnsi="Arial"/>
          <w:sz w:val="16"/>
          <w:szCs w:val="16"/>
          <w:b w:val="1"/>
          <w:bCs w:val="1"/>
          <w:color w:val="255993"/>
        </w:rPr>
        <w:t>FOR</w:t>
      </w:r>
      <w:r>
        <w:rPr>
          <w:rFonts w:ascii="Arial" w:cs="Arial" w:eastAsia="Arial" w:hAnsi="Arial"/>
          <w:sz w:val="16"/>
          <w:szCs w:val="16"/>
          <w:color w:val="auto"/>
        </w:rPr>
        <w:t>” the ratification of the appointment of Ernst &amp; Young LLP as our independent registered public accounting firm for our fiscal year ending December 31, 2024; and</w:t>
      </w:r>
    </w:p>
    <w:p>
      <w:pPr>
        <w:spacing w:after="0" w:line="1" w:lineRule="exact"/>
        <w:rPr>
          <w:rFonts w:ascii="Arial" w:cs="Arial" w:eastAsia="Arial" w:hAnsi="Arial"/>
          <w:sz w:val="16"/>
          <w:szCs w:val="16"/>
          <w:color w:val="255993"/>
        </w:rPr>
      </w:pPr>
    </w:p>
    <w:p>
      <w:pPr>
        <w:ind w:left="140" w:right="260" w:hanging="134"/>
        <w:spacing w:after="0" w:line="286" w:lineRule="auto"/>
        <w:tabs>
          <w:tab w:leader="none" w:pos="140" w:val="left"/>
        </w:tabs>
        <w:numPr>
          <w:ilvl w:val="0"/>
          <w:numId w:val="10"/>
        </w:numPr>
        <w:rPr>
          <w:rFonts w:ascii="Arial" w:cs="Arial" w:eastAsia="Arial" w:hAnsi="Arial"/>
          <w:sz w:val="16"/>
          <w:szCs w:val="16"/>
          <w:color w:val="255993"/>
        </w:rPr>
      </w:pPr>
      <w:r>
        <w:rPr>
          <w:rFonts w:ascii="Arial" w:cs="Arial" w:eastAsia="Arial" w:hAnsi="Arial"/>
          <w:sz w:val="16"/>
          <w:szCs w:val="16"/>
          <w:color w:val="auto"/>
        </w:rPr>
        <w:t>“</w:t>
      </w:r>
      <w:r>
        <w:rPr>
          <w:rFonts w:ascii="Arial" w:cs="Arial" w:eastAsia="Arial" w:hAnsi="Arial"/>
          <w:sz w:val="16"/>
          <w:szCs w:val="16"/>
          <w:b w:val="1"/>
          <w:bCs w:val="1"/>
          <w:color w:val="255993"/>
        </w:rPr>
        <w:t>FOR</w:t>
      </w:r>
      <w:r>
        <w:rPr>
          <w:rFonts w:ascii="Arial" w:cs="Arial" w:eastAsia="Arial" w:hAnsi="Arial"/>
          <w:sz w:val="16"/>
          <w:szCs w:val="16"/>
          <w:color w:val="auto"/>
        </w:rPr>
        <w:t>” the approval of an amendment to our amended and restated certificate of incorporation to limit the liability of officers as permitted by Delaware law.</w:t>
      </w:r>
    </w:p>
    <w:p>
      <w:pPr>
        <w:spacing w:after="0" w:line="160" w:lineRule="exact"/>
        <w:rPr>
          <w:sz w:val="20"/>
          <w:szCs w:val="20"/>
          <w:color w:val="auto"/>
        </w:rPr>
      </w:pPr>
    </w:p>
    <w:p>
      <w:pPr>
        <w:spacing w:after="0"/>
        <w:tabs>
          <w:tab w:leader="none" w:pos="4640" w:val="left"/>
          <w:tab w:leader="none" w:pos="7960" w:val="left"/>
        </w:tabs>
        <w:rPr>
          <w:sz w:val="20"/>
          <w:szCs w:val="20"/>
          <w:color w:val="auto"/>
        </w:rPr>
      </w:pPr>
      <w:r>
        <w:rPr>
          <w:rFonts w:ascii="Arial" w:cs="Arial" w:eastAsia="Arial" w:hAnsi="Arial"/>
          <w:sz w:val="14"/>
          <w:szCs w:val="14"/>
          <w:color w:val="255993"/>
        </w:rPr>
        <w:t>Athira Pharma, Inc.</w:t>
      </w:r>
      <w:r>
        <w:rPr>
          <w:sz w:val="20"/>
          <w:szCs w:val="20"/>
          <w:color w:val="auto"/>
        </w:rPr>
        <w:tab/>
      </w:r>
      <w:r>
        <w:rPr>
          <w:rFonts w:ascii="Arial" w:cs="Arial" w:eastAsia="Arial" w:hAnsi="Arial"/>
          <w:sz w:val="14"/>
          <w:szCs w:val="14"/>
          <w:b w:val="1"/>
          <w:bCs w:val="1"/>
          <w:color w:val="255993"/>
        </w:rPr>
        <w:t>4</w:t>
      </w:r>
      <w:r>
        <w:rPr>
          <w:sz w:val="20"/>
          <w:szCs w:val="20"/>
          <w:color w:val="auto"/>
        </w:rPr>
        <w:tab/>
      </w:r>
      <w:r>
        <w:rPr>
          <w:rFonts w:ascii="Arial" w:cs="Arial" w:eastAsia="Arial" w:hAnsi="Arial"/>
          <w:sz w:val="14"/>
          <w:szCs w:val="14"/>
          <w:color w:val="255993"/>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126365</wp:posOffset>
            </wp:positionV>
            <wp:extent cx="6995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263" w:right="125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ind w:left="6760"/>
        <w:spacing w:after="0"/>
        <w:rPr>
          <w:sz w:val="20"/>
          <w:szCs w:val="20"/>
          <w:color w:val="auto"/>
        </w:rPr>
      </w:pPr>
      <w:r>
        <w:rPr>
          <w:rFonts w:ascii="Arial" w:cs="Arial" w:eastAsia="Arial" w:hAnsi="Arial"/>
          <w:sz w:val="14"/>
          <w:szCs w:val="14"/>
          <w:color w:val="255993"/>
        </w:rPr>
        <w:t>For 2024 Annual Meeting of Stockholders</w:t>
      </w:r>
    </w:p>
    <w:p>
      <w:pPr>
        <w:spacing w:after="0" w:line="104"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In addition, if any other matters are properly brought before the Annual Meeting, the persons named as proxies will be authorized to vote or otherwise act on those matters in accordance with their judgment.</w:t>
      </w:r>
    </w:p>
    <w:p>
      <w:pPr>
        <w:spacing w:after="0" w:line="88"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i w:val="1"/>
          <w:iCs w:val="1"/>
          <w:color w:val="auto"/>
        </w:rPr>
        <w:t>Street Name Stockholders</w:t>
      </w:r>
      <w:r>
        <w:rPr>
          <w:rFonts w:ascii="Arial" w:cs="Arial" w:eastAsia="Arial" w:hAnsi="Arial"/>
          <w:sz w:val="16"/>
          <w:szCs w:val="16"/>
          <w:color w:val="auto"/>
        </w:rPr>
        <w:t>. Brokers, banks and other nominees holding shares of common stock in street name for customers are</w:t>
      </w:r>
      <w:r>
        <w:rPr>
          <w:rFonts w:ascii="Arial" w:cs="Arial" w:eastAsia="Arial" w:hAnsi="Arial"/>
          <w:sz w:val="16"/>
          <w:szCs w:val="16"/>
          <w:i w:val="1"/>
          <w:iCs w:val="1"/>
          <w:color w:val="auto"/>
        </w:rPr>
        <w:t xml:space="preserve"> </w:t>
      </w:r>
      <w:r>
        <w:rPr>
          <w:rFonts w:ascii="Arial" w:cs="Arial" w:eastAsia="Arial" w:hAnsi="Arial"/>
          <w:sz w:val="16"/>
          <w:szCs w:val="16"/>
          <w:color w:val="auto"/>
        </w:rPr>
        <w:t>generally required to vote such shares in the manner directed by their customers. In the absence of timely directions, your broker, bank or other nominee will have discretion to vote your shares on our sole routine matter: the proposal to ratify the appointment of Ernst &amp; Young LLP as our independent registered public accounting firm for our fiscal year ending December 31, 2024. Your broker, bank or other nominee will not have discretion to vote on any other proposals, which are considered non-routine matters, absent direction from you. In the event that your broker, bank or other nominee votes your shares on our sole routine matter, but is not able to vote your shares on the non-routine matters, then those shares will be treated as broker non-votes with respect to the non-routine proposals. Accordingly, if you own shares through a nominee, such as a broker or bank, please be sure to instruct your nominee how to vote to ensure that your shares are counted on each of the proposals.</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CAN I CHANGE MY VOTE OR REVOKE MY PROXY?</w:t>
      </w:r>
    </w:p>
    <w:p>
      <w:pPr>
        <w:spacing w:after="0" w:line="154" w:lineRule="exact"/>
        <w:rPr>
          <w:sz w:val="20"/>
          <w:szCs w:val="20"/>
          <w:color w:val="auto"/>
        </w:rPr>
      </w:pPr>
    </w:p>
    <w:p>
      <w:pPr>
        <w:ind w:right="540"/>
        <w:spacing w:after="0" w:line="286" w:lineRule="auto"/>
        <w:rPr>
          <w:sz w:val="20"/>
          <w:szCs w:val="20"/>
          <w:color w:val="auto"/>
        </w:rPr>
      </w:pPr>
      <w:r>
        <w:rPr>
          <w:rFonts w:ascii="Arial" w:cs="Arial" w:eastAsia="Arial" w:hAnsi="Arial"/>
          <w:sz w:val="16"/>
          <w:szCs w:val="16"/>
          <w:i w:val="1"/>
          <w:iCs w:val="1"/>
          <w:color w:val="auto"/>
        </w:rPr>
        <w:t>Stockholder of Record</w:t>
      </w:r>
      <w:r>
        <w:rPr>
          <w:rFonts w:ascii="Arial" w:cs="Arial" w:eastAsia="Arial" w:hAnsi="Arial"/>
          <w:sz w:val="16"/>
          <w:szCs w:val="16"/>
          <w:color w:val="auto"/>
        </w:rPr>
        <w:t>. If you are a stockholder of record, you can change your vote or revoke your proxy before the Annual</w:t>
      </w:r>
      <w:r>
        <w:rPr>
          <w:rFonts w:ascii="Arial" w:cs="Arial" w:eastAsia="Arial" w:hAnsi="Arial"/>
          <w:sz w:val="16"/>
          <w:szCs w:val="16"/>
          <w:i w:val="1"/>
          <w:iCs w:val="1"/>
          <w:color w:val="auto"/>
        </w:rPr>
        <w:t xml:space="preserve"> </w:t>
      </w:r>
      <w:r>
        <w:rPr>
          <w:rFonts w:ascii="Arial" w:cs="Arial" w:eastAsia="Arial" w:hAnsi="Arial"/>
          <w:sz w:val="16"/>
          <w:szCs w:val="16"/>
          <w:color w:val="auto"/>
        </w:rPr>
        <w:t>Meeting by:</w:t>
      </w:r>
    </w:p>
    <w:p>
      <w:pPr>
        <w:spacing w:after="0" w:line="102" w:lineRule="exact"/>
        <w:rPr>
          <w:sz w:val="20"/>
          <w:szCs w:val="20"/>
          <w:color w:val="auto"/>
        </w:rPr>
      </w:pPr>
    </w:p>
    <w:p>
      <w:pPr>
        <w:ind w:left="140" w:hanging="134"/>
        <w:spacing w:after="0"/>
        <w:tabs>
          <w:tab w:leader="none" w:pos="140" w:val="left"/>
        </w:tabs>
        <w:numPr>
          <w:ilvl w:val="0"/>
          <w:numId w:val="11"/>
        </w:numPr>
        <w:rPr>
          <w:rFonts w:ascii="Arial" w:cs="Arial" w:eastAsia="Arial" w:hAnsi="Arial"/>
          <w:sz w:val="16"/>
          <w:szCs w:val="16"/>
          <w:color w:val="255993"/>
        </w:rPr>
      </w:pPr>
      <w:r>
        <w:rPr>
          <w:rFonts w:ascii="Arial" w:cs="Arial" w:eastAsia="Arial" w:hAnsi="Arial"/>
          <w:sz w:val="16"/>
          <w:szCs w:val="16"/>
          <w:color w:val="auto"/>
        </w:rPr>
        <w:t>entering a new vote by internet or telephone (subject to the applicable deadlines for each method as set forth above);</w:t>
      </w:r>
    </w:p>
    <w:p>
      <w:pPr>
        <w:spacing w:after="0" w:line="59" w:lineRule="exact"/>
        <w:rPr>
          <w:rFonts w:ascii="Arial" w:cs="Arial" w:eastAsia="Arial" w:hAnsi="Arial"/>
          <w:sz w:val="16"/>
          <w:szCs w:val="16"/>
          <w:color w:val="255993"/>
        </w:rPr>
      </w:pPr>
    </w:p>
    <w:p>
      <w:pPr>
        <w:ind w:left="140" w:hanging="134"/>
        <w:spacing w:after="0"/>
        <w:tabs>
          <w:tab w:leader="none" w:pos="140" w:val="left"/>
        </w:tabs>
        <w:numPr>
          <w:ilvl w:val="0"/>
          <w:numId w:val="11"/>
        </w:numPr>
        <w:rPr>
          <w:rFonts w:ascii="Arial" w:cs="Arial" w:eastAsia="Arial" w:hAnsi="Arial"/>
          <w:sz w:val="16"/>
          <w:szCs w:val="16"/>
          <w:color w:val="255993"/>
        </w:rPr>
      </w:pPr>
      <w:r>
        <w:rPr>
          <w:rFonts w:ascii="Arial" w:cs="Arial" w:eastAsia="Arial" w:hAnsi="Arial"/>
          <w:sz w:val="16"/>
          <w:szCs w:val="16"/>
          <w:color w:val="auto"/>
        </w:rPr>
        <w:t>completing and returning a later-dated proxy card, which must be received prior to the Annual Meeting;</w:t>
      </w:r>
    </w:p>
    <w:p>
      <w:pPr>
        <w:spacing w:after="0" w:line="59" w:lineRule="exact"/>
        <w:rPr>
          <w:rFonts w:ascii="Arial" w:cs="Arial" w:eastAsia="Arial" w:hAnsi="Arial"/>
          <w:sz w:val="16"/>
          <w:szCs w:val="16"/>
          <w:color w:val="255993"/>
        </w:rPr>
      </w:pPr>
    </w:p>
    <w:p>
      <w:pPr>
        <w:ind w:left="140" w:right="20" w:hanging="134"/>
        <w:spacing w:after="0" w:line="281" w:lineRule="auto"/>
        <w:tabs>
          <w:tab w:leader="none" w:pos="140" w:val="left"/>
        </w:tabs>
        <w:numPr>
          <w:ilvl w:val="0"/>
          <w:numId w:val="11"/>
        </w:numPr>
        <w:rPr>
          <w:rFonts w:ascii="Arial" w:cs="Arial" w:eastAsia="Arial" w:hAnsi="Arial"/>
          <w:sz w:val="16"/>
          <w:szCs w:val="16"/>
          <w:color w:val="255993"/>
        </w:rPr>
      </w:pPr>
      <w:r>
        <w:rPr>
          <w:rFonts w:ascii="Arial" w:cs="Arial" w:eastAsia="Arial" w:hAnsi="Arial"/>
          <w:sz w:val="16"/>
          <w:szCs w:val="16"/>
          <w:color w:val="auto"/>
        </w:rPr>
        <w:t>delivering a written notice of revocation to our corporate secretary at Athira Pharma, Inc., 18706 North Creek Parkway, Suite 104, Bothell, Washington 98011, Attention: Corporate Secretary, which must be received prior to the Annual Meeting; or</w:t>
      </w:r>
    </w:p>
    <w:p>
      <w:pPr>
        <w:spacing w:after="0" w:line="1" w:lineRule="exact"/>
        <w:rPr>
          <w:rFonts w:ascii="Arial" w:cs="Arial" w:eastAsia="Arial" w:hAnsi="Arial"/>
          <w:sz w:val="16"/>
          <w:szCs w:val="16"/>
          <w:color w:val="255993"/>
        </w:rPr>
      </w:pPr>
    </w:p>
    <w:p>
      <w:pPr>
        <w:ind w:left="140" w:right="500" w:hanging="134"/>
        <w:spacing w:after="0" w:line="286" w:lineRule="auto"/>
        <w:tabs>
          <w:tab w:leader="none" w:pos="140" w:val="left"/>
        </w:tabs>
        <w:numPr>
          <w:ilvl w:val="0"/>
          <w:numId w:val="11"/>
        </w:numPr>
        <w:rPr>
          <w:rFonts w:ascii="Arial" w:cs="Arial" w:eastAsia="Arial" w:hAnsi="Arial"/>
          <w:sz w:val="16"/>
          <w:szCs w:val="16"/>
          <w:color w:val="255993"/>
        </w:rPr>
      </w:pPr>
      <w:r>
        <w:rPr>
          <w:rFonts w:ascii="Arial" w:cs="Arial" w:eastAsia="Arial" w:hAnsi="Arial"/>
          <w:sz w:val="16"/>
          <w:szCs w:val="16"/>
          <w:color w:val="auto"/>
        </w:rPr>
        <w:t>attending virtually and voting at the Annual Meeting (although attendance at the Annual Meeting will not, by itself, revoke a proxy).</w:t>
      </w:r>
    </w:p>
    <w:p>
      <w:pPr>
        <w:spacing w:after="0" w:line="75"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i w:val="1"/>
          <w:iCs w:val="1"/>
          <w:color w:val="auto"/>
        </w:rPr>
        <w:t>Street Name Stockholders</w:t>
      </w:r>
      <w:r>
        <w:rPr>
          <w:rFonts w:ascii="Arial" w:cs="Arial" w:eastAsia="Arial" w:hAnsi="Arial"/>
          <w:sz w:val="16"/>
          <w:szCs w:val="16"/>
          <w:color w:val="auto"/>
        </w:rPr>
        <w:t>. If you are a street name stockholder, then your broker, bank or other nominee can provide you with</w:t>
      </w:r>
      <w:r>
        <w:rPr>
          <w:rFonts w:ascii="Arial" w:cs="Arial" w:eastAsia="Arial" w:hAnsi="Arial"/>
          <w:sz w:val="16"/>
          <w:szCs w:val="16"/>
          <w:i w:val="1"/>
          <w:iCs w:val="1"/>
          <w:color w:val="auto"/>
        </w:rPr>
        <w:t xml:space="preserve"> </w:t>
      </w:r>
      <w:r>
        <w:rPr>
          <w:rFonts w:ascii="Arial" w:cs="Arial" w:eastAsia="Arial" w:hAnsi="Arial"/>
          <w:sz w:val="16"/>
          <w:szCs w:val="16"/>
          <w:color w:val="auto"/>
        </w:rPr>
        <w:t>instructions on how to change or revoke your proxy.</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WHAT DO I NEED TO DO TO ATTEND THE ANNUAL MEETING?</w:t>
      </w:r>
    </w:p>
    <w:p>
      <w:pPr>
        <w:spacing w:after="0" w:line="113"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We will be hosting the Annual Meeting via live webcast only. You will be able to attend the Annual Meeting virtually, submit your questions during the meeting and vote your shares electronically during the meeting by visiting www.virtualshareholdermeeting.com/ATHA2024. To participate in the Annual Meeting, you will need the control number included on your proxy card. The Annual Meeting webcast will begin promptly at 8:00 a.m., Pacific Time. We encourage you to access the meeting prior to the start time. Online check-in will begin at 7:45 a.m., Pacific Time, and you should allow ample time for the check-in procedures.</w:t>
      </w: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HOW CAN I GET HELP IF I HAVE TROUBLE CHECKING IN OR LISTENING TO THE ANNUAL MEETING ONLINE?</w:t>
      </w:r>
    </w:p>
    <w:p>
      <w:pPr>
        <w:spacing w:after="0" w:line="113" w:lineRule="exact"/>
        <w:rPr>
          <w:sz w:val="20"/>
          <w:szCs w:val="20"/>
          <w:color w:val="auto"/>
        </w:rPr>
      </w:pPr>
    </w:p>
    <w:p>
      <w:pPr>
        <w:ind w:right="380"/>
        <w:spacing w:after="0" w:line="286" w:lineRule="auto"/>
        <w:rPr>
          <w:sz w:val="20"/>
          <w:szCs w:val="20"/>
          <w:color w:val="auto"/>
        </w:rPr>
      </w:pPr>
      <w:r>
        <w:rPr>
          <w:rFonts w:ascii="Arial" w:cs="Arial" w:eastAsia="Arial" w:hAnsi="Arial"/>
          <w:sz w:val="16"/>
          <w:szCs w:val="16"/>
          <w:color w:val="auto"/>
        </w:rPr>
        <w:t>If you encounter difficulties accessing the virtual meeting during the check-in or meeting time, please call the technical support number that will be posted on the virtual meeting log-in page.</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WHAT IS THE EFFECT OF GIVING A PROXY?</w:t>
      </w:r>
    </w:p>
    <w:p>
      <w:pPr>
        <w:spacing w:after="0" w:line="113"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Proxies are being solicited by and on behalf of our board of directors. Andrew Gengos, our chief financial officer and chief business officer, Rachel Lenington, our chief operating officer and chief development officer, and Mark Worthington, our general counsel and corporate secretary, have been designated as proxy holders for the Annual Meeting by our board of directors. When proxies are properly dated, executed and returned, the shares represented by such proxies will be voted at the Annual Meeting in accordance with the instructions of the stockholder. If the proxy card is dated and signed but no specific instructions are given, then the shares will be voted in accordance with the recommendation of our board of directors. If any other matters are properly brought before the Annual Meeting, then the proxy holders will use their own judgment to determine how to vote your shares.</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WHO WILL COUNT THE VOTES?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A representative of Broadridge Financial Solutions, Inc. will tabulate the votes and act as inspector of election.</w:t>
      </w:r>
    </w:p>
    <w:p>
      <w:pPr>
        <w:spacing w:after="0" w:line="226" w:lineRule="exact"/>
        <w:rPr>
          <w:sz w:val="20"/>
          <w:szCs w:val="20"/>
          <w:color w:val="auto"/>
        </w:rPr>
      </w:pPr>
    </w:p>
    <w:p>
      <w:pPr>
        <w:spacing w:after="0"/>
        <w:tabs>
          <w:tab w:leader="none" w:pos="4640" w:val="left"/>
          <w:tab w:leader="none" w:pos="7960" w:val="left"/>
        </w:tabs>
        <w:rPr>
          <w:sz w:val="20"/>
          <w:szCs w:val="20"/>
          <w:color w:val="auto"/>
        </w:rPr>
      </w:pPr>
      <w:r>
        <w:rPr>
          <w:rFonts w:ascii="Arial" w:cs="Arial" w:eastAsia="Arial" w:hAnsi="Arial"/>
          <w:sz w:val="14"/>
          <w:szCs w:val="14"/>
          <w:color w:val="255993"/>
        </w:rPr>
        <w:t>Athira Pharma, Inc.</w:t>
      </w:r>
      <w:r>
        <w:rPr>
          <w:sz w:val="20"/>
          <w:szCs w:val="20"/>
          <w:color w:val="auto"/>
        </w:rPr>
        <w:tab/>
      </w:r>
      <w:r>
        <w:rPr>
          <w:rFonts w:ascii="Arial" w:cs="Arial" w:eastAsia="Arial" w:hAnsi="Arial"/>
          <w:sz w:val="14"/>
          <w:szCs w:val="14"/>
          <w:b w:val="1"/>
          <w:bCs w:val="1"/>
          <w:color w:val="255993"/>
        </w:rPr>
        <w:t>5</w:t>
      </w:r>
      <w:r>
        <w:rPr>
          <w:sz w:val="20"/>
          <w:szCs w:val="20"/>
          <w:color w:val="auto"/>
        </w:rPr>
        <w:tab/>
      </w:r>
      <w:r>
        <w:rPr>
          <w:rFonts w:ascii="Arial" w:cs="Arial" w:eastAsia="Arial" w:hAnsi="Arial"/>
          <w:sz w:val="14"/>
          <w:szCs w:val="14"/>
          <w:color w:val="255993"/>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118110</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263" w:right="12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255993"/>
        </w:rPr>
        <w:t>For 2024 Annual Meeting of Stockholders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HOW CAN I CONTACT ATHIRA’S TRANSFER AGENT?</w:t>
      </w:r>
    </w:p>
    <w:p>
      <w:pPr>
        <w:spacing w:after="0" w:line="154" w:lineRule="exact"/>
        <w:rPr>
          <w:sz w:val="20"/>
          <w:szCs w:val="20"/>
          <w:color w:val="auto"/>
        </w:rPr>
      </w:pPr>
    </w:p>
    <w:p>
      <w:pPr>
        <w:ind w:right="240"/>
        <w:spacing w:after="0" w:line="266" w:lineRule="auto"/>
        <w:rPr>
          <w:sz w:val="20"/>
          <w:szCs w:val="20"/>
          <w:color w:val="auto"/>
        </w:rPr>
      </w:pPr>
      <w:r>
        <w:rPr>
          <w:rFonts w:ascii="Arial" w:cs="Arial" w:eastAsia="Arial" w:hAnsi="Arial"/>
          <w:sz w:val="16"/>
          <w:szCs w:val="16"/>
          <w:color w:val="auto"/>
        </w:rPr>
        <w:t>You may contact our transfer agent, Computershare Inc., by telephone at (800) 736-3001, or by writing Computershare Inc., P.O. Box 43006, Providence, RI 02940-3078. You may also access instructions with respect to certain stockholder matters (e.g., change of address) via the internet at www.computershare.com/investor.</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HOW ARE PROXIES SOLICITED FOR THE ANNUAL MEETING AND WHO IS PAYING FOR SUCH SOLICITATION?</w:t>
      </w:r>
    </w:p>
    <w:p>
      <w:pPr>
        <w:spacing w:after="0" w:line="113"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Our board of directors is soliciting proxies for use at the Annual Meeting by means of these proxy materials. By signing, dating and returning the proxy card, or by submitting your proxy over the internet or by telephone using the instructions found on the proxy card, you are authorizing the persons named as proxies to vote your shares at the Annual Meeting as you have instructed. Proxies will be solicited on behalf of the board of directors by the Company’s directors, director nominees, and certain executive officers and other employees of the Company.</w:t>
      </w:r>
    </w:p>
    <w:p>
      <w:pPr>
        <w:spacing w:after="0" w:line="112"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The Company will bear the cost of soliciting proxies and will reimburse brokerage firms and other custodians, nominees and fiduciaries for their reasonable out-of-pocket expenses for sending proxy materials to stockholders and obtaining their proxies. The Company has retained the services of Broadridge Financial Solutions, Inc. to assist in soliciting proxies from the Company’s stockholders for a fee of approximately $16,000 plus reimbursement of reasonable expenses. In addition to soliciting the proxies by mail and the internet, certain of the Company’s directors, officers and employees, without compensation, may solicit proxies personally or by telephone, facsimile and e-mail.</w:t>
      </w:r>
    </w:p>
    <w:p>
      <w:pPr>
        <w:spacing w:after="0" w:line="101"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We will bear the entire cost of proxy solicitation, including the preparation, assembly, printing, mailing and distribution of Athira’s proxy materials. Copies of our solicitation materials will also be made available upon request to brokers, banks and other nominees to forward to the beneficial owners of the shares held of record by such brokers, banks or other nominees. The original solicitation of proxies may be supplemented by solicitation by telephone, electronic communications or other means by our directors, officers or employees. No additional compensation will be paid to these individuals for any such services, although we may reimburse such individuals for their reasonable out-of-pocket expenses in connection with such solicitation.</w:t>
      </w: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WHERE CAN I FIND THE VOTING RESULTS OF THE ANNUAL MEETING?</w:t>
      </w:r>
    </w:p>
    <w:p>
      <w:pPr>
        <w:spacing w:after="0" w:line="113"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We will disclose voting results on a Current Report on Form 8-K that we will file with the Securities and Exchange Commission, or SEC, within four business days after the meeting. If final voting results are not available to us in time to file a Form 8-K, then we will file a Form 8-K to publish preliminary results and will provide the final results in an amendment to the Form 8-K as soon as they become available.</w:t>
      </w: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WHY DID I RECEIVE A NOTICE OF INTERNET AVAILABILITY INSTEAD OF A FULL SET OF PROXY MATERIALS?</w:t>
      </w:r>
    </w:p>
    <w:p>
      <w:pPr>
        <w:spacing w:after="0" w:line="113"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In accordance with the rules of the SEC we have elected to furnish our proxy materials, including this proxy statement and our annual report, primarily via the internet. As a result, we are mailing to our stockholders a Notice of Internet Availability instead of a paper copy of the proxy materials. The Notice of Internet Availability contains instructions on how to access our proxy materials on the internet, how to vote on the proposals, how to request printed copies of the proxy materials and our annual report, and how to request to receive all future proxy materials in printed form by mail or electronically by e-mail. We encourage stockholders to take advantage of the availability of the proxy materials on the internet to help reduce our costs and the environmental impact of our annual meetings.</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WHAT DOES IT MEAN IF I RECEIVE MORE THAN ONE NOTICE OF INTERNET AVAILABILITY?</w:t>
      </w:r>
    </w:p>
    <w:p>
      <w:pPr>
        <w:spacing w:after="0" w:line="113"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If you receive more than one Notice of Internet Availability, then your shares may be registered in more than one name and/or are registered in different accounts. Please follow the voting instructions on each Notice of Internet Availability to ensure that all of your shares are voted.</w:t>
      </w:r>
    </w:p>
    <w:p>
      <w:pPr>
        <w:spacing w:after="0" w:line="171"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b w:val="1"/>
          <w:bCs w:val="1"/>
          <w:color w:val="255993"/>
        </w:rPr>
        <w:t>I SHARE AN ADDRESS WITH ANOTHER STOCKHOLDER, AND WE RECEIVED ONLY ONE PAPER COPY OF THE PROXY MATERIALS. HOW MAY I OBTAIN AN ADDITIONAL COPY OF THE PROXY MATERIALS?</w:t>
      </w:r>
    </w:p>
    <w:p>
      <w:pPr>
        <w:spacing w:after="0" w:line="32"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We have adopted a procedure called “householding,” which the SEC has approved. Under this procedure, we can deliver a single copy of the Notice of Internet Availability to multiple stockholders who share the same address unless we received contrary instructions from one or more of the stockholders. This procedure reduces our printing costs, mailing costs and fees. Stockholders who</w:t>
      </w:r>
    </w:p>
    <w:p>
      <w:pPr>
        <w:spacing w:after="0" w:line="183" w:lineRule="exact"/>
        <w:rPr>
          <w:sz w:val="20"/>
          <w:szCs w:val="20"/>
          <w:color w:val="auto"/>
        </w:rPr>
      </w:pPr>
    </w:p>
    <w:p>
      <w:pPr>
        <w:spacing w:after="0"/>
        <w:tabs>
          <w:tab w:leader="none" w:pos="4640" w:val="left"/>
          <w:tab w:leader="none" w:pos="7960" w:val="left"/>
        </w:tabs>
        <w:rPr>
          <w:sz w:val="20"/>
          <w:szCs w:val="20"/>
          <w:color w:val="auto"/>
        </w:rPr>
      </w:pPr>
      <w:r>
        <w:rPr>
          <w:rFonts w:ascii="Arial" w:cs="Arial" w:eastAsia="Arial" w:hAnsi="Arial"/>
          <w:sz w:val="14"/>
          <w:szCs w:val="14"/>
          <w:color w:val="255993"/>
        </w:rPr>
        <w:t>Athira Pharma, Inc.</w:t>
      </w:r>
      <w:r>
        <w:rPr>
          <w:sz w:val="20"/>
          <w:szCs w:val="20"/>
          <w:color w:val="auto"/>
        </w:rPr>
        <w:tab/>
      </w:r>
      <w:r>
        <w:rPr>
          <w:rFonts w:ascii="Arial" w:cs="Arial" w:eastAsia="Arial" w:hAnsi="Arial"/>
          <w:sz w:val="14"/>
          <w:szCs w:val="14"/>
          <w:b w:val="1"/>
          <w:bCs w:val="1"/>
          <w:color w:val="255993"/>
        </w:rPr>
        <w:t>6</w:t>
      </w:r>
      <w:r>
        <w:rPr>
          <w:sz w:val="20"/>
          <w:szCs w:val="20"/>
          <w:color w:val="auto"/>
        </w:rPr>
        <w:tab/>
      </w:r>
      <w:r>
        <w:rPr>
          <w:rFonts w:ascii="Arial" w:cs="Arial" w:eastAsia="Arial" w:hAnsi="Arial"/>
          <w:sz w:val="14"/>
          <w:szCs w:val="14"/>
          <w:color w:val="255993"/>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126365</wp:posOffset>
            </wp:positionV>
            <wp:extent cx="69951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263" w:right="12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ind w:left="6760"/>
        <w:spacing w:after="0"/>
        <w:rPr>
          <w:sz w:val="20"/>
          <w:szCs w:val="20"/>
          <w:color w:val="auto"/>
        </w:rPr>
      </w:pPr>
      <w:r>
        <w:rPr>
          <w:rFonts w:ascii="Arial" w:cs="Arial" w:eastAsia="Arial" w:hAnsi="Arial"/>
          <w:sz w:val="14"/>
          <w:szCs w:val="14"/>
          <w:color w:val="255993"/>
        </w:rPr>
        <w:t>For 2024 Annual Meeting of Stockholders</w:t>
      </w:r>
    </w:p>
    <w:p>
      <w:pPr>
        <w:spacing w:after="0" w:line="104" w:lineRule="exact"/>
        <w:rPr>
          <w:sz w:val="20"/>
          <w:szCs w:val="20"/>
          <w:color w:val="auto"/>
        </w:rPr>
      </w:pPr>
    </w:p>
    <w:p>
      <w:pPr>
        <w:ind w:right="180"/>
        <w:spacing w:after="0" w:line="256" w:lineRule="auto"/>
        <w:rPr>
          <w:sz w:val="20"/>
          <w:szCs w:val="20"/>
          <w:color w:val="auto"/>
        </w:rPr>
      </w:pPr>
      <w:r>
        <w:rPr>
          <w:rFonts w:ascii="Arial" w:cs="Arial" w:eastAsia="Arial" w:hAnsi="Arial"/>
          <w:sz w:val="16"/>
          <w:szCs w:val="16"/>
          <w:color w:val="auto"/>
        </w:rPr>
        <w:t>participate in householding will continue to be able to access and receive separate proxy cards. Upon written or oral request, we will deliver promptly a separate copy of the Notice of Internet Availability to any stockholder at a shared address to which we delivered a single copy of any of these documents. To receive a separate copy, or, if a stockholder is receiving multiple copies, to request that we only send a single copy of next year’s Notice of Internet Availability or proxy statement and annual report, as applicable, stockholders may contact us at the following address and telephone number:</w:t>
      </w:r>
    </w:p>
    <w:p>
      <w:pPr>
        <w:spacing w:after="0" w:line="193" w:lineRule="exact"/>
        <w:rPr>
          <w:sz w:val="20"/>
          <w:szCs w:val="20"/>
          <w:color w:val="auto"/>
        </w:rPr>
      </w:pPr>
    </w:p>
    <w:p>
      <w:pPr>
        <w:ind w:left="3980"/>
        <w:spacing w:after="0"/>
        <w:rPr>
          <w:sz w:val="20"/>
          <w:szCs w:val="20"/>
          <w:color w:val="auto"/>
        </w:rPr>
      </w:pPr>
      <w:r>
        <w:rPr>
          <w:rFonts w:ascii="Arial" w:cs="Arial" w:eastAsia="Arial" w:hAnsi="Arial"/>
          <w:sz w:val="16"/>
          <w:szCs w:val="16"/>
          <w:color w:val="auto"/>
        </w:rPr>
        <w:t>Athira Pharma, Inc.</w:t>
      </w:r>
    </w:p>
    <w:p>
      <w:pPr>
        <w:spacing w:after="0" w:line="21" w:lineRule="exact"/>
        <w:rPr>
          <w:sz w:val="20"/>
          <w:szCs w:val="20"/>
          <w:color w:val="auto"/>
        </w:rPr>
      </w:pPr>
    </w:p>
    <w:p>
      <w:pPr>
        <w:ind w:left="3660"/>
        <w:spacing w:after="0"/>
        <w:rPr>
          <w:sz w:val="20"/>
          <w:szCs w:val="20"/>
          <w:color w:val="auto"/>
        </w:rPr>
      </w:pPr>
      <w:r>
        <w:rPr>
          <w:rFonts w:ascii="Arial" w:cs="Arial" w:eastAsia="Arial" w:hAnsi="Arial"/>
          <w:sz w:val="16"/>
          <w:szCs w:val="16"/>
          <w:color w:val="auto"/>
        </w:rPr>
        <w:t>Attention: Investor Relations</w:t>
      </w:r>
    </w:p>
    <w:p>
      <w:pPr>
        <w:spacing w:after="0" w:line="5" w:lineRule="exact"/>
        <w:rPr>
          <w:sz w:val="20"/>
          <w:szCs w:val="20"/>
          <w:color w:val="auto"/>
        </w:rPr>
      </w:pPr>
    </w:p>
    <w:p>
      <w:pPr>
        <w:ind w:left="3280"/>
        <w:spacing w:after="0"/>
        <w:rPr>
          <w:sz w:val="20"/>
          <w:szCs w:val="20"/>
          <w:color w:val="auto"/>
        </w:rPr>
      </w:pPr>
      <w:r>
        <w:rPr>
          <w:rFonts w:ascii="Arial" w:cs="Arial" w:eastAsia="Arial" w:hAnsi="Arial"/>
          <w:sz w:val="16"/>
          <w:szCs w:val="16"/>
          <w:color w:val="auto"/>
        </w:rPr>
        <w:t>18706 North Creek Parkway, Suite 104</w:t>
      </w:r>
    </w:p>
    <w:p>
      <w:pPr>
        <w:spacing w:after="0" w:line="5" w:lineRule="exact"/>
        <w:rPr>
          <w:sz w:val="20"/>
          <w:szCs w:val="20"/>
          <w:color w:val="auto"/>
        </w:rPr>
      </w:pPr>
    </w:p>
    <w:p>
      <w:pPr>
        <w:ind w:left="3720"/>
        <w:spacing w:after="0"/>
        <w:rPr>
          <w:sz w:val="20"/>
          <w:szCs w:val="20"/>
          <w:color w:val="auto"/>
        </w:rPr>
      </w:pPr>
      <w:r>
        <w:rPr>
          <w:rFonts w:ascii="Arial" w:cs="Arial" w:eastAsia="Arial" w:hAnsi="Arial"/>
          <w:sz w:val="16"/>
          <w:szCs w:val="16"/>
          <w:color w:val="auto"/>
        </w:rPr>
        <w:t>Bothell, Washington 98011</w:t>
      </w:r>
    </w:p>
    <w:p>
      <w:pPr>
        <w:spacing w:after="0" w:line="5" w:lineRule="exact"/>
        <w:rPr>
          <w:sz w:val="20"/>
          <w:szCs w:val="20"/>
          <w:color w:val="auto"/>
        </w:rPr>
      </w:pPr>
    </w:p>
    <w:p>
      <w:pPr>
        <w:ind w:left="4000"/>
        <w:spacing w:after="0"/>
        <w:rPr>
          <w:sz w:val="20"/>
          <w:szCs w:val="20"/>
          <w:color w:val="auto"/>
        </w:rPr>
      </w:pPr>
      <w:r>
        <w:rPr>
          <w:rFonts w:ascii="Arial" w:cs="Arial" w:eastAsia="Arial" w:hAnsi="Arial"/>
          <w:sz w:val="16"/>
          <w:szCs w:val="16"/>
          <w:color w:val="auto"/>
        </w:rPr>
        <w:t>Tel: (425) 620-8501</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Street name stockholders may contact their broker, bank or other nominee to request information about householding.</w:t>
      </w:r>
    </w:p>
    <w:p>
      <w:pPr>
        <w:spacing w:after="0" w:line="221" w:lineRule="exact"/>
        <w:rPr>
          <w:sz w:val="20"/>
          <w:szCs w:val="20"/>
          <w:color w:val="auto"/>
        </w:rPr>
      </w:pPr>
    </w:p>
    <w:p>
      <w:pPr>
        <w:ind w:right="660"/>
        <w:spacing w:after="0" w:line="296" w:lineRule="auto"/>
        <w:rPr>
          <w:sz w:val="20"/>
          <w:szCs w:val="20"/>
          <w:color w:val="auto"/>
        </w:rPr>
      </w:pPr>
      <w:r>
        <w:rPr>
          <w:rFonts w:ascii="Arial" w:cs="Arial" w:eastAsia="Arial" w:hAnsi="Arial"/>
          <w:sz w:val="16"/>
          <w:szCs w:val="16"/>
          <w:b w:val="1"/>
          <w:bCs w:val="1"/>
          <w:color w:val="255993"/>
        </w:rPr>
        <w:t>WHAT IS THE DEADLINE TO PROPOSE ACTIONS FOR CONSIDERATION AT NEXT YEAR’S ANNUAL MEETING OF STOCKHOLDERS OR TO NOMINATE INDIVIDUALS TO SERVE AS DIRECTORS?</w:t>
      </w:r>
    </w:p>
    <w:p>
      <w:pPr>
        <w:spacing w:after="0" w:line="32"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If a stockholder would like us to consider including a proposal in our proxy statement for next year’s annual meeting of stockholders pursuant to Rule 14a-8 of the Securities Exchange Act of 1934, as amended (the “Exchange Act”), then the proposal must be received by our corporate secretary at our principal executive offices on or before December 10, 2024. In addition, stockholder proposals must comply with the requirements of Rule 14a-8 regarding the inclusion of stockholder proposals in company-sponsored proxy materials. Proposals should be addressed to:</w:t>
      </w:r>
    </w:p>
    <w:p>
      <w:pPr>
        <w:spacing w:after="0" w:line="180"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Athira Pharma, Inc.</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Attention: Corporate Secretary</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18706 North Creek Parkway, Suite 104</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Bothell, Washington 98011</w:t>
      </w:r>
    </w:p>
    <w:p>
      <w:pPr>
        <w:spacing w:after="0" w:line="138"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The Bylaws also establish an advance notice procedure for stockholders who wish to present a proposal or nominate a director at an annual meeting, but do not seek to include the proposal or director nominee in our proxy statement. In order to be properly brought before next year’s annual meeting, the stockholder must provide timely written notice to our corporate secretary, at our principal executive offices, and any such proposal or nomination must constitute a proper matter for stockholder action. The written notice must contain the information specified in the Bylaws. To be timely, a stockholder’s written notice must be received by our corporate secretary at our principal executive offices:</w:t>
      </w:r>
    </w:p>
    <w:p>
      <w:pPr>
        <w:spacing w:after="0" w:line="128" w:lineRule="exact"/>
        <w:rPr>
          <w:sz w:val="20"/>
          <w:szCs w:val="20"/>
          <w:color w:val="auto"/>
        </w:rPr>
      </w:pPr>
    </w:p>
    <w:p>
      <w:pPr>
        <w:ind w:left="140" w:hanging="134"/>
        <w:spacing w:after="0"/>
        <w:tabs>
          <w:tab w:leader="none" w:pos="140" w:val="left"/>
        </w:tabs>
        <w:numPr>
          <w:ilvl w:val="0"/>
          <w:numId w:val="12"/>
        </w:numPr>
        <w:rPr>
          <w:rFonts w:ascii="Arial" w:cs="Arial" w:eastAsia="Arial" w:hAnsi="Arial"/>
          <w:sz w:val="16"/>
          <w:szCs w:val="16"/>
          <w:color w:val="255993"/>
        </w:rPr>
      </w:pPr>
      <w:r>
        <w:rPr>
          <w:rFonts w:ascii="Arial" w:cs="Arial" w:eastAsia="Arial" w:hAnsi="Arial"/>
          <w:sz w:val="16"/>
          <w:szCs w:val="16"/>
          <w:color w:val="auto"/>
        </w:rPr>
        <w:t>no earlier than 8:00 a.m., Eastern time, on January 23, 2025; and</w:t>
      </w:r>
    </w:p>
    <w:p>
      <w:pPr>
        <w:spacing w:after="0" w:line="59" w:lineRule="exact"/>
        <w:rPr>
          <w:rFonts w:ascii="Arial" w:cs="Arial" w:eastAsia="Arial" w:hAnsi="Arial"/>
          <w:sz w:val="16"/>
          <w:szCs w:val="16"/>
          <w:color w:val="255993"/>
        </w:rPr>
      </w:pPr>
    </w:p>
    <w:p>
      <w:pPr>
        <w:ind w:left="140" w:hanging="134"/>
        <w:spacing w:after="0"/>
        <w:tabs>
          <w:tab w:leader="none" w:pos="140" w:val="left"/>
        </w:tabs>
        <w:numPr>
          <w:ilvl w:val="0"/>
          <w:numId w:val="12"/>
        </w:numPr>
        <w:rPr>
          <w:rFonts w:ascii="Arial" w:cs="Arial" w:eastAsia="Arial" w:hAnsi="Arial"/>
          <w:sz w:val="16"/>
          <w:szCs w:val="16"/>
          <w:color w:val="255993"/>
        </w:rPr>
      </w:pPr>
      <w:r>
        <w:rPr>
          <w:rFonts w:ascii="Arial" w:cs="Arial" w:eastAsia="Arial" w:hAnsi="Arial"/>
          <w:sz w:val="16"/>
          <w:szCs w:val="16"/>
          <w:color w:val="auto"/>
        </w:rPr>
        <w:t>no later than 5:00 p.m., Eastern time, on February 22, 2025.</w:t>
      </w:r>
    </w:p>
    <w:p>
      <w:pPr>
        <w:spacing w:after="0" w:line="154"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If we hold our 2025 annual meeting more than 25 days before or after the one-year anniversary of this year’s Annual Meeting, then such written notice must be received by our corporate secretary at our principal executive offices:</w:t>
      </w:r>
    </w:p>
    <w:p>
      <w:pPr>
        <w:spacing w:after="0" w:line="74" w:lineRule="exact"/>
        <w:rPr>
          <w:sz w:val="20"/>
          <w:szCs w:val="20"/>
          <w:color w:val="auto"/>
        </w:rPr>
      </w:pPr>
    </w:p>
    <w:p>
      <w:pPr>
        <w:ind w:left="140" w:hanging="134"/>
        <w:spacing w:after="0"/>
        <w:tabs>
          <w:tab w:leader="none" w:pos="140" w:val="left"/>
        </w:tabs>
        <w:numPr>
          <w:ilvl w:val="0"/>
          <w:numId w:val="13"/>
        </w:numPr>
        <w:rPr>
          <w:rFonts w:ascii="Arial" w:cs="Arial" w:eastAsia="Arial" w:hAnsi="Arial"/>
          <w:sz w:val="32"/>
          <w:szCs w:val="32"/>
          <w:color w:val="255993"/>
          <w:vertAlign w:val="superscript"/>
        </w:rPr>
      </w:pPr>
      <w:r>
        <w:rPr>
          <w:rFonts w:ascii="Arial" w:cs="Arial" w:eastAsia="Arial" w:hAnsi="Arial"/>
          <w:sz w:val="16"/>
          <w:szCs w:val="16"/>
          <w:color w:val="auto"/>
        </w:rPr>
        <w:t>no earlier than 8:00 a.m., Eastern time, on the 120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prior to the day of our 2025 annual meeting, and</w:t>
      </w:r>
    </w:p>
    <w:p>
      <w:pPr>
        <w:ind w:left="140" w:right="80" w:hanging="134"/>
        <w:spacing w:after="0" w:line="181" w:lineRule="auto"/>
        <w:tabs>
          <w:tab w:leader="none" w:pos="140" w:val="left"/>
        </w:tabs>
        <w:numPr>
          <w:ilvl w:val="0"/>
          <w:numId w:val="13"/>
        </w:numPr>
        <w:rPr>
          <w:rFonts w:ascii="Arial" w:cs="Arial" w:eastAsia="Arial" w:hAnsi="Arial"/>
          <w:sz w:val="30"/>
          <w:szCs w:val="30"/>
          <w:color w:val="255993"/>
          <w:vertAlign w:val="superscript"/>
        </w:rPr>
      </w:pPr>
      <w:r>
        <w:rPr>
          <w:rFonts w:ascii="Arial" w:cs="Arial" w:eastAsia="Arial" w:hAnsi="Arial"/>
          <w:sz w:val="16"/>
          <w:szCs w:val="16"/>
          <w:color w:val="auto"/>
        </w:rPr>
        <w:t>no later than 5:00 p.m., Eastern time, on the later of the 90</w:t>
      </w:r>
      <w:r>
        <w:rPr>
          <w:rFonts w:ascii="Arial" w:cs="Arial" w:eastAsia="Arial" w:hAnsi="Arial"/>
          <w:sz w:val="25"/>
          <w:szCs w:val="25"/>
          <w:color w:val="auto"/>
          <w:vertAlign w:val="superscript"/>
        </w:rPr>
        <w:t>th</w:t>
      </w:r>
      <w:r>
        <w:rPr>
          <w:rFonts w:ascii="Arial" w:cs="Arial" w:eastAsia="Arial" w:hAnsi="Arial"/>
          <w:sz w:val="16"/>
          <w:szCs w:val="16"/>
          <w:color w:val="auto"/>
        </w:rPr>
        <w:t xml:space="preserve"> day prior to the day of the 2025 annual meeting and, if the first public announcement of the date of such annual meeting is less than 100 days prior to the date of such annual meeting, the 10</w:t>
      </w:r>
      <w:r>
        <w:rPr>
          <w:rFonts w:ascii="Arial" w:cs="Arial" w:eastAsia="Arial" w:hAnsi="Arial"/>
          <w:sz w:val="25"/>
          <w:szCs w:val="25"/>
          <w:color w:val="auto"/>
          <w:vertAlign w:val="superscript"/>
        </w:rPr>
        <w:t>th</w:t>
      </w:r>
      <w:r>
        <w:rPr>
          <w:rFonts w:ascii="Arial" w:cs="Arial" w:eastAsia="Arial" w:hAnsi="Arial"/>
          <w:sz w:val="16"/>
          <w:szCs w:val="16"/>
          <w:color w:val="auto"/>
        </w:rPr>
        <w:t xml:space="preserve"> day following the day on which public announcement of the date of the annual meeting is first made by us.</w:t>
      </w:r>
    </w:p>
    <w:p>
      <w:pPr>
        <w:spacing w:after="0" w:line="111" w:lineRule="exact"/>
        <w:rPr>
          <w:sz w:val="20"/>
          <w:szCs w:val="20"/>
          <w:color w:val="auto"/>
        </w:rPr>
      </w:pPr>
    </w:p>
    <w:p>
      <w:pPr>
        <w:ind w:right="320"/>
        <w:spacing w:after="0" w:line="286" w:lineRule="auto"/>
        <w:rPr>
          <w:sz w:val="20"/>
          <w:szCs w:val="20"/>
          <w:color w:val="auto"/>
        </w:rPr>
      </w:pPr>
      <w:r>
        <w:rPr>
          <w:rFonts w:ascii="Arial" w:cs="Arial" w:eastAsia="Arial" w:hAnsi="Arial"/>
          <w:sz w:val="16"/>
          <w:szCs w:val="16"/>
          <w:color w:val="auto"/>
        </w:rPr>
        <w:t>In addition, stockholders who intend to solicit proxies in support of director nominees other than the Company’s nominees must also comply with the additional requirements of Rule 14a-19(b) of the Exchange Act.</w:t>
      </w:r>
    </w:p>
    <w:p>
      <w:pPr>
        <w:spacing w:after="0" w:line="88"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If a stockholder who has notified us of his, her or its intention to present a proposal at an annual meeting of stockholders does not appear to present his, her or its proposal at such annual meeting, then we are not required to present the proposal for a vote at such annual meeting.</w:t>
      </w:r>
    </w:p>
    <w:p>
      <w:pPr>
        <w:spacing w:after="0" w:line="176" w:lineRule="exact"/>
        <w:rPr>
          <w:sz w:val="20"/>
          <w:szCs w:val="20"/>
          <w:color w:val="auto"/>
        </w:rPr>
      </w:pPr>
    </w:p>
    <w:p>
      <w:pPr>
        <w:spacing w:after="0"/>
        <w:tabs>
          <w:tab w:leader="none" w:pos="4640" w:val="left"/>
          <w:tab w:leader="none" w:pos="7960" w:val="left"/>
        </w:tabs>
        <w:rPr>
          <w:sz w:val="20"/>
          <w:szCs w:val="20"/>
          <w:color w:val="auto"/>
        </w:rPr>
      </w:pPr>
      <w:r>
        <w:rPr>
          <w:rFonts w:ascii="Arial" w:cs="Arial" w:eastAsia="Arial" w:hAnsi="Arial"/>
          <w:sz w:val="14"/>
          <w:szCs w:val="14"/>
          <w:color w:val="255993"/>
        </w:rPr>
        <w:t>Athira Pharma, Inc.</w:t>
      </w:r>
      <w:r>
        <w:rPr>
          <w:sz w:val="20"/>
          <w:szCs w:val="20"/>
          <w:color w:val="auto"/>
        </w:rPr>
        <w:tab/>
      </w:r>
      <w:r>
        <w:rPr>
          <w:rFonts w:ascii="Arial" w:cs="Arial" w:eastAsia="Arial" w:hAnsi="Arial"/>
          <w:sz w:val="14"/>
          <w:szCs w:val="14"/>
          <w:b w:val="1"/>
          <w:bCs w:val="1"/>
          <w:color w:val="255993"/>
        </w:rPr>
        <w:t>7</w:t>
      </w:r>
      <w:r>
        <w:rPr>
          <w:sz w:val="20"/>
          <w:szCs w:val="20"/>
          <w:color w:val="auto"/>
        </w:rPr>
        <w:tab/>
      </w:r>
      <w:r>
        <w:rPr>
          <w:rFonts w:ascii="Arial" w:cs="Arial" w:eastAsia="Arial" w:hAnsi="Arial"/>
          <w:sz w:val="14"/>
          <w:szCs w:val="14"/>
          <w:color w:val="255993"/>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118110</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263" w:right="12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255993"/>
        </w:rPr>
        <w:t>For 2024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57785</wp:posOffset>
            </wp:positionV>
            <wp:extent cx="5966460" cy="12515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966460" cy="1251585"/>
                    </a:xfrm>
                    <a:prstGeom prst="rect">
                      <a:avLst/>
                    </a:prstGeom>
                    <a:noFill/>
                  </pic:spPr>
                </pic:pic>
              </a:graphicData>
            </a:graphic>
          </wp:anchor>
        </w:drawing>
      </w:r>
    </w:p>
    <w:p>
      <w:pPr>
        <w:spacing w:after="0" w:line="395" w:lineRule="exact"/>
        <w:rPr>
          <w:sz w:val="20"/>
          <w:szCs w:val="20"/>
          <w:color w:val="auto"/>
        </w:rPr>
      </w:pPr>
    </w:p>
    <w:p>
      <w:pPr>
        <w:ind w:left="1640"/>
        <w:spacing w:after="0"/>
        <w:rPr>
          <w:sz w:val="20"/>
          <w:szCs w:val="20"/>
          <w:color w:val="auto"/>
        </w:rPr>
      </w:pPr>
      <w:r>
        <w:rPr>
          <w:rFonts w:ascii="Arial" w:cs="Arial" w:eastAsia="Arial" w:hAnsi="Arial"/>
          <w:sz w:val="16"/>
          <w:szCs w:val="16"/>
          <w:color w:val="auto"/>
        </w:rPr>
        <w:t>Board Recommendation</w:t>
      </w:r>
    </w:p>
    <w:p>
      <w:pPr>
        <w:spacing w:after="0" w:line="307" w:lineRule="exact"/>
        <w:rPr>
          <w:sz w:val="20"/>
          <w:szCs w:val="20"/>
          <w:color w:val="auto"/>
        </w:rPr>
      </w:pPr>
    </w:p>
    <w:p>
      <w:pPr>
        <w:ind w:left="1640" w:right="40"/>
        <w:spacing w:after="0" w:line="251" w:lineRule="auto"/>
        <w:rPr>
          <w:sz w:val="20"/>
          <w:szCs w:val="20"/>
          <w:color w:val="auto"/>
        </w:rPr>
      </w:pPr>
      <w:r>
        <w:rPr>
          <w:rFonts w:ascii="Arial" w:cs="Arial" w:eastAsia="Arial" w:hAnsi="Arial"/>
          <w:sz w:val="14"/>
          <w:szCs w:val="14"/>
          <w:color w:val="255993"/>
        </w:rPr>
        <w:t xml:space="preserve">The Board of Directors unanimously recommends voting </w:t>
      </w:r>
      <w:r>
        <w:rPr>
          <w:rFonts w:ascii="Arial" w:cs="Arial" w:eastAsia="Arial" w:hAnsi="Arial"/>
          <w:sz w:val="14"/>
          <w:szCs w:val="14"/>
          <w:b w:val="1"/>
          <w:bCs w:val="1"/>
          <w:color w:val="255993"/>
        </w:rPr>
        <w:t>“FOR”</w:t>
      </w:r>
      <w:r>
        <w:rPr>
          <w:rFonts w:ascii="Arial" w:cs="Arial" w:eastAsia="Arial" w:hAnsi="Arial"/>
          <w:sz w:val="14"/>
          <w:szCs w:val="14"/>
          <w:color w:val="255993"/>
        </w:rPr>
        <w:t xml:space="preserve"> the election of each of the Board of Directors’ nominees on Proposal No. 1 (which nominees are Barbara Kosacz, Mark Litton, and Michael Panzara), </w:t>
      </w:r>
      <w:r>
        <w:rPr>
          <w:rFonts w:ascii="Arial" w:cs="Arial" w:eastAsia="Arial" w:hAnsi="Arial"/>
          <w:sz w:val="14"/>
          <w:szCs w:val="14"/>
          <w:b w:val="1"/>
          <w:bCs w:val="1"/>
          <w:color w:val="255993"/>
        </w:rPr>
        <w:t>“FOR”</w:t>
      </w:r>
      <w:r>
        <w:rPr>
          <w:rFonts w:ascii="Arial" w:cs="Arial" w:eastAsia="Arial" w:hAnsi="Arial"/>
          <w:sz w:val="14"/>
          <w:szCs w:val="14"/>
          <w:color w:val="255993"/>
        </w:rPr>
        <w:t xml:space="preserve"> the ratification of the</w:t>
      </w:r>
    </w:p>
    <w:p>
      <w:pPr>
        <w:spacing w:after="0" w:line="1" w:lineRule="exact"/>
        <w:rPr>
          <w:sz w:val="20"/>
          <w:szCs w:val="20"/>
          <w:color w:val="auto"/>
        </w:rPr>
      </w:pPr>
    </w:p>
    <w:p>
      <w:pPr>
        <w:ind w:left="1640" w:right="560" w:hanging="1639"/>
        <w:spacing w:after="0" w:line="180" w:lineRule="auto"/>
        <w:tabs>
          <w:tab w:leader="none" w:pos="1620" w:val="left"/>
        </w:tabs>
        <w:rPr>
          <w:sz w:val="20"/>
          <w:szCs w:val="20"/>
          <w:color w:val="auto"/>
        </w:rPr>
      </w:pPr>
      <w:r>
        <w:rPr>
          <w:rFonts w:ascii="Arial" w:cs="Arial" w:eastAsia="Arial" w:hAnsi="Arial"/>
          <w:sz w:val="30"/>
          <w:szCs w:val="30"/>
          <w:b w:val="1"/>
          <w:bCs w:val="1"/>
          <w:color w:val="auto"/>
          <w:vertAlign w:val="subscript"/>
        </w:rPr>
        <w:t> </w:t>
      </w:r>
      <w:r>
        <w:rPr>
          <w:sz w:val="20"/>
          <w:szCs w:val="20"/>
          <w:color w:val="auto"/>
        </w:rPr>
        <w:tab/>
      </w:r>
      <w:r>
        <w:rPr>
          <w:rFonts w:ascii="Arial" w:cs="Arial" w:eastAsia="Arial" w:hAnsi="Arial"/>
          <w:sz w:val="14"/>
          <w:szCs w:val="14"/>
          <w:color w:val="255993"/>
        </w:rPr>
        <w:t xml:space="preserve">appointment of Ernst &amp; Young LLP as our independent registered public accounting firm for our fiscal year ending December 31, 2024 on Proposal No. 2, and </w:t>
      </w:r>
      <w:r>
        <w:rPr>
          <w:rFonts w:ascii="Arial" w:cs="Arial" w:eastAsia="Arial" w:hAnsi="Arial"/>
          <w:sz w:val="14"/>
          <w:szCs w:val="14"/>
          <w:b w:val="1"/>
          <w:bCs w:val="1"/>
          <w:color w:val="255993"/>
        </w:rPr>
        <w:t>“FOR”</w:t>
      </w:r>
      <w:r>
        <w:rPr>
          <w:rFonts w:ascii="Arial" w:cs="Arial" w:eastAsia="Arial" w:hAnsi="Arial"/>
          <w:sz w:val="14"/>
          <w:szCs w:val="14"/>
          <w:color w:val="255993"/>
        </w:rPr>
        <w:t xml:space="preserve"> an amendment to our amended and restated certificate of incorporation to limit the liability of officers on Proposal No. 3.</w:t>
      </w:r>
    </w:p>
    <w:p>
      <w:pPr>
        <w:spacing w:after="0" w:line="200" w:lineRule="exact"/>
        <w:rPr>
          <w:sz w:val="20"/>
          <w:szCs w:val="20"/>
          <w:color w:val="auto"/>
        </w:rPr>
      </w:pPr>
    </w:p>
    <w:p>
      <w:pPr>
        <w:spacing w:after="0" w:line="325" w:lineRule="exact"/>
        <w:rPr>
          <w:sz w:val="20"/>
          <w:szCs w:val="20"/>
          <w:color w:val="auto"/>
        </w:rPr>
      </w:pPr>
    </w:p>
    <w:p>
      <w:pPr>
        <w:spacing w:after="0"/>
        <w:tabs>
          <w:tab w:leader="none" w:pos="4640" w:val="left"/>
          <w:tab w:leader="none" w:pos="7960" w:val="left"/>
        </w:tabs>
        <w:rPr>
          <w:sz w:val="20"/>
          <w:szCs w:val="20"/>
          <w:color w:val="auto"/>
        </w:rPr>
      </w:pPr>
      <w:r>
        <w:rPr>
          <w:rFonts w:ascii="Arial" w:cs="Arial" w:eastAsia="Arial" w:hAnsi="Arial"/>
          <w:sz w:val="14"/>
          <w:szCs w:val="14"/>
          <w:color w:val="255993"/>
        </w:rPr>
        <w:t>Athira Pharma, Inc.</w:t>
      </w:r>
      <w:r>
        <w:rPr>
          <w:sz w:val="20"/>
          <w:szCs w:val="20"/>
          <w:color w:val="auto"/>
        </w:rPr>
        <w:tab/>
      </w:r>
      <w:r>
        <w:rPr>
          <w:rFonts w:ascii="Arial" w:cs="Arial" w:eastAsia="Arial" w:hAnsi="Arial"/>
          <w:sz w:val="14"/>
          <w:szCs w:val="14"/>
          <w:b w:val="1"/>
          <w:bCs w:val="1"/>
          <w:color w:val="255993"/>
        </w:rPr>
        <w:t>8</w:t>
      </w:r>
      <w:r>
        <w:rPr>
          <w:sz w:val="20"/>
          <w:szCs w:val="20"/>
          <w:color w:val="auto"/>
        </w:rPr>
        <w:tab/>
      </w:r>
      <w:r>
        <w:rPr>
          <w:rFonts w:ascii="Arial" w:cs="Arial" w:eastAsia="Arial" w:hAnsi="Arial"/>
          <w:sz w:val="14"/>
          <w:szCs w:val="14"/>
          <w:color w:val="255993"/>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118110</wp:posOffset>
            </wp:positionV>
            <wp:extent cx="69951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263" w:right="12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38" w:lineRule="exact"/>
        <w:rPr>
          <w:sz w:val="20"/>
          <w:szCs w:val="20"/>
          <w:color w:val="auto"/>
        </w:rPr>
      </w:pPr>
    </w:p>
    <w:p>
      <w:pPr>
        <w:spacing w:after="0"/>
        <w:rPr>
          <w:sz w:val="20"/>
          <w:szCs w:val="20"/>
          <w:color w:val="auto"/>
        </w:rPr>
      </w:pPr>
      <w:r>
        <w:rPr>
          <w:rFonts w:ascii="Arial" w:cs="Arial" w:eastAsia="Arial" w:hAnsi="Arial"/>
          <w:sz w:val="58"/>
          <w:szCs w:val="58"/>
          <w:color w:val="255993"/>
        </w:rPr>
        <w:t>Board of Directors and</w:t>
      </w:r>
    </w:p>
    <w:p>
      <w:pPr>
        <w:spacing w:after="0" w:line="53" w:lineRule="exact"/>
        <w:rPr>
          <w:sz w:val="20"/>
          <w:szCs w:val="20"/>
          <w:color w:val="auto"/>
        </w:rPr>
      </w:pPr>
    </w:p>
    <w:p>
      <w:pPr>
        <w:spacing w:after="0"/>
        <w:rPr>
          <w:sz w:val="20"/>
          <w:szCs w:val="20"/>
          <w:color w:val="auto"/>
        </w:rPr>
      </w:pPr>
      <w:r>
        <w:rPr>
          <w:rFonts w:ascii="Arial" w:cs="Arial" w:eastAsia="Arial" w:hAnsi="Arial"/>
          <w:sz w:val="58"/>
          <w:szCs w:val="58"/>
          <w:color w:val="255993"/>
        </w:rPr>
        <w:t>Corporate Governance</w:t>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COMPOSITION OF THE BOARD OF DIRECTORS</w:t>
      </w:r>
    </w:p>
    <w:p>
      <w:pPr>
        <w:spacing w:after="0" w:line="149"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Our board of directors currently consists of eight directors, seven of whom are independent under the listing standards of The Nasdaq Stock Market LLC, or Nasdaq. Our board of directors is divided into three classes with staggered three-year terms. Thus, at each annual meeting of stockholders, a class of directors will be elected for a three-year term to succeed the class whose term is then expiring.</w:t>
      </w:r>
    </w:p>
    <w:p>
      <w:pPr>
        <w:spacing w:after="0" w:line="97"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auto"/>
        </w:rPr>
        <w:t>The following table sets forth the names, ages as of March 26, 2024, and certain other information for each of our directors and director nominees: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337"/>
        </w:trPr>
        <w:tc>
          <w:tcPr>
            <w:tcW w:w="2440" w:type="dxa"/>
            <w:vAlign w:val="bottom"/>
            <w:shd w:val="clear" w:color="auto" w:fill="255993"/>
          </w:tcPr>
          <w:p>
            <w:pPr>
              <w:spacing w:after="0"/>
              <w:rPr>
                <w:sz w:val="24"/>
                <w:szCs w:val="24"/>
                <w:color w:val="auto"/>
              </w:rPr>
            </w:pPr>
          </w:p>
        </w:tc>
        <w:tc>
          <w:tcPr>
            <w:tcW w:w="900" w:type="dxa"/>
            <w:vAlign w:val="bottom"/>
            <w:shd w:val="clear" w:color="auto" w:fill="255993"/>
          </w:tcPr>
          <w:p>
            <w:pPr>
              <w:spacing w:after="0"/>
              <w:rPr>
                <w:sz w:val="24"/>
                <w:szCs w:val="24"/>
                <w:color w:val="auto"/>
              </w:rPr>
            </w:pPr>
          </w:p>
        </w:tc>
        <w:tc>
          <w:tcPr>
            <w:tcW w:w="760" w:type="dxa"/>
            <w:vAlign w:val="bottom"/>
            <w:shd w:val="clear" w:color="auto" w:fill="255993"/>
          </w:tcPr>
          <w:p>
            <w:pPr>
              <w:spacing w:after="0"/>
              <w:rPr>
                <w:sz w:val="24"/>
                <w:szCs w:val="24"/>
                <w:color w:val="auto"/>
              </w:rPr>
            </w:pPr>
          </w:p>
        </w:tc>
        <w:tc>
          <w:tcPr>
            <w:tcW w:w="2080" w:type="dxa"/>
            <w:vAlign w:val="bottom"/>
            <w:shd w:val="clear" w:color="auto" w:fill="255993"/>
          </w:tcPr>
          <w:p>
            <w:pPr>
              <w:spacing w:after="0"/>
              <w:rPr>
                <w:sz w:val="24"/>
                <w:szCs w:val="24"/>
                <w:color w:val="auto"/>
              </w:rPr>
            </w:pPr>
          </w:p>
        </w:tc>
        <w:tc>
          <w:tcPr>
            <w:tcW w:w="940" w:type="dxa"/>
            <w:vAlign w:val="bottom"/>
            <w:shd w:val="clear" w:color="auto" w:fill="255993"/>
          </w:tcPr>
          <w:p>
            <w:pPr>
              <w:spacing w:after="0"/>
              <w:rPr>
                <w:sz w:val="24"/>
                <w:szCs w:val="24"/>
                <w:color w:val="auto"/>
              </w:rPr>
            </w:pPr>
          </w:p>
        </w:tc>
        <w:tc>
          <w:tcPr>
            <w:tcW w:w="1020" w:type="dxa"/>
            <w:vAlign w:val="bottom"/>
            <w:shd w:val="clear" w:color="auto" w:fill="255993"/>
          </w:tcPr>
          <w:p>
            <w:pPr>
              <w:spacing w:after="0"/>
              <w:rPr>
                <w:sz w:val="24"/>
                <w:szCs w:val="24"/>
                <w:color w:val="auto"/>
              </w:rPr>
            </w:pPr>
          </w:p>
        </w:tc>
        <w:tc>
          <w:tcPr>
            <w:tcW w:w="1260" w:type="dxa"/>
            <w:vAlign w:val="bottom"/>
            <w:shd w:val="clear" w:color="auto" w:fill="255993"/>
          </w:tcPr>
          <w:p>
            <w:pPr>
              <w:jc w:val="center"/>
              <w:spacing w:after="0"/>
              <w:rPr>
                <w:sz w:val="20"/>
                <w:szCs w:val="20"/>
                <w:color w:val="auto"/>
              </w:rPr>
            </w:pPr>
            <w:r>
              <w:rPr>
                <w:rFonts w:ascii="Arial" w:cs="Arial" w:eastAsia="Arial" w:hAnsi="Arial"/>
                <w:sz w:val="16"/>
                <w:szCs w:val="16"/>
                <w:b w:val="1"/>
                <w:bCs w:val="1"/>
                <w:color w:val="FFFFFF"/>
              </w:rPr>
              <w:t>Expiration</w:t>
            </w:r>
          </w:p>
        </w:tc>
        <w:tc>
          <w:tcPr>
            <w:tcW w:w="0" w:type="dxa"/>
            <w:vAlign w:val="bottom"/>
          </w:tcPr>
          <w:p>
            <w:pPr>
              <w:spacing w:after="0"/>
              <w:rPr>
                <w:sz w:val="1"/>
                <w:szCs w:val="1"/>
                <w:color w:val="auto"/>
              </w:rPr>
            </w:pPr>
          </w:p>
        </w:tc>
      </w:tr>
      <w:tr>
        <w:trPr>
          <w:trHeight w:val="189"/>
        </w:trPr>
        <w:tc>
          <w:tcPr>
            <w:tcW w:w="2440" w:type="dxa"/>
            <w:vAlign w:val="bottom"/>
            <w:shd w:val="clear" w:color="auto" w:fill="255993"/>
          </w:tcPr>
          <w:p>
            <w:pPr>
              <w:spacing w:after="0"/>
              <w:rPr>
                <w:sz w:val="16"/>
                <w:szCs w:val="16"/>
                <w:color w:val="auto"/>
              </w:rPr>
            </w:pPr>
          </w:p>
        </w:tc>
        <w:tc>
          <w:tcPr>
            <w:tcW w:w="900" w:type="dxa"/>
            <w:vAlign w:val="bottom"/>
            <w:shd w:val="clear" w:color="auto" w:fill="255993"/>
          </w:tcPr>
          <w:p>
            <w:pPr>
              <w:spacing w:after="0"/>
              <w:rPr>
                <w:sz w:val="16"/>
                <w:szCs w:val="16"/>
                <w:color w:val="auto"/>
              </w:rPr>
            </w:pPr>
          </w:p>
        </w:tc>
        <w:tc>
          <w:tcPr>
            <w:tcW w:w="760" w:type="dxa"/>
            <w:vAlign w:val="bottom"/>
            <w:shd w:val="clear" w:color="auto" w:fill="255993"/>
          </w:tcPr>
          <w:p>
            <w:pPr>
              <w:spacing w:after="0"/>
              <w:rPr>
                <w:sz w:val="16"/>
                <w:szCs w:val="16"/>
                <w:color w:val="auto"/>
              </w:rPr>
            </w:pPr>
          </w:p>
        </w:tc>
        <w:tc>
          <w:tcPr>
            <w:tcW w:w="2080" w:type="dxa"/>
            <w:vAlign w:val="bottom"/>
            <w:shd w:val="clear" w:color="auto" w:fill="255993"/>
          </w:tcPr>
          <w:p>
            <w:pPr>
              <w:spacing w:after="0"/>
              <w:rPr>
                <w:sz w:val="16"/>
                <w:szCs w:val="16"/>
                <w:color w:val="auto"/>
              </w:rPr>
            </w:pPr>
          </w:p>
        </w:tc>
        <w:tc>
          <w:tcPr>
            <w:tcW w:w="940" w:type="dxa"/>
            <w:vAlign w:val="bottom"/>
            <w:shd w:val="clear" w:color="auto" w:fill="255993"/>
          </w:tcPr>
          <w:p>
            <w:pPr>
              <w:spacing w:after="0"/>
              <w:rPr>
                <w:sz w:val="16"/>
                <w:szCs w:val="16"/>
                <w:color w:val="auto"/>
              </w:rPr>
            </w:pPr>
          </w:p>
        </w:tc>
        <w:tc>
          <w:tcPr>
            <w:tcW w:w="1020" w:type="dxa"/>
            <w:vAlign w:val="bottom"/>
            <w:shd w:val="clear" w:color="auto" w:fill="255993"/>
          </w:tcPr>
          <w:p>
            <w:pPr>
              <w:jc w:val="center"/>
              <w:ind w:right="46"/>
              <w:spacing w:after="0"/>
              <w:rPr>
                <w:sz w:val="20"/>
                <w:szCs w:val="20"/>
                <w:color w:val="auto"/>
              </w:rPr>
            </w:pPr>
            <w:r>
              <w:rPr>
                <w:rFonts w:ascii="Arial" w:cs="Arial" w:eastAsia="Arial" w:hAnsi="Arial"/>
                <w:sz w:val="16"/>
                <w:szCs w:val="16"/>
                <w:b w:val="1"/>
                <w:bCs w:val="1"/>
                <w:color w:val="FFFFFF"/>
              </w:rPr>
              <w:t>Current</w:t>
            </w:r>
          </w:p>
        </w:tc>
        <w:tc>
          <w:tcPr>
            <w:tcW w:w="1260" w:type="dxa"/>
            <w:vAlign w:val="bottom"/>
            <w:shd w:val="clear" w:color="auto" w:fill="255993"/>
          </w:tcPr>
          <w:p>
            <w:pPr>
              <w:jc w:val="center"/>
              <w:spacing w:after="0"/>
              <w:rPr>
                <w:sz w:val="20"/>
                <w:szCs w:val="20"/>
                <w:color w:val="auto"/>
              </w:rPr>
            </w:pPr>
            <w:r>
              <w:rPr>
                <w:rFonts w:ascii="Arial" w:cs="Arial" w:eastAsia="Arial" w:hAnsi="Arial"/>
                <w:sz w:val="16"/>
                <w:szCs w:val="16"/>
                <w:b w:val="1"/>
                <w:bCs w:val="1"/>
                <w:color w:val="FFFFFF"/>
              </w:rPr>
              <w:t>of Term</w:t>
            </w:r>
          </w:p>
        </w:tc>
        <w:tc>
          <w:tcPr>
            <w:tcW w:w="0" w:type="dxa"/>
            <w:vAlign w:val="bottom"/>
          </w:tcPr>
          <w:p>
            <w:pPr>
              <w:spacing w:after="0"/>
              <w:rPr>
                <w:sz w:val="1"/>
                <w:szCs w:val="1"/>
                <w:color w:val="auto"/>
              </w:rPr>
            </w:pPr>
          </w:p>
        </w:tc>
      </w:tr>
      <w:tr>
        <w:trPr>
          <w:trHeight w:val="189"/>
        </w:trPr>
        <w:tc>
          <w:tcPr>
            <w:tcW w:w="2440" w:type="dxa"/>
            <w:vAlign w:val="bottom"/>
            <w:shd w:val="clear" w:color="auto" w:fill="255993"/>
          </w:tcPr>
          <w:p>
            <w:pPr>
              <w:spacing w:after="0"/>
              <w:rPr>
                <w:sz w:val="16"/>
                <w:szCs w:val="16"/>
                <w:color w:val="auto"/>
              </w:rPr>
            </w:pPr>
          </w:p>
        </w:tc>
        <w:tc>
          <w:tcPr>
            <w:tcW w:w="900" w:type="dxa"/>
            <w:vAlign w:val="bottom"/>
            <w:shd w:val="clear" w:color="auto" w:fill="255993"/>
          </w:tcPr>
          <w:p>
            <w:pPr>
              <w:spacing w:after="0"/>
              <w:rPr>
                <w:sz w:val="16"/>
                <w:szCs w:val="16"/>
                <w:color w:val="auto"/>
              </w:rPr>
            </w:pPr>
          </w:p>
        </w:tc>
        <w:tc>
          <w:tcPr>
            <w:tcW w:w="760" w:type="dxa"/>
            <w:vAlign w:val="bottom"/>
            <w:shd w:val="clear" w:color="auto" w:fill="255993"/>
          </w:tcPr>
          <w:p>
            <w:pPr>
              <w:spacing w:after="0"/>
              <w:rPr>
                <w:sz w:val="16"/>
                <w:szCs w:val="16"/>
                <w:color w:val="auto"/>
              </w:rPr>
            </w:pPr>
          </w:p>
        </w:tc>
        <w:tc>
          <w:tcPr>
            <w:tcW w:w="2080" w:type="dxa"/>
            <w:vAlign w:val="bottom"/>
            <w:shd w:val="clear" w:color="auto" w:fill="255993"/>
          </w:tcPr>
          <w:p>
            <w:pPr>
              <w:spacing w:after="0"/>
              <w:rPr>
                <w:sz w:val="16"/>
                <w:szCs w:val="16"/>
                <w:color w:val="auto"/>
              </w:rPr>
            </w:pPr>
          </w:p>
        </w:tc>
        <w:tc>
          <w:tcPr>
            <w:tcW w:w="940" w:type="dxa"/>
            <w:vAlign w:val="bottom"/>
            <w:shd w:val="clear" w:color="auto" w:fill="255993"/>
          </w:tcPr>
          <w:p>
            <w:pPr>
              <w:jc w:val="center"/>
              <w:spacing w:after="0"/>
              <w:rPr>
                <w:sz w:val="20"/>
                <w:szCs w:val="20"/>
                <w:color w:val="auto"/>
              </w:rPr>
            </w:pPr>
            <w:r>
              <w:rPr>
                <w:rFonts w:ascii="Arial" w:cs="Arial" w:eastAsia="Arial" w:hAnsi="Arial"/>
                <w:sz w:val="16"/>
                <w:szCs w:val="16"/>
                <w:b w:val="1"/>
                <w:bCs w:val="1"/>
                <w:color w:val="FFFFFF"/>
              </w:rPr>
              <w:t>Director</w:t>
            </w:r>
          </w:p>
        </w:tc>
        <w:tc>
          <w:tcPr>
            <w:tcW w:w="1020" w:type="dxa"/>
            <w:vAlign w:val="bottom"/>
            <w:shd w:val="clear" w:color="auto" w:fill="255993"/>
          </w:tcPr>
          <w:p>
            <w:pPr>
              <w:jc w:val="center"/>
              <w:ind w:right="46"/>
              <w:spacing w:after="0"/>
              <w:rPr>
                <w:sz w:val="20"/>
                <w:szCs w:val="20"/>
                <w:color w:val="auto"/>
              </w:rPr>
            </w:pPr>
            <w:r>
              <w:rPr>
                <w:rFonts w:ascii="Arial" w:cs="Arial" w:eastAsia="Arial" w:hAnsi="Arial"/>
                <w:sz w:val="16"/>
                <w:szCs w:val="16"/>
                <w:b w:val="1"/>
                <w:bCs w:val="1"/>
                <w:color w:val="FFFFFF"/>
                <w:w w:val="97"/>
              </w:rPr>
              <w:t>Term</w:t>
            </w:r>
          </w:p>
        </w:tc>
        <w:tc>
          <w:tcPr>
            <w:tcW w:w="1260" w:type="dxa"/>
            <w:vAlign w:val="bottom"/>
            <w:shd w:val="clear" w:color="auto" w:fill="255993"/>
          </w:tcPr>
          <w:p>
            <w:pPr>
              <w:jc w:val="center"/>
              <w:spacing w:after="0"/>
              <w:rPr>
                <w:sz w:val="20"/>
                <w:szCs w:val="20"/>
                <w:color w:val="auto"/>
              </w:rPr>
            </w:pPr>
            <w:r>
              <w:rPr>
                <w:rFonts w:ascii="Arial" w:cs="Arial" w:eastAsia="Arial" w:hAnsi="Arial"/>
                <w:sz w:val="16"/>
                <w:szCs w:val="16"/>
                <w:b w:val="1"/>
                <w:bCs w:val="1"/>
                <w:color w:val="FFFFFF"/>
              </w:rPr>
              <w:t>for Which</w:t>
            </w:r>
          </w:p>
        </w:tc>
        <w:tc>
          <w:tcPr>
            <w:tcW w:w="0" w:type="dxa"/>
            <w:vAlign w:val="bottom"/>
          </w:tcPr>
          <w:p>
            <w:pPr>
              <w:spacing w:after="0"/>
              <w:rPr>
                <w:sz w:val="1"/>
                <w:szCs w:val="1"/>
                <w:color w:val="auto"/>
              </w:rPr>
            </w:pPr>
          </w:p>
        </w:tc>
      </w:tr>
      <w:tr>
        <w:trPr>
          <w:trHeight w:val="223"/>
        </w:trPr>
        <w:tc>
          <w:tcPr>
            <w:tcW w:w="2440" w:type="dxa"/>
            <w:vAlign w:val="bottom"/>
            <w:shd w:val="clear" w:color="auto" w:fill="255993"/>
          </w:tcPr>
          <w:p>
            <w:pPr>
              <w:ind w:left="80"/>
              <w:spacing w:after="0"/>
              <w:rPr>
                <w:sz w:val="20"/>
                <w:szCs w:val="20"/>
                <w:color w:val="auto"/>
              </w:rPr>
            </w:pPr>
            <w:r>
              <w:rPr>
                <w:rFonts w:ascii="Arial" w:cs="Arial" w:eastAsia="Arial" w:hAnsi="Arial"/>
                <w:sz w:val="16"/>
                <w:szCs w:val="16"/>
                <w:b w:val="1"/>
                <w:bCs w:val="1"/>
                <w:color w:val="FFFFFF"/>
              </w:rPr>
              <w:t>Name</w:t>
            </w:r>
          </w:p>
        </w:tc>
        <w:tc>
          <w:tcPr>
            <w:tcW w:w="900" w:type="dxa"/>
            <w:vAlign w:val="bottom"/>
            <w:shd w:val="clear" w:color="auto" w:fill="255993"/>
          </w:tcPr>
          <w:p>
            <w:pPr>
              <w:jc w:val="center"/>
              <w:spacing w:after="0"/>
              <w:rPr>
                <w:sz w:val="20"/>
                <w:szCs w:val="20"/>
                <w:color w:val="auto"/>
              </w:rPr>
            </w:pPr>
            <w:r>
              <w:rPr>
                <w:rFonts w:ascii="Arial" w:cs="Arial" w:eastAsia="Arial" w:hAnsi="Arial"/>
                <w:sz w:val="16"/>
                <w:szCs w:val="16"/>
                <w:b w:val="1"/>
                <w:bCs w:val="1"/>
                <w:color w:val="FFFFFF"/>
              </w:rPr>
              <w:t>Class</w:t>
            </w:r>
          </w:p>
        </w:tc>
        <w:tc>
          <w:tcPr>
            <w:tcW w:w="760" w:type="dxa"/>
            <w:vAlign w:val="bottom"/>
            <w:shd w:val="clear" w:color="auto" w:fill="255993"/>
          </w:tcPr>
          <w:p>
            <w:pPr>
              <w:jc w:val="center"/>
              <w:spacing w:after="0"/>
              <w:rPr>
                <w:sz w:val="20"/>
                <w:szCs w:val="20"/>
                <w:color w:val="auto"/>
              </w:rPr>
            </w:pPr>
            <w:r>
              <w:rPr>
                <w:rFonts w:ascii="Arial" w:cs="Arial" w:eastAsia="Arial" w:hAnsi="Arial"/>
                <w:sz w:val="16"/>
                <w:szCs w:val="16"/>
                <w:b w:val="1"/>
                <w:bCs w:val="1"/>
                <w:color w:val="FFFFFF"/>
              </w:rPr>
              <w:t>Age</w:t>
            </w:r>
          </w:p>
        </w:tc>
        <w:tc>
          <w:tcPr>
            <w:tcW w:w="2080" w:type="dxa"/>
            <w:vAlign w:val="bottom"/>
            <w:shd w:val="clear" w:color="auto" w:fill="255993"/>
          </w:tcPr>
          <w:p>
            <w:pPr>
              <w:ind w:left="220"/>
              <w:spacing w:after="0"/>
              <w:rPr>
                <w:sz w:val="20"/>
                <w:szCs w:val="20"/>
                <w:color w:val="auto"/>
              </w:rPr>
            </w:pPr>
            <w:r>
              <w:rPr>
                <w:rFonts w:ascii="Arial" w:cs="Arial" w:eastAsia="Arial" w:hAnsi="Arial"/>
                <w:sz w:val="16"/>
                <w:szCs w:val="16"/>
                <w:b w:val="1"/>
                <w:bCs w:val="1"/>
                <w:color w:val="FFFFFF"/>
              </w:rPr>
              <w:t>Position</w:t>
            </w:r>
          </w:p>
        </w:tc>
        <w:tc>
          <w:tcPr>
            <w:tcW w:w="940" w:type="dxa"/>
            <w:vAlign w:val="bottom"/>
            <w:shd w:val="clear" w:color="auto" w:fill="255993"/>
          </w:tcPr>
          <w:p>
            <w:pPr>
              <w:jc w:val="center"/>
              <w:spacing w:after="0"/>
              <w:rPr>
                <w:sz w:val="20"/>
                <w:szCs w:val="20"/>
                <w:color w:val="auto"/>
              </w:rPr>
            </w:pPr>
            <w:r>
              <w:rPr>
                <w:rFonts w:ascii="Arial" w:cs="Arial" w:eastAsia="Arial" w:hAnsi="Arial"/>
                <w:sz w:val="16"/>
                <w:szCs w:val="16"/>
                <w:b w:val="1"/>
                <w:bCs w:val="1"/>
                <w:color w:val="FFFFFF"/>
              </w:rPr>
              <w:t>Since</w:t>
            </w:r>
          </w:p>
        </w:tc>
        <w:tc>
          <w:tcPr>
            <w:tcW w:w="1020" w:type="dxa"/>
            <w:vAlign w:val="bottom"/>
            <w:shd w:val="clear" w:color="auto" w:fill="255993"/>
          </w:tcPr>
          <w:p>
            <w:pPr>
              <w:jc w:val="center"/>
              <w:spacing w:after="0"/>
              <w:rPr>
                <w:sz w:val="20"/>
                <w:szCs w:val="20"/>
                <w:color w:val="auto"/>
              </w:rPr>
            </w:pPr>
            <w:r>
              <w:rPr>
                <w:rFonts w:ascii="Arial" w:cs="Arial" w:eastAsia="Arial" w:hAnsi="Arial"/>
                <w:sz w:val="16"/>
                <w:szCs w:val="16"/>
                <w:b w:val="1"/>
                <w:bCs w:val="1"/>
                <w:color w:val="FFFFFF"/>
              </w:rPr>
              <w:t>Expires</w:t>
            </w:r>
          </w:p>
        </w:tc>
        <w:tc>
          <w:tcPr>
            <w:tcW w:w="1260" w:type="dxa"/>
            <w:vAlign w:val="bottom"/>
            <w:shd w:val="clear" w:color="auto" w:fill="255993"/>
          </w:tcPr>
          <w:p>
            <w:pPr>
              <w:jc w:val="center"/>
              <w:ind w:left="25"/>
              <w:spacing w:after="0"/>
              <w:rPr>
                <w:sz w:val="20"/>
                <w:szCs w:val="20"/>
                <w:color w:val="auto"/>
              </w:rPr>
            </w:pPr>
            <w:r>
              <w:rPr>
                <w:rFonts w:ascii="Arial" w:cs="Arial" w:eastAsia="Arial" w:hAnsi="Arial"/>
                <w:sz w:val="16"/>
                <w:szCs w:val="16"/>
                <w:b w:val="1"/>
                <w:bCs w:val="1"/>
                <w:color w:val="FFFFFF"/>
              </w:rPr>
              <w:t>Nominated</w:t>
            </w:r>
          </w:p>
        </w:tc>
        <w:tc>
          <w:tcPr>
            <w:tcW w:w="0" w:type="dxa"/>
            <w:vAlign w:val="bottom"/>
          </w:tcPr>
          <w:p>
            <w:pPr>
              <w:spacing w:after="0"/>
              <w:rPr>
                <w:sz w:val="1"/>
                <w:szCs w:val="1"/>
                <w:color w:val="auto"/>
              </w:rPr>
            </w:pPr>
          </w:p>
        </w:tc>
      </w:tr>
      <w:tr>
        <w:trPr>
          <w:trHeight w:val="224"/>
        </w:trPr>
        <w:tc>
          <w:tcPr>
            <w:tcW w:w="2440" w:type="dxa"/>
            <w:vAlign w:val="bottom"/>
            <w:shd w:val="clear" w:color="auto" w:fill="255993"/>
          </w:tcPr>
          <w:p>
            <w:pPr>
              <w:spacing w:after="0"/>
              <w:rPr>
                <w:sz w:val="19"/>
                <w:szCs w:val="19"/>
                <w:color w:val="auto"/>
              </w:rPr>
            </w:pPr>
          </w:p>
        </w:tc>
        <w:tc>
          <w:tcPr>
            <w:tcW w:w="900" w:type="dxa"/>
            <w:vAlign w:val="bottom"/>
            <w:shd w:val="clear" w:color="auto" w:fill="255993"/>
          </w:tcPr>
          <w:p>
            <w:pPr>
              <w:spacing w:after="0"/>
              <w:rPr>
                <w:sz w:val="19"/>
                <w:szCs w:val="19"/>
                <w:color w:val="auto"/>
              </w:rPr>
            </w:pPr>
          </w:p>
        </w:tc>
        <w:tc>
          <w:tcPr>
            <w:tcW w:w="760" w:type="dxa"/>
            <w:vAlign w:val="bottom"/>
            <w:shd w:val="clear" w:color="auto" w:fill="255993"/>
          </w:tcPr>
          <w:p>
            <w:pPr>
              <w:spacing w:after="0"/>
              <w:rPr>
                <w:sz w:val="19"/>
                <w:szCs w:val="19"/>
                <w:color w:val="auto"/>
              </w:rPr>
            </w:pPr>
          </w:p>
        </w:tc>
        <w:tc>
          <w:tcPr>
            <w:tcW w:w="2080" w:type="dxa"/>
            <w:vAlign w:val="bottom"/>
            <w:shd w:val="clear" w:color="auto" w:fill="255993"/>
          </w:tcPr>
          <w:p>
            <w:pPr>
              <w:spacing w:after="0"/>
              <w:rPr>
                <w:sz w:val="19"/>
                <w:szCs w:val="19"/>
                <w:color w:val="auto"/>
              </w:rPr>
            </w:pPr>
          </w:p>
        </w:tc>
        <w:tc>
          <w:tcPr>
            <w:tcW w:w="940" w:type="dxa"/>
            <w:vAlign w:val="bottom"/>
            <w:shd w:val="clear" w:color="auto" w:fill="255993"/>
          </w:tcPr>
          <w:p>
            <w:pPr>
              <w:spacing w:after="0"/>
              <w:rPr>
                <w:sz w:val="19"/>
                <w:szCs w:val="19"/>
                <w:color w:val="auto"/>
              </w:rPr>
            </w:pPr>
          </w:p>
        </w:tc>
        <w:tc>
          <w:tcPr>
            <w:tcW w:w="1020" w:type="dxa"/>
            <w:vAlign w:val="bottom"/>
            <w:shd w:val="clear" w:color="auto" w:fill="255993"/>
          </w:tcPr>
          <w:p>
            <w:pPr>
              <w:spacing w:after="0"/>
              <w:rPr>
                <w:sz w:val="19"/>
                <w:szCs w:val="19"/>
                <w:color w:val="auto"/>
              </w:rPr>
            </w:pPr>
          </w:p>
        </w:tc>
        <w:tc>
          <w:tcPr>
            <w:tcW w:w="1260" w:type="dxa"/>
            <w:vAlign w:val="bottom"/>
            <w:shd w:val="clear" w:color="auto" w:fill="255993"/>
          </w:tcPr>
          <w:p>
            <w:pPr>
              <w:spacing w:after="0"/>
              <w:rPr>
                <w:sz w:val="19"/>
                <w:szCs w:val="19"/>
                <w:color w:val="auto"/>
              </w:rPr>
            </w:pPr>
          </w:p>
        </w:tc>
        <w:tc>
          <w:tcPr>
            <w:tcW w:w="0" w:type="dxa"/>
            <w:vAlign w:val="bottom"/>
          </w:tcPr>
          <w:p>
            <w:pPr>
              <w:spacing w:after="0"/>
              <w:rPr>
                <w:sz w:val="1"/>
                <w:szCs w:val="1"/>
                <w:color w:val="auto"/>
              </w:rPr>
            </w:pPr>
          </w:p>
        </w:tc>
      </w:tr>
      <w:tr>
        <w:trPr>
          <w:trHeight w:val="430"/>
        </w:trPr>
        <w:tc>
          <w:tcPr>
            <w:tcW w:w="2440" w:type="dxa"/>
            <w:vAlign w:val="bottom"/>
            <w:shd w:val="clear" w:color="auto" w:fill="F8991D"/>
          </w:tcPr>
          <w:p>
            <w:pPr>
              <w:ind w:left="80"/>
              <w:spacing w:after="0"/>
              <w:rPr>
                <w:sz w:val="20"/>
                <w:szCs w:val="20"/>
                <w:color w:val="auto"/>
              </w:rPr>
            </w:pPr>
            <w:r>
              <w:rPr>
                <w:rFonts w:ascii="Arial" w:cs="Arial" w:eastAsia="Arial" w:hAnsi="Arial"/>
                <w:sz w:val="14"/>
                <w:szCs w:val="14"/>
                <w:b w:val="1"/>
                <w:bCs w:val="1"/>
                <w:color w:val="FFFFFF"/>
              </w:rPr>
              <w:t>NOMINEES FOR DIRECTOR</w:t>
            </w:r>
          </w:p>
        </w:tc>
        <w:tc>
          <w:tcPr>
            <w:tcW w:w="900" w:type="dxa"/>
            <w:vAlign w:val="bottom"/>
            <w:shd w:val="clear" w:color="auto" w:fill="F8991D"/>
          </w:tcPr>
          <w:p>
            <w:pPr>
              <w:spacing w:after="0"/>
              <w:rPr>
                <w:sz w:val="24"/>
                <w:szCs w:val="24"/>
                <w:color w:val="auto"/>
              </w:rPr>
            </w:pPr>
          </w:p>
        </w:tc>
        <w:tc>
          <w:tcPr>
            <w:tcW w:w="760" w:type="dxa"/>
            <w:vAlign w:val="bottom"/>
            <w:shd w:val="clear" w:color="auto" w:fill="F8991D"/>
          </w:tcPr>
          <w:p>
            <w:pPr>
              <w:spacing w:after="0"/>
              <w:rPr>
                <w:sz w:val="24"/>
                <w:szCs w:val="24"/>
                <w:color w:val="auto"/>
              </w:rPr>
            </w:pPr>
          </w:p>
        </w:tc>
        <w:tc>
          <w:tcPr>
            <w:tcW w:w="2080" w:type="dxa"/>
            <w:vAlign w:val="bottom"/>
            <w:shd w:val="clear" w:color="auto" w:fill="F8991D"/>
          </w:tcPr>
          <w:p>
            <w:pPr>
              <w:spacing w:after="0"/>
              <w:rPr>
                <w:sz w:val="24"/>
                <w:szCs w:val="24"/>
                <w:color w:val="auto"/>
              </w:rPr>
            </w:pPr>
          </w:p>
        </w:tc>
        <w:tc>
          <w:tcPr>
            <w:tcW w:w="940" w:type="dxa"/>
            <w:vAlign w:val="bottom"/>
            <w:shd w:val="clear" w:color="auto" w:fill="F8991D"/>
          </w:tcPr>
          <w:p>
            <w:pPr>
              <w:spacing w:after="0"/>
              <w:rPr>
                <w:sz w:val="24"/>
                <w:szCs w:val="24"/>
                <w:color w:val="auto"/>
              </w:rPr>
            </w:pPr>
          </w:p>
        </w:tc>
        <w:tc>
          <w:tcPr>
            <w:tcW w:w="1020" w:type="dxa"/>
            <w:vAlign w:val="bottom"/>
            <w:shd w:val="clear" w:color="auto" w:fill="F8991D"/>
          </w:tcPr>
          <w:p>
            <w:pPr>
              <w:spacing w:after="0"/>
              <w:rPr>
                <w:sz w:val="24"/>
                <w:szCs w:val="24"/>
                <w:color w:val="auto"/>
              </w:rPr>
            </w:pPr>
          </w:p>
        </w:tc>
        <w:tc>
          <w:tcPr>
            <w:tcW w:w="1260" w:type="dxa"/>
            <w:vAlign w:val="bottom"/>
            <w:shd w:val="clear" w:color="auto" w:fill="F8991D"/>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440" w:type="dxa"/>
            <w:vAlign w:val="bottom"/>
            <w:shd w:val="clear" w:color="auto" w:fill="F8991D"/>
          </w:tcPr>
          <w:p>
            <w:pPr>
              <w:spacing w:after="0"/>
              <w:rPr>
                <w:sz w:val="18"/>
                <w:szCs w:val="18"/>
                <w:color w:val="auto"/>
              </w:rPr>
            </w:pPr>
          </w:p>
        </w:tc>
        <w:tc>
          <w:tcPr>
            <w:tcW w:w="900" w:type="dxa"/>
            <w:vAlign w:val="bottom"/>
            <w:shd w:val="clear" w:color="auto" w:fill="F8991D"/>
          </w:tcPr>
          <w:p>
            <w:pPr>
              <w:spacing w:after="0"/>
              <w:rPr>
                <w:sz w:val="18"/>
                <w:szCs w:val="18"/>
                <w:color w:val="auto"/>
              </w:rPr>
            </w:pPr>
          </w:p>
        </w:tc>
        <w:tc>
          <w:tcPr>
            <w:tcW w:w="760" w:type="dxa"/>
            <w:vAlign w:val="bottom"/>
            <w:shd w:val="clear" w:color="auto" w:fill="F8991D"/>
          </w:tcPr>
          <w:p>
            <w:pPr>
              <w:spacing w:after="0"/>
              <w:rPr>
                <w:sz w:val="18"/>
                <w:szCs w:val="18"/>
                <w:color w:val="auto"/>
              </w:rPr>
            </w:pPr>
          </w:p>
        </w:tc>
        <w:tc>
          <w:tcPr>
            <w:tcW w:w="2080" w:type="dxa"/>
            <w:vAlign w:val="bottom"/>
            <w:shd w:val="clear" w:color="auto" w:fill="F8991D"/>
          </w:tcPr>
          <w:p>
            <w:pPr>
              <w:spacing w:after="0"/>
              <w:rPr>
                <w:sz w:val="18"/>
                <w:szCs w:val="18"/>
                <w:color w:val="auto"/>
              </w:rPr>
            </w:pPr>
          </w:p>
        </w:tc>
        <w:tc>
          <w:tcPr>
            <w:tcW w:w="940" w:type="dxa"/>
            <w:vAlign w:val="bottom"/>
            <w:shd w:val="clear" w:color="auto" w:fill="F8991D"/>
          </w:tcPr>
          <w:p>
            <w:pPr>
              <w:spacing w:after="0"/>
              <w:rPr>
                <w:sz w:val="18"/>
                <w:szCs w:val="18"/>
                <w:color w:val="auto"/>
              </w:rPr>
            </w:pPr>
          </w:p>
        </w:tc>
        <w:tc>
          <w:tcPr>
            <w:tcW w:w="1020" w:type="dxa"/>
            <w:vAlign w:val="bottom"/>
            <w:shd w:val="clear" w:color="auto" w:fill="F8991D"/>
          </w:tcPr>
          <w:p>
            <w:pPr>
              <w:spacing w:after="0"/>
              <w:rPr>
                <w:sz w:val="18"/>
                <w:szCs w:val="18"/>
                <w:color w:val="auto"/>
              </w:rPr>
            </w:pPr>
          </w:p>
        </w:tc>
        <w:tc>
          <w:tcPr>
            <w:tcW w:w="1260" w:type="dxa"/>
            <w:vAlign w:val="bottom"/>
            <w:shd w:val="clear" w:color="auto" w:fill="F8991D"/>
          </w:tcPr>
          <w:p>
            <w:pPr>
              <w:spacing w:after="0"/>
              <w:rPr>
                <w:sz w:val="18"/>
                <w:szCs w:val="18"/>
                <w:color w:val="auto"/>
              </w:rPr>
            </w:pPr>
          </w:p>
        </w:tc>
        <w:tc>
          <w:tcPr>
            <w:tcW w:w="0" w:type="dxa"/>
            <w:vAlign w:val="bottom"/>
          </w:tcPr>
          <w:p>
            <w:pPr>
              <w:spacing w:after="0"/>
              <w:rPr>
                <w:sz w:val="1"/>
                <w:szCs w:val="1"/>
                <w:color w:val="auto"/>
              </w:rPr>
            </w:pPr>
          </w:p>
        </w:tc>
      </w:tr>
      <w:tr>
        <w:trPr>
          <w:trHeight w:val="552"/>
        </w:trPr>
        <w:tc>
          <w:tcPr>
            <w:tcW w:w="2440" w:type="dxa"/>
            <w:vAlign w:val="bottom"/>
            <w:shd w:val="clear" w:color="auto" w:fill="EBEBEB"/>
          </w:tcPr>
          <w:p>
            <w:pPr>
              <w:ind w:left="80"/>
              <w:spacing w:after="0"/>
              <w:rPr>
                <w:sz w:val="20"/>
                <w:szCs w:val="20"/>
                <w:color w:val="auto"/>
              </w:rPr>
            </w:pPr>
            <w:r>
              <w:rPr>
                <w:rFonts w:ascii="Arial" w:cs="Arial" w:eastAsia="Arial" w:hAnsi="Arial"/>
                <w:sz w:val="14"/>
                <w:szCs w:val="14"/>
                <w:b w:val="1"/>
                <w:bCs w:val="1"/>
                <w:color w:val="auto"/>
              </w:rPr>
              <w:t>Barbara Kosacz</w:t>
            </w:r>
            <w:r>
              <w:rPr>
                <w:rFonts w:ascii="Arial" w:cs="Arial" w:eastAsia="Arial" w:hAnsi="Arial"/>
                <w:sz w:val="23"/>
                <w:szCs w:val="23"/>
                <w:color w:val="auto"/>
                <w:vertAlign w:val="superscript"/>
              </w:rPr>
              <w:t>(1)(2)</w:t>
            </w:r>
          </w:p>
        </w:tc>
        <w:tc>
          <w:tcPr>
            <w:tcW w:w="900" w:type="dxa"/>
            <w:vAlign w:val="bottom"/>
            <w:shd w:val="clear" w:color="auto" w:fill="EBEBEB"/>
          </w:tcPr>
          <w:p>
            <w:pPr>
              <w:jc w:val="center"/>
              <w:spacing w:after="0"/>
              <w:rPr>
                <w:sz w:val="20"/>
                <w:szCs w:val="20"/>
                <w:color w:val="auto"/>
              </w:rPr>
            </w:pPr>
            <w:r>
              <w:rPr>
                <w:rFonts w:ascii="Arial" w:cs="Arial" w:eastAsia="Arial" w:hAnsi="Arial"/>
                <w:sz w:val="14"/>
                <w:szCs w:val="14"/>
                <w:color w:val="auto"/>
              </w:rPr>
              <w:t>I</w:t>
            </w:r>
          </w:p>
        </w:tc>
        <w:tc>
          <w:tcPr>
            <w:tcW w:w="760" w:type="dxa"/>
            <w:vAlign w:val="bottom"/>
            <w:shd w:val="clear" w:color="auto" w:fill="EBEBEB"/>
          </w:tcPr>
          <w:p>
            <w:pPr>
              <w:jc w:val="center"/>
              <w:spacing w:after="0"/>
              <w:rPr>
                <w:sz w:val="20"/>
                <w:szCs w:val="20"/>
                <w:color w:val="auto"/>
              </w:rPr>
            </w:pPr>
            <w:r>
              <w:rPr>
                <w:rFonts w:ascii="Arial" w:cs="Arial" w:eastAsia="Arial" w:hAnsi="Arial"/>
                <w:sz w:val="14"/>
                <w:szCs w:val="14"/>
                <w:color w:val="auto"/>
              </w:rPr>
              <w:t>66</w:t>
            </w:r>
          </w:p>
        </w:tc>
        <w:tc>
          <w:tcPr>
            <w:tcW w:w="2080" w:type="dxa"/>
            <w:vAlign w:val="bottom"/>
            <w:shd w:val="clear" w:color="auto" w:fill="EBEBEB"/>
          </w:tcPr>
          <w:p>
            <w:pPr>
              <w:ind w:left="220"/>
              <w:spacing w:after="0"/>
              <w:rPr>
                <w:sz w:val="20"/>
                <w:szCs w:val="20"/>
                <w:color w:val="auto"/>
              </w:rPr>
            </w:pPr>
            <w:r>
              <w:rPr>
                <w:rFonts w:ascii="Arial" w:cs="Arial" w:eastAsia="Arial" w:hAnsi="Arial"/>
                <w:sz w:val="14"/>
                <w:szCs w:val="14"/>
                <w:color w:val="auto"/>
              </w:rPr>
              <w:t>Director</w:t>
            </w:r>
          </w:p>
        </w:tc>
        <w:tc>
          <w:tcPr>
            <w:tcW w:w="940" w:type="dxa"/>
            <w:vAlign w:val="bottom"/>
            <w:shd w:val="clear" w:color="auto" w:fill="EBEBEB"/>
          </w:tcPr>
          <w:p>
            <w:pPr>
              <w:jc w:val="center"/>
              <w:spacing w:after="0"/>
              <w:rPr>
                <w:sz w:val="20"/>
                <w:szCs w:val="20"/>
                <w:color w:val="auto"/>
              </w:rPr>
            </w:pPr>
            <w:r>
              <w:rPr>
                <w:rFonts w:ascii="Arial" w:cs="Arial" w:eastAsia="Arial" w:hAnsi="Arial"/>
                <w:sz w:val="14"/>
                <w:szCs w:val="14"/>
                <w:color w:val="auto"/>
              </w:rPr>
              <w:t>2021</w:t>
            </w:r>
          </w:p>
        </w:tc>
        <w:tc>
          <w:tcPr>
            <w:tcW w:w="1020" w:type="dxa"/>
            <w:vAlign w:val="bottom"/>
            <w:shd w:val="clear" w:color="auto" w:fill="EBEBEB"/>
          </w:tcPr>
          <w:p>
            <w:pPr>
              <w:jc w:val="center"/>
              <w:spacing w:after="0"/>
              <w:rPr>
                <w:sz w:val="20"/>
                <w:szCs w:val="20"/>
                <w:color w:val="auto"/>
              </w:rPr>
            </w:pPr>
            <w:r>
              <w:rPr>
                <w:rFonts w:ascii="Arial" w:cs="Arial" w:eastAsia="Arial" w:hAnsi="Arial"/>
                <w:sz w:val="14"/>
                <w:szCs w:val="14"/>
                <w:color w:val="auto"/>
              </w:rPr>
              <w:t>2024</w:t>
            </w:r>
          </w:p>
        </w:tc>
        <w:tc>
          <w:tcPr>
            <w:tcW w:w="1260" w:type="dxa"/>
            <w:vAlign w:val="bottom"/>
            <w:shd w:val="clear" w:color="auto" w:fill="EBEBEB"/>
          </w:tcPr>
          <w:p>
            <w:pPr>
              <w:jc w:val="center"/>
              <w:ind w:left="25"/>
              <w:spacing w:after="0"/>
              <w:rPr>
                <w:sz w:val="20"/>
                <w:szCs w:val="20"/>
                <w:color w:val="auto"/>
              </w:rPr>
            </w:pPr>
            <w:r>
              <w:rPr>
                <w:rFonts w:ascii="Arial" w:cs="Arial" w:eastAsia="Arial" w:hAnsi="Arial"/>
                <w:sz w:val="14"/>
                <w:szCs w:val="14"/>
                <w:color w:val="auto"/>
              </w:rPr>
              <w:t>2027</w:t>
            </w:r>
          </w:p>
        </w:tc>
        <w:tc>
          <w:tcPr>
            <w:tcW w:w="0" w:type="dxa"/>
            <w:vAlign w:val="bottom"/>
          </w:tcPr>
          <w:p>
            <w:pPr>
              <w:spacing w:after="0"/>
              <w:rPr>
                <w:sz w:val="1"/>
                <w:szCs w:val="1"/>
                <w:color w:val="auto"/>
              </w:rPr>
            </w:pPr>
          </w:p>
        </w:tc>
      </w:tr>
      <w:tr>
        <w:trPr>
          <w:trHeight w:val="123"/>
        </w:trPr>
        <w:tc>
          <w:tcPr>
            <w:tcW w:w="2440" w:type="dxa"/>
            <w:vAlign w:val="bottom"/>
            <w:shd w:val="clear" w:color="auto" w:fill="EBEBEB"/>
          </w:tcPr>
          <w:p>
            <w:pPr>
              <w:spacing w:after="0"/>
              <w:rPr>
                <w:sz w:val="10"/>
                <w:szCs w:val="10"/>
                <w:color w:val="auto"/>
              </w:rPr>
            </w:pPr>
          </w:p>
        </w:tc>
        <w:tc>
          <w:tcPr>
            <w:tcW w:w="900" w:type="dxa"/>
            <w:vAlign w:val="bottom"/>
            <w:shd w:val="clear" w:color="auto" w:fill="EBEBEB"/>
          </w:tcPr>
          <w:p>
            <w:pPr>
              <w:spacing w:after="0"/>
              <w:rPr>
                <w:sz w:val="10"/>
                <w:szCs w:val="10"/>
                <w:color w:val="auto"/>
              </w:rPr>
            </w:pPr>
          </w:p>
        </w:tc>
        <w:tc>
          <w:tcPr>
            <w:tcW w:w="760" w:type="dxa"/>
            <w:vAlign w:val="bottom"/>
            <w:shd w:val="clear" w:color="auto" w:fill="EBEBEB"/>
          </w:tcPr>
          <w:p>
            <w:pPr>
              <w:spacing w:after="0"/>
              <w:rPr>
                <w:sz w:val="10"/>
                <w:szCs w:val="10"/>
                <w:color w:val="auto"/>
              </w:rPr>
            </w:pPr>
          </w:p>
        </w:tc>
        <w:tc>
          <w:tcPr>
            <w:tcW w:w="2080" w:type="dxa"/>
            <w:vAlign w:val="bottom"/>
            <w:shd w:val="clear" w:color="auto" w:fill="EBEBEB"/>
          </w:tcPr>
          <w:p>
            <w:pPr>
              <w:spacing w:after="0"/>
              <w:rPr>
                <w:sz w:val="10"/>
                <w:szCs w:val="10"/>
                <w:color w:val="auto"/>
              </w:rPr>
            </w:pPr>
          </w:p>
        </w:tc>
        <w:tc>
          <w:tcPr>
            <w:tcW w:w="940" w:type="dxa"/>
            <w:vAlign w:val="bottom"/>
            <w:shd w:val="clear" w:color="auto" w:fill="EBEBEB"/>
          </w:tcPr>
          <w:p>
            <w:pPr>
              <w:spacing w:after="0"/>
              <w:rPr>
                <w:sz w:val="10"/>
                <w:szCs w:val="10"/>
                <w:color w:val="auto"/>
              </w:rPr>
            </w:pPr>
          </w:p>
        </w:tc>
        <w:tc>
          <w:tcPr>
            <w:tcW w:w="1020" w:type="dxa"/>
            <w:vAlign w:val="bottom"/>
            <w:shd w:val="clear" w:color="auto" w:fill="EBEBEB"/>
          </w:tcPr>
          <w:p>
            <w:pPr>
              <w:spacing w:after="0"/>
              <w:rPr>
                <w:sz w:val="10"/>
                <w:szCs w:val="10"/>
                <w:color w:val="auto"/>
              </w:rPr>
            </w:pPr>
          </w:p>
        </w:tc>
        <w:tc>
          <w:tcPr>
            <w:tcW w:w="1260" w:type="dxa"/>
            <w:vAlign w:val="bottom"/>
            <w:shd w:val="clear" w:color="auto" w:fill="EBEBEB"/>
          </w:tcPr>
          <w:p>
            <w:pPr>
              <w:spacing w:after="0"/>
              <w:rPr>
                <w:sz w:val="10"/>
                <w:szCs w:val="10"/>
                <w:color w:val="auto"/>
              </w:rPr>
            </w:pPr>
          </w:p>
        </w:tc>
        <w:tc>
          <w:tcPr>
            <w:tcW w:w="0" w:type="dxa"/>
            <w:vAlign w:val="bottom"/>
          </w:tcPr>
          <w:p>
            <w:pPr>
              <w:spacing w:after="0"/>
              <w:rPr>
                <w:sz w:val="1"/>
                <w:szCs w:val="1"/>
                <w:color w:val="auto"/>
              </w:rPr>
            </w:pPr>
          </w:p>
        </w:tc>
      </w:tr>
      <w:tr>
        <w:trPr>
          <w:trHeight w:val="396"/>
        </w:trPr>
        <w:tc>
          <w:tcPr>
            <w:tcW w:w="2440" w:type="dxa"/>
            <w:vAlign w:val="bottom"/>
            <w:vMerge w:val="restart"/>
            <w:shd w:val="clear" w:color="auto" w:fill="FAFAFA"/>
          </w:tcPr>
          <w:p>
            <w:pPr>
              <w:ind w:left="80"/>
              <w:spacing w:after="0"/>
              <w:rPr>
                <w:sz w:val="20"/>
                <w:szCs w:val="20"/>
                <w:color w:val="auto"/>
              </w:rPr>
            </w:pPr>
            <w:r>
              <w:rPr>
                <w:rFonts w:ascii="Arial" w:cs="Arial" w:eastAsia="Arial" w:hAnsi="Arial"/>
                <w:sz w:val="14"/>
                <w:szCs w:val="14"/>
                <w:b w:val="1"/>
                <w:bCs w:val="1"/>
                <w:color w:val="auto"/>
              </w:rPr>
              <w:t>Mark Litton, Ph.D.</w:t>
            </w:r>
          </w:p>
        </w:tc>
        <w:tc>
          <w:tcPr>
            <w:tcW w:w="900" w:type="dxa"/>
            <w:vAlign w:val="bottom"/>
            <w:vMerge w:val="restart"/>
            <w:shd w:val="clear" w:color="auto" w:fill="FAFAFA"/>
          </w:tcPr>
          <w:p>
            <w:pPr>
              <w:jc w:val="center"/>
              <w:spacing w:after="0"/>
              <w:rPr>
                <w:sz w:val="20"/>
                <w:szCs w:val="20"/>
                <w:color w:val="auto"/>
              </w:rPr>
            </w:pPr>
            <w:r>
              <w:rPr>
                <w:rFonts w:ascii="Arial" w:cs="Arial" w:eastAsia="Arial" w:hAnsi="Arial"/>
                <w:sz w:val="14"/>
                <w:szCs w:val="14"/>
                <w:color w:val="auto"/>
              </w:rPr>
              <w:t>I</w:t>
            </w:r>
          </w:p>
        </w:tc>
        <w:tc>
          <w:tcPr>
            <w:tcW w:w="760" w:type="dxa"/>
            <w:vAlign w:val="bottom"/>
            <w:vMerge w:val="restart"/>
            <w:shd w:val="clear" w:color="auto" w:fill="FAFAFA"/>
          </w:tcPr>
          <w:p>
            <w:pPr>
              <w:jc w:val="center"/>
              <w:spacing w:after="0"/>
              <w:rPr>
                <w:sz w:val="20"/>
                <w:szCs w:val="20"/>
                <w:color w:val="auto"/>
              </w:rPr>
            </w:pPr>
            <w:r>
              <w:rPr>
                <w:rFonts w:ascii="Arial" w:cs="Arial" w:eastAsia="Arial" w:hAnsi="Arial"/>
                <w:sz w:val="14"/>
                <w:szCs w:val="14"/>
                <w:color w:val="auto"/>
              </w:rPr>
              <w:t>56</w:t>
            </w:r>
          </w:p>
        </w:tc>
        <w:tc>
          <w:tcPr>
            <w:tcW w:w="2080" w:type="dxa"/>
            <w:vAlign w:val="bottom"/>
            <w:shd w:val="clear" w:color="auto" w:fill="FAFAFA"/>
          </w:tcPr>
          <w:p>
            <w:pPr>
              <w:ind w:left="220"/>
              <w:spacing w:after="0"/>
              <w:rPr>
                <w:sz w:val="20"/>
                <w:szCs w:val="20"/>
                <w:color w:val="auto"/>
              </w:rPr>
            </w:pPr>
            <w:r>
              <w:rPr>
                <w:rFonts w:ascii="Arial" w:cs="Arial" w:eastAsia="Arial" w:hAnsi="Arial"/>
                <w:sz w:val="14"/>
                <w:szCs w:val="14"/>
                <w:color w:val="auto"/>
              </w:rPr>
              <w:t>President, Chief Executive</w:t>
            </w:r>
          </w:p>
        </w:tc>
        <w:tc>
          <w:tcPr>
            <w:tcW w:w="940" w:type="dxa"/>
            <w:vAlign w:val="bottom"/>
            <w:vMerge w:val="restart"/>
            <w:shd w:val="clear" w:color="auto" w:fill="FAFAFA"/>
          </w:tcPr>
          <w:p>
            <w:pPr>
              <w:jc w:val="center"/>
              <w:spacing w:after="0"/>
              <w:rPr>
                <w:sz w:val="20"/>
                <w:szCs w:val="20"/>
                <w:color w:val="auto"/>
              </w:rPr>
            </w:pPr>
            <w:r>
              <w:rPr>
                <w:rFonts w:ascii="Arial" w:cs="Arial" w:eastAsia="Arial" w:hAnsi="Arial"/>
                <w:sz w:val="14"/>
                <w:szCs w:val="14"/>
                <w:color w:val="auto"/>
              </w:rPr>
              <w:t>2021</w:t>
            </w:r>
          </w:p>
        </w:tc>
        <w:tc>
          <w:tcPr>
            <w:tcW w:w="1020" w:type="dxa"/>
            <w:vAlign w:val="bottom"/>
            <w:vMerge w:val="restart"/>
            <w:shd w:val="clear" w:color="auto" w:fill="FAFAFA"/>
          </w:tcPr>
          <w:p>
            <w:pPr>
              <w:jc w:val="center"/>
              <w:spacing w:after="0"/>
              <w:rPr>
                <w:sz w:val="20"/>
                <w:szCs w:val="20"/>
                <w:color w:val="auto"/>
              </w:rPr>
            </w:pPr>
            <w:r>
              <w:rPr>
                <w:rFonts w:ascii="Arial" w:cs="Arial" w:eastAsia="Arial" w:hAnsi="Arial"/>
                <w:sz w:val="14"/>
                <w:szCs w:val="14"/>
                <w:color w:val="auto"/>
              </w:rPr>
              <w:t>2024</w:t>
            </w:r>
          </w:p>
        </w:tc>
        <w:tc>
          <w:tcPr>
            <w:tcW w:w="1260" w:type="dxa"/>
            <w:vAlign w:val="bottom"/>
            <w:vMerge w:val="restart"/>
            <w:shd w:val="clear" w:color="auto" w:fill="FAFAFA"/>
          </w:tcPr>
          <w:p>
            <w:pPr>
              <w:jc w:val="center"/>
              <w:ind w:left="25"/>
              <w:spacing w:after="0"/>
              <w:rPr>
                <w:sz w:val="20"/>
                <w:szCs w:val="20"/>
                <w:color w:val="auto"/>
              </w:rPr>
            </w:pPr>
            <w:r>
              <w:rPr>
                <w:rFonts w:ascii="Arial" w:cs="Arial" w:eastAsia="Arial" w:hAnsi="Arial"/>
                <w:sz w:val="14"/>
                <w:szCs w:val="14"/>
                <w:color w:val="auto"/>
              </w:rPr>
              <w:t>2027</w:t>
            </w:r>
          </w:p>
        </w:tc>
        <w:tc>
          <w:tcPr>
            <w:tcW w:w="0" w:type="dxa"/>
            <w:vAlign w:val="bottom"/>
          </w:tcPr>
          <w:p>
            <w:pPr>
              <w:spacing w:after="0"/>
              <w:rPr>
                <w:sz w:val="1"/>
                <w:szCs w:val="1"/>
                <w:color w:val="auto"/>
              </w:rPr>
            </w:pPr>
          </w:p>
        </w:tc>
      </w:tr>
      <w:tr>
        <w:trPr>
          <w:trHeight w:val="115"/>
        </w:trPr>
        <w:tc>
          <w:tcPr>
            <w:tcW w:w="2440" w:type="dxa"/>
            <w:vAlign w:val="bottom"/>
            <w:vMerge w:val="continue"/>
            <w:shd w:val="clear" w:color="auto" w:fill="FAFAFA"/>
          </w:tcPr>
          <w:p>
            <w:pPr>
              <w:spacing w:after="0"/>
              <w:rPr>
                <w:sz w:val="10"/>
                <w:szCs w:val="10"/>
                <w:color w:val="auto"/>
              </w:rPr>
            </w:pPr>
          </w:p>
        </w:tc>
        <w:tc>
          <w:tcPr>
            <w:tcW w:w="900" w:type="dxa"/>
            <w:vAlign w:val="bottom"/>
            <w:vMerge w:val="continue"/>
            <w:shd w:val="clear" w:color="auto" w:fill="FAFAFA"/>
          </w:tcPr>
          <w:p>
            <w:pPr>
              <w:spacing w:after="0"/>
              <w:rPr>
                <w:sz w:val="10"/>
                <w:szCs w:val="10"/>
                <w:color w:val="auto"/>
              </w:rPr>
            </w:pPr>
          </w:p>
        </w:tc>
        <w:tc>
          <w:tcPr>
            <w:tcW w:w="760" w:type="dxa"/>
            <w:vAlign w:val="bottom"/>
            <w:vMerge w:val="continue"/>
            <w:shd w:val="clear" w:color="auto" w:fill="FAFAFA"/>
          </w:tcPr>
          <w:p>
            <w:pPr>
              <w:spacing w:after="0"/>
              <w:rPr>
                <w:sz w:val="10"/>
                <w:szCs w:val="10"/>
                <w:color w:val="auto"/>
              </w:rPr>
            </w:pPr>
          </w:p>
        </w:tc>
        <w:tc>
          <w:tcPr>
            <w:tcW w:w="2080" w:type="dxa"/>
            <w:vAlign w:val="bottom"/>
            <w:vMerge w:val="restart"/>
            <w:shd w:val="clear" w:color="auto" w:fill="FAFAFA"/>
          </w:tcPr>
          <w:p>
            <w:pPr>
              <w:ind w:left="220"/>
              <w:spacing w:after="0"/>
              <w:rPr>
                <w:sz w:val="20"/>
                <w:szCs w:val="20"/>
                <w:color w:val="auto"/>
              </w:rPr>
            </w:pPr>
            <w:r>
              <w:rPr>
                <w:rFonts w:ascii="Arial" w:cs="Arial" w:eastAsia="Arial" w:hAnsi="Arial"/>
                <w:sz w:val="14"/>
                <w:szCs w:val="14"/>
                <w:color w:val="auto"/>
              </w:rPr>
              <w:t>Officer and Director</w:t>
            </w:r>
          </w:p>
        </w:tc>
        <w:tc>
          <w:tcPr>
            <w:tcW w:w="940" w:type="dxa"/>
            <w:vAlign w:val="bottom"/>
            <w:vMerge w:val="continue"/>
            <w:shd w:val="clear" w:color="auto" w:fill="FAFAFA"/>
          </w:tcPr>
          <w:p>
            <w:pPr>
              <w:spacing w:after="0"/>
              <w:rPr>
                <w:sz w:val="10"/>
                <w:szCs w:val="10"/>
                <w:color w:val="auto"/>
              </w:rPr>
            </w:pPr>
          </w:p>
        </w:tc>
        <w:tc>
          <w:tcPr>
            <w:tcW w:w="1020" w:type="dxa"/>
            <w:vAlign w:val="bottom"/>
            <w:vMerge w:val="continue"/>
            <w:shd w:val="clear" w:color="auto" w:fill="FAFAFA"/>
          </w:tcPr>
          <w:p>
            <w:pPr>
              <w:spacing w:after="0"/>
              <w:rPr>
                <w:sz w:val="10"/>
                <w:szCs w:val="10"/>
                <w:color w:val="auto"/>
              </w:rPr>
            </w:pPr>
          </w:p>
        </w:tc>
        <w:tc>
          <w:tcPr>
            <w:tcW w:w="1260" w:type="dxa"/>
            <w:vAlign w:val="bottom"/>
            <w:vMerge w:val="continue"/>
            <w:shd w:val="clear" w:color="auto" w:fill="FAFAFA"/>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2440" w:type="dxa"/>
            <w:vAlign w:val="bottom"/>
            <w:shd w:val="clear" w:color="auto" w:fill="FAFAFA"/>
          </w:tcPr>
          <w:p>
            <w:pPr>
              <w:spacing w:after="0"/>
              <w:rPr>
                <w:sz w:val="6"/>
                <w:szCs w:val="6"/>
                <w:color w:val="auto"/>
              </w:rPr>
            </w:pPr>
          </w:p>
        </w:tc>
        <w:tc>
          <w:tcPr>
            <w:tcW w:w="900" w:type="dxa"/>
            <w:vAlign w:val="bottom"/>
            <w:shd w:val="clear" w:color="auto" w:fill="FAFAFA"/>
          </w:tcPr>
          <w:p>
            <w:pPr>
              <w:spacing w:after="0"/>
              <w:rPr>
                <w:sz w:val="6"/>
                <w:szCs w:val="6"/>
                <w:color w:val="auto"/>
              </w:rPr>
            </w:pPr>
          </w:p>
        </w:tc>
        <w:tc>
          <w:tcPr>
            <w:tcW w:w="760" w:type="dxa"/>
            <w:vAlign w:val="bottom"/>
            <w:shd w:val="clear" w:color="auto" w:fill="FAFAFA"/>
          </w:tcPr>
          <w:p>
            <w:pPr>
              <w:spacing w:after="0"/>
              <w:rPr>
                <w:sz w:val="6"/>
                <w:szCs w:val="6"/>
                <w:color w:val="auto"/>
              </w:rPr>
            </w:pPr>
          </w:p>
        </w:tc>
        <w:tc>
          <w:tcPr>
            <w:tcW w:w="2080" w:type="dxa"/>
            <w:vAlign w:val="bottom"/>
            <w:vMerge w:val="continue"/>
            <w:shd w:val="clear" w:color="auto" w:fill="FAFAFA"/>
          </w:tcPr>
          <w:p>
            <w:pPr>
              <w:spacing w:after="0"/>
              <w:rPr>
                <w:sz w:val="6"/>
                <w:szCs w:val="6"/>
                <w:color w:val="auto"/>
              </w:rPr>
            </w:pPr>
          </w:p>
        </w:tc>
        <w:tc>
          <w:tcPr>
            <w:tcW w:w="940" w:type="dxa"/>
            <w:vAlign w:val="bottom"/>
            <w:shd w:val="clear" w:color="auto" w:fill="FAFAFA"/>
          </w:tcPr>
          <w:p>
            <w:pPr>
              <w:spacing w:after="0"/>
              <w:rPr>
                <w:sz w:val="6"/>
                <w:szCs w:val="6"/>
                <w:color w:val="auto"/>
              </w:rPr>
            </w:pPr>
          </w:p>
        </w:tc>
        <w:tc>
          <w:tcPr>
            <w:tcW w:w="1020" w:type="dxa"/>
            <w:vAlign w:val="bottom"/>
            <w:shd w:val="clear" w:color="auto" w:fill="FAFAFA"/>
          </w:tcPr>
          <w:p>
            <w:pPr>
              <w:spacing w:after="0"/>
              <w:rPr>
                <w:sz w:val="6"/>
                <w:szCs w:val="6"/>
                <w:color w:val="auto"/>
              </w:rPr>
            </w:pPr>
          </w:p>
        </w:tc>
        <w:tc>
          <w:tcPr>
            <w:tcW w:w="1260" w:type="dxa"/>
            <w:vAlign w:val="bottom"/>
            <w:shd w:val="clear" w:color="auto" w:fill="FAFAFA"/>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440" w:type="dxa"/>
            <w:vAlign w:val="bottom"/>
            <w:shd w:val="clear" w:color="auto" w:fill="FAFAFA"/>
          </w:tcPr>
          <w:p>
            <w:pPr>
              <w:spacing w:after="0"/>
              <w:rPr>
                <w:sz w:val="19"/>
                <w:szCs w:val="19"/>
                <w:color w:val="auto"/>
              </w:rPr>
            </w:pPr>
          </w:p>
        </w:tc>
        <w:tc>
          <w:tcPr>
            <w:tcW w:w="900" w:type="dxa"/>
            <w:vAlign w:val="bottom"/>
            <w:shd w:val="clear" w:color="auto" w:fill="FAFAFA"/>
          </w:tcPr>
          <w:p>
            <w:pPr>
              <w:spacing w:after="0"/>
              <w:rPr>
                <w:sz w:val="19"/>
                <w:szCs w:val="19"/>
                <w:color w:val="auto"/>
              </w:rPr>
            </w:pPr>
          </w:p>
        </w:tc>
        <w:tc>
          <w:tcPr>
            <w:tcW w:w="760" w:type="dxa"/>
            <w:vAlign w:val="bottom"/>
            <w:shd w:val="clear" w:color="auto" w:fill="FAFAFA"/>
          </w:tcPr>
          <w:p>
            <w:pPr>
              <w:spacing w:after="0"/>
              <w:rPr>
                <w:sz w:val="19"/>
                <w:szCs w:val="19"/>
                <w:color w:val="auto"/>
              </w:rPr>
            </w:pPr>
          </w:p>
        </w:tc>
        <w:tc>
          <w:tcPr>
            <w:tcW w:w="2080" w:type="dxa"/>
            <w:vAlign w:val="bottom"/>
            <w:shd w:val="clear" w:color="auto" w:fill="FAFAFA"/>
          </w:tcPr>
          <w:p>
            <w:pPr>
              <w:spacing w:after="0"/>
              <w:rPr>
                <w:sz w:val="19"/>
                <w:szCs w:val="19"/>
                <w:color w:val="auto"/>
              </w:rPr>
            </w:pPr>
          </w:p>
        </w:tc>
        <w:tc>
          <w:tcPr>
            <w:tcW w:w="940" w:type="dxa"/>
            <w:vAlign w:val="bottom"/>
            <w:shd w:val="clear" w:color="auto" w:fill="FAFAFA"/>
          </w:tcPr>
          <w:p>
            <w:pPr>
              <w:spacing w:after="0"/>
              <w:rPr>
                <w:sz w:val="19"/>
                <w:szCs w:val="19"/>
                <w:color w:val="auto"/>
              </w:rPr>
            </w:pPr>
          </w:p>
        </w:tc>
        <w:tc>
          <w:tcPr>
            <w:tcW w:w="1020" w:type="dxa"/>
            <w:vAlign w:val="bottom"/>
            <w:shd w:val="clear" w:color="auto" w:fill="FAFAFA"/>
          </w:tcPr>
          <w:p>
            <w:pPr>
              <w:spacing w:after="0"/>
              <w:rPr>
                <w:sz w:val="19"/>
                <w:szCs w:val="19"/>
                <w:color w:val="auto"/>
              </w:rPr>
            </w:pPr>
          </w:p>
        </w:tc>
        <w:tc>
          <w:tcPr>
            <w:tcW w:w="1260" w:type="dxa"/>
            <w:vAlign w:val="bottom"/>
            <w:shd w:val="clear" w:color="auto" w:fill="FAFAFA"/>
          </w:tcPr>
          <w:p>
            <w:pPr>
              <w:spacing w:after="0"/>
              <w:rPr>
                <w:sz w:val="19"/>
                <w:szCs w:val="19"/>
                <w:color w:val="auto"/>
              </w:rPr>
            </w:pPr>
          </w:p>
        </w:tc>
        <w:tc>
          <w:tcPr>
            <w:tcW w:w="0" w:type="dxa"/>
            <w:vAlign w:val="bottom"/>
          </w:tcPr>
          <w:p>
            <w:pPr>
              <w:spacing w:after="0"/>
              <w:rPr>
                <w:sz w:val="1"/>
                <w:szCs w:val="1"/>
                <w:color w:val="auto"/>
              </w:rPr>
            </w:pPr>
          </w:p>
        </w:tc>
      </w:tr>
      <w:tr>
        <w:trPr>
          <w:trHeight w:val="552"/>
        </w:trPr>
        <w:tc>
          <w:tcPr>
            <w:tcW w:w="2440" w:type="dxa"/>
            <w:vAlign w:val="bottom"/>
            <w:shd w:val="clear" w:color="auto" w:fill="EBEBEB"/>
          </w:tcPr>
          <w:p>
            <w:pPr>
              <w:ind w:left="80"/>
              <w:spacing w:after="0"/>
              <w:rPr>
                <w:sz w:val="20"/>
                <w:szCs w:val="20"/>
                <w:color w:val="auto"/>
              </w:rPr>
            </w:pPr>
            <w:r>
              <w:rPr>
                <w:rFonts w:ascii="Arial" w:cs="Arial" w:eastAsia="Arial" w:hAnsi="Arial"/>
                <w:sz w:val="14"/>
                <w:szCs w:val="14"/>
                <w:b w:val="1"/>
                <w:bCs w:val="1"/>
                <w:color w:val="auto"/>
              </w:rPr>
              <w:t>Michael Panzara, M.D., M.P.H.</w:t>
            </w:r>
            <w:r>
              <w:rPr>
                <w:rFonts w:ascii="Arial" w:cs="Arial" w:eastAsia="Arial" w:hAnsi="Arial"/>
                <w:sz w:val="23"/>
                <w:szCs w:val="23"/>
                <w:color w:val="auto"/>
                <w:vertAlign w:val="superscript"/>
              </w:rPr>
              <w:t>(2)</w:t>
            </w:r>
          </w:p>
        </w:tc>
        <w:tc>
          <w:tcPr>
            <w:tcW w:w="900" w:type="dxa"/>
            <w:vAlign w:val="bottom"/>
            <w:shd w:val="clear" w:color="auto" w:fill="EBEBEB"/>
          </w:tcPr>
          <w:p>
            <w:pPr>
              <w:jc w:val="center"/>
              <w:spacing w:after="0"/>
              <w:rPr>
                <w:sz w:val="20"/>
                <w:szCs w:val="20"/>
                <w:color w:val="auto"/>
              </w:rPr>
            </w:pPr>
            <w:r>
              <w:rPr>
                <w:rFonts w:ascii="Arial" w:cs="Arial" w:eastAsia="Arial" w:hAnsi="Arial"/>
                <w:sz w:val="14"/>
                <w:szCs w:val="14"/>
                <w:color w:val="auto"/>
              </w:rPr>
              <w:t>I</w:t>
            </w:r>
          </w:p>
        </w:tc>
        <w:tc>
          <w:tcPr>
            <w:tcW w:w="760" w:type="dxa"/>
            <w:vAlign w:val="bottom"/>
            <w:shd w:val="clear" w:color="auto" w:fill="EBEBEB"/>
          </w:tcPr>
          <w:p>
            <w:pPr>
              <w:jc w:val="center"/>
              <w:spacing w:after="0"/>
              <w:rPr>
                <w:sz w:val="20"/>
                <w:szCs w:val="20"/>
                <w:color w:val="auto"/>
              </w:rPr>
            </w:pPr>
            <w:r>
              <w:rPr>
                <w:rFonts w:ascii="Arial" w:cs="Arial" w:eastAsia="Arial" w:hAnsi="Arial"/>
                <w:sz w:val="14"/>
                <w:szCs w:val="14"/>
                <w:color w:val="auto"/>
              </w:rPr>
              <w:t>56</w:t>
            </w:r>
          </w:p>
        </w:tc>
        <w:tc>
          <w:tcPr>
            <w:tcW w:w="2080" w:type="dxa"/>
            <w:vAlign w:val="bottom"/>
            <w:shd w:val="clear" w:color="auto" w:fill="EBEBEB"/>
          </w:tcPr>
          <w:p>
            <w:pPr>
              <w:ind w:left="220"/>
              <w:spacing w:after="0"/>
              <w:rPr>
                <w:sz w:val="20"/>
                <w:szCs w:val="20"/>
                <w:color w:val="auto"/>
              </w:rPr>
            </w:pPr>
            <w:r>
              <w:rPr>
                <w:rFonts w:ascii="Arial" w:cs="Arial" w:eastAsia="Arial" w:hAnsi="Arial"/>
                <w:sz w:val="14"/>
                <w:szCs w:val="14"/>
                <w:color w:val="auto"/>
              </w:rPr>
              <w:t>Director</w:t>
            </w:r>
          </w:p>
        </w:tc>
        <w:tc>
          <w:tcPr>
            <w:tcW w:w="940" w:type="dxa"/>
            <w:vAlign w:val="bottom"/>
            <w:shd w:val="clear" w:color="auto" w:fill="EBEBEB"/>
          </w:tcPr>
          <w:p>
            <w:pPr>
              <w:jc w:val="center"/>
              <w:spacing w:after="0"/>
              <w:rPr>
                <w:sz w:val="20"/>
                <w:szCs w:val="20"/>
                <w:color w:val="auto"/>
              </w:rPr>
            </w:pPr>
            <w:r>
              <w:rPr>
                <w:rFonts w:ascii="Arial" w:cs="Arial" w:eastAsia="Arial" w:hAnsi="Arial"/>
                <w:sz w:val="14"/>
                <w:szCs w:val="14"/>
                <w:color w:val="auto"/>
              </w:rPr>
              <w:t>2022</w:t>
            </w:r>
          </w:p>
        </w:tc>
        <w:tc>
          <w:tcPr>
            <w:tcW w:w="1020" w:type="dxa"/>
            <w:vAlign w:val="bottom"/>
            <w:shd w:val="clear" w:color="auto" w:fill="EBEBEB"/>
          </w:tcPr>
          <w:p>
            <w:pPr>
              <w:jc w:val="center"/>
              <w:spacing w:after="0"/>
              <w:rPr>
                <w:sz w:val="20"/>
                <w:szCs w:val="20"/>
                <w:color w:val="auto"/>
              </w:rPr>
            </w:pPr>
            <w:r>
              <w:rPr>
                <w:rFonts w:ascii="Arial" w:cs="Arial" w:eastAsia="Arial" w:hAnsi="Arial"/>
                <w:sz w:val="14"/>
                <w:szCs w:val="14"/>
                <w:color w:val="auto"/>
              </w:rPr>
              <w:t>2024</w:t>
            </w:r>
          </w:p>
        </w:tc>
        <w:tc>
          <w:tcPr>
            <w:tcW w:w="1260" w:type="dxa"/>
            <w:vAlign w:val="bottom"/>
            <w:shd w:val="clear" w:color="auto" w:fill="EBEBEB"/>
          </w:tcPr>
          <w:p>
            <w:pPr>
              <w:jc w:val="center"/>
              <w:ind w:left="25"/>
              <w:spacing w:after="0"/>
              <w:rPr>
                <w:sz w:val="20"/>
                <w:szCs w:val="20"/>
                <w:color w:val="auto"/>
              </w:rPr>
            </w:pPr>
            <w:r>
              <w:rPr>
                <w:rFonts w:ascii="Arial" w:cs="Arial" w:eastAsia="Arial" w:hAnsi="Arial"/>
                <w:sz w:val="14"/>
                <w:szCs w:val="14"/>
                <w:color w:val="auto"/>
              </w:rPr>
              <w:t>2027</w:t>
            </w:r>
          </w:p>
        </w:tc>
        <w:tc>
          <w:tcPr>
            <w:tcW w:w="0" w:type="dxa"/>
            <w:vAlign w:val="bottom"/>
          </w:tcPr>
          <w:p>
            <w:pPr>
              <w:spacing w:after="0"/>
              <w:rPr>
                <w:sz w:val="1"/>
                <w:szCs w:val="1"/>
                <w:color w:val="auto"/>
              </w:rPr>
            </w:pPr>
          </w:p>
        </w:tc>
      </w:tr>
      <w:tr>
        <w:trPr>
          <w:trHeight w:val="123"/>
        </w:trPr>
        <w:tc>
          <w:tcPr>
            <w:tcW w:w="2440" w:type="dxa"/>
            <w:vAlign w:val="bottom"/>
            <w:shd w:val="clear" w:color="auto" w:fill="EBEBEB"/>
          </w:tcPr>
          <w:p>
            <w:pPr>
              <w:spacing w:after="0"/>
              <w:rPr>
                <w:sz w:val="10"/>
                <w:szCs w:val="10"/>
                <w:color w:val="auto"/>
              </w:rPr>
            </w:pPr>
          </w:p>
        </w:tc>
        <w:tc>
          <w:tcPr>
            <w:tcW w:w="900" w:type="dxa"/>
            <w:vAlign w:val="bottom"/>
            <w:shd w:val="clear" w:color="auto" w:fill="EBEBEB"/>
          </w:tcPr>
          <w:p>
            <w:pPr>
              <w:spacing w:after="0"/>
              <w:rPr>
                <w:sz w:val="10"/>
                <w:szCs w:val="10"/>
                <w:color w:val="auto"/>
              </w:rPr>
            </w:pPr>
          </w:p>
        </w:tc>
        <w:tc>
          <w:tcPr>
            <w:tcW w:w="760" w:type="dxa"/>
            <w:vAlign w:val="bottom"/>
            <w:shd w:val="clear" w:color="auto" w:fill="EBEBEB"/>
          </w:tcPr>
          <w:p>
            <w:pPr>
              <w:spacing w:after="0"/>
              <w:rPr>
                <w:sz w:val="10"/>
                <w:szCs w:val="10"/>
                <w:color w:val="auto"/>
              </w:rPr>
            </w:pPr>
          </w:p>
        </w:tc>
        <w:tc>
          <w:tcPr>
            <w:tcW w:w="2080" w:type="dxa"/>
            <w:vAlign w:val="bottom"/>
            <w:shd w:val="clear" w:color="auto" w:fill="EBEBEB"/>
          </w:tcPr>
          <w:p>
            <w:pPr>
              <w:spacing w:after="0"/>
              <w:rPr>
                <w:sz w:val="10"/>
                <w:szCs w:val="10"/>
                <w:color w:val="auto"/>
              </w:rPr>
            </w:pPr>
          </w:p>
        </w:tc>
        <w:tc>
          <w:tcPr>
            <w:tcW w:w="940" w:type="dxa"/>
            <w:vAlign w:val="bottom"/>
            <w:shd w:val="clear" w:color="auto" w:fill="EBEBEB"/>
          </w:tcPr>
          <w:p>
            <w:pPr>
              <w:spacing w:after="0"/>
              <w:rPr>
                <w:sz w:val="10"/>
                <w:szCs w:val="10"/>
                <w:color w:val="auto"/>
              </w:rPr>
            </w:pPr>
          </w:p>
        </w:tc>
        <w:tc>
          <w:tcPr>
            <w:tcW w:w="1020" w:type="dxa"/>
            <w:vAlign w:val="bottom"/>
            <w:shd w:val="clear" w:color="auto" w:fill="EBEBEB"/>
          </w:tcPr>
          <w:p>
            <w:pPr>
              <w:spacing w:after="0"/>
              <w:rPr>
                <w:sz w:val="10"/>
                <w:szCs w:val="10"/>
                <w:color w:val="auto"/>
              </w:rPr>
            </w:pPr>
          </w:p>
        </w:tc>
        <w:tc>
          <w:tcPr>
            <w:tcW w:w="1260" w:type="dxa"/>
            <w:vAlign w:val="bottom"/>
            <w:shd w:val="clear" w:color="auto" w:fill="EBEBEB"/>
          </w:tcPr>
          <w:p>
            <w:pPr>
              <w:spacing w:after="0"/>
              <w:rPr>
                <w:sz w:val="10"/>
                <w:szCs w:val="10"/>
                <w:color w:val="auto"/>
              </w:rPr>
            </w:pPr>
          </w:p>
        </w:tc>
        <w:tc>
          <w:tcPr>
            <w:tcW w:w="0" w:type="dxa"/>
            <w:vAlign w:val="bottom"/>
          </w:tcPr>
          <w:p>
            <w:pPr>
              <w:spacing w:after="0"/>
              <w:rPr>
                <w:sz w:val="1"/>
                <w:szCs w:val="1"/>
                <w:color w:val="auto"/>
              </w:rPr>
            </w:pPr>
          </w:p>
        </w:tc>
      </w:tr>
      <w:tr>
        <w:trPr>
          <w:trHeight w:val="430"/>
        </w:trPr>
        <w:tc>
          <w:tcPr>
            <w:tcW w:w="2440" w:type="dxa"/>
            <w:vAlign w:val="bottom"/>
            <w:shd w:val="clear" w:color="auto" w:fill="6CCAD0"/>
          </w:tcPr>
          <w:p>
            <w:pPr>
              <w:ind w:left="80"/>
              <w:spacing w:after="0"/>
              <w:rPr>
                <w:sz w:val="20"/>
                <w:szCs w:val="20"/>
                <w:color w:val="auto"/>
              </w:rPr>
            </w:pPr>
            <w:r>
              <w:rPr>
                <w:rFonts w:ascii="Arial" w:cs="Arial" w:eastAsia="Arial" w:hAnsi="Arial"/>
                <w:sz w:val="14"/>
                <w:szCs w:val="14"/>
                <w:b w:val="1"/>
                <w:bCs w:val="1"/>
                <w:color w:val="FFFFFF"/>
              </w:rPr>
              <w:t>CONTINUING DIRECTORS</w:t>
            </w:r>
          </w:p>
        </w:tc>
        <w:tc>
          <w:tcPr>
            <w:tcW w:w="900" w:type="dxa"/>
            <w:vAlign w:val="bottom"/>
            <w:shd w:val="clear" w:color="auto" w:fill="6CCAD0"/>
          </w:tcPr>
          <w:p>
            <w:pPr>
              <w:spacing w:after="0"/>
              <w:rPr>
                <w:sz w:val="24"/>
                <w:szCs w:val="24"/>
                <w:color w:val="auto"/>
              </w:rPr>
            </w:pPr>
          </w:p>
        </w:tc>
        <w:tc>
          <w:tcPr>
            <w:tcW w:w="760" w:type="dxa"/>
            <w:vAlign w:val="bottom"/>
            <w:shd w:val="clear" w:color="auto" w:fill="6CCAD0"/>
          </w:tcPr>
          <w:p>
            <w:pPr>
              <w:spacing w:after="0"/>
              <w:rPr>
                <w:sz w:val="24"/>
                <w:szCs w:val="24"/>
                <w:color w:val="auto"/>
              </w:rPr>
            </w:pPr>
          </w:p>
        </w:tc>
        <w:tc>
          <w:tcPr>
            <w:tcW w:w="2080" w:type="dxa"/>
            <w:vAlign w:val="bottom"/>
            <w:shd w:val="clear" w:color="auto" w:fill="6CCAD0"/>
          </w:tcPr>
          <w:p>
            <w:pPr>
              <w:spacing w:after="0"/>
              <w:rPr>
                <w:sz w:val="24"/>
                <w:szCs w:val="24"/>
                <w:color w:val="auto"/>
              </w:rPr>
            </w:pPr>
          </w:p>
        </w:tc>
        <w:tc>
          <w:tcPr>
            <w:tcW w:w="940" w:type="dxa"/>
            <w:vAlign w:val="bottom"/>
            <w:shd w:val="clear" w:color="auto" w:fill="6CCAD0"/>
          </w:tcPr>
          <w:p>
            <w:pPr>
              <w:spacing w:after="0"/>
              <w:rPr>
                <w:sz w:val="24"/>
                <w:szCs w:val="24"/>
                <w:color w:val="auto"/>
              </w:rPr>
            </w:pPr>
          </w:p>
        </w:tc>
        <w:tc>
          <w:tcPr>
            <w:tcW w:w="1020" w:type="dxa"/>
            <w:vAlign w:val="bottom"/>
            <w:shd w:val="clear" w:color="auto" w:fill="6CCAD0"/>
          </w:tcPr>
          <w:p>
            <w:pPr>
              <w:spacing w:after="0"/>
              <w:rPr>
                <w:sz w:val="24"/>
                <w:szCs w:val="24"/>
                <w:color w:val="auto"/>
              </w:rPr>
            </w:pPr>
          </w:p>
        </w:tc>
        <w:tc>
          <w:tcPr>
            <w:tcW w:w="1260" w:type="dxa"/>
            <w:vAlign w:val="bottom"/>
            <w:shd w:val="clear" w:color="auto" w:fill="6CCAD0"/>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440" w:type="dxa"/>
            <w:vAlign w:val="bottom"/>
            <w:shd w:val="clear" w:color="auto" w:fill="6CCAD0"/>
          </w:tcPr>
          <w:p>
            <w:pPr>
              <w:spacing w:after="0"/>
              <w:rPr>
                <w:sz w:val="18"/>
                <w:szCs w:val="18"/>
                <w:color w:val="auto"/>
              </w:rPr>
            </w:pPr>
          </w:p>
        </w:tc>
        <w:tc>
          <w:tcPr>
            <w:tcW w:w="900" w:type="dxa"/>
            <w:vAlign w:val="bottom"/>
            <w:shd w:val="clear" w:color="auto" w:fill="6CCAD0"/>
          </w:tcPr>
          <w:p>
            <w:pPr>
              <w:spacing w:after="0"/>
              <w:rPr>
                <w:sz w:val="18"/>
                <w:szCs w:val="18"/>
                <w:color w:val="auto"/>
              </w:rPr>
            </w:pPr>
          </w:p>
        </w:tc>
        <w:tc>
          <w:tcPr>
            <w:tcW w:w="760" w:type="dxa"/>
            <w:vAlign w:val="bottom"/>
            <w:shd w:val="clear" w:color="auto" w:fill="6CCAD0"/>
          </w:tcPr>
          <w:p>
            <w:pPr>
              <w:spacing w:after="0"/>
              <w:rPr>
                <w:sz w:val="18"/>
                <w:szCs w:val="18"/>
                <w:color w:val="auto"/>
              </w:rPr>
            </w:pPr>
          </w:p>
        </w:tc>
        <w:tc>
          <w:tcPr>
            <w:tcW w:w="2080" w:type="dxa"/>
            <w:vAlign w:val="bottom"/>
            <w:shd w:val="clear" w:color="auto" w:fill="6CCAD0"/>
          </w:tcPr>
          <w:p>
            <w:pPr>
              <w:spacing w:after="0"/>
              <w:rPr>
                <w:sz w:val="18"/>
                <w:szCs w:val="18"/>
                <w:color w:val="auto"/>
              </w:rPr>
            </w:pPr>
          </w:p>
        </w:tc>
        <w:tc>
          <w:tcPr>
            <w:tcW w:w="940" w:type="dxa"/>
            <w:vAlign w:val="bottom"/>
            <w:shd w:val="clear" w:color="auto" w:fill="6CCAD0"/>
          </w:tcPr>
          <w:p>
            <w:pPr>
              <w:spacing w:after="0"/>
              <w:rPr>
                <w:sz w:val="18"/>
                <w:szCs w:val="18"/>
                <w:color w:val="auto"/>
              </w:rPr>
            </w:pPr>
          </w:p>
        </w:tc>
        <w:tc>
          <w:tcPr>
            <w:tcW w:w="1020" w:type="dxa"/>
            <w:vAlign w:val="bottom"/>
            <w:shd w:val="clear" w:color="auto" w:fill="6CCAD0"/>
          </w:tcPr>
          <w:p>
            <w:pPr>
              <w:spacing w:after="0"/>
              <w:rPr>
                <w:sz w:val="18"/>
                <w:szCs w:val="18"/>
                <w:color w:val="auto"/>
              </w:rPr>
            </w:pPr>
          </w:p>
        </w:tc>
        <w:tc>
          <w:tcPr>
            <w:tcW w:w="1260" w:type="dxa"/>
            <w:vAlign w:val="bottom"/>
            <w:shd w:val="clear" w:color="auto" w:fill="6CCAD0"/>
          </w:tcPr>
          <w:p>
            <w:pPr>
              <w:spacing w:after="0"/>
              <w:rPr>
                <w:sz w:val="18"/>
                <w:szCs w:val="18"/>
                <w:color w:val="auto"/>
              </w:rPr>
            </w:pPr>
          </w:p>
        </w:tc>
        <w:tc>
          <w:tcPr>
            <w:tcW w:w="0" w:type="dxa"/>
            <w:vAlign w:val="bottom"/>
          </w:tcPr>
          <w:p>
            <w:pPr>
              <w:spacing w:after="0"/>
              <w:rPr>
                <w:sz w:val="1"/>
                <w:szCs w:val="1"/>
                <w:color w:val="auto"/>
              </w:rPr>
            </w:pPr>
          </w:p>
        </w:tc>
      </w:tr>
      <w:tr>
        <w:trPr>
          <w:trHeight w:val="396"/>
        </w:trPr>
        <w:tc>
          <w:tcPr>
            <w:tcW w:w="2440" w:type="dxa"/>
            <w:vAlign w:val="bottom"/>
            <w:vMerge w:val="restart"/>
            <w:shd w:val="clear" w:color="auto" w:fill="FAFAFA"/>
          </w:tcPr>
          <w:p>
            <w:pPr>
              <w:ind w:left="80"/>
              <w:spacing w:after="0"/>
              <w:rPr>
                <w:sz w:val="20"/>
                <w:szCs w:val="20"/>
                <w:color w:val="auto"/>
              </w:rPr>
            </w:pPr>
            <w:r>
              <w:rPr>
                <w:rFonts w:ascii="Arial" w:cs="Arial" w:eastAsia="Arial" w:hAnsi="Arial"/>
                <w:sz w:val="14"/>
                <w:szCs w:val="14"/>
                <w:b w:val="1"/>
                <w:bCs w:val="1"/>
                <w:color w:val="auto"/>
              </w:rPr>
              <w:t>Kelly A. Romano</w:t>
            </w:r>
            <w:r>
              <w:rPr>
                <w:rFonts w:ascii="Arial" w:cs="Arial" w:eastAsia="Arial" w:hAnsi="Arial"/>
                <w:sz w:val="23"/>
                <w:szCs w:val="23"/>
                <w:color w:val="auto"/>
                <w:vertAlign w:val="superscript"/>
              </w:rPr>
              <w:t>(3)</w:t>
            </w:r>
          </w:p>
        </w:tc>
        <w:tc>
          <w:tcPr>
            <w:tcW w:w="900" w:type="dxa"/>
            <w:vAlign w:val="bottom"/>
            <w:vMerge w:val="restart"/>
            <w:shd w:val="clear" w:color="auto" w:fill="FAFAFA"/>
          </w:tcPr>
          <w:p>
            <w:pPr>
              <w:jc w:val="center"/>
              <w:spacing w:after="0"/>
              <w:rPr>
                <w:sz w:val="20"/>
                <w:szCs w:val="20"/>
                <w:color w:val="auto"/>
              </w:rPr>
            </w:pPr>
            <w:r>
              <w:rPr>
                <w:rFonts w:ascii="Arial" w:cs="Arial" w:eastAsia="Arial" w:hAnsi="Arial"/>
                <w:sz w:val="14"/>
                <w:szCs w:val="14"/>
                <w:color w:val="auto"/>
              </w:rPr>
              <w:t>III</w:t>
            </w:r>
          </w:p>
        </w:tc>
        <w:tc>
          <w:tcPr>
            <w:tcW w:w="760" w:type="dxa"/>
            <w:vAlign w:val="bottom"/>
            <w:vMerge w:val="restart"/>
            <w:shd w:val="clear" w:color="auto" w:fill="FAFAFA"/>
          </w:tcPr>
          <w:p>
            <w:pPr>
              <w:jc w:val="center"/>
              <w:spacing w:after="0"/>
              <w:rPr>
                <w:sz w:val="20"/>
                <w:szCs w:val="20"/>
                <w:color w:val="auto"/>
              </w:rPr>
            </w:pPr>
            <w:r>
              <w:rPr>
                <w:rFonts w:ascii="Arial" w:cs="Arial" w:eastAsia="Arial" w:hAnsi="Arial"/>
                <w:sz w:val="14"/>
                <w:szCs w:val="14"/>
                <w:color w:val="auto"/>
              </w:rPr>
              <w:t>62</w:t>
            </w:r>
          </w:p>
        </w:tc>
        <w:tc>
          <w:tcPr>
            <w:tcW w:w="2080" w:type="dxa"/>
            <w:vAlign w:val="bottom"/>
            <w:shd w:val="clear" w:color="auto" w:fill="FAFAFA"/>
          </w:tcPr>
          <w:p>
            <w:pPr>
              <w:ind w:left="220"/>
              <w:spacing w:after="0"/>
              <w:rPr>
                <w:sz w:val="20"/>
                <w:szCs w:val="20"/>
                <w:color w:val="auto"/>
              </w:rPr>
            </w:pPr>
            <w:r>
              <w:rPr>
                <w:rFonts w:ascii="Arial" w:cs="Arial" w:eastAsia="Arial" w:hAnsi="Arial"/>
                <w:sz w:val="14"/>
                <w:szCs w:val="14"/>
                <w:color w:val="auto"/>
              </w:rPr>
              <w:t>Chairwoman of the Board</w:t>
            </w:r>
          </w:p>
        </w:tc>
        <w:tc>
          <w:tcPr>
            <w:tcW w:w="940" w:type="dxa"/>
            <w:vAlign w:val="bottom"/>
            <w:vMerge w:val="restart"/>
            <w:shd w:val="clear" w:color="auto" w:fill="FAFAFA"/>
          </w:tcPr>
          <w:p>
            <w:pPr>
              <w:jc w:val="center"/>
              <w:spacing w:after="0"/>
              <w:rPr>
                <w:sz w:val="20"/>
                <w:szCs w:val="20"/>
                <w:color w:val="auto"/>
              </w:rPr>
            </w:pPr>
            <w:r>
              <w:rPr>
                <w:rFonts w:ascii="Arial" w:cs="Arial" w:eastAsia="Arial" w:hAnsi="Arial"/>
                <w:sz w:val="14"/>
                <w:szCs w:val="14"/>
                <w:color w:val="auto"/>
              </w:rPr>
              <w:t>2020</w:t>
            </w:r>
          </w:p>
        </w:tc>
        <w:tc>
          <w:tcPr>
            <w:tcW w:w="1020" w:type="dxa"/>
            <w:vAlign w:val="bottom"/>
            <w:vMerge w:val="restart"/>
            <w:shd w:val="clear" w:color="auto" w:fill="FAFAFA"/>
          </w:tcPr>
          <w:p>
            <w:pPr>
              <w:jc w:val="center"/>
              <w:spacing w:after="0"/>
              <w:rPr>
                <w:sz w:val="20"/>
                <w:szCs w:val="20"/>
                <w:color w:val="auto"/>
              </w:rPr>
            </w:pPr>
            <w:r>
              <w:rPr>
                <w:rFonts w:ascii="Arial" w:cs="Arial" w:eastAsia="Arial" w:hAnsi="Arial"/>
                <w:sz w:val="14"/>
                <w:szCs w:val="14"/>
                <w:color w:val="auto"/>
              </w:rPr>
              <w:t>2026</w:t>
            </w:r>
          </w:p>
        </w:tc>
        <w:tc>
          <w:tcPr>
            <w:tcW w:w="1260" w:type="dxa"/>
            <w:vAlign w:val="bottom"/>
            <w:vMerge w:val="restart"/>
            <w:shd w:val="clear" w:color="auto" w:fill="FAFAFA"/>
          </w:tcPr>
          <w:p>
            <w:pPr>
              <w:jc w:val="center"/>
              <w:ind w:left="25"/>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4"/>
        </w:trPr>
        <w:tc>
          <w:tcPr>
            <w:tcW w:w="2440" w:type="dxa"/>
            <w:vAlign w:val="bottom"/>
            <w:vMerge w:val="continue"/>
            <w:shd w:val="clear" w:color="auto" w:fill="FAFAFA"/>
          </w:tcPr>
          <w:p>
            <w:pPr>
              <w:spacing w:after="0"/>
              <w:rPr>
                <w:sz w:val="12"/>
                <w:szCs w:val="12"/>
                <w:color w:val="auto"/>
              </w:rPr>
            </w:pPr>
          </w:p>
        </w:tc>
        <w:tc>
          <w:tcPr>
            <w:tcW w:w="900" w:type="dxa"/>
            <w:vAlign w:val="bottom"/>
            <w:vMerge w:val="continue"/>
            <w:shd w:val="clear" w:color="auto" w:fill="FAFAFA"/>
          </w:tcPr>
          <w:p>
            <w:pPr>
              <w:spacing w:after="0"/>
              <w:rPr>
                <w:sz w:val="12"/>
                <w:szCs w:val="12"/>
                <w:color w:val="auto"/>
              </w:rPr>
            </w:pPr>
          </w:p>
        </w:tc>
        <w:tc>
          <w:tcPr>
            <w:tcW w:w="760" w:type="dxa"/>
            <w:vAlign w:val="bottom"/>
            <w:vMerge w:val="continue"/>
            <w:shd w:val="clear" w:color="auto" w:fill="FAFAFA"/>
          </w:tcPr>
          <w:p>
            <w:pPr>
              <w:spacing w:after="0"/>
              <w:rPr>
                <w:sz w:val="12"/>
                <w:szCs w:val="12"/>
                <w:color w:val="auto"/>
              </w:rPr>
            </w:pPr>
          </w:p>
        </w:tc>
        <w:tc>
          <w:tcPr>
            <w:tcW w:w="2080" w:type="dxa"/>
            <w:vAlign w:val="bottom"/>
            <w:vMerge w:val="restart"/>
            <w:shd w:val="clear" w:color="auto" w:fill="FAFAFA"/>
          </w:tcPr>
          <w:p>
            <w:pPr>
              <w:ind w:left="220"/>
              <w:spacing w:after="0"/>
              <w:rPr>
                <w:sz w:val="20"/>
                <w:szCs w:val="20"/>
                <w:color w:val="auto"/>
              </w:rPr>
            </w:pPr>
            <w:r>
              <w:rPr>
                <w:rFonts w:ascii="Arial" w:cs="Arial" w:eastAsia="Arial" w:hAnsi="Arial"/>
                <w:sz w:val="14"/>
                <w:szCs w:val="14"/>
                <w:color w:val="auto"/>
              </w:rPr>
              <w:t>of Directors</w:t>
            </w:r>
          </w:p>
        </w:tc>
        <w:tc>
          <w:tcPr>
            <w:tcW w:w="940" w:type="dxa"/>
            <w:vAlign w:val="bottom"/>
            <w:vMerge w:val="continue"/>
            <w:shd w:val="clear" w:color="auto" w:fill="FAFAFA"/>
          </w:tcPr>
          <w:p>
            <w:pPr>
              <w:spacing w:after="0"/>
              <w:rPr>
                <w:sz w:val="12"/>
                <w:szCs w:val="12"/>
                <w:color w:val="auto"/>
              </w:rPr>
            </w:pPr>
          </w:p>
        </w:tc>
        <w:tc>
          <w:tcPr>
            <w:tcW w:w="1020" w:type="dxa"/>
            <w:vAlign w:val="bottom"/>
            <w:vMerge w:val="continue"/>
            <w:shd w:val="clear" w:color="auto" w:fill="FAFAFA"/>
          </w:tcPr>
          <w:p>
            <w:pPr>
              <w:spacing w:after="0"/>
              <w:rPr>
                <w:sz w:val="12"/>
                <w:szCs w:val="12"/>
                <w:color w:val="auto"/>
              </w:rPr>
            </w:pPr>
          </w:p>
        </w:tc>
        <w:tc>
          <w:tcPr>
            <w:tcW w:w="1260" w:type="dxa"/>
            <w:vAlign w:val="bottom"/>
            <w:vMerge w:val="continue"/>
            <w:shd w:val="clear" w:color="auto" w:fill="FAFAFA"/>
          </w:tcPr>
          <w:p>
            <w:pPr>
              <w:spacing w:after="0"/>
              <w:rPr>
                <w:sz w:val="12"/>
                <w:szCs w:val="12"/>
                <w:color w:val="auto"/>
              </w:rPr>
            </w:pPr>
          </w:p>
        </w:tc>
        <w:tc>
          <w:tcPr>
            <w:tcW w:w="0" w:type="dxa"/>
            <w:vAlign w:val="bottom"/>
          </w:tcPr>
          <w:p>
            <w:pPr>
              <w:spacing w:after="0"/>
              <w:rPr>
                <w:sz w:val="1"/>
                <w:szCs w:val="1"/>
                <w:color w:val="auto"/>
              </w:rPr>
            </w:pPr>
          </w:p>
        </w:tc>
      </w:tr>
      <w:tr>
        <w:trPr>
          <w:trHeight w:val="46"/>
        </w:trPr>
        <w:tc>
          <w:tcPr>
            <w:tcW w:w="2440" w:type="dxa"/>
            <w:vAlign w:val="bottom"/>
            <w:shd w:val="clear" w:color="auto" w:fill="FAFAFA"/>
          </w:tcPr>
          <w:p>
            <w:pPr>
              <w:spacing w:after="0"/>
              <w:rPr>
                <w:sz w:val="4"/>
                <w:szCs w:val="4"/>
                <w:color w:val="auto"/>
              </w:rPr>
            </w:pPr>
          </w:p>
        </w:tc>
        <w:tc>
          <w:tcPr>
            <w:tcW w:w="900" w:type="dxa"/>
            <w:vAlign w:val="bottom"/>
            <w:shd w:val="clear" w:color="auto" w:fill="FAFAFA"/>
          </w:tcPr>
          <w:p>
            <w:pPr>
              <w:spacing w:after="0"/>
              <w:rPr>
                <w:sz w:val="4"/>
                <w:szCs w:val="4"/>
                <w:color w:val="auto"/>
              </w:rPr>
            </w:pPr>
          </w:p>
        </w:tc>
        <w:tc>
          <w:tcPr>
            <w:tcW w:w="760" w:type="dxa"/>
            <w:vAlign w:val="bottom"/>
            <w:shd w:val="clear" w:color="auto" w:fill="FAFAFA"/>
          </w:tcPr>
          <w:p>
            <w:pPr>
              <w:spacing w:after="0"/>
              <w:rPr>
                <w:sz w:val="4"/>
                <w:szCs w:val="4"/>
                <w:color w:val="auto"/>
              </w:rPr>
            </w:pPr>
          </w:p>
        </w:tc>
        <w:tc>
          <w:tcPr>
            <w:tcW w:w="2080" w:type="dxa"/>
            <w:vAlign w:val="bottom"/>
            <w:vMerge w:val="continue"/>
            <w:shd w:val="clear" w:color="auto" w:fill="FAFAFA"/>
          </w:tcPr>
          <w:p>
            <w:pPr>
              <w:spacing w:after="0"/>
              <w:rPr>
                <w:sz w:val="4"/>
                <w:szCs w:val="4"/>
                <w:color w:val="auto"/>
              </w:rPr>
            </w:pPr>
          </w:p>
        </w:tc>
        <w:tc>
          <w:tcPr>
            <w:tcW w:w="940" w:type="dxa"/>
            <w:vAlign w:val="bottom"/>
            <w:shd w:val="clear" w:color="auto" w:fill="FAFAFA"/>
          </w:tcPr>
          <w:p>
            <w:pPr>
              <w:spacing w:after="0"/>
              <w:rPr>
                <w:sz w:val="4"/>
                <w:szCs w:val="4"/>
                <w:color w:val="auto"/>
              </w:rPr>
            </w:pPr>
          </w:p>
        </w:tc>
        <w:tc>
          <w:tcPr>
            <w:tcW w:w="1020" w:type="dxa"/>
            <w:vAlign w:val="bottom"/>
            <w:shd w:val="clear" w:color="auto" w:fill="FAFAFA"/>
          </w:tcPr>
          <w:p>
            <w:pPr>
              <w:spacing w:after="0"/>
              <w:rPr>
                <w:sz w:val="4"/>
                <w:szCs w:val="4"/>
                <w:color w:val="auto"/>
              </w:rPr>
            </w:pPr>
          </w:p>
        </w:tc>
        <w:tc>
          <w:tcPr>
            <w:tcW w:w="1260" w:type="dxa"/>
            <w:vAlign w:val="bottom"/>
            <w:shd w:val="clear" w:color="auto" w:fill="FAFAFA"/>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2440" w:type="dxa"/>
            <w:vAlign w:val="bottom"/>
            <w:shd w:val="clear" w:color="auto" w:fill="FAFAFA"/>
          </w:tcPr>
          <w:p>
            <w:pPr>
              <w:spacing w:after="0"/>
              <w:rPr>
                <w:sz w:val="19"/>
                <w:szCs w:val="19"/>
                <w:color w:val="auto"/>
              </w:rPr>
            </w:pPr>
          </w:p>
        </w:tc>
        <w:tc>
          <w:tcPr>
            <w:tcW w:w="900" w:type="dxa"/>
            <w:vAlign w:val="bottom"/>
            <w:shd w:val="clear" w:color="auto" w:fill="FAFAFA"/>
          </w:tcPr>
          <w:p>
            <w:pPr>
              <w:spacing w:after="0"/>
              <w:rPr>
                <w:sz w:val="19"/>
                <w:szCs w:val="19"/>
                <w:color w:val="auto"/>
              </w:rPr>
            </w:pPr>
          </w:p>
        </w:tc>
        <w:tc>
          <w:tcPr>
            <w:tcW w:w="760" w:type="dxa"/>
            <w:vAlign w:val="bottom"/>
            <w:shd w:val="clear" w:color="auto" w:fill="FAFAFA"/>
          </w:tcPr>
          <w:p>
            <w:pPr>
              <w:spacing w:after="0"/>
              <w:rPr>
                <w:sz w:val="19"/>
                <w:szCs w:val="19"/>
                <w:color w:val="auto"/>
              </w:rPr>
            </w:pPr>
          </w:p>
        </w:tc>
        <w:tc>
          <w:tcPr>
            <w:tcW w:w="2080" w:type="dxa"/>
            <w:vAlign w:val="bottom"/>
            <w:shd w:val="clear" w:color="auto" w:fill="FAFAFA"/>
          </w:tcPr>
          <w:p>
            <w:pPr>
              <w:spacing w:after="0"/>
              <w:rPr>
                <w:sz w:val="19"/>
                <w:szCs w:val="19"/>
                <w:color w:val="auto"/>
              </w:rPr>
            </w:pPr>
          </w:p>
        </w:tc>
        <w:tc>
          <w:tcPr>
            <w:tcW w:w="940" w:type="dxa"/>
            <w:vAlign w:val="bottom"/>
            <w:shd w:val="clear" w:color="auto" w:fill="FAFAFA"/>
          </w:tcPr>
          <w:p>
            <w:pPr>
              <w:spacing w:after="0"/>
              <w:rPr>
                <w:sz w:val="19"/>
                <w:szCs w:val="19"/>
                <w:color w:val="auto"/>
              </w:rPr>
            </w:pPr>
          </w:p>
        </w:tc>
        <w:tc>
          <w:tcPr>
            <w:tcW w:w="1020" w:type="dxa"/>
            <w:vAlign w:val="bottom"/>
            <w:shd w:val="clear" w:color="auto" w:fill="FAFAFA"/>
          </w:tcPr>
          <w:p>
            <w:pPr>
              <w:spacing w:after="0"/>
              <w:rPr>
                <w:sz w:val="19"/>
                <w:szCs w:val="19"/>
                <w:color w:val="auto"/>
              </w:rPr>
            </w:pPr>
          </w:p>
        </w:tc>
        <w:tc>
          <w:tcPr>
            <w:tcW w:w="1260" w:type="dxa"/>
            <w:vAlign w:val="bottom"/>
            <w:shd w:val="clear" w:color="auto" w:fill="FAFAFA"/>
          </w:tcPr>
          <w:p>
            <w:pPr>
              <w:spacing w:after="0"/>
              <w:rPr>
                <w:sz w:val="19"/>
                <w:szCs w:val="19"/>
                <w:color w:val="auto"/>
              </w:rPr>
            </w:pPr>
          </w:p>
        </w:tc>
        <w:tc>
          <w:tcPr>
            <w:tcW w:w="0" w:type="dxa"/>
            <w:vAlign w:val="bottom"/>
          </w:tcPr>
          <w:p>
            <w:pPr>
              <w:spacing w:after="0"/>
              <w:rPr>
                <w:sz w:val="1"/>
                <w:szCs w:val="1"/>
                <w:color w:val="auto"/>
              </w:rPr>
            </w:pPr>
          </w:p>
        </w:tc>
      </w:tr>
      <w:tr>
        <w:trPr>
          <w:trHeight w:val="552"/>
        </w:trPr>
        <w:tc>
          <w:tcPr>
            <w:tcW w:w="2440" w:type="dxa"/>
            <w:vAlign w:val="bottom"/>
            <w:shd w:val="clear" w:color="auto" w:fill="EBEBEB"/>
          </w:tcPr>
          <w:p>
            <w:pPr>
              <w:ind w:left="80"/>
              <w:spacing w:after="0"/>
              <w:rPr>
                <w:sz w:val="20"/>
                <w:szCs w:val="20"/>
                <w:color w:val="auto"/>
              </w:rPr>
            </w:pPr>
            <w:r>
              <w:rPr>
                <w:rFonts w:ascii="Arial" w:cs="Arial" w:eastAsia="Arial" w:hAnsi="Arial"/>
                <w:sz w:val="14"/>
                <w:szCs w:val="14"/>
                <w:b w:val="1"/>
                <w:bCs w:val="1"/>
                <w:color w:val="auto"/>
              </w:rPr>
              <w:t>Joseph Edelman</w:t>
            </w:r>
            <w:r>
              <w:rPr>
                <w:rFonts w:ascii="Arial" w:cs="Arial" w:eastAsia="Arial" w:hAnsi="Arial"/>
                <w:sz w:val="23"/>
                <w:szCs w:val="23"/>
                <w:color w:val="auto"/>
                <w:vertAlign w:val="superscript"/>
              </w:rPr>
              <w:t>(2)</w:t>
            </w:r>
          </w:p>
        </w:tc>
        <w:tc>
          <w:tcPr>
            <w:tcW w:w="900" w:type="dxa"/>
            <w:vAlign w:val="bottom"/>
            <w:shd w:val="clear" w:color="auto" w:fill="EBEBEB"/>
          </w:tcPr>
          <w:p>
            <w:pPr>
              <w:jc w:val="center"/>
              <w:spacing w:after="0"/>
              <w:rPr>
                <w:sz w:val="20"/>
                <w:szCs w:val="20"/>
                <w:color w:val="auto"/>
              </w:rPr>
            </w:pPr>
            <w:r>
              <w:rPr>
                <w:rFonts w:ascii="Arial" w:cs="Arial" w:eastAsia="Arial" w:hAnsi="Arial"/>
                <w:sz w:val="14"/>
                <w:szCs w:val="14"/>
                <w:color w:val="auto"/>
              </w:rPr>
              <w:t>II</w:t>
            </w:r>
          </w:p>
        </w:tc>
        <w:tc>
          <w:tcPr>
            <w:tcW w:w="760" w:type="dxa"/>
            <w:vAlign w:val="bottom"/>
            <w:shd w:val="clear" w:color="auto" w:fill="EBEBEB"/>
          </w:tcPr>
          <w:p>
            <w:pPr>
              <w:jc w:val="center"/>
              <w:spacing w:after="0"/>
              <w:rPr>
                <w:sz w:val="20"/>
                <w:szCs w:val="20"/>
                <w:color w:val="auto"/>
              </w:rPr>
            </w:pPr>
            <w:r>
              <w:rPr>
                <w:rFonts w:ascii="Arial" w:cs="Arial" w:eastAsia="Arial" w:hAnsi="Arial"/>
                <w:sz w:val="14"/>
                <w:szCs w:val="14"/>
                <w:color w:val="auto"/>
              </w:rPr>
              <w:t>68</w:t>
            </w:r>
          </w:p>
        </w:tc>
        <w:tc>
          <w:tcPr>
            <w:tcW w:w="2080" w:type="dxa"/>
            <w:vAlign w:val="bottom"/>
            <w:shd w:val="clear" w:color="auto" w:fill="EBEBEB"/>
          </w:tcPr>
          <w:p>
            <w:pPr>
              <w:ind w:left="220"/>
              <w:spacing w:after="0"/>
              <w:rPr>
                <w:sz w:val="20"/>
                <w:szCs w:val="20"/>
                <w:color w:val="auto"/>
              </w:rPr>
            </w:pPr>
            <w:r>
              <w:rPr>
                <w:rFonts w:ascii="Arial" w:cs="Arial" w:eastAsia="Arial" w:hAnsi="Arial"/>
                <w:sz w:val="14"/>
                <w:szCs w:val="14"/>
                <w:color w:val="auto"/>
              </w:rPr>
              <w:t>Director</w:t>
            </w:r>
          </w:p>
        </w:tc>
        <w:tc>
          <w:tcPr>
            <w:tcW w:w="940" w:type="dxa"/>
            <w:vAlign w:val="bottom"/>
            <w:shd w:val="clear" w:color="auto" w:fill="EBEBEB"/>
          </w:tcPr>
          <w:p>
            <w:pPr>
              <w:jc w:val="center"/>
              <w:spacing w:after="0"/>
              <w:rPr>
                <w:sz w:val="20"/>
                <w:szCs w:val="20"/>
                <w:color w:val="auto"/>
              </w:rPr>
            </w:pPr>
            <w:r>
              <w:rPr>
                <w:rFonts w:ascii="Arial" w:cs="Arial" w:eastAsia="Arial" w:hAnsi="Arial"/>
                <w:sz w:val="14"/>
                <w:szCs w:val="14"/>
                <w:color w:val="auto"/>
              </w:rPr>
              <w:t>2020</w:t>
            </w:r>
          </w:p>
        </w:tc>
        <w:tc>
          <w:tcPr>
            <w:tcW w:w="1020" w:type="dxa"/>
            <w:vAlign w:val="bottom"/>
            <w:shd w:val="clear" w:color="auto" w:fill="EBEBEB"/>
          </w:tcPr>
          <w:p>
            <w:pPr>
              <w:jc w:val="center"/>
              <w:spacing w:after="0"/>
              <w:rPr>
                <w:sz w:val="20"/>
                <w:szCs w:val="20"/>
                <w:color w:val="auto"/>
              </w:rPr>
            </w:pPr>
            <w:r>
              <w:rPr>
                <w:rFonts w:ascii="Arial" w:cs="Arial" w:eastAsia="Arial" w:hAnsi="Arial"/>
                <w:sz w:val="14"/>
                <w:szCs w:val="14"/>
                <w:color w:val="auto"/>
              </w:rPr>
              <w:t>2025</w:t>
            </w:r>
          </w:p>
        </w:tc>
        <w:tc>
          <w:tcPr>
            <w:tcW w:w="1260" w:type="dxa"/>
            <w:vAlign w:val="bottom"/>
            <w:shd w:val="clear" w:color="auto" w:fill="EBEBEB"/>
          </w:tcPr>
          <w:p>
            <w:pPr>
              <w:jc w:val="center"/>
              <w:ind w:left="25"/>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3"/>
        </w:trPr>
        <w:tc>
          <w:tcPr>
            <w:tcW w:w="2440" w:type="dxa"/>
            <w:vAlign w:val="bottom"/>
            <w:shd w:val="clear" w:color="auto" w:fill="EBEBEB"/>
          </w:tcPr>
          <w:p>
            <w:pPr>
              <w:spacing w:after="0"/>
              <w:rPr>
                <w:sz w:val="10"/>
                <w:szCs w:val="10"/>
                <w:color w:val="auto"/>
              </w:rPr>
            </w:pPr>
          </w:p>
        </w:tc>
        <w:tc>
          <w:tcPr>
            <w:tcW w:w="900" w:type="dxa"/>
            <w:vAlign w:val="bottom"/>
            <w:shd w:val="clear" w:color="auto" w:fill="EBEBEB"/>
          </w:tcPr>
          <w:p>
            <w:pPr>
              <w:spacing w:after="0"/>
              <w:rPr>
                <w:sz w:val="10"/>
                <w:szCs w:val="10"/>
                <w:color w:val="auto"/>
              </w:rPr>
            </w:pPr>
          </w:p>
        </w:tc>
        <w:tc>
          <w:tcPr>
            <w:tcW w:w="760" w:type="dxa"/>
            <w:vAlign w:val="bottom"/>
            <w:shd w:val="clear" w:color="auto" w:fill="EBEBEB"/>
          </w:tcPr>
          <w:p>
            <w:pPr>
              <w:spacing w:after="0"/>
              <w:rPr>
                <w:sz w:val="10"/>
                <w:szCs w:val="10"/>
                <w:color w:val="auto"/>
              </w:rPr>
            </w:pPr>
          </w:p>
        </w:tc>
        <w:tc>
          <w:tcPr>
            <w:tcW w:w="2080" w:type="dxa"/>
            <w:vAlign w:val="bottom"/>
            <w:shd w:val="clear" w:color="auto" w:fill="EBEBEB"/>
          </w:tcPr>
          <w:p>
            <w:pPr>
              <w:spacing w:after="0"/>
              <w:rPr>
                <w:sz w:val="10"/>
                <w:szCs w:val="10"/>
                <w:color w:val="auto"/>
              </w:rPr>
            </w:pPr>
          </w:p>
        </w:tc>
        <w:tc>
          <w:tcPr>
            <w:tcW w:w="940" w:type="dxa"/>
            <w:vAlign w:val="bottom"/>
            <w:shd w:val="clear" w:color="auto" w:fill="EBEBEB"/>
          </w:tcPr>
          <w:p>
            <w:pPr>
              <w:spacing w:after="0"/>
              <w:rPr>
                <w:sz w:val="10"/>
                <w:szCs w:val="10"/>
                <w:color w:val="auto"/>
              </w:rPr>
            </w:pPr>
          </w:p>
        </w:tc>
        <w:tc>
          <w:tcPr>
            <w:tcW w:w="1020" w:type="dxa"/>
            <w:vAlign w:val="bottom"/>
            <w:shd w:val="clear" w:color="auto" w:fill="EBEBEB"/>
          </w:tcPr>
          <w:p>
            <w:pPr>
              <w:spacing w:after="0"/>
              <w:rPr>
                <w:sz w:val="10"/>
                <w:szCs w:val="10"/>
                <w:color w:val="auto"/>
              </w:rPr>
            </w:pPr>
          </w:p>
        </w:tc>
        <w:tc>
          <w:tcPr>
            <w:tcW w:w="1260" w:type="dxa"/>
            <w:vAlign w:val="bottom"/>
            <w:shd w:val="clear" w:color="auto" w:fill="EBEBEB"/>
          </w:tcPr>
          <w:p>
            <w:pPr>
              <w:spacing w:after="0"/>
              <w:rPr>
                <w:sz w:val="10"/>
                <w:szCs w:val="10"/>
                <w:color w:val="auto"/>
              </w:rPr>
            </w:pPr>
          </w:p>
        </w:tc>
        <w:tc>
          <w:tcPr>
            <w:tcW w:w="0" w:type="dxa"/>
            <w:vAlign w:val="bottom"/>
          </w:tcPr>
          <w:p>
            <w:pPr>
              <w:spacing w:after="0"/>
              <w:rPr>
                <w:sz w:val="1"/>
                <w:szCs w:val="1"/>
                <w:color w:val="auto"/>
              </w:rPr>
            </w:pPr>
          </w:p>
        </w:tc>
      </w:tr>
      <w:tr>
        <w:trPr>
          <w:trHeight w:val="552"/>
        </w:trPr>
        <w:tc>
          <w:tcPr>
            <w:tcW w:w="2440" w:type="dxa"/>
            <w:vAlign w:val="bottom"/>
            <w:shd w:val="clear" w:color="auto" w:fill="FAFAFA"/>
          </w:tcPr>
          <w:p>
            <w:pPr>
              <w:ind w:left="80"/>
              <w:spacing w:after="0"/>
              <w:rPr>
                <w:sz w:val="20"/>
                <w:szCs w:val="20"/>
                <w:color w:val="auto"/>
              </w:rPr>
            </w:pPr>
            <w:r>
              <w:rPr>
                <w:rFonts w:ascii="Arial" w:cs="Arial" w:eastAsia="Arial" w:hAnsi="Arial"/>
                <w:sz w:val="14"/>
                <w:szCs w:val="14"/>
                <w:b w:val="1"/>
                <w:bCs w:val="1"/>
                <w:color w:val="auto"/>
              </w:rPr>
              <w:t>John M. Fluke, Jr.</w:t>
            </w:r>
            <w:r>
              <w:rPr>
                <w:rFonts w:ascii="Arial" w:cs="Arial" w:eastAsia="Arial" w:hAnsi="Arial"/>
                <w:sz w:val="23"/>
                <w:szCs w:val="23"/>
                <w:color w:val="auto"/>
                <w:vertAlign w:val="superscript"/>
              </w:rPr>
              <w:t>(4)</w:t>
            </w:r>
          </w:p>
        </w:tc>
        <w:tc>
          <w:tcPr>
            <w:tcW w:w="900" w:type="dxa"/>
            <w:vAlign w:val="bottom"/>
            <w:shd w:val="clear" w:color="auto" w:fill="FAFAFA"/>
          </w:tcPr>
          <w:p>
            <w:pPr>
              <w:jc w:val="center"/>
              <w:spacing w:after="0"/>
              <w:rPr>
                <w:sz w:val="20"/>
                <w:szCs w:val="20"/>
                <w:color w:val="auto"/>
              </w:rPr>
            </w:pPr>
            <w:r>
              <w:rPr>
                <w:rFonts w:ascii="Arial" w:cs="Arial" w:eastAsia="Arial" w:hAnsi="Arial"/>
                <w:sz w:val="14"/>
                <w:szCs w:val="14"/>
                <w:color w:val="auto"/>
              </w:rPr>
              <w:t>II</w:t>
            </w:r>
          </w:p>
        </w:tc>
        <w:tc>
          <w:tcPr>
            <w:tcW w:w="760" w:type="dxa"/>
            <w:vAlign w:val="bottom"/>
            <w:shd w:val="clear" w:color="auto" w:fill="FAFAFA"/>
          </w:tcPr>
          <w:p>
            <w:pPr>
              <w:jc w:val="center"/>
              <w:spacing w:after="0"/>
              <w:rPr>
                <w:sz w:val="20"/>
                <w:szCs w:val="20"/>
                <w:color w:val="auto"/>
              </w:rPr>
            </w:pPr>
            <w:r>
              <w:rPr>
                <w:rFonts w:ascii="Arial" w:cs="Arial" w:eastAsia="Arial" w:hAnsi="Arial"/>
                <w:sz w:val="14"/>
                <w:szCs w:val="14"/>
                <w:color w:val="auto"/>
              </w:rPr>
              <w:t>81</w:t>
            </w:r>
          </w:p>
        </w:tc>
        <w:tc>
          <w:tcPr>
            <w:tcW w:w="2080" w:type="dxa"/>
            <w:vAlign w:val="bottom"/>
            <w:shd w:val="clear" w:color="auto" w:fill="FAFAFA"/>
          </w:tcPr>
          <w:p>
            <w:pPr>
              <w:ind w:left="220"/>
              <w:spacing w:after="0"/>
              <w:rPr>
                <w:sz w:val="20"/>
                <w:szCs w:val="20"/>
                <w:color w:val="auto"/>
              </w:rPr>
            </w:pPr>
            <w:r>
              <w:rPr>
                <w:rFonts w:ascii="Arial" w:cs="Arial" w:eastAsia="Arial" w:hAnsi="Arial"/>
                <w:sz w:val="14"/>
                <w:szCs w:val="14"/>
                <w:color w:val="auto"/>
              </w:rPr>
              <w:t>Director</w:t>
            </w:r>
          </w:p>
        </w:tc>
        <w:tc>
          <w:tcPr>
            <w:tcW w:w="940" w:type="dxa"/>
            <w:vAlign w:val="bottom"/>
            <w:shd w:val="clear" w:color="auto" w:fill="FAFAFA"/>
          </w:tcPr>
          <w:p>
            <w:pPr>
              <w:jc w:val="center"/>
              <w:spacing w:after="0"/>
              <w:rPr>
                <w:sz w:val="20"/>
                <w:szCs w:val="20"/>
                <w:color w:val="auto"/>
              </w:rPr>
            </w:pPr>
            <w:r>
              <w:rPr>
                <w:rFonts w:ascii="Arial" w:cs="Arial" w:eastAsia="Arial" w:hAnsi="Arial"/>
                <w:sz w:val="14"/>
                <w:szCs w:val="14"/>
                <w:color w:val="auto"/>
              </w:rPr>
              <w:t>2014</w:t>
            </w:r>
          </w:p>
        </w:tc>
        <w:tc>
          <w:tcPr>
            <w:tcW w:w="1020" w:type="dxa"/>
            <w:vAlign w:val="bottom"/>
            <w:shd w:val="clear" w:color="auto" w:fill="FAFAFA"/>
          </w:tcPr>
          <w:p>
            <w:pPr>
              <w:jc w:val="center"/>
              <w:spacing w:after="0"/>
              <w:rPr>
                <w:sz w:val="20"/>
                <w:szCs w:val="20"/>
                <w:color w:val="auto"/>
              </w:rPr>
            </w:pPr>
            <w:r>
              <w:rPr>
                <w:rFonts w:ascii="Arial" w:cs="Arial" w:eastAsia="Arial" w:hAnsi="Arial"/>
                <w:sz w:val="14"/>
                <w:szCs w:val="14"/>
                <w:color w:val="auto"/>
              </w:rPr>
              <w:t>2025</w:t>
            </w:r>
          </w:p>
        </w:tc>
        <w:tc>
          <w:tcPr>
            <w:tcW w:w="1260" w:type="dxa"/>
            <w:vAlign w:val="bottom"/>
            <w:shd w:val="clear" w:color="auto" w:fill="FAFAFA"/>
          </w:tcPr>
          <w:p>
            <w:pPr>
              <w:jc w:val="center"/>
              <w:ind w:left="25"/>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3"/>
        </w:trPr>
        <w:tc>
          <w:tcPr>
            <w:tcW w:w="2440" w:type="dxa"/>
            <w:vAlign w:val="bottom"/>
            <w:shd w:val="clear" w:color="auto" w:fill="FAFAFA"/>
          </w:tcPr>
          <w:p>
            <w:pPr>
              <w:spacing w:after="0"/>
              <w:rPr>
                <w:sz w:val="10"/>
                <w:szCs w:val="10"/>
                <w:color w:val="auto"/>
              </w:rPr>
            </w:pPr>
          </w:p>
        </w:tc>
        <w:tc>
          <w:tcPr>
            <w:tcW w:w="900" w:type="dxa"/>
            <w:vAlign w:val="bottom"/>
            <w:shd w:val="clear" w:color="auto" w:fill="FAFAFA"/>
          </w:tcPr>
          <w:p>
            <w:pPr>
              <w:spacing w:after="0"/>
              <w:rPr>
                <w:sz w:val="10"/>
                <w:szCs w:val="10"/>
                <w:color w:val="auto"/>
              </w:rPr>
            </w:pPr>
          </w:p>
        </w:tc>
        <w:tc>
          <w:tcPr>
            <w:tcW w:w="760" w:type="dxa"/>
            <w:vAlign w:val="bottom"/>
            <w:shd w:val="clear" w:color="auto" w:fill="FAFAFA"/>
          </w:tcPr>
          <w:p>
            <w:pPr>
              <w:spacing w:after="0"/>
              <w:rPr>
                <w:sz w:val="10"/>
                <w:szCs w:val="10"/>
                <w:color w:val="auto"/>
              </w:rPr>
            </w:pPr>
          </w:p>
        </w:tc>
        <w:tc>
          <w:tcPr>
            <w:tcW w:w="2080" w:type="dxa"/>
            <w:vAlign w:val="bottom"/>
            <w:shd w:val="clear" w:color="auto" w:fill="FAFAFA"/>
          </w:tcPr>
          <w:p>
            <w:pPr>
              <w:spacing w:after="0"/>
              <w:rPr>
                <w:sz w:val="10"/>
                <w:szCs w:val="10"/>
                <w:color w:val="auto"/>
              </w:rPr>
            </w:pPr>
          </w:p>
        </w:tc>
        <w:tc>
          <w:tcPr>
            <w:tcW w:w="940" w:type="dxa"/>
            <w:vAlign w:val="bottom"/>
            <w:shd w:val="clear" w:color="auto" w:fill="FAFAFA"/>
          </w:tcPr>
          <w:p>
            <w:pPr>
              <w:spacing w:after="0"/>
              <w:rPr>
                <w:sz w:val="10"/>
                <w:szCs w:val="10"/>
                <w:color w:val="auto"/>
              </w:rPr>
            </w:pPr>
          </w:p>
        </w:tc>
        <w:tc>
          <w:tcPr>
            <w:tcW w:w="1020" w:type="dxa"/>
            <w:vAlign w:val="bottom"/>
            <w:shd w:val="clear" w:color="auto" w:fill="FAFAFA"/>
          </w:tcPr>
          <w:p>
            <w:pPr>
              <w:spacing w:after="0"/>
              <w:rPr>
                <w:sz w:val="10"/>
                <w:szCs w:val="10"/>
                <w:color w:val="auto"/>
              </w:rPr>
            </w:pPr>
          </w:p>
        </w:tc>
        <w:tc>
          <w:tcPr>
            <w:tcW w:w="1260" w:type="dxa"/>
            <w:vAlign w:val="bottom"/>
            <w:shd w:val="clear" w:color="auto" w:fill="FAFAFA"/>
          </w:tcPr>
          <w:p>
            <w:pPr>
              <w:spacing w:after="0"/>
              <w:rPr>
                <w:sz w:val="10"/>
                <w:szCs w:val="10"/>
                <w:color w:val="auto"/>
              </w:rPr>
            </w:pPr>
          </w:p>
        </w:tc>
        <w:tc>
          <w:tcPr>
            <w:tcW w:w="0" w:type="dxa"/>
            <w:vAlign w:val="bottom"/>
          </w:tcPr>
          <w:p>
            <w:pPr>
              <w:spacing w:after="0"/>
              <w:rPr>
                <w:sz w:val="1"/>
                <w:szCs w:val="1"/>
                <w:color w:val="auto"/>
              </w:rPr>
            </w:pPr>
          </w:p>
        </w:tc>
      </w:tr>
      <w:tr>
        <w:trPr>
          <w:trHeight w:val="552"/>
        </w:trPr>
        <w:tc>
          <w:tcPr>
            <w:tcW w:w="2440" w:type="dxa"/>
            <w:vAlign w:val="bottom"/>
            <w:shd w:val="clear" w:color="auto" w:fill="EBEBEB"/>
          </w:tcPr>
          <w:p>
            <w:pPr>
              <w:ind w:left="80"/>
              <w:spacing w:after="0"/>
              <w:rPr>
                <w:sz w:val="20"/>
                <w:szCs w:val="20"/>
                <w:color w:val="auto"/>
              </w:rPr>
            </w:pPr>
            <w:r>
              <w:rPr>
                <w:rFonts w:ascii="Arial" w:cs="Arial" w:eastAsia="Arial" w:hAnsi="Arial"/>
                <w:sz w:val="14"/>
                <w:szCs w:val="14"/>
                <w:b w:val="1"/>
                <w:bCs w:val="1"/>
                <w:color w:val="auto"/>
              </w:rPr>
              <w:t>James A. Johnson</w:t>
            </w:r>
            <w:r>
              <w:rPr>
                <w:rFonts w:ascii="Arial" w:cs="Arial" w:eastAsia="Arial" w:hAnsi="Arial"/>
                <w:sz w:val="23"/>
                <w:szCs w:val="23"/>
                <w:color w:val="auto"/>
                <w:vertAlign w:val="superscript"/>
              </w:rPr>
              <w:t>(5)(6)</w:t>
            </w:r>
          </w:p>
        </w:tc>
        <w:tc>
          <w:tcPr>
            <w:tcW w:w="900" w:type="dxa"/>
            <w:vAlign w:val="bottom"/>
            <w:shd w:val="clear" w:color="auto" w:fill="EBEBEB"/>
          </w:tcPr>
          <w:p>
            <w:pPr>
              <w:jc w:val="center"/>
              <w:spacing w:after="0"/>
              <w:rPr>
                <w:sz w:val="20"/>
                <w:szCs w:val="20"/>
                <w:color w:val="auto"/>
              </w:rPr>
            </w:pPr>
            <w:r>
              <w:rPr>
                <w:rFonts w:ascii="Arial" w:cs="Arial" w:eastAsia="Arial" w:hAnsi="Arial"/>
                <w:sz w:val="14"/>
                <w:szCs w:val="14"/>
                <w:color w:val="auto"/>
              </w:rPr>
              <w:t>III</w:t>
            </w:r>
          </w:p>
        </w:tc>
        <w:tc>
          <w:tcPr>
            <w:tcW w:w="760" w:type="dxa"/>
            <w:vAlign w:val="bottom"/>
            <w:shd w:val="clear" w:color="auto" w:fill="EBEBEB"/>
          </w:tcPr>
          <w:p>
            <w:pPr>
              <w:jc w:val="center"/>
              <w:spacing w:after="0"/>
              <w:rPr>
                <w:sz w:val="20"/>
                <w:szCs w:val="20"/>
                <w:color w:val="auto"/>
              </w:rPr>
            </w:pPr>
            <w:r>
              <w:rPr>
                <w:rFonts w:ascii="Arial" w:cs="Arial" w:eastAsia="Arial" w:hAnsi="Arial"/>
                <w:sz w:val="14"/>
                <w:szCs w:val="14"/>
                <w:color w:val="auto"/>
              </w:rPr>
              <w:t>67</w:t>
            </w:r>
          </w:p>
        </w:tc>
        <w:tc>
          <w:tcPr>
            <w:tcW w:w="2080" w:type="dxa"/>
            <w:vAlign w:val="bottom"/>
            <w:shd w:val="clear" w:color="auto" w:fill="EBEBEB"/>
          </w:tcPr>
          <w:p>
            <w:pPr>
              <w:ind w:left="220"/>
              <w:spacing w:after="0"/>
              <w:rPr>
                <w:sz w:val="20"/>
                <w:szCs w:val="20"/>
                <w:color w:val="auto"/>
              </w:rPr>
            </w:pPr>
            <w:r>
              <w:rPr>
                <w:rFonts w:ascii="Arial" w:cs="Arial" w:eastAsia="Arial" w:hAnsi="Arial"/>
                <w:sz w:val="14"/>
                <w:szCs w:val="14"/>
                <w:color w:val="auto"/>
              </w:rPr>
              <w:t>Director</w:t>
            </w:r>
          </w:p>
        </w:tc>
        <w:tc>
          <w:tcPr>
            <w:tcW w:w="940" w:type="dxa"/>
            <w:vAlign w:val="bottom"/>
            <w:shd w:val="clear" w:color="auto" w:fill="EBEBEB"/>
          </w:tcPr>
          <w:p>
            <w:pPr>
              <w:jc w:val="center"/>
              <w:spacing w:after="0"/>
              <w:rPr>
                <w:sz w:val="20"/>
                <w:szCs w:val="20"/>
                <w:color w:val="auto"/>
              </w:rPr>
            </w:pPr>
            <w:r>
              <w:rPr>
                <w:rFonts w:ascii="Arial" w:cs="Arial" w:eastAsia="Arial" w:hAnsi="Arial"/>
                <w:sz w:val="14"/>
                <w:szCs w:val="14"/>
                <w:color w:val="auto"/>
              </w:rPr>
              <w:t>2020</w:t>
            </w:r>
          </w:p>
        </w:tc>
        <w:tc>
          <w:tcPr>
            <w:tcW w:w="1020" w:type="dxa"/>
            <w:vAlign w:val="bottom"/>
            <w:shd w:val="clear" w:color="auto" w:fill="EBEBEB"/>
          </w:tcPr>
          <w:p>
            <w:pPr>
              <w:jc w:val="center"/>
              <w:spacing w:after="0"/>
              <w:rPr>
                <w:sz w:val="20"/>
                <w:szCs w:val="20"/>
                <w:color w:val="auto"/>
              </w:rPr>
            </w:pPr>
            <w:r>
              <w:rPr>
                <w:rFonts w:ascii="Arial" w:cs="Arial" w:eastAsia="Arial" w:hAnsi="Arial"/>
                <w:sz w:val="14"/>
                <w:szCs w:val="14"/>
                <w:color w:val="auto"/>
              </w:rPr>
              <w:t>2026</w:t>
            </w:r>
          </w:p>
        </w:tc>
        <w:tc>
          <w:tcPr>
            <w:tcW w:w="1260" w:type="dxa"/>
            <w:vAlign w:val="bottom"/>
            <w:shd w:val="clear" w:color="auto" w:fill="EBEBEB"/>
          </w:tcPr>
          <w:p>
            <w:pPr>
              <w:jc w:val="center"/>
              <w:ind w:left="25"/>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3"/>
        </w:trPr>
        <w:tc>
          <w:tcPr>
            <w:tcW w:w="2440" w:type="dxa"/>
            <w:vAlign w:val="bottom"/>
            <w:shd w:val="clear" w:color="auto" w:fill="EBEBEB"/>
          </w:tcPr>
          <w:p>
            <w:pPr>
              <w:spacing w:after="0"/>
              <w:rPr>
                <w:sz w:val="10"/>
                <w:szCs w:val="10"/>
                <w:color w:val="auto"/>
              </w:rPr>
            </w:pPr>
          </w:p>
        </w:tc>
        <w:tc>
          <w:tcPr>
            <w:tcW w:w="900" w:type="dxa"/>
            <w:vAlign w:val="bottom"/>
            <w:shd w:val="clear" w:color="auto" w:fill="EBEBEB"/>
          </w:tcPr>
          <w:p>
            <w:pPr>
              <w:spacing w:after="0"/>
              <w:rPr>
                <w:sz w:val="10"/>
                <w:szCs w:val="10"/>
                <w:color w:val="auto"/>
              </w:rPr>
            </w:pPr>
          </w:p>
        </w:tc>
        <w:tc>
          <w:tcPr>
            <w:tcW w:w="760" w:type="dxa"/>
            <w:vAlign w:val="bottom"/>
            <w:shd w:val="clear" w:color="auto" w:fill="EBEBEB"/>
          </w:tcPr>
          <w:p>
            <w:pPr>
              <w:spacing w:after="0"/>
              <w:rPr>
                <w:sz w:val="10"/>
                <w:szCs w:val="10"/>
                <w:color w:val="auto"/>
              </w:rPr>
            </w:pPr>
          </w:p>
        </w:tc>
        <w:tc>
          <w:tcPr>
            <w:tcW w:w="2080" w:type="dxa"/>
            <w:vAlign w:val="bottom"/>
            <w:shd w:val="clear" w:color="auto" w:fill="EBEBEB"/>
          </w:tcPr>
          <w:p>
            <w:pPr>
              <w:spacing w:after="0"/>
              <w:rPr>
                <w:sz w:val="10"/>
                <w:szCs w:val="10"/>
                <w:color w:val="auto"/>
              </w:rPr>
            </w:pPr>
          </w:p>
        </w:tc>
        <w:tc>
          <w:tcPr>
            <w:tcW w:w="940" w:type="dxa"/>
            <w:vAlign w:val="bottom"/>
            <w:shd w:val="clear" w:color="auto" w:fill="EBEBEB"/>
          </w:tcPr>
          <w:p>
            <w:pPr>
              <w:spacing w:after="0"/>
              <w:rPr>
                <w:sz w:val="10"/>
                <w:szCs w:val="10"/>
                <w:color w:val="auto"/>
              </w:rPr>
            </w:pPr>
          </w:p>
        </w:tc>
        <w:tc>
          <w:tcPr>
            <w:tcW w:w="1020" w:type="dxa"/>
            <w:vAlign w:val="bottom"/>
            <w:shd w:val="clear" w:color="auto" w:fill="EBEBEB"/>
          </w:tcPr>
          <w:p>
            <w:pPr>
              <w:spacing w:after="0"/>
              <w:rPr>
                <w:sz w:val="10"/>
                <w:szCs w:val="10"/>
                <w:color w:val="auto"/>
              </w:rPr>
            </w:pPr>
          </w:p>
        </w:tc>
        <w:tc>
          <w:tcPr>
            <w:tcW w:w="1260" w:type="dxa"/>
            <w:vAlign w:val="bottom"/>
            <w:shd w:val="clear" w:color="auto" w:fill="EBEBEB"/>
          </w:tcPr>
          <w:p>
            <w:pPr>
              <w:spacing w:after="0"/>
              <w:rPr>
                <w:sz w:val="10"/>
                <w:szCs w:val="10"/>
                <w:color w:val="auto"/>
              </w:rPr>
            </w:pPr>
          </w:p>
        </w:tc>
        <w:tc>
          <w:tcPr>
            <w:tcW w:w="0" w:type="dxa"/>
            <w:vAlign w:val="bottom"/>
          </w:tcPr>
          <w:p>
            <w:pPr>
              <w:spacing w:after="0"/>
              <w:rPr>
                <w:sz w:val="1"/>
                <w:szCs w:val="1"/>
                <w:color w:val="auto"/>
              </w:rPr>
            </w:pPr>
          </w:p>
        </w:tc>
      </w:tr>
      <w:tr>
        <w:trPr>
          <w:trHeight w:val="552"/>
        </w:trPr>
        <w:tc>
          <w:tcPr>
            <w:tcW w:w="2440" w:type="dxa"/>
            <w:vAlign w:val="bottom"/>
            <w:shd w:val="clear" w:color="auto" w:fill="FAFAFA"/>
          </w:tcPr>
          <w:p>
            <w:pPr>
              <w:ind w:left="80"/>
              <w:spacing w:after="0"/>
              <w:rPr>
                <w:sz w:val="20"/>
                <w:szCs w:val="20"/>
                <w:color w:val="auto"/>
              </w:rPr>
            </w:pPr>
            <w:r>
              <w:rPr>
                <w:rFonts w:ascii="Arial" w:cs="Arial" w:eastAsia="Arial" w:hAnsi="Arial"/>
                <w:sz w:val="14"/>
                <w:szCs w:val="14"/>
                <w:b w:val="1"/>
                <w:bCs w:val="1"/>
                <w:color w:val="auto"/>
              </w:rPr>
              <w:t>Grant Pickering</w:t>
            </w:r>
            <w:r>
              <w:rPr>
                <w:rFonts w:ascii="Arial" w:cs="Arial" w:eastAsia="Arial" w:hAnsi="Arial"/>
                <w:sz w:val="23"/>
                <w:szCs w:val="23"/>
                <w:color w:val="auto"/>
                <w:vertAlign w:val="superscript"/>
              </w:rPr>
              <w:t>(4)(6)</w:t>
            </w:r>
          </w:p>
        </w:tc>
        <w:tc>
          <w:tcPr>
            <w:tcW w:w="900" w:type="dxa"/>
            <w:vAlign w:val="bottom"/>
            <w:shd w:val="clear" w:color="auto" w:fill="FAFAFA"/>
          </w:tcPr>
          <w:p>
            <w:pPr>
              <w:jc w:val="center"/>
              <w:spacing w:after="0"/>
              <w:rPr>
                <w:sz w:val="20"/>
                <w:szCs w:val="20"/>
                <w:color w:val="auto"/>
              </w:rPr>
            </w:pPr>
            <w:r>
              <w:rPr>
                <w:rFonts w:ascii="Arial" w:cs="Arial" w:eastAsia="Arial" w:hAnsi="Arial"/>
                <w:sz w:val="14"/>
                <w:szCs w:val="14"/>
                <w:color w:val="auto"/>
              </w:rPr>
              <w:t>II</w:t>
            </w:r>
          </w:p>
        </w:tc>
        <w:tc>
          <w:tcPr>
            <w:tcW w:w="760" w:type="dxa"/>
            <w:vAlign w:val="bottom"/>
            <w:shd w:val="clear" w:color="auto" w:fill="FAFAFA"/>
          </w:tcPr>
          <w:p>
            <w:pPr>
              <w:jc w:val="center"/>
              <w:spacing w:after="0"/>
              <w:rPr>
                <w:sz w:val="20"/>
                <w:szCs w:val="20"/>
                <w:color w:val="auto"/>
              </w:rPr>
            </w:pPr>
            <w:r>
              <w:rPr>
                <w:rFonts w:ascii="Arial" w:cs="Arial" w:eastAsia="Arial" w:hAnsi="Arial"/>
                <w:sz w:val="14"/>
                <w:szCs w:val="14"/>
                <w:color w:val="auto"/>
              </w:rPr>
              <w:t>56</w:t>
            </w:r>
          </w:p>
        </w:tc>
        <w:tc>
          <w:tcPr>
            <w:tcW w:w="2080" w:type="dxa"/>
            <w:vAlign w:val="bottom"/>
            <w:shd w:val="clear" w:color="auto" w:fill="FAFAFA"/>
          </w:tcPr>
          <w:p>
            <w:pPr>
              <w:ind w:left="220"/>
              <w:spacing w:after="0"/>
              <w:rPr>
                <w:sz w:val="20"/>
                <w:szCs w:val="20"/>
                <w:color w:val="auto"/>
              </w:rPr>
            </w:pPr>
            <w:r>
              <w:rPr>
                <w:rFonts w:ascii="Arial" w:cs="Arial" w:eastAsia="Arial" w:hAnsi="Arial"/>
                <w:sz w:val="14"/>
                <w:szCs w:val="14"/>
                <w:color w:val="auto"/>
              </w:rPr>
              <w:t>Director</w:t>
            </w:r>
          </w:p>
        </w:tc>
        <w:tc>
          <w:tcPr>
            <w:tcW w:w="940" w:type="dxa"/>
            <w:vAlign w:val="bottom"/>
            <w:shd w:val="clear" w:color="auto" w:fill="FAFAFA"/>
          </w:tcPr>
          <w:p>
            <w:pPr>
              <w:jc w:val="center"/>
              <w:spacing w:after="0"/>
              <w:rPr>
                <w:sz w:val="20"/>
                <w:szCs w:val="20"/>
                <w:color w:val="auto"/>
              </w:rPr>
            </w:pPr>
            <w:r>
              <w:rPr>
                <w:rFonts w:ascii="Arial" w:cs="Arial" w:eastAsia="Arial" w:hAnsi="Arial"/>
                <w:sz w:val="14"/>
                <w:szCs w:val="14"/>
                <w:color w:val="auto"/>
              </w:rPr>
              <w:t>2022</w:t>
            </w:r>
          </w:p>
        </w:tc>
        <w:tc>
          <w:tcPr>
            <w:tcW w:w="1020" w:type="dxa"/>
            <w:vAlign w:val="bottom"/>
            <w:shd w:val="clear" w:color="auto" w:fill="FAFAFA"/>
          </w:tcPr>
          <w:p>
            <w:pPr>
              <w:jc w:val="center"/>
              <w:spacing w:after="0"/>
              <w:rPr>
                <w:sz w:val="20"/>
                <w:szCs w:val="20"/>
                <w:color w:val="auto"/>
              </w:rPr>
            </w:pPr>
            <w:r>
              <w:rPr>
                <w:rFonts w:ascii="Arial" w:cs="Arial" w:eastAsia="Arial" w:hAnsi="Arial"/>
                <w:sz w:val="14"/>
                <w:szCs w:val="14"/>
                <w:color w:val="auto"/>
              </w:rPr>
              <w:t>2025</w:t>
            </w:r>
          </w:p>
        </w:tc>
        <w:tc>
          <w:tcPr>
            <w:tcW w:w="1260" w:type="dxa"/>
            <w:vAlign w:val="bottom"/>
            <w:shd w:val="clear" w:color="auto" w:fill="FAFAFA"/>
          </w:tcPr>
          <w:p>
            <w:pPr>
              <w:jc w:val="center"/>
              <w:ind w:left="25"/>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6"/>
        </w:trPr>
        <w:tc>
          <w:tcPr>
            <w:tcW w:w="2440" w:type="dxa"/>
            <w:vAlign w:val="bottom"/>
            <w:shd w:val="clear" w:color="auto" w:fill="FAFAFA"/>
          </w:tcPr>
          <w:p>
            <w:pPr>
              <w:spacing w:after="0"/>
              <w:rPr>
                <w:sz w:val="8"/>
                <w:szCs w:val="8"/>
                <w:color w:val="auto"/>
              </w:rPr>
            </w:pPr>
          </w:p>
        </w:tc>
        <w:tc>
          <w:tcPr>
            <w:tcW w:w="900" w:type="dxa"/>
            <w:vAlign w:val="bottom"/>
            <w:shd w:val="clear" w:color="auto" w:fill="FAFAFA"/>
          </w:tcPr>
          <w:p>
            <w:pPr>
              <w:spacing w:after="0"/>
              <w:rPr>
                <w:sz w:val="8"/>
                <w:szCs w:val="8"/>
                <w:color w:val="auto"/>
              </w:rPr>
            </w:pPr>
          </w:p>
        </w:tc>
        <w:tc>
          <w:tcPr>
            <w:tcW w:w="760" w:type="dxa"/>
            <w:vAlign w:val="bottom"/>
            <w:shd w:val="clear" w:color="auto" w:fill="FAFAFA"/>
          </w:tcPr>
          <w:p>
            <w:pPr>
              <w:spacing w:after="0"/>
              <w:rPr>
                <w:sz w:val="8"/>
                <w:szCs w:val="8"/>
                <w:color w:val="auto"/>
              </w:rPr>
            </w:pPr>
          </w:p>
        </w:tc>
        <w:tc>
          <w:tcPr>
            <w:tcW w:w="2080" w:type="dxa"/>
            <w:vAlign w:val="bottom"/>
            <w:shd w:val="clear" w:color="auto" w:fill="FAFAFA"/>
          </w:tcPr>
          <w:p>
            <w:pPr>
              <w:spacing w:after="0"/>
              <w:rPr>
                <w:sz w:val="8"/>
                <w:szCs w:val="8"/>
                <w:color w:val="auto"/>
              </w:rPr>
            </w:pPr>
          </w:p>
        </w:tc>
        <w:tc>
          <w:tcPr>
            <w:tcW w:w="940" w:type="dxa"/>
            <w:vAlign w:val="bottom"/>
            <w:shd w:val="clear" w:color="auto" w:fill="FAFAFA"/>
          </w:tcPr>
          <w:p>
            <w:pPr>
              <w:spacing w:after="0"/>
              <w:rPr>
                <w:sz w:val="8"/>
                <w:szCs w:val="8"/>
                <w:color w:val="auto"/>
              </w:rPr>
            </w:pPr>
          </w:p>
        </w:tc>
        <w:tc>
          <w:tcPr>
            <w:tcW w:w="1020" w:type="dxa"/>
            <w:vAlign w:val="bottom"/>
            <w:shd w:val="clear" w:color="auto" w:fill="FAFAFA"/>
          </w:tcPr>
          <w:p>
            <w:pPr>
              <w:spacing w:after="0"/>
              <w:rPr>
                <w:sz w:val="8"/>
                <w:szCs w:val="8"/>
                <w:color w:val="auto"/>
              </w:rPr>
            </w:pPr>
          </w:p>
        </w:tc>
        <w:tc>
          <w:tcPr>
            <w:tcW w:w="1260" w:type="dxa"/>
            <w:vAlign w:val="bottom"/>
            <w:shd w:val="clear" w:color="auto" w:fill="FAFAFA"/>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-427990</wp:posOffset>
            </wp:positionV>
            <wp:extent cx="5966460" cy="342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966460" cy="342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-856615</wp:posOffset>
            </wp:positionV>
            <wp:extent cx="5966460" cy="342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966460" cy="342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-1285240</wp:posOffset>
            </wp:positionV>
            <wp:extent cx="5966460" cy="342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966460" cy="342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-1713865</wp:posOffset>
            </wp:positionV>
            <wp:extent cx="5966460" cy="342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966460" cy="342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-2228215</wp:posOffset>
            </wp:positionV>
            <wp:extent cx="5966460" cy="342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966460" cy="342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-2639695</wp:posOffset>
            </wp:positionV>
            <wp:extent cx="5966460" cy="342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966460" cy="342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-3068320</wp:posOffset>
            </wp:positionV>
            <wp:extent cx="5966460" cy="342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966460" cy="342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-3582670</wp:posOffset>
            </wp:positionV>
            <wp:extent cx="5966460" cy="342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966460" cy="342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-4011295</wp:posOffset>
            </wp:positionV>
            <wp:extent cx="5966460" cy="342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966460" cy="342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-4422775</wp:posOffset>
            </wp:positionV>
            <wp:extent cx="5966460" cy="342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966460" cy="34290"/>
                    </a:xfrm>
                    <a:prstGeom prst="rect">
                      <a:avLst/>
                    </a:prstGeom>
                    <a:noFill/>
                  </pic:spPr>
                </pic:pic>
              </a:graphicData>
            </a:graphic>
          </wp:anchor>
        </w:drawing>
      </w:r>
    </w:p>
    <w:p>
      <w:pPr>
        <w:spacing w:after="0" w:line="133" w:lineRule="exact"/>
        <w:rPr>
          <w:sz w:val="20"/>
          <w:szCs w:val="20"/>
          <w:color w:val="auto"/>
        </w:rPr>
      </w:pPr>
    </w:p>
    <w:p>
      <w:pPr>
        <w:ind w:left="240" w:hanging="234"/>
        <w:spacing w:after="0"/>
        <w:tabs>
          <w:tab w:leader="none" w:pos="240" w:val="left"/>
        </w:tabs>
        <w:numPr>
          <w:ilvl w:val="0"/>
          <w:numId w:val="14"/>
        </w:numPr>
        <w:rPr>
          <w:rFonts w:ascii="Arial" w:cs="Arial" w:eastAsia="Arial" w:hAnsi="Arial"/>
          <w:sz w:val="14"/>
          <w:szCs w:val="14"/>
          <w:color w:val="255993"/>
        </w:rPr>
      </w:pPr>
      <w:r>
        <w:rPr>
          <w:rFonts w:ascii="Arial" w:cs="Arial" w:eastAsia="Arial" w:hAnsi="Arial"/>
          <w:sz w:val="14"/>
          <w:szCs w:val="14"/>
          <w:color w:val="255993"/>
        </w:rPr>
        <w:t>Chairwoman of our compensation committee.</w:t>
      </w:r>
    </w:p>
    <w:p>
      <w:pPr>
        <w:spacing w:after="0" w:line="82" w:lineRule="exact"/>
        <w:rPr>
          <w:rFonts w:ascii="Arial" w:cs="Arial" w:eastAsia="Arial" w:hAnsi="Arial"/>
          <w:sz w:val="14"/>
          <w:szCs w:val="14"/>
          <w:color w:val="255993"/>
        </w:rPr>
      </w:pPr>
    </w:p>
    <w:p>
      <w:pPr>
        <w:ind w:left="240" w:hanging="234"/>
        <w:spacing w:after="0"/>
        <w:tabs>
          <w:tab w:leader="none" w:pos="240" w:val="left"/>
        </w:tabs>
        <w:numPr>
          <w:ilvl w:val="0"/>
          <w:numId w:val="14"/>
        </w:numPr>
        <w:rPr>
          <w:rFonts w:ascii="Arial" w:cs="Arial" w:eastAsia="Arial" w:hAnsi="Arial"/>
          <w:sz w:val="14"/>
          <w:szCs w:val="14"/>
          <w:color w:val="255993"/>
        </w:rPr>
      </w:pPr>
      <w:r>
        <w:rPr>
          <w:rFonts w:ascii="Arial" w:cs="Arial" w:eastAsia="Arial" w:hAnsi="Arial"/>
          <w:sz w:val="14"/>
          <w:szCs w:val="14"/>
          <w:color w:val="255993"/>
        </w:rPr>
        <w:t>Member of our nominating and corporate governance committee.</w:t>
      </w:r>
    </w:p>
    <w:p>
      <w:pPr>
        <w:spacing w:after="0" w:line="95" w:lineRule="exact"/>
        <w:rPr>
          <w:rFonts w:ascii="Arial" w:cs="Arial" w:eastAsia="Arial" w:hAnsi="Arial"/>
          <w:sz w:val="14"/>
          <w:szCs w:val="14"/>
          <w:color w:val="255993"/>
        </w:rPr>
      </w:pPr>
    </w:p>
    <w:p>
      <w:pPr>
        <w:ind w:left="240" w:hanging="234"/>
        <w:spacing w:after="0"/>
        <w:tabs>
          <w:tab w:leader="none" w:pos="240" w:val="left"/>
        </w:tabs>
        <w:numPr>
          <w:ilvl w:val="0"/>
          <w:numId w:val="14"/>
        </w:numPr>
        <w:rPr>
          <w:rFonts w:ascii="Arial" w:cs="Arial" w:eastAsia="Arial" w:hAnsi="Arial"/>
          <w:sz w:val="14"/>
          <w:szCs w:val="14"/>
          <w:color w:val="255993"/>
        </w:rPr>
      </w:pPr>
      <w:r>
        <w:rPr>
          <w:rFonts w:ascii="Arial" w:cs="Arial" w:eastAsia="Arial" w:hAnsi="Arial"/>
          <w:sz w:val="14"/>
          <w:szCs w:val="14"/>
          <w:color w:val="255993"/>
        </w:rPr>
        <w:t>Chairwoman of our nominating and corporate governance committee.</w:t>
      </w:r>
    </w:p>
    <w:p>
      <w:pPr>
        <w:spacing w:after="0" w:line="122" w:lineRule="exact"/>
        <w:rPr>
          <w:rFonts w:ascii="Arial" w:cs="Arial" w:eastAsia="Arial" w:hAnsi="Arial"/>
          <w:sz w:val="14"/>
          <w:szCs w:val="14"/>
          <w:color w:val="255993"/>
        </w:rPr>
      </w:pPr>
    </w:p>
    <w:p>
      <w:pPr>
        <w:spacing w:after="0"/>
        <w:rPr>
          <w:rFonts w:ascii="Arial" w:cs="Arial" w:eastAsia="Arial" w:hAnsi="Arial"/>
          <w:sz w:val="14"/>
          <w:szCs w:val="14"/>
          <w:color w:val="255993"/>
        </w:rPr>
      </w:pPr>
      <w:r>
        <w:rPr>
          <w:rFonts w:ascii="Arial" w:cs="Arial" w:eastAsia="Arial" w:hAnsi="Arial"/>
          <w:sz w:val="14"/>
          <w:szCs w:val="14"/>
          <w:color w:val="255993"/>
        </w:rPr>
        <w:t>(4)  Member of our audit committee.</w:t>
      </w:r>
    </w:p>
    <w:p>
      <w:pPr>
        <w:spacing w:after="0" w:line="217" w:lineRule="exact"/>
        <w:rPr>
          <w:sz w:val="20"/>
          <w:szCs w:val="20"/>
          <w:color w:val="auto"/>
        </w:rPr>
      </w:pPr>
    </w:p>
    <w:p>
      <w:pPr>
        <w:spacing w:after="0"/>
        <w:tabs>
          <w:tab w:leader="none" w:pos="4640" w:val="left"/>
          <w:tab w:leader="none" w:pos="7960" w:val="left"/>
        </w:tabs>
        <w:rPr>
          <w:sz w:val="20"/>
          <w:szCs w:val="20"/>
          <w:color w:val="auto"/>
        </w:rPr>
      </w:pPr>
      <w:r>
        <w:rPr>
          <w:rFonts w:ascii="Arial" w:cs="Arial" w:eastAsia="Arial" w:hAnsi="Arial"/>
          <w:sz w:val="14"/>
          <w:szCs w:val="14"/>
          <w:color w:val="255993"/>
        </w:rPr>
        <w:t>Athira Pharma, Inc.</w:t>
      </w:r>
      <w:r>
        <w:rPr>
          <w:sz w:val="20"/>
          <w:szCs w:val="20"/>
          <w:color w:val="auto"/>
        </w:rPr>
        <w:tab/>
      </w:r>
      <w:r>
        <w:rPr>
          <w:rFonts w:ascii="Arial" w:cs="Arial" w:eastAsia="Arial" w:hAnsi="Arial"/>
          <w:sz w:val="14"/>
          <w:szCs w:val="14"/>
          <w:b w:val="1"/>
          <w:bCs w:val="1"/>
          <w:color w:val="255993"/>
        </w:rPr>
        <w:t>9</w:t>
      </w:r>
      <w:r>
        <w:rPr>
          <w:sz w:val="20"/>
          <w:szCs w:val="20"/>
          <w:color w:val="auto"/>
        </w:rPr>
        <w:tab/>
      </w:r>
      <w:r>
        <w:rPr>
          <w:rFonts w:ascii="Arial" w:cs="Arial" w:eastAsia="Arial" w:hAnsi="Arial"/>
          <w:sz w:val="14"/>
          <w:szCs w:val="14"/>
          <w:color w:val="255993"/>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118110</wp:posOffset>
            </wp:positionV>
            <wp:extent cx="699516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263" w:right="1259" w:bottom="1440" w:gutter="0" w:footer="0" w:header="0"/>
        </w:sectPr>
      </w:pPr>
    </w:p>
    <w:bookmarkStart w:id="18" w:name="page19"/>
    <w:bookmarkEnd w:id="18"/>
    <w:p>
      <w:pPr>
        <w:ind w:left="8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ind w:left="800"/>
        <w:spacing w:after="0"/>
        <w:rPr>
          <w:sz w:val="20"/>
          <w:szCs w:val="20"/>
          <w:color w:val="auto"/>
        </w:rPr>
      </w:pPr>
      <w:r>
        <w:rPr>
          <w:rFonts w:ascii="Arial" w:cs="Arial" w:eastAsia="Arial" w:hAnsi="Arial"/>
          <w:sz w:val="14"/>
          <w:szCs w:val="14"/>
          <w:color w:val="255993"/>
        </w:rPr>
        <w:t>Board of Directors and Corporate Governance</w:t>
      </w:r>
    </w:p>
    <w:p>
      <w:pPr>
        <w:spacing w:after="0" w:line="96" w:lineRule="exact"/>
        <w:rPr>
          <w:sz w:val="20"/>
          <w:szCs w:val="20"/>
          <w:color w:val="auto"/>
        </w:rPr>
      </w:pPr>
    </w:p>
    <w:p>
      <w:pPr>
        <w:ind w:left="800"/>
        <w:spacing w:after="0"/>
        <w:rPr>
          <w:sz w:val="20"/>
          <w:szCs w:val="20"/>
          <w:color w:val="auto"/>
        </w:rPr>
      </w:pPr>
      <w:r>
        <w:rPr>
          <w:rFonts w:ascii="Arial" w:cs="Arial" w:eastAsia="Arial" w:hAnsi="Arial"/>
          <w:sz w:val="14"/>
          <w:szCs w:val="14"/>
          <w:color w:val="255993"/>
        </w:rPr>
        <w:t>(5)  Chairman of our audit committee.</w:t>
      </w:r>
    </w:p>
    <w:p>
      <w:pPr>
        <w:spacing w:after="0" w:line="123" w:lineRule="exact"/>
        <w:rPr>
          <w:sz w:val="20"/>
          <w:szCs w:val="20"/>
          <w:color w:val="auto"/>
        </w:rPr>
      </w:pPr>
    </w:p>
    <w:p>
      <w:pPr>
        <w:ind w:left="800"/>
        <w:spacing w:after="0"/>
        <w:rPr>
          <w:sz w:val="20"/>
          <w:szCs w:val="20"/>
          <w:color w:val="auto"/>
        </w:rPr>
      </w:pPr>
      <w:r>
        <w:rPr>
          <w:rFonts w:ascii="Arial" w:cs="Arial" w:eastAsia="Arial" w:hAnsi="Arial"/>
          <w:sz w:val="14"/>
          <w:szCs w:val="14"/>
          <w:color w:val="255993"/>
        </w:rPr>
        <w:t>(6)  Member of our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49530</wp:posOffset>
            </wp:positionV>
            <wp:extent cx="5966460" cy="10972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966460" cy="1097280"/>
                    </a:xfrm>
                    <a:prstGeom prst="rect">
                      <a:avLst/>
                    </a:prstGeom>
                    <a:noFill/>
                  </pic:spPr>
                </pic:pic>
              </a:graphicData>
            </a:graphic>
          </wp:anchor>
        </w:drawing>
      </w:r>
    </w:p>
    <w:p>
      <w:pPr>
        <w:spacing w:after="0" w:line="381" w:lineRule="exact"/>
        <w:rPr>
          <w:sz w:val="20"/>
          <w:szCs w:val="20"/>
          <w:color w:val="auto"/>
        </w:rPr>
      </w:pPr>
    </w:p>
    <w:p>
      <w:pPr>
        <w:ind w:left="2580"/>
        <w:spacing w:after="0"/>
        <w:rPr>
          <w:sz w:val="20"/>
          <w:szCs w:val="20"/>
          <w:color w:val="auto"/>
        </w:rPr>
      </w:pPr>
      <w:r>
        <w:rPr>
          <w:rFonts w:ascii="Arial" w:cs="Arial" w:eastAsia="Arial" w:hAnsi="Arial"/>
          <w:sz w:val="16"/>
          <w:szCs w:val="16"/>
          <w:color w:val="auto"/>
        </w:rPr>
        <w:t>Board Recommendation</w:t>
      </w:r>
    </w:p>
    <w:p>
      <w:pPr>
        <w:spacing w:after="0" w:line="302" w:lineRule="exact"/>
        <w:rPr>
          <w:sz w:val="20"/>
          <w:szCs w:val="20"/>
          <w:color w:val="auto"/>
        </w:rPr>
      </w:pPr>
    </w:p>
    <w:p>
      <w:pPr>
        <w:ind w:left="2580"/>
        <w:spacing w:after="0"/>
        <w:rPr>
          <w:sz w:val="20"/>
          <w:szCs w:val="20"/>
          <w:color w:val="auto"/>
        </w:rPr>
      </w:pPr>
      <w:r>
        <w:rPr>
          <w:rFonts w:ascii="Arial" w:cs="Arial" w:eastAsia="Arial" w:hAnsi="Arial"/>
          <w:sz w:val="16"/>
          <w:szCs w:val="16"/>
          <w:color w:val="255993"/>
        </w:rPr>
        <w:t xml:space="preserve">The Board of Directors unanimously recommends voting </w:t>
      </w:r>
      <w:r>
        <w:rPr>
          <w:rFonts w:ascii="Arial" w:cs="Arial" w:eastAsia="Arial" w:hAnsi="Arial"/>
          <w:sz w:val="16"/>
          <w:szCs w:val="16"/>
          <w:b w:val="1"/>
          <w:bCs w:val="1"/>
          <w:color w:val="255993"/>
        </w:rPr>
        <w:t>“FOR”</w:t>
      </w:r>
      <w:r>
        <w:rPr>
          <w:rFonts w:ascii="Arial" w:cs="Arial" w:eastAsia="Arial" w:hAnsi="Arial"/>
          <w:sz w:val="16"/>
          <w:szCs w:val="16"/>
          <w:color w:val="255993"/>
        </w:rPr>
        <w:t xml:space="preserve"> the election of each of the Board of</w:t>
      </w:r>
    </w:p>
    <w:p>
      <w:pPr>
        <w:spacing w:after="0" w:line="21" w:lineRule="exact"/>
        <w:rPr>
          <w:sz w:val="20"/>
          <w:szCs w:val="20"/>
          <w:color w:val="auto"/>
        </w:rPr>
      </w:pPr>
    </w:p>
    <w:p>
      <w:pPr>
        <w:ind w:left="2580" w:right="1060" w:hanging="1779"/>
        <w:spacing w:after="0" w:line="183" w:lineRule="auto"/>
        <w:tabs>
          <w:tab w:leader="none" w:pos="2560" w:val="left"/>
        </w:tabs>
        <w:rPr>
          <w:sz w:val="20"/>
          <w:szCs w:val="20"/>
          <w:color w:val="auto"/>
        </w:rPr>
      </w:pPr>
      <w:r>
        <w:rPr>
          <w:rFonts w:ascii="Arial" w:cs="Arial" w:eastAsia="Arial" w:hAnsi="Arial"/>
          <w:sz w:val="29"/>
          <w:szCs w:val="29"/>
          <w:b w:val="1"/>
          <w:bCs w:val="1"/>
          <w:color w:val="auto"/>
          <w:vertAlign w:val="subscript"/>
        </w:rPr>
        <w:t> </w:t>
      </w:r>
      <w:r>
        <w:rPr>
          <w:sz w:val="20"/>
          <w:szCs w:val="20"/>
          <w:color w:val="auto"/>
        </w:rPr>
        <w:tab/>
      </w:r>
      <w:r>
        <w:rPr>
          <w:rFonts w:ascii="Arial" w:cs="Arial" w:eastAsia="Arial" w:hAnsi="Arial"/>
          <w:sz w:val="15"/>
          <w:szCs w:val="15"/>
          <w:color w:val="255993"/>
        </w:rPr>
        <w:t>Directors’ nominees on Proposal No. 1 (which nominees are Barbara Kosacz, Mark Litton, and Michael Panzara).</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F8991D"/>
        </w:rPr>
        <w:t>NOMINEES FOR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154940</wp:posOffset>
            </wp:positionV>
            <wp:extent cx="900430" cy="9004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900430" cy="90043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509"/>
        </w:trPr>
        <w:tc>
          <w:tcPr>
            <w:tcW w:w="2460" w:type="dxa"/>
            <w:vAlign w:val="bottom"/>
          </w:tcPr>
          <w:p>
            <w:pPr>
              <w:spacing w:after="0"/>
              <w:rPr>
                <w:sz w:val="24"/>
                <w:szCs w:val="24"/>
                <w:color w:val="auto"/>
              </w:rPr>
            </w:pPr>
          </w:p>
        </w:tc>
        <w:tc>
          <w:tcPr>
            <w:tcW w:w="5780" w:type="dxa"/>
            <w:vAlign w:val="bottom"/>
            <w:gridSpan w:val="2"/>
          </w:tcPr>
          <w:p>
            <w:pPr>
              <w:spacing w:after="0"/>
              <w:rPr>
                <w:sz w:val="20"/>
                <w:szCs w:val="20"/>
                <w:color w:val="auto"/>
              </w:rPr>
            </w:pPr>
            <w:r>
              <w:rPr>
                <w:rFonts w:ascii="Arial" w:cs="Arial" w:eastAsia="Arial" w:hAnsi="Arial"/>
                <w:sz w:val="40"/>
                <w:szCs w:val="40"/>
                <w:color w:val="255993"/>
              </w:rPr>
              <w:t>Barbara Kosacz</w:t>
            </w:r>
          </w:p>
        </w:tc>
        <w:tc>
          <w:tcPr>
            <w:tcW w:w="2780" w:type="dxa"/>
            <w:vAlign w:val="bottom"/>
          </w:tcPr>
          <w:p>
            <w:pPr>
              <w:spacing w:after="0"/>
              <w:rPr>
                <w:sz w:val="24"/>
                <w:szCs w:val="24"/>
                <w:color w:val="auto"/>
              </w:rPr>
            </w:pPr>
          </w:p>
        </w:tc>
      </w:tr>
      <w:tr>
        <w:trPr>
          <w:trHeight w:val="196"/>
        </w:trPr>
        <w:tc>
          <w:tcPr>
            <w:tcW w:w="2460" w:type="dxa"/>
            <w:vAlign w:val="bottom"/>
          </w:tcPr>
          <w:p>
            <w:pPr>
              <w:spacing w:after="0"/>
              <w:rPr>
                <w:sz w:val="17"/>
                <w:szCs w:val="17"/>
                <w:color w:val="auto"/>
              </w:rPr>
            </w:pPr>
          </w:p>
        </w:tc>
        <w:tc>
          <w:tcPr>
            <w:tcW w:w="5780" w:type="dxa"/>
            <w:vAlign w:val="bottom"/>
            <w:gridSpan w:val="2"/>
          </w:tcPr>
          <w:p>
            <w:pPr>
              <w:spacing w:after="0"/>
              <w:rPr>
                <w:sz w:val="20"/>
                <w:szCs w:val="20"/>
                <w:color w:val="auto"/>
              </w:rPr>
            </w:pPr>
            <w:r>
              <w:rPr>
                <w:rFonts w:ascii="Arial" w:cs="Arial" w:eastAsia="Arial" w:hAnsi="Arial"/>
                <w:sz w:val="14"/>
                <w:szCs w:val="14"/>
                <w:b w:val="1"/>
                <w:bCs w:val="1"/>
                <w:color w:val="auto"/>
              </w:rPr>
              <w:t>AGE: 66   DIRECTOR SINCE: MARCH 2021</w:t>
            </w:r>
          </w:p>
        </w:tc>
        <w:tc>
          <w:tcPr>
            <w:tcW w:w="2780" w:type="dxa"/>
            <w:vAlign w:val="bottom"/>
          </w:tcPr>
          <w:p>
            <w:pPr>
              <w:spacing w:after="0"/>
              <w:rPr>
                <w:sz w:val="17"/>
                <w:szCs w:val="17"/>
                <w:color w:val="auto"/>
              </w:rPr>
            </w:pPr>
          </w:p>
        </w:tc>
      </w:tr>
      <w:tr>
        <w:trPr>
          <w:trHeight w:val="238"/>
        </w:trPr>
        <w:tc>
          <w:tcPr>
            <w:tcW w:w="2460" w:type="dxa"/>
            <w:vAlign w:val="bottom"/>
          </w:tcPr>
          <w:p>
            <w:pPr>
              <w:spacing w:after="0"/>
              <w:rPr>
                <w:sz w:val="20"/>
                <w:szCs w:val="20"/>
                <w:color w:val="auto"/>
              </w:rPr>
            </w:pPr>
          </w:p>
        </w:tc>
        <w:tc>
          <w:tcPr>
            <w:tcW w:w="1400" w:type="dxa"/>
            <w:vAlign w:val="bottom"/>
            <w:tcBorders>
              <w:bottom w:val="single" w:sz="8" w:color="F8991D"/>
            </w:tcBorders>
          </w:tcPr>
          <w:p>
            <w:pPr>
              <w:spacing w:after="0"/>
              <w:rPr>
                <w:sz w:val="20"/>
                <w:szCs w:val="20"/>
                <w:color w:val="auto"/>
              </w:rPr>
            </w:pPr>
          </w:p>
        </w:tc>
        <w:tc>
          <w:tcPr>
            <w:tcW w:w="7160" w:type="dxa"/>
            <w:vAlign w:val="bottom"/>
            <w:gridSpan w:val="2"/>
          </w:tcPr>
          <w:p>
            <w:pPr>
              <w:spacing w:after="0"/>
              <w:rPr>
                <w:sz w:val="20"/>
                <w:szCs w:val="20"/>
                <w:color w:val="auto"/>
              </w:rPr>
            </w:pPr>
          </w:p>
        </w:tc>
      </w:tr>
      <w:tr>
        <w:trPr>
          <w:trHeight w:val="431"/>
        </w:trPr>
        <w:tc>
          <w:tcPr>
            <w:tcW w:w="2460" w:type="dxa"/>
            <w:vAlign w:val="bottom"/>
          </w:tcPr>
          <w:p>
            <w:pPr>
              <w:ind w:left="800"/>
              <w:spacing w:after="0"/>
              <w:rPr>
                <w:sz w:val="20"/>
                <w:szCs w:val="20"/>
                <w:color w:val="auto"/>
              </w:rPr>
            </w:pPr>
            <w:r>
              <w:rPr>
                <w:rFonts w:ascii="Arial" w:cs="Arial" w:eastAsia="Arial" w:hAnsi="Arial"/>
                <w:sz w:val="16"/>
                <w:szCs w:val="16"/>
                <w:color w:val="auto"/>
              </w:rPr>
              <w:t xml:space="preserve">  </w:t>
            </w:r>
          </w:p>
        </w:tc>
        <w:tc>
          <w:tcPr>
            <w:tcW w:w="8560" w:type="dxa"/>
            <w:vAlign w:val="bottom"/>
            <w:gridSpan w:val="3"/>
          </w:tcPr>
          <w:p>
            <w:pPr>
              <w:spacing w:after="0"/>
              <w:rPr>
                <w:sz w:val="20"/>
                <w:szCs w:val="20"/>
                <w:color w:val="auto"/>
              </w:rPr>
            </w:pPr>
            <w:r>
              <w:rPr>
                <w:rFonts w:ascii="Arial" w:cs="Arial" w:eastAsia="Arial" w:hAnsi="Arial"/>
                <w:sz w:val="16"/>
                <w:szCs w:val="16"/>
                <w:color w:val="auto"/>
              </w:rPr>
              <w:t>Barbara Kosacz has served on our board of directors since March 2021. Ms. Kosacz served as chief</w:t>
            </w:r>
          </w:p>
        </w:tc>
      </w:tr>
      <w:tr>
        <w:trPr>
          <w:trHeight w:val="189"/>
        </w:trPr>
        <w:tc>
          <w:tcPr>
            <w:tcW w:w="2460" w:type="dxa"/>
            <w:vAlign w:val="bottom"/>
          </w:tcPr>
          <w:p>
            <w:pPr>
              <w:spacing w:after="0"/>
              <w:rPr>
                <w:sz w:val="16"/>
                <w:szCs w:val="16"/>
                <w:color w:val="auto"/>
              </w:rPr>
            </w:pPr>
          </w:p>
        </w:tc>
        <w:tc>
          <w:tcPr>
            <w:tcW w:w="8560" w:type="dxa"/>
            <w:vAlign w:val="bottom"/>
            <w:gridSpan w:val="3"/>
          </w:tcPr>
          <w:p>
            <w:pPr>
              <w:spacing w:after="0"/>
              <w:rPr>
                <w:sz w:val="20"/>
                <w:szCs w:val="20"/>
                <w:color w:val="auto"/>
              </w:rPr>
            </w:pPr>
            <w:r>
              <w:rPr>
                <w:rFonts w:ascii="Arial" w:cs="Arial" w:eastAsia="Arial" w:hAnsi="Arial"/>
                <w:sz w:val="16"/>
                <w:szCs w:val="16"/>
                <w:color w:val="auto"/>
              </w:rPr>
              <w:t>operating officer and general counsel at Kronos Bio, Inc., a clinical-stage biopharmaceutical company, from</w:t>
            </w:r>
          </w:p>
        </w:tc>
      </w:tr>
      <w:tr>
        <w:trPr>
          <w:trHeight w:val="189"/>
        </w:trPr>
        <w:tc>
          <w:tcPr>
            <w:tcW w:w="2460" w:type="dxa"/>
            <w:vAlign w:val="bottom"/>
          </w:tcPr>
          <w:p>
            <w:pPr>
              <w:spacing w:after="0"/>
              <w:rPr>
                <w:sz w:val="16"/>
                <w:szCs w:val="16"/>
                <w:color w:val="auto"/>
              </w:rPr>
            </w:pPr>
          </w:p>
        </w:tc>
        <w:tc>
          <w:tcPr>
            <w:tcW w:w="8560" w:type="dxa"/>
            <w:vAlign w:val="bottom"/>
            <w:gridSpan w:val="3"/>
          </w:tcPr>
          <w:p>
            <w:pPr>
              <w:spacing w:after="0"/>
              <w:rPr>
                <w:sz w:val="20"/>
                <w:szCs w:val="20"/>
                <w:color w:val="auto"/>
              </w:rPr>
            </w:pPr>
            <w:r>
              <w:rPr>
                <w:rFonts w:ascii="Arial" w:cs="Arial" w:eastAsia="Arial" w:hAnsi="Arial"/>
                <w:sz w:val="16"/>
                <w:szCs w:val="16"/>
                <w:color w:val="auto"/>
              </w:rPr>
              <w:t>July 2020 until February 2024, where she continues to serve as a strategic business development advisor.</w:t>
            </w:r>
          </w:p>
        </w:tc>
      </w:tr>
      <w:tr>
        <w:trPr>
          <w:trHeight w:val="189"/>
        </w:trPr>
        <w:tc>
          <w:tcPr>
            <w:tcW w:w="2460" w:type="dxa"/>
            <w:vAlign w:val="bottom"/>
          </w:tcPr>
          <w:p>
            <w:pPr>
              <w:spacing w:after="0"/>
              <w:rPr>
                <w:sz w:val="16"/>
                <w:szCs w:val="16"/>
                <w:color w:val="auto"/>
              </w:rPr>
            </w:pPr>
          </w:p>
        </w:tc>
        <w:tc>
          <w:tcPr>
            <w:tcW w:w="8560" w:type="dxa"/>
            <w:vAlign w:val="bottom"/>
            <w:gridSpan w:val="3"/>
          </w:tcPr>
          <w:p>
            <w:pPr>
              <w:spacing w:after="0"/>
              <w:rPr>
                <w:sz w:val="20"/>
                <w:szCs w:val="20"/>
                <w:color w:val="auto"/>
              </w:rPr>
            </w:pPr>
            <w:r>
              <w:rPr>
                <w:rFonts w:ascii="Arial" w:cs="Arial" w:eastAsia="Arial" w:hAnsi="Arial"/>
                <w:sz w:val="16"/>
                <w:szCs w:val="16"/>
                <w:color w:val="auto"/>
              </w:rPr>
              <w:t>Prior to joining Kronos Bio, Ms. Kosacz was a partner at Cooley LLP from January 1997 to December 2000,</w:t>
            </w:r>
          </w:p>
        </w:tc>
      </w:tr>
      <w:tr>
        <w:trPr>
          <w:trHeight w:val="189"/>
        </w:trPr>
        <w:tc>
          <w:tcPr>
            <w:tcW w:w="2460" w:type="dxa"/>
            <w:vAlign w:val="bottom"/>
          </w:tcPr>
          <w:p>
            <w:pPr>
              <w:spacing w:after="0"/>
              <w:rPr>
                <w:sz w:val="16"/>
                <w:szCs w:val="16"/>
                <w:color w:val="auto"/>
              </w:rPr>
            </w:pPr>
          </w:p>
        </w:tc>
        <w:tc>
          <w:tcPr>
            <w:tcW w:w="8560" w:type="dxa"/>
            <w:vAlign w:val="bottom"/>
            <w:gridSpan w:val="3"/>
          </w:tcPr>
          <w:p>
            <w:pPr>
              <w:spacing w:after="0"/>
              <w:rPr>
                <w:sz w:val="20"/>
                <w:szCs w:val="20"/>
                <w:color w:val="auto"/>
              </w:rPr>
            </w:pPr>
            <w:r>
              <w:rPr>
                <w:rFonts w:ascii="Arial" w:cs="Arial" w:eastAsia="Arial" w:hAnsi="Arial"/>
                <w:sz w:val="16"/>
                <w:szCs w:val="16"/>
                <w:color w:val="auto"/>
              </w:rPr>
              <w:t>and again from February 2002 until July 2020, where she led the international life sciences practice. Ms.</w:t>
            </w:r>
          </w:p>
        </w:tc>
      </w:tr>
      <w:tr>
        <w:trPr>
          <w:trHeight w:val="189"/>
        </w:trPr>
        <w:tc>
          <w:tcPr>
            <w:tcW w:w="2460" w:type="dxa"/>
            <w:vAlign w:val="bottom"/>
          </w:tcPr>
          <w:p>
            <w:pPr>
              <w:spacing w:after="0"/>
              <w:rPr>
                <w:sz w:val="16"/>
                <w:szCs w:val="16"/>
                <w:color w:val="auto"/>
              </w:rPr>
            </w:pPr>
          </w:p>
        </w:tc>
        <w:tc>
          <w:tcPr>
            <w:tcW w:w="8560" w:type="dxa"/>
            <w:vAlign w:val="bottom"/>
            <w:gridSpan w:val="3"/>
          </w:tcPr>
          <w:p>
            <w:pPr>
              <w:spacing w:after="0"/>
              <w:rPr>
                <w:sz w:val="20"/>
                <w:szCs w:val="20"/>
                <w:color w:val="auto"/>
              </w:rPr>
            </w:pPr>
            <w:r>
              <w:rPr>
                <w:rFonts w:ascii="Arial" w:cs="Arial" w:eastAsia="Arial" w:hAnsi="Arial"/>
                <w:sz w:val="16"/>
                <w:szCs w:val="16"/>
                <w:color w:val="auto"/>
              </w:rPr>
              <w:t>Kosacz has more than 25 years of experience in counseling clients in the life sciences arena, ranging from</w:t>
            </w:r>
          </w:p>
        </w:tc>
      </w:tr>
      <w:tr>
        <w:trPr>
          <w:trHeight w:val="189"/>
        </w:trPr>
        <w:tc>
          <w:tcPr>
            <w:tcW w:w="2460" w:type="dxa"/>
            <w:vAlign w:val="bottom"/>
          </w:tcPr>
          <w:p>
            <w:pPr>
              <w:spacing w:after="0"/>
              <w:rPr>
                <w:sz w:val="16"/>
                <w:szCs w:val="16"/>
                <w:color w:val="auto"/>
              </w:rPr>
            </w:pPr>
          </w:p>
        </w:tc>
        <w:tc>
          <w:tcPr>
            <w:tcW w:w="8560" w:type="dxa"/>
            <w:vAlign w:val="bottom"/>
            <w:gridSpan w:val="3"/>
          </w:tcPr>
          <w:p>
            <w:pPr>
              <w:spacing w:after="0"/>
              <w:rPr>
                <w:sz w:val="20"/>
                <w:szCs w:val="20"/>
                <w:color w:val="auto"/>
              </w:rPr>
            </w:pPr>
            <w:r>
              <w:rPr>
                <w:rFonts w:ascii="Arial" w:cs="Arial" w:eastAsia="Arial" w:hAnsi="Arial"/>
                <w:sz w:val="16"/>
                <w:szCs w:val="16"/>
                <w:color w:val="auto"/>
              </w:rPr>
              <w:t>early stage startups to larger public companies, venture funds, investment banks, and non-profit institutions.</w:t>
            </w:r>
          </w:p>
        </w:tc>
      </w:tr>
      <w:tr>
        <w:trPr>
          <w:trHeight w:val="189"/>
        </w:trPr>
        <w:tc>
          <w:tcPr>
            <w:tcW w:w="2460" w:type="dxa"/>
            <w:vAlign w:val="bottom"/>
          </w:tcPr>
          <w:p>
            <w:pPr>
              <w:spacing w:after="0"/>
              <w:rPr>
                <w:sz w:val="16"/>
                <w:szCs w:val="16"/>
                <w:color w:val="auto"/>
              </w:rPr>
            </w:pPr>
          </w:p>
        </w:tc>
        <w:tc>
          <w:tcPr>
            <w:tcW w:w="8560" w:type="dxa"/>
            <w:vAlign w:val="bottom"/>
            <w:gridSpan w:val="3"/>
          </w:tcPr>
          <w:p>
            <w:pPr>
              <w:spacing w:after="0"/>
              <w:rPr>
                <w:sz w:val="20"/>
                <w:szCs w:val="20"/>
                <w:color w:val="auto"/>
              </w:rPr>
            </w:pPr>
            <w:r>
              <w:rPr>
                <w:rFonts w:ascii="Arial" w:cs="Arial" w:eastAsia="Arial" w:hAnsi="Arial"/>
                <w:sz w:val="16"/>
                <w:szCs w:val="16"/>
                <w:color w:val="auto"/>
              </w:rPr>
              <w:t>She has served as a member of the BIO Emerging Companies’ Section Governing Board, the Board of</w:t>
            </w:r>
          </w:p>
        </w:tc>
      </w:tr>
      <w:tr>
        <w:trPr>
          <w:trHeight w:val="189"/>
        </w:trPr>
        <w:tc>
          <w:tcPr>
            <w:tcW w:w="2460" w:type="dxa"/>
            <w:vAlign w:val="bottom"/>
          </w:tcPr>
          <w:p>
            <w:pPr>
              <w:spacing w:after="0"/>
              <w:rPr>
                <w:sz w:val="16"/>
                <w:szCs w:val="16"/>
                <w:color w:val="auto"/>
              </w:rPr>
            </w:pPr>
          </w:p>
        </w:tc>
        <w:tc>
          <w:tcPr>
            <w:tcW w:w="8560" w:type="dxa"/>
            <w:vAlign w:val="bottom"/>
            <w:gridSpan w:val="3"/>
          </w:tcPr>
          <w:p>
            <w:pPr>
              <w:spacing w:after="0"/>
              <w:rPr>
                <w:sz w:val="20"/>
                <w:szCs w:val="20"/>
                <w:color w:val="auto"/>
              </w:rPr>
            </w:pPr>
            <w:r>
              <w:rPr>
                <w:rFonts w:ascii="Arial" w:cs="Arial" w:eastAsia="Arial" w:hAnsi="Arial"/>
                <w:sz w:val="16"/>
                <w:szCs w:val="16"/>
                <w:color w:val="auto"/>
              </w:rPr>
              <w:t>Trustees of the Keck Graduate Institute, the business advisory board of Locust Walk Partners, and as a</w:t>
            </w:r>
          </w:p>
        </w:tc>
      </w:tr>
      <w:tr>
        <w:trPr>
          <w:trHeight w:val="189"/>
        </w:trPr>
        <w:tc>
          <w:tcPr>
            <w:tcW w:w="2460" w:type="dxa"/>
            <w:vAlign w:val="bottom"/>
          </w:tcPr>
          <w:p>
            <w:pPr>
              <w:spacing w:after="0"/>
              <w:rPr>
                <w:sz w:val="16"/>
                <w:szCs w:val="16"/>
                <w:color w:val="auto"/>
              </w:rPr>
            </w:pPr>
          </w:p>
        </w:tc>
        <w:tc>
          <w:tcPr>
            <w:tcW w:w="8560" w:type="dxa"/>
            <w:vAlign w:val="bottom"/>
            <w:gridSpan w:val="3"/>
          </w:tcPr>
          <w:p>
            <w:pPr>
              <w:spacing w:after="0"/>
              <w:rPr>
                <w:sz w:val="20"/>
                <w:szCs w:val="20"/>
                <w:color w:val="auto"/>
              </w:rPr>
            </w:pPr>
            <w:r>
              <w:rPr>
                <w:rFonts w:ascii="Arial" w:cs="Arial" w:eastAsia="Arial" w:hAnsi="Arial"/>
                <w:sz w:val="16"/>
                <w:szCs w:val="16"/>
                <w:color w:val="auto"/>
              </w:rPr>
              <w:t>speaker at multiple life sciences-related conferences, as well as guest lecturer at the University of</w:t>
            </w:r>
          </w:p>
        </w:tc>
      </w:tr>
      <w:tr>
        <w:trPr>
          <w:trHeight w:val="189"/>
        </w:trPr>
        <w:tc>
          <w:tcPr>
            <w:tcW w:w="2460" w:type="dxa"/>
            <w:vAlign w:val="bottom"/>
          </w:tcPr>
          <w:p>
            <w:pPr>
              <w:spacing w:after="0"/>
              <w:rPr>
                <w:sz w:val="16"/>
                <w:szCs w:val="16"/>
                <w:color w:val="auto"/>
              </w:rPr>
            </w:pPr>
          </w:p>
        </w:tc>
        <w:tc>
          <w:tcPr>
            <w:tcW w:w="8560" w:type="dxa"/>
            <w:vAlign w:val="bottom"/>
            <w:gridSpan w:val="3"/>
          </w:tcPr>
          <w:p>
            <w:pPr>
              <w:spacing w:after="0"/>
              <w:rPr>
                <w:sz w:val="20"/>
                <w:szCs w:val="20"/>
                <w:color w:val="auto"/>
              </w:rPr>
            </w:pPr>
            <w:r>
              <w:rPr>
                <w:rFonts w:ascii="Arial" w:cs="Arial" w:eastAsia="Arial" w:hAnsi="Arial"/>
                <w:sz w:val="16"/>
                <w:szCs w:val="16"/>
                <w:color w:val="auto"/>
              </w:rPr>
              <w:t>California, Berkeley, Stanford University, Columbia University, and the University of Pennsylvania about</w:t>
            </w:r>
          </w:p>
        </w:tc>
      </w:tr>
      <w:tr>
        <w:trPr>
          <w:trHeight w:val="189"/>
        </w:trPr>
        <w:tc>
          <w:tcPr>
            <w:tcW w:w="2460" w:type="dxa"/>
            <w:vAlign w:val="bottom"/>
          </w:tcPr>
          <w:p>
            <w:pPr>
              <w:spacing w:after="0"/>
              <w:rPr>
                <w:sz w:val="16"/>
                <w:szCs w:val="16"/>
                <w:color w:val="auto"/>
              </w:rPr>
            </w:pPr>
          </w:p>
        </w:tc>
        <w:tc>
          <w:tcPr>
            <w:tcW w:w="8560" w:type="dxa"/>
            <w:vAlign w:val="bottom"/>
            <w:gridSpan w:val="3"/>
          </w:tcPr>
          <w:p>
            <w:pPr>
              <w:spacing w:after="0"/>
              <w:rPr>
                <w:sz w:val="20"/>
                <w:szCs w:val="20"/>
                <w:color w:val="auto"/>
              </w:rPr>
            </w:pPr>
            <w:r>
              <w:rPr>
                <w:rFonts w:ascii="Arial" w:cs="Arial" w:eastAsia="Arial" w:hAnsi="Arial"/>
                <w:sz w:val="16"/>
                <w:szCs w:val="16"/>
                <w:color w:val="auto"/>
              </w:rPr>
              <w:t>biotechnology law, biotech business models, corporate partnering negotiations and deal structures, and</w:t>
            </w:r>
          </w:p>
        </w:tc>
      </w:tr>
      <w:tr>
        <w:trPr>
          <w:trHeight w:val="189"/>
        </w:trPr>
        <w:tc>
          <w:tcPr>
            <w:tcW w:w="2460" w:type="dxa"/>
            <w:vAlign w:val="bottom"/>
          </w:tcPr>
          <w:p>
            <w:pPr>
              <w:spacing w:after="0"/>
              <w:rPr>
                <w:sz w:val="16"/>
                <w:szCs w:val="16"/>
                <w:color w:val="auto"/>
              </w:rPr>
            </w:pPr>
          </w:p>
        </w:tc>
        <w:tc>
          <w:tcPr>
            <w:tcW w:w="8560" w:type="dxa"/>
            <w:vAlign w:val="bottom"/>
            <w:gridSpan w:val="3"/>
          </w:tcPr>
          <w:p>
            <w:pPr>
              <w:spacing w:after="0"/>
              <w:rPr>
                <w:sz w:val="20"/>
                <w:szCs w:val="20"/>
                <w:color w:val="auto"/>
              </w:rPr>
            </w:pPr>
            <w:r>
              <w:rPr>
                <w:rFonts w:ascii="Arial" w:cs="Arial" w:eastAsia="Arial" w:hAnsi="Arial"/>
                <w:sz w:val="16"/>
                <w:szCs w:val="16"/>
                <w:color w:val="auto"/>
              </w:rPr>
              <w:t>bioethics. Recognized by Best Lawyers in America since 2008 and most recently as Biotechnology Lawyer</w:t>
            </w:r>
          </w:p>
        </w:tc>
      </w:tr>
      <w:tr>
        <w:trPr>
          <w:trHeight w:val="189"/>
        </w:trPr>
        <w:tc>
          <w:tcPr>
            <w:tcW w:w="2460" w:type="dxa"/>
            <w:vAlign w:val="bottom"/>
          </w:tcPr>
          <w:p>
            <w:pPr>
              <w:spacing w:after="0"/>
              <w:rPr>
                <w:sz w:val="16"/>
                <w:szCs w:val="16"/>
                <w:color w:val="auto"/>
              </w:rPr>
            </w:pPr>
          </w:p>
        </w:tc>
        <w:tc>
          <w:tcPr>
            <w:tcW w:w="8560" w:type="dxa"/>
            <w:vAlign w:val="bottom"/>
            <w:gridSpan w:val="3"/>
          </w:tcPr>
          <w:p>
            <w:pPr>
              <w:spacing w:after="0"/>
              <w:rPr>
                <w:sz w:val="20"/>
                <w:szCs w:val="20"/>
                <w:color w:val="auto"/>
              </w:rPr>
            </w:pPr>
            <w:r>
              <w:rPr>
                <w:rFonts w:ascii="Arial" w:cs="Arial" w:eastAsia="Arial" w:hAnsi="Arial"/>
                <w:sz w:val="16"/>
                <w:szCs w:val="16"/>
                <w:color w:val="auto"/>
              </w:rPr>
              <w:t>of the Year in 2018, Ms. Kosacz was listed as a “leading lawyer” for healthcare and life sciences in the 2018</w:t>
            </w:r>
          </w:p>
        </w:tc>
      </w:tr>
      <w:tr>
        <w:trPr>
          <w:trHeight w:val="189"/>
        </w:trPr>
        <w:tc>
          <w:tcPr>
            <w:tcW w:w="2460" w:type="dxa"/>
            <w:vAlign w:val="bottom"/>
          </w:tcPr>
          <w:p>
            <w:pPr>
              <w:spacing w:after="0"/>
              <w:rPr>
                <w:sz w:val="16"/>
                <w:szCs w:val="16"/>
                <w:color w:val="auto"/>
              </w:rPr>
            </w:pPr>
          </w:p>
        </w:tc>
        <w:tc>
          <w:tcPr>
            <w:tcW w:w="8560" w:type="dxa"/>
            <w:vAlign w:val="bottom"/>
            <w:gridSpan w:val="3"/>
          </w:tcPr>
          <w:p>
            <w:pPr>
              <w:spacing w:after="0"/>
              <w:rPr>
                <w:sz w:val="20"/>
                <w:szCs w:val="20"/>
                <w:color w:val="auto"/>
              </w:rPr>
            </w:pPr>
            <w:r>
              <w:rPr>
                <w:rFonts w:ascii="Arial" w:cs="Arial" w:eastAsia="Arial" w:hAnsi="Arial"/>
                <w:sz w:val="16"/>
                <w:szCs w:val="16"/>
                <w:color w:val="auto"/>
              </w:rPr>
              <w:t>Legal 500, as a “Band 1” attorney in the 2018 edition of Chambers USA: America’s Leading Lawyers for</w:t>
            </w:r>
          </w:p>
        </w:tc>
      </w:tr>
      <w:tr>
        <w:trPr>
          <w:trHeight w:val="189"/>
        </w:trPr>
        <w:tc>
          <w:tcPr>
            <w:tcW w:w="2460" w:type="dxa"/>
            <w:vAlign w:val="bottom"/>
          </w:tcPr>
          <w:p>
            <w:pPr>
              <w:spacing w:after="0"/>
              <w:rPr>
                <w:sz w:val="16"/>
                <w:szCs w:val="16"/>
                <w:color w:val="auto"/>
              </w:rPr>
            </w:pPr>
          </w:p>
        </w:tc>
        <w:tc>
          <w:tcPr>
            <w:tcW w:w="8560" w:type="dxa"/>
            <w:vAlign w:val="bottom"/>
            <w:gridSpan w:val="3"/>
          </w:tcPr>
          <w:p>
            <w:pPr>
              <w:spacing w:after="0"/>
              <w:rPr>
                <w:sz w:val="20"/>
                <w:szCs w:val="20"/>
                <w:color w:val="auto"/>
              </w:rPr>
            </w:pPr>
            <w:r>
              <w:rPr>
                <w:rFonts w:ascii="Arial" w:cs="Arial" w:eastAsia="Arial" w:hAnsi="Arial"/>
                <w:sz w:val="16"/>
                <w:szCs w:val="16"/>
                <w:color w:val="auto"/>
              </w:rPr>
              <w:t>Business and recognized as a “highly recommended transactions” lawyer by IAM Patent 1000 for her</w:t>
            </w:r>
          </w:p>
        </w:tc>
      </w:tr>
      <w:tr>
        <w:trPr>
          <w:trHeight w:val="189"/>
        </w:trPr>
        <w:tc>
          <w:tcPr>
            <w:tcW w:w="2460" w:type="dxa"/>
            <w:vAlign w:val="bottom"/>
          </w:tcPr>
          <w:p>
            <w:pPr>
              <w:spacing w:after="0"/>
              <w:rPr>
                <w:sz w:val="16"/>
                <w:szCs w:val="16"/>
                <w:color w:val="auto"/>
              </w:rPr>
            </w:pPr>
          </w:p>
        </w:tc>
        <w:tc>
          <w:tcPr>
            <w:tcW w:w="8560" w:type="dxa"/>
            <w:vAlign w:val="bottom"/>
            <w:gridSpan w:val="3"/>
          </w:tcPr>
          <w:p>
            <w:pPr>
              <w:spacing w:after="0"/>
              <w:rPr>
                <w:sz w:val="20"/>
                <w:szCs w:val="20"/>
                <w:color w:val="auto"/>
              </w:rPr>
            </w:pPr>
            <w:r>
              <w:rPr>
                <w:rFonts w:ascii="Arial" w:cs="Arial" w:eastAsia="Arial" w:hAnsi="Arial"/>
                <w:sz w:val="16"/>
                <w:szCs w:val="16"/>
                <w:color w:val="auto"/>
              </w:rPr>
              <w:t>“nearly three decades advising diverse companies in the industry at a deeply strategic and commercial level</w:t>
            </w:r>
          </w:p>
        </w:tc>
      </w:tr>
      <w:tr>
        <w:trPr>
          <w:trHeight w:val="189"/>
        </w:trPr>
        <w:tc>
          <w:tcPr>
            <w:tcW w:w="2460" w:type="dxa"/>
            <w:vAlign w:val="bottom"/>
          </w:tcPr>
          <w:p>
            <w:pPr>
              <w:spacing w:after="0"/>
              <w:rPr>
                <w:sz w:val="16"/>
                <w:szCs w:val="16"/>
                <w:color w:val="auto"/>
              </w:rPr>
            </w:pPr>
          </w:p>
        </w:tc>
        <w:tc>
          <w:tcPr>
            <w:tcW w:w="8560" w:type="dxa"/>
            <w:vAlign w:val="bottom"/>
            <w:gridSpan w:val="3"/>
          </w:tcPr>
          <w:p>
            <w:pPr>
              <w:spacing w:after="0"/>
              <w:rPr>
                <w:sz w:val="20"/>
                <w:szCs w:val="20"/>
                <w:color w:val="auto"/>
              </w:rPr>
            </w:pPr>
            <w:r>
              <w:rPr>
                <w:rFonts w:ascii="Arial" w:cs="Arial" w:eastAsia="Arial" w:hAnsi="Arial"/>
                <w:sz w:val="16"/>
                <w:szCs w:val="16"/>
                <w:color w:val="auto"/>
              </w:rPr>
              <w:t>and overseeing their most complex and profitable deals.” Ms. Kosacz is a member of the board of directors</w:t>
            </w:r>
          </w:p>
        </w:tc>
      </w:tr>
      <w:tr>
        <w:trPr>
          <w:trHeight w:val="189"/>
        </w:trPr>
        <w:tc>
          <w:tcPr>
            <w:tcW w:w="2460" w:type="dxa"/>
            <w:vAlign w:val="bottom"/>
          </w:tcPr>
          <w:p>
            <w:pPr>
              <w:spacing w:after="0"/>
              <w:rPr>
                <w:sz w:val="16"/>
                <w:szCs w:val="16"/>
                <w:color w:val="auto"/>
              </w:rPr>
            </w:pPr>
          </w:p>
        </w:tc>
        <w:tc>
          <w:tcPr>
            <w:tcW w:w="8560" w:type="dxa"/>
            <w:vAlign w:val="bottom"/>
            <w:gridSpan w:val="3"/>
          </w:tcPr>
          <w:p>
            <w:pPr>
              <w:spacing w:after="0"/>
              <w:rPr>
                <w:sz w:val="20"/>
                <w:szCs w:val="20"/>
                <w:color w:val="auto"/>
              </w:rPr>
            </w:pPr>
            <w:r>
              <w:rPr>
                <w:rFonts w:ascii="Arial" w:cs="Arial" w:eastAsia="Arial" w:hAnsi="Arial"/>
                <w:sz w:val="16"/>
                <w:szCs w:val="16"/>
                <w:color w:val="auto"/>
              </w:rPr>
              <w:t>of XOMA Corp., a public biotechnology royalty aggregation company, and Phoenix Biotech Acquisition</w:t>
            </w:r>
          </w:p>
        </w:tc>
      </w:tr>
      <w:tr>
        <w:trPr>
          <w:trHeight w:val="189"/>
        </w:trPr>
        <w:tc>
          <w:tcPr>
            <w:tcW w:w="2460" w:type="dxa"/>
            <w:vAlign w:val="bottom"/>
          </w:tcPr>
          <w:p>
            <w:pPr>
              <w:spacing w:after="0"/>
              <w:rPr>
                <w:sz w:val="16"/>
                <w:szCs w:val="16"/>
                <w:color w:val="auto"/>
              </w:rPr>
            </w:pPr>
          </w:p>
        </w:tc>
        <w:tc>
          <w:tcPr>
            <w:tcW w:w="8560" w:type="dxa"/>
            <w:vAlign w:val="bottom"/>
            <w:gridSpan w:val="3"/>
          </w:tcPr>
          <w:p>
            <w:pPr>
              <w:spacing w:after="0"/>
              <w:rPr>
                <w:sz w:val="20"/>
                <w:szCs w:val="20"/>
                <w:color w:val="auto"/>
              </w:rPr>
            </w:pPr>
            <w:r>
              <w:rPr>
                <w:rFonts w:ascii="Arial" w:cs="Arial" w:eastAsia="Arial" w:hAnsi="Arial"/>
                <w:sz w:val="16"/>
                <w:szCs w:val="16"/>
                <w:color w:val="auto"/>
              </w:rPr>
              <w:t>Corp., a blank check company formed for the purpose of acquiring or merging with one or more businesses.</w:t>
            </w:r>
          </w:p>
        </w:tc>
      </w:tr>
      <w:tr>
        <w:trPr>
          <w:trHeight w:val="189"/>
        </w:trPr>
        <w:tc>
          <w:tcPr>
            <w:tcW w:w="2460" w:type="dxa"/>
            <w:vAlign w:val="bottom"/>
          </w:tcPr>
          <w:p>
            <w:pPr>
              <w:spacing w:after="0"/>
              <w:rPr>
                <w:sz w:val="16"/>
                <w:szCs w:val="16"/>
                <w:color w:val="auto"/>
              </w:rPr>
            </w:pPr>
          </w:p>
        </w:tc>
        <w:tc>
          <w:tcPr>
            <w:tcW w:w="8560" w:type="dxa"/>
            <w:vAlign w:val="bottom"/>
            <w:gridSpan w:val="3"/>
          </w:tcPr>
          <w:p>
            <w:pPr>
              <w:spacing w:after="0"/>
              <w:rPr>
                <w:sz w:val="20"/>
                <w:szCs w:val="20"/>
                <w:color w:val="auto"/>
              </w:rPr>
            </w:pPr>
            <w:r>
              <w:rPr>
                <w:rFonts w:ascii="Arial" w:cs="Arial" w:eastAsia="Arial" w:hAnsi="Arial"/>
                <w:sz w:val="16"/>
                <w:szCs w:val="16"/>
                <w:color w:val="auto"/>
              </w:rPr>
              <w:t>Ms. Kosacz received her B.A. from Stanford University and her J.D. from the University of California,</w:t>
            </w:r>
          </w:p>
        </w:tc>
      </w:tr>
      <w:tr>
        <w:trPr>
          <w:trHeight w:val="189"/>
        </w:trPr>
        <w:tc>
          <w:tcPr>
            <w:tcW w:w="2460" w:type="dxa"/>
            <w:vAlign w:val="bottom"/>
          </w:tcPr>
          <w:p>
            <w:pPr>
              <w:spacing w:after="0"/>
              <w:rPr>
                <w:sz w:val="16"/>
                <w:szCs w:val="16"/>
                <w:color w:val="auto"/>
              </w:rPr>
            </w:pPr>
          </w:p>
        </w:tc>
        <w:tc>
          <w:tcPr>
            <w:tcW w:w="8560" w:type="dxa"/>
            <w:vAlign w:val="bottom"/>
            <w:gridSpan w:val="3"/>
          </w:tcPr>
          <w:p>
            <w:pPr>
              <w:spacing w:after="0"/>
              <w:rPr>
                <w:sz w:val="20"/>
                <w:szCs w:val="20"/>
                <w:color w:val="auto"/>
              </w:rPr>
            </w:pPr>
            <w:r>
              <w:rPr>
                <w:rFonts w:ascii="Arial" w:cs="Arial" w:eastAsia="Arial" w:hAnsi="Arial"/>
                <w:sz w:val="16"/>
                <w:szCs w:val="16"/>
                <w:color w:val="auto"/>
              </w:rPr>
              <w:t xml:space="preserve">Berkeley School of Law. </w:t>
            </w:r>
            <w:r>
              <w:rPr>
                <w:rFonts w:ascii="Arial" w:cs="Arial" w:eastAsia="Arial" w:hAnsi="Arial"/>
                <w:sz w:val="16"/>
                <w:szCs w:val="16"/>
                <w:b w:val="1"/>
                <w:bCs w:val="1"/>
                <w:color w:val="255993"/>
              </w:rPr>
              <w:t>We believe that Ms. Kosacz’s extensive experience as an advisor to life</w:t>
            </w:r>
          </w:p>
        </w:tc>
      </w:tr>
      <w:tr>
        <w:trPr>
          <w:trHeight w:val="223"/>
        </w:trPr>
        <w:tc>
          <w:tcPr>
            <w:tcW w:w="2460" w:type="dxa"/>
            <w:vAlign w:val="bottom"/>
          </w:tcPr>
          <w:p>
            <w:pPr>
              <w:spacing w:after="0"/>
              <w:rPr>
                <w:sz w:val="19"/>
                <w:szCs w:val="19"/>
                <w:color w:val="auto"/>
              </w:rPr>
            </w:pPr>
          </w:p>
        </w:tc>
        <w:tc>
          <w:tcPr>
            <w:tcW w:w="5780" w:type="dxa"/>
            <w:vAlign w:val="bottom"/>
            <w:gridSpan w:val="2"/>
          </w:tcPr>
          <w:p>
            <w:pPr>
              <w:spacing w:after="0"/>
              <w:rPr>
                <w:sz w:val="20"/>
                <w:szCs w:val="20"/>
                <w:color w:val="auto"/>
              </w:rPr>
            </w:pPr>
            <w:r>
              <w:rPr>
                <w:rFonts w:ascii="Arial" w:cs="Arial" w:eastAsia="Arial" w:hAnsi="Arial"/>
                <w:sz w:val="16"/>
                <w:szCs w:val="16"/>
                <w:b w:val="1"/>
                <w:bCs w:val="1"/>
                <w:color w:val="255993"/>
              </w:rPr>
              <w:t>sciences companies qualifies her to serve on our board of directors.</w:t>
            </w:r>
          </w:p>
        </w:tc>
        <w:tc>
          <w:tcPr>
            <w:tcW w:w="2780" w:type="dxa"/>
            <w:vAlign w:val="bottom"/>
          </w:tcPr>
          <w:p>
            <w:pPr>
              <w:spacing w:after="0"/>
              <w:rPr>
                <w:sz w:val="19"/>
                <w:szCs w:val="19"/>
                <w:color w:val="auto"/>
              </w:rPr>
            </w:pPr>
          </w:p>
        </w:tc>
      </w:tr>
      <w:tr>
        <w:trPr>
          <w:trHeight w:val="492"/>
        </w:trPr>
        <w:tc>
          <w:tcPr>
            <w:tcW w:w="2460" w:type="dxa"/>
            <w:vAlign w:val="bottom"/>
          </w:tcPr>
          <w:p>
            <w:pPr>
              <w:ind w:left="800"/>
              <w:spacing w:after="0"/>
              <w:rPr>
                <w:sz w:val="20"/>
                <w:szCs w:val="20"/>
                <w:color w:val="auto"/>
              </w:rPr>
            </w:pPr>
            <w:r>
              <w:rPr>
                <w:rFonts w:ascii="Arial" w:cs="Arial" w:eastAsia="Arial" w:hAnsi="Arial"/>
                <w:sz w:val="14"/>
                <w:szCs w:val="14"/>
                <w:color w:val="255993"/>
              </w:rPr>
              <w:t>Athira Pharma, Inc.</w:t>
            </w:r>
          </w:p>
        </w:tc>
        <w:tc>
          <w:tcPr>
            <w:tcW w:w="5780" w:type="dxa"/>
            <w:vAlign w:val="bottom"/>
            <w:gridSpan w:val="2"/>
          </w:tcPr>
          <w:p>
            <w:pPr>
              <w:ind w:left="2960"/>
              <w:spacing w:after="0"/>
              <w:rPr>
                <w:sz w:val="20"/>
                <w:szCs w:val="20"/>
                <w:color w:val="auto"/>
              </w:rPr>
            </w:pPr>
            <w:r>
              <w:rPr>
                <w:rFonts w:ascii="Arial" w:cs="Arial" w:eastAsia="Arial" w:hAnsi="Arial"/>
                <w:sz w:val="14"/>
                <w:szCs w:val="14"/>
                <w:b w:val="1"/>
                <w:bCs w:val="1"/>
                <w:color w:val="255993"/>
              </w:rPr>
              <w:t>10</w:t>
            </w:r>
          </w:p>
        </w:tc>
        <w:tc>
          <w:tcPr>
            <w:tcW w:w="2780" w:type="dxa"/>
            <w:vAlign w:val="bottom"/>
          </w:tcPr>
          <w:p>
            <w:pPr>
              <w:ind w:left="540"/>
              <w:spacing w:after="0"/>
              <w:rPr>
                <w:sz w:val="20"/>
                <w:szCs w:val="20"/>
                <w:color w:val="auto"/>
              </w:rPr>
            </w:pPr>
            <w:r>
              <w:rPr>
                <w:rFonts w:ascii="Arial" w:cs="Arial" w:eastAsia="Arial" w:hAnsi="Arial"/>
                <w:sz w:val="14"/>
                <w:szCs w:val="14"/>
                <w:color w:val="255993"/>
              </w:rPr>
              <w:t>2024 Proxy Statement</w:t>
            </w:r>
          </w:p>
        </w:tc>
      </w:tr>
      <w:tr>
        <w:trPr>
          <w:trHeight w:val="158"/>
        </w:trPr>
        <w:tc>
          <w:tcPr>
            <w:tcW w:w="24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4380" w:type="dxa"/>
            <w:vAlign w:val="bottom"/>
            <w:tcBorders>
              <w:bottom w:val="single" w:sz="8" w:color="auto"/>
            </w:tcBorders>
          </w:tcPr>
          <w:p>
            <w:pPr>
              <w:spacing w:after="0"/>
              <w:rPr>
                <w:sz w:val="13"/>
                <w:szCs w:val="13"/>
                <w:color w:val="auto"/>
              </w:rPr>
            </w:pPr>
          </w:p>
        </w:tc>
        <w:tc>
          <w:tcPr>
            <w:tcW w:w="2780" w:type="dxa"/>
            <w:vAlign w:val="bottom"/>
            <w:tcBorders>
              <w:bottom w:val="single" w:sz="8" w:color="auto"/>
            </w:tcBorders>
          </w:tcPr>
          <w:p>
            <w:pPr>
              <w:spacing w:after="0"/>
              <w:rPr>
                <w:sz w:val="13"/>
                <w:szCs w:val="13"/>
                <w:color w:val="auto"/>
              </w:rPr>
            </w:pPr>
          </w:p>
        </w:tc>
      </w:tr>
    </w:tbl>
    <w:p>
      <w:pPr>
        <w:sectPr>
          <w:pgSz w:w="11900" w:h="16838" w:orient="portrait"/>
          <w:cols w:equalWidth="0" w:num="1">
            <w:col w:w="11020"/>
          </w:cols>
          <w:pgMar w:left="440" w:top="263" w:right="439" w:bottom="1440" w:gutter="0" w:footer="0" w:header="0"/>
        </w:sectPr>
      </w:pPr>
    </w:p>
    <w:bookmarkStart w:id="19" w:name="page20"/>
    <w:bookmarkEnd w:id="19"/>
    <w:p>
      <w:pPr>
        <w:ind w:left="8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ind w:left="7260"/>
        <w:spacing w:after="0"/>
        <w:rPr>
          <w:sz w:val="20"/>
          <w:szCs w:val="20"/>
          <w:color w:val="auto"/>
        </w:rPr>
      </w:pPr>
      <w:r>
        <w:rPr>
          <w:rFonts w:ascii="Arial" w:cs="Arial" w:eastAsia="Arial" w:hAnsi="Arial"/>
          <w:sz w:val="14"/>
          <w:szCs w:val="14"/>
          <w:color w:val="255993"/>
        </w:rPr>
        <w:t>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143510</wp:posOffset>
            </wp:positionV>
            <wp:extent cx="882650" cy="8826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82650" cy="882650"/>
                    </a:xfrm>
                    <a:prstGeom prst="rect">
                      <a:avLst/>
                    </a:prstGeom>
                    <a:noFill/>
                  </pic:spPr>
                </pic:pic>
              </a:graphicData>
            </a:graphic>
          </wp:anchor>
        </w:drawing>
      </w:r>
    </w:p>
    <w:p>
      <w:pPr>
        <w:spacing w:after="0" w:line="390" w:lineRule="exact"/>
        <w:rPr>
          <w:sz w:val="20"/>
          <w:szCs w:val="20"/>
          <w:color w:val="auto"/>
        </w:rPr>
      </w:pPr>
    </w:p>
    <w:tbl>
      <w:tblPr>
        <w:tblLayout w:type="fixed"/>
        <w:tblInd w:w="800" w:type="dxa"/>
        <w:tblCellMar>
          <w:top w:w="0" w:type="dxa"/>
          <w:left w:w="0" w:type="dxa"/>
          <w:bottom w:w="0" w:type="dxa"/>
          <w:right w:w="0" w:type="dxa"/>
        </w:tblCellMar>
      </w:tblPr>
      <w:tr>
        <w:trPr>
          <w:trHeight w:val="522"/>
        </w:trPr>
        <w:tc>
          <w:tcPr>
            <w:tcW w:w="1620" w:type="dxa"/>
            <w:vAlign w:val="bottom"/>
          </w:tcPr>
          <w:p>
            <w:pPr>
              <w:spacing w:after="0"/>
              <w:rPr>
                <w:sz w:val="24"/>
                <w:szCs w:val="24"/>
                <w:color w:val="auto"/>
              </w:rPr>
            </w:pPr>
          </w:p>
        </w:tc>
        <w:tc>
          <w:tcPr>
            <w:tcW w:w="7740" w:type="dxa"/>
            <w:vAlign w:val="bottom"/>
            <w:gridSpan w:val="2"/>
          </w:tcPr>
          <w:p>
            <w:pPr>
              <w:spacing w:after="0"/>
              <w:rPr>
                <w:sz w:val="20"/>
                <w:szCs w:val="20"/>
                <w:color w:val="auto"/>
              </w:rPr>
            </w:pPr>
            <w:r>
              <w:rPr>
                <w:rFonts w:ascii="Arial" w:cs="Arial" w:eastAsia="Arial" w:hAnsi="Arial"/>
                <w:sz w:val="40"/>
                <w:szCs w:val="40"/>
                <w:color w:val="255993"/>
              </w:rPr>
              <w:t>Mark Litton</w:t>
            </w: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7740" w:type="dxa"/>
            <w:vAlign w:val="bottom"/>
            <w:gridSpan w:val="2"/>
          </w:tcPr>
          <w:p>
            <w:pPr>
              <w:spacing w:after="0"/>
              <w:rPr>
                <w:sz w:val="20"/>
                <w:szCs w:val="20"/>
                <w:color w:val="auto"/>
              </w:rPr>
            </w:pPr>
            <w:r>
              <w:rPr>
                <w:rFonts w:ascii="Arial" w:cs="Arial" w:eastAsia="Arial" w:hAnsi="Arial"/>
                <w:sz w:val="14"/>
                <w:szCs w:val="14"/>
                <w:b w:val="1"/>
                <w:bCs w:val="1"/>
                <w:color w:val="auto"/>
              </w:rPr>
              <w:t>AGE: 56  DIRECTOR SINCE: OCTOBER 2021</w:t>
            </w:r>
          </w:p>
        </w:tc>
        <w:tc>
          <w:tcPr>
            <w:tcW w:w="0" w:type="dxa"/>
            <w:vAlign w:val="bottom"/>
          </w:tcPr>
          <w:p>
            <w:pPr>
              <w:spacing w:after="0"/>
              <w:rPr>
                <w:sz w:val="1"/>
                <w:szCs w:val="1"/>
                <w:color w:val="auto"/>
              </w:rPr>
            </w:pPr>
          </w:p>
        </w:tc>
      </w:tr>
      <w:tr>
        <w:trPr>
          <w:trHeight w:val="239"/>
        </w:trPr>
        <w:tc>
          <w:tcPr>
            <w:tcW w:w="1620" w:type="dxa"/>
            <w:vAlign w:val="bottom"/>
            <w:vMerge w:val="restart"/>
          </w:tcPr>
          <w:p>
            <w:pPr>
              <w:spacing w:after="0"/>
              <w:rPr>
                <w:sz w:val="20"/>
                <w:szCs w:val="20"/>
                <w:color w:val="auto"/>
              </w:rPr>
            </w:pPr>
            <w:r>
              <w:rPr>
                <w:rFonts w:ascii="Arial" w:cs="Arial" w:eastAsia="Arial" w:hAnsi="Arial"/>
                <w:sz w:val="16"/>
                <w:szCs w:val="16"/>
                <w:color w:val="auto"/>
              </w:rPr>
              <w:t xml:space="preserve">  </w:t>
            </w:r>
          </w:p>
        </w:tc>
        <w:tc>
          <w:tcPr>
            <w:tcW w:w="1380" w:type="dxa"/>
            <w:vAlign w:val="bottom"/>
            <w:tcBorders>
              <w:bottom w:val="single" w:sz="8" w:color="F8991D"/>
            </w:tcBorders>
          </w:tcPr>
          <w:p>
            <w:pPr>
              <w:spacing w:after="0"/>
              <w:rPr>
                <w:sz w:val="20"/>
                <w:szCs w:val="20"/>
                <w:color w:val="auto"/>
              </w:rPr>
            </w:pPr>
          </w:p>
        </w:tc>
        <w:tc>
          <w:tcPr>
            <w:tcW w:w="6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1620" w:type="dxa"/>
            <w:vAlign w:val="bottom"/>
            <w:vMerge w:val="continue"/>
          </w:tcPr>
          <w:p>
            <w:pPr>
              <w:spacing w:after="0"/>
              <w:rPr>
                <w:sz w:val="24"/>
                <w:szCs w:val="24"/>
                <w:color w:val="auto"/>
              </w:rPr>
            </w:pPr>
          </w:p>
        </w:tc>
        <w:tc>
          <w:tcPr>
            <w:tcW w:w="7740" w:type="dxa"/>
            <w:vAlign w:val="bottom"/>
            <w:gridSpan w:val="2"/>
          </w:tcPr>
          <w:p>
            <w:pPr>
              <w:spacing w:after="0"/>
              <w:rPr>
                <w:sz w:val="20"/>
                <w:szCs w:val="20"/>
                <w:color w:val="auto"/>
              </w:rPr>
            </w:pPr>
            <w:r>
              <w:rPr>
                <w:rFonts w:ascii="Arial" w:cs="Arial" w:eastAsia="Arial" w:hAnsi="Arial"/>
                <w:sz w:val="16"/>
                <w:szCs w:val="16"/>
                <w:color w:val="auto"/>
              </w:rPr>
              <w:t>Mark Litton, Ph.D., has served as our president and chief executive officer and member of our board of</w:t>
            </w: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7740" w:type="dxa"/>
            <w:vAlign w:val="bottom"/>
            <w:gridSpan w:val="2"/>
          </w:tcPr>
          <w:p>
            <w:pPr>
              <w:spacing w:after="0"/>
              <w:rPr>
                <w:sz w:val="20"/>
                <w:szCs w:val="20"/>
                <w:color w:val="auto"/>
              </w:rPr>
            </w:pPr>
            <w:r>
              <w:rPr>
                <w:rFonts w:ascii="Arial" w:cs="Arial" w:eastAsia="Arial" w:hAnsi="Arial"/>
                <w:sz w:val="16"/>
                <w:szCs w:val="16"/>
                <w:color w:val="auto"/>
              </w:rPr>
              <w:t>directors since October 2021 and previously served as our chief operating officer since July 2019. Prior to</w:t>
            </w: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7740" w:type="dxa"/>
            <w:vAlign w:val="bottom"/>
            <w:gridSpan w:val="2"/>
          </w:tcPr>
          <w:p>
            <w:pPr>
              <w:spacing w:after="0"/>
              <w:rPr>
                <w:sz w:val="20"/>
                <w:szCs w:val="20"/>
                <w:color w:val="auto"/>
              </w:rPr>
            </w:pPr>
            <w:r>
              <w:rPr>
                <w:rFonts w:ascii="Arial" w:cs="Arial" w:eastAsia="Arial" w:hAnsi="Arial"/>
                <w:sz w:val="16"/>
                <w:szCs w:val="16"/>
                <w:color w:val="auto"/>
              </w:rPr>
              <w:t>joining us, Dr. Litton served as the president and chief operating officer of Alpine Immune Sciences, Inc., a</w:t>
            </w: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7740" w:type="dxa"/>
            <w:vAlign w:val="bottom"/>
            <w:gridSpan w:val="2"/>
          </w:tcPr>
          <w:p>
            <w:pPr>
              <w:spacing w:after="0"/>
              <w:rPr>
                <w:sz w:val="20"/>
                <w:szCs w:val="20"/>
                <w:color w:val="auto"/>
              </w:rPr>
            </w:pPr>
            <w:r>
              <w:rPr>
                <w:rFonts w:ascii="Arial" w:cs="Arial" w:eastAsia="Arial" w:hAnsi="Arial"/>
                <w:sz w:val="16"/>
                <w:szCs w:val="16"/>
                <w:color w:val="auto"/>
              </w:rPr>
              <w:t>publicly traded biotechnology company, from August 2018 to April 2019. Dr. Litton served as the chief</w:t>
            </w: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7740" w:type="dxa"/>
            <w:vAlign w:val="bottom"/>
            <w:gridSpan w:val="2"/>
          </w:tcPr>
          <w:p>
            <w:pPr>
              <w:spacing w:after="0"/>
              <w:rPr>
                <w:sz w:val="20"/>
                <w:szCs w:val="20"/>
                <w:color w:val="auto"/>
              </w:rPr>
            </w:pPr>
            <w:r>
              <w:rPr>
                <w:rFonts w:ascii="Arial" w:cs="Arial" w:eastAsia="Arial" w:hAnsi="Arial"/>
                <w:sz w:val="16"/>
                <w:szCs w:val="16"/>
                <w:color w:val="auto"/>
              </w:rPr>
              <w:t>business officer, treasurer, and secretary from 2004 to 2018 of Alder BioPharmaceuticals, Inc., a publicly</w:t>
            </w: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7740" w:type="dxa"/>
            <w:vAlign w:val="bottom"/>
            <w:gridSpan w:val="2"/>
          </w:tcPr>
          <w:p>
            <w:pPr>
              <w:spacing w:after="0"/>
              <w:rPr>
                <w:sz w:val="20"/>
                <w:szCs w:val="20"/>
                <w:color w:val="auto"/>
              </w:rPr>
            </w:pPr>
            <w:r>
              <w:rPr>
                <w:rFonts w:ascii="Arial" w:cs="Arial" w:eastAsia="Arial" w:hAnsi="Arial"/>
                <w:sz w:val="16"/>
                <w:szCs w:val="16"/>
                <w:color w:val="auto"/>
              </w:rPr>
              <w:t>traded biopharmaceutical company co-founded by Dr. Litton in 2004, which was acquired by Lundbeck A/S</w:t>
            </w: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7740" w:type="dxa"/>
            <w:vAlign w:val="bottom"/>
            <w:gridSpan w:val="2"/>
          </w:tcPr>
          <w:p>
            <w:pPr>
              <w:spacing w:after="0"/>
              <w:rPr>
                <w:sz w:val="20"/>
                <w:szCs w:val="20"/>
                <w:color w:val="auto"/>
              </w:rPr>
            </w:pPr>
            <w:r>
              <w:rPr>
                <w:rFonts w:ascii="Arial" w:cs="Arial" w:eastAsia="Arial" w:hAnsi="Arial"/>
                <w:sz w:val="16"/>
                <w:szCs w:val="16"/>
                <w:color w:val="auto"/>
              </w:rPr>
              <w:t>in October 2019. From 1999 to 2004, Dr. Litton served as vice president of business development for</w:t>
            </w: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7740" w:type="dxa"/>
            <w:vAlign w:val="bottom"/>
            <w:gridSpan w:val="2"/>
          </w:tcPr>
          <w:p>
            <w:pPr>
              <w:spacing w:after="0"/>
              <w:rPr>
                <w:sz w:val="20"/>
                <w:szCs w:val="20"/>
                <w:color w:val="auto"/>
              </w:rPr>
            </w:pPr>
            <w:r>
              <w:rPr>
                <w:rFonts w:ascii="Arial" w:cs="Arial" w:eastAsia="Arial" w:hAnsi="Arial"/>
                <w:sz w:val="16"/>
                <w:szCs w:val="16"/>
                <w:color w:val="auto"/>
              </w:rPr>
              <w:t>Celltech Group, where he was responsible for securing, commercializing, and partnering on numerous novel</w:t>
            </w: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7740" w:type="dxa"/>
            <w:vAlign w:val="bottom"/>
            <w:gridSpan w:val="2"/>
          </w:tcPr>
          <w:p>
            <w:pPr>
              <w:spacing w:after="0"/>
              <w:rPr>
                <w:sz w:val="20"/>
                <w:szCs w:val="20"/>
                <w:color w:val="auto"/>
              </w:rPr>
            </w:pPr>
            <w:r>
              <w:rPr>
                <w:rFonts w:ascii="Arial" w:cs="Arial" w:eastAsia="Arial" w:hAnsi="Arial"/>
                <w:sz w:val="16"/>
                <w:szCs w:val="16"/>
                <w:color w:val="auto"/>
              </w:rPr>
              <w:t>discoveries and therapeutic programs. In 1999, Dr. Litton joined Celltech Group as an employee of</w:t>
            </w: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7740" w:type="dxa"/>
            <w:vAlign w:val="bottom"/>
            <w:gridSpan w:val="2"/>
          </w:tcPr>
          <w:p>
            <w:pPr>
              <w:spacing w:after="0"/>
              <w:rPr>
                <w:sz w:val="20"/>
                <w:szCs w:val="20"/>
                <w:color w:val="auto"/>
              </w:rPr>
            </w:pPr>
            <w:r>
              <w:rPr>
                <w:rFonts w:ascii="Arial" w:cs="Arial" w:eastAsia="Arial" w:hAnsi="Arial"/>
                <w:sz w:val="16"/>
                <w:szCs w:val="16"/>
                <w:color w:val="auto"/>
              </w:rPr>
              <w:t>Chiroscience Group plc and was later promoted to vice president of business development after</w:t>
            </w: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7740" w:type="dxa"/>
            <w:vAlign w:val="bottom"/>
            <w:gridSpan w:val="2"/>
          </w:tcPr>
          <w:p>
            <w:pPr>
              <w:spacing w:after="0"/>
              <w:rPr>
                <w:sz w:val="20"/>
                <w:szCs w:val="20"/>
                <w:color w:val="auto"/>
              </w:rPr>
            </w:pPr>
            <w:r>
              <w:rPr>
                <w:rFonts w:ascii="Arial" w:cs="Arial" w:eastAsia="Arial" w:hAnsi="Arial"/>
                <w:sz w:val="16"/>
                <w:szCs w:val="16"/>
                <w:color w:val="auto"/>
              </w:rPr>
              <w:t>Chiroscience’s merger with Celltech Group in 1999. From 1997 to 1999, Dr. Litton served as the manager of</w:t>
            </w: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7740" w:type="dxa"/>
            <w:vAlign w:val="bottom"/>
            <w:gridSpan w:val="2"/>
          </w:tcPr>
          <w:p>
            <w:pPr>
              <w:spacing w:after="0"/>
              <w:rPr>
                <w:sz w:val="20"/>
                <w:szCs w:val="20"/>
                <w:color w:val="auto"/>
              </w:rPr>
            </w:pPr>
            <w:r>
              <w:rPr>
                <w:rFonts w:ascii="Arial" w:cs="Arial" w:eastAsia="Arial" w:hAnsi="Arial"/>
                <w:sz w:val="16"/>
                <w:szCs w:val="16"/>
                <w:color w:val="auto"/>
              </w:rPr>
              <w:t>business development for Ribozyme Pharmaceuticals Inc. (now Sirna Therapeutics, Inc.), a</w:t>
            </w: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7740" w:type="dxa"/>
            <w:vAlign w:val="bottom"/>
            <w:gridSpan w:val="2"/>
          </w:tcPr>
          <w:p>
            <w:pPr>
              <w:spacing w:after="0"/>
              <w:rPr>
                <w:sz w:val="20"/>
                <w:szCs w:val="20"/>
                <w:color w:val="auto"/>
              </w:rPr>
            </w:pPr>
            <w:r>
              <w:rPr>
                <w:rFonts w:ascii="Arial" w:cs="Arial" w:eastAsia="Arial" w:hAnsi="Arial"/>
                <w:sz w:val="16"/>
                <w:szCs w:val="16"/>
                <w:color w:val="auto"/>
              </w:rPr>
              <w:t>biopharmaceutical company and wholly owned subsidiary of Alnylam Pharmaceuticals, Inc., where he</w:t>
            </w: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7740" w:type="dxa"/>
            <w:vAlign w:val="bottom"/>
            <w:gridSpan w:val="2"/>
          </w:tcPr>
          <w:p>
            <w:pPr>
              <w:spacing w:after="0"/>
              <w:rPr>
                <w:sz w:val="20"/>
                <w:szCs w:val="20"/>
                <w:color w:val="auto"/>
              </w:rPr>
            </w:pPr>
            <w:r>
              <w:rPr>
                <w:rFonts w:ascii="Arial" w:cs="Arial" w:eastAsia="Arial" w:hAnsi="Arial"/>
                <w:sz w:val="16"/>
                <w:szCs w:val="16"/>
                <w:color w:val="auto"/>
              </w:rPr>
              <w:t>helped form relationships with Eli Lilly and Company, Roche Bioscience and GlaxoWellcome plc (now</w:t>
            </w: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7740" w:type="dxa"/>
            <w:vAlign w:val="bottom"/>
            <w:gridSpan w:val="2"/>
          </w:tcPr>
          <w:p>
            <w:pPr>
              <w:spacing w:after="0"/>
              <w:rPr>
                <w:sz w:val="20"/>
                <w:szCs w:val="20"/>
                <w:color w:val="auto"/>
              </w:rPr>
            </w:pPr>
            <w:r>
              <w:rPr>
                <w:rFonts w:ascii="Arial" w:cs="Arial" w:eastAsia="Arial" w:hAnsi="Arial"/>
                <w:sz w:val="16"/>
                <w:szCs w:val="16"/>
                <w:color w:val="auto"/>
              </w:rPr>
              <w:t>GlaxoSmithKline plc) a biopharmaceutical company. From 1991 to 1994, Dr. Litton served as a research</w:t>
            </w: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7740" w:type="dxa"/>
            <w:vAlign w:val="bottom"/>
            <w:gridSpan w:val="2"/>
          </w:tcPr>
          <w:p>
            <w:pPr>
              <w:spacing w:after="0"/>
              <w:rPr>
                <w:sz w:val="20"/>
                <w:szCs w:val="20"/>
                <w:color w:val="auto"/>
              </w:rPr>
            </w:pPr>
            <w:r>
              <w:rPr>
                <w:rFonts w:ascii="Arial" w:cs="Arial" w:eastAsia="Arial" w:hAnsi="Arial"/>
                <w:sz w:val="16"/>
                <w:szCs w:val="16"/>
                <w:color w:val="auto"/>
              </w:rPr>
              <w:t>associate for DNAX Research Institute, a research facility of Schering-Plough (now Merck &amp; Co., a publicly</w:t>
            </w: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7740" w:type="dxa"/>
            <w:vAlign w:val="bottom"/>
            <w:gridSpan w:val="2"/>
          </w:tcPr>
          <w:p>
            <w:pPr>
              <w:spacing w:after="0"/>
              <w:rPr>
                <w:sz w:val="20"/>
                <w:szCs w:val="20"/>
                <w:color w:val="auto"/>
              </w:rPr>
            </w:pPr>
            <w:r>
              <w:rPr>
                <w:rFonts w:ascii="Arial" w:cs="Arial" w:eastAsia="Arial" w:hAnsi="Arial"/>
                <w:sz w:val="16"/>
                <w:szCs w:val="16"/>
                <w:color w:val="auto"/>
              </w:rPr>
              <w:t>traded pharmaceutical company). Dr. Litton earned a Ph.D. in immunology from Stockholm University in</w:t>
            </w: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7740" w:type="dxa"/>
            <w:vAlign w:val="bottom"/>
            <w:gridSpan w:val="2"/>
          </w:tcPr>
          <w:p>
            <w:pPr>
              <w:spacing w:after="0"/>
              <w:rPr>
                <w:sz w:val="20"/>
                <w:szCs w:val="20"/>
                <w:color w:val="auto"/>
              </w:rPr>
            </w:pPr>
            <w:r>
              <w:rPr>
                <w:rFonts w:ascii="Arial" w:cs="Arial" w:eastAsia="Arial" w:hAnsi="Arial"/>
                <w:sz w:val="16"/>
                <w:szCs w:val="16"/>
                <w:color w:val="auto"/>
              </w:rPr>
              <w:t>1997, an M.B.A. from Santa Clara University in 1994 and a B.A. in biochemistry and molecular biology from</w:t>
            </w: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7740" w:type="dxa"/>
            <w:vAlign w:val="bottom"/>
            <w:gridSpan w:val="2"/>
          </w:tcPr>
          <w:p>
            <w:pPr>
              <w:spacing w:after="0"/>
              <w:rPr>
                <w:sz w:val="20"/>
                <w:szCs w:val="20"/>
                <w:color w:val="auto"/>
              </w:rPr>
            </w:pPr>
            <w:r>
              <w:rPr>
                <w:rFonts w:ascii="Arial" w:cs="Arial" w:eastAsia="Arial" w:hAnsi="Arial"/>
                <w:sz w:val="16"/>
                <w:szCs w:val="16"/>
                <w:color w:val="auto"/>
              </w:rPr>
              <w:t xml:space="preserve">the University of California Santa Cruz in 1990. </w:t>
            </w:r>
            <w:r>
              <w:rPr>
                <w:rFonts w:ascii="Arial" w:cs="Arial" w:eastAsia="Arial" w:hAnsi="Arial"/>
                <w:sz w:val="16"/>
                <w:szCs w:val="16"/>
                <w:b w:val="1"/>
                <w:bCs w:val="1"/>
                <w:color w:val="255993"/>
              </w:rPr>
              <w:t>We believe that Dr. Litton’s experience in the</w:t>
            </w: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7740" w:type="dxa"/>
            <w:vAlign w:val="bottom"/>
            <w:gridSpan w:val="2"/>
          </w:tcPr>
          <w:p>
            <w:pPr>
              <w:spacing w:after="0"/>
              <w:rPr>
                <w:sz w:val="20"/>
                <w:szCs w:val="20"/>
                <w:color w:val="auto"/>
              </w:rPr>
            </w:pPr>
            <w:r>
              <w:rPr>
                <w:rFonts w:ascii="Arial" w:cs="Arial" w:eastAsia="Arial" w:hAnsi="Arial"/>
                <w:sz w:val="16"/>
                <w:szCs w:val="16"/>
                <w:b w:val="1"/>
                <w:bCs w:val="1"/>
                <w:color w:val="255993"/>
              </w:rPr>
              <w:t>biopharmaceutical industry and the perspective and experience he brings as our chief executive</w:t>
            </w:r>
          </w:p>
        </w:tc>
        <w:tc>
          <w:tcPr>
            <w:tcW w:w="0" w:type="dxa"/>
            <w:vAlign w:val="bottom"/>
          </w:tcPr>
          <w:p>
            <w:pPr>
              <w:spacing w:after="0"/>
              <w:rPr>
                <w:sz w:val="1"/>
                <w:szCs w:val="1"/>
                <w:color w:val="auto"/>
              </w:rPr>
            </w:pPr>
          </w:p>
        </w:tc>
      </w:tr>
      <w:tr>
        <w:trPr>
          <w:trHeight w:val="223"/>
        </w:trPr>
        <w:tc>
          <w:tcPr>
            <w:tcW w:w="1620" w:type="dxa"/>
            <w:vAlign w:val="bottom"/>
          </w:tcPr>
          <w:p>
            <w:pPr>
              <w:spacing w:after="0"/>
              <w:rPr>
                <w:sz w:val="19"/>
                <w:szCs w:val="19"/>
                <w:color w:val="auto"/>
              </w:rPr>
            </w:pPr>
          </w:p>
        </w:tc>
        <w:tc>
          <w:tcPr>
            <w:tcW w:w="7740" w:type="dxa"/>
            <w:vAlign w:val="bottom"/>
            <w:gridSpan w:val="2"/>
          </w:tcPr>
          <w:p>
            <w:pPr>
              <w:spacing w:after="0"/>
              <w:rPr>
                <w:sz w:val="20"/>
                <w:szCs w:val="20"/>
                <w:color w:val="auto"/>
              </w:rPr>
            </w:pPr>
            <w:r>
              <w:rPr>
                <w:rFonts w:ascii="Arial" w:cs="Arial" w:eastAsia="Arial" w:hAnsi="Arial"/>
                <w:sz w:val="16"/>
                <w:szCs w:val="16"/>
                <w:b w:val="1"/>
                <w:bCs w:val="1"/>
                <w:color w:val="255993"/>
              </w:rPr>
              <w:t>officer qualifies him to serve on our board of directors.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381635</wp:posOffset>
            </wp:positionV>
            <wp:extent cx="882650" cy="8915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82650" cy="891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509"/>
        </w:trPr>
        <w:tc>
          <w:tcPr>
            <w:tcW w:w="2420" w:type="dxa"/>
            <w:vAlign w:val="bottom"/>
          </w:tcPr>
          <w:p>
            <w:pPr>
              <w:spacing w:after="0"/>
              <w:rPr>
                <w:sz w:val="24"/>
                <w:szCs w:val="24"/>
                <w:color w:val="auto"/>
              </w:rPr>
            </w:pPr>
          </w:p>
        </w:tc>
        <w:tc>
          <w:tcPr>
            <w:tcW w:w="4760" w:type="dxa"/>
            <w:vAlign w:val="bottom"/>
            <w:gridSpan w:val="2"/>
          </w:tcPr>
          <w:p>
            <w:pPr>
              <w:spacing w:after="0"/>
              <w:rPr>
                <w:sz w:val="20"/>
                <w:szCs w:val="20"/>
                <w:color w:val="auto"/>
              </w:rPr>
            </w:pPr>
            <w:r>
              <w:rPr>
                <w:rFonts w:ascii="Arial" w:cs="Arial" w:eastAsia="Arial" w:hAnsi="Arial"/>
                <w:sz w:val="40"/>
                <w:szCs w:val="40"/>
                <w:color w:val="255993"/>
              </w:rPr>
              <w:t>Michael Panzara</w:t>
            </w:r>
          </w:p>
        </w:tc>
        <w:tc>
          <w:tcPr>
            <w:tcW w:w="3840" w:type="dxa"/>
            <w:vAlign w:val="bottom"/>
          </w:tcPr>
          <w:p>
            <w:pPr>
              <w:spacing w:after="0"/>
              <w:rPr>
                <w:sz w:val="24"/>
                <w:szCs w:val="24"/>
                <w:color w:val="auto"/>
              </w:rPr>
            </w:pPr>
          </w:p>
        </w:tc>
      </w:tr>
      <w:tr>
        <w:trPr>
          <w:trHeight w:val="196"/>
        </w:trPr>
        <w:tc>
          <w:tcPr>
            <w:tcW w:w="2420" w:type="dxa"/>
            <w:vAlign w:val="bottom"/>
          </w:tcPr>
          <w:p>
            <w:pPr>
              <w:spacing w:after="0"/>
              <w:rPr>
                <w:sz w:val="17"/>
                <w:szCs w:val="17"/>
                <w:color w:val="auto"/>
              </w:rPr>
            </w:pPr>
          </w:p>
        </w:tc>
        <w:tc>
          <w:tcPr>
            <w:tcW w:w="4760" w:type="dxa"/>
            <w:vAlign w:val="bottom"/>
            <w:gridSpan w:val="2"/>
          </w:tcPr>
          <w:p>
            <w:pPr>
              <w:spacing w:after="0"/>
              <w:rPr>
                <w:sz w:val="20"/>
                <w:szCs w:val="20"/>
                <w:color w:val="auto"/>
              </w:rPr>
            </w:pPr>
            <w:r>
              <w:rPr>
                <w:rFonts w:ascii="Arial" w:cs="Arial" w:eastAsia="Arial" w:hAnsi="Arial"/>
                <w:sz w:val="14"/>
                <w:szCs w:val="14"/>
                <w:b w:val="1"/>
                <w:bCs w:val="1"/>
                <w:color w:val="auto"/>
              </w:rPr>
              <w:t>AGE: 56  DIRECTOR SINCE: MARCH 2022</w:t>
            </w:r>
          </w:p>
        </w:tc>
        <w:tc>
          <w:tcPr>
            <w:tcW w:w="3840" w:type="dxa"/>
            <w:vAlign w:val="bottom"/>
          </w:tcPr>
          <w:p>
            <w:pPr>
              <w:spacing w:after="0"/>
              <w:rPr>
                <w:sz w:val="17"/>
                <w:szCs w:val="17"/>
                <w:color w:val="auto"/>
              </w:rPr>
            </w:pPr>
          </w:p>
        </w:tc>
      </w:tr>
      <w:tr>
        <w:trPr>
          <w:trHeight w:val="238"/>
        </w:trPr>
        <w:tc>
          <w:tcPr>
            <w:tcW w:w="2420" w:type="dxa"/>
            <w:vAlign w:val="bottom"/>
          </w:tcPr>
          <w:p>
            <w:pPr>
              <w:spacing w:after="0"/>
              <w:rPr>
                <w:sz w:val="20"/>
                <w:szCs w:val="20"/>
                <w:color w:val="auto"/>
              </w:rPr>
            </w:pPr>
          </w:p>
        </w:tc>
        <w:tc>
          <w:tcPr>
            <w:tcW w:w="1400" w:type="dxa"/>
            <w:vAlign w:val="bottom"/>
            <w:tcBorders>
              <w:bottom w:val="single" w:sz="8" w:color="F8991D"/>
            </w:tcBorders>
          </w:tcPr>
          <w:p>
            <w:pPr>
              <w:spacing w:after="0"/>
              <w:rPr>
                <w:sz w:val="20"/>
                <w:szCs w:val="20"/>
                <w:color w:val="auto"/>
              </w:rPr>
            </w:pPr>
          </w:p>
        </w:tc>
        <w:tc>
          <w:tcPr>
            <w:tcW w:w="7200" w:type="dxa"/>
            <w:vAlign w:val="bottom"/>
            <w:gridSpan w:val="2"/>
          </w:tcPr>
          <w:p>
            <w:pPr>
              <w:spacing w:after="0"/>
              <w:rPr>
                <w:sz w:val="20"/>
                <w:szCs w:val="20"/>
                <w:color w:val="auto"/>
              </w:rPr>
            </w:pPr>
          </w:p>
        </w:tc>
      </w:tr>
      <w:tr>
        <w:trPr>
          <w:trHeight w:val="431"/>
        </w:trPr>
        <w:tc>
          <w:tcPr>
            <w:tcW w:w="2420" w:type="dxa"/>
            <w:vAlign w:val="bottom"/>
          </w:tcPr>
          <w:p>
            <w:pPr>
              <w:ind w:left="800"/>
              <w:spacing w:after="0"/>
              <w:rPr>
                <w:sz w:val="20"/>
                <w:szCs w:val="20"/>
                <w:color w:val="auto"/>
              </w:rPr>
            </w:pPr>
            <w:r>
              <w:rPr>
                <w:rFonts w:ascii="Arial" w:cs="Arial" w:eastAsia="Arial" w:hAnsi="Arial"/>
                <w:sz w:val="16"/>
                <w:szCs w:val="16"/>
                <w:color w:val="auto"/>
              </w:rPr>
              <w:t xml:space="preserve">  </w:t>
            </w:r>
          </w:p>
        </w:tc>
        <w:tc>
          <w:tcPr>
            <w:tcW w:w="8600" w:type="dxa"/>
            <w:vAlign w:val="bottom"/>
            <w:gridSpan w:val="3"/>
          </w:tcPr>
          <w:p>
            <w:pPr>
              <w:spacing w:after="0"/>
              <w:rPr>
                <w:sz w:val="20"/>
                <w:szCs w:val="20"/>
                <w:color w:val="auto"/>
              </w:rPr>
            </w:pPr>
            <w:r>
              <w:rPr>
                <w:rFonts w:ascii="Arial" w:cs="Arial" w:eastAsia="Arial" w:hAnsi="Arial"/>
                <w:sz w:val="16"/>
                <w:szCs w:val="16"/>
                <w:color w:val="auto"/>
              </w:rPr>
              <w:t>Michael Panzara, M.D., M.P.H., has served on our board of directors since March 2022. Dr. Panzara has</w:t>
            </w: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served as chief medical officer at Neurvati Neurosciences, Inc., a Blackstone Life Sciences portfolio</w:t>
            </w: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company, since October 2022. Previously, Dr. Panzara served as chief medical officer and head of</w:t>
            </w: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therapeutics discovery and development at Wave Life Sciences Ltd., a publicly traded genetic medicines</w:t>
            </w: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company, since May 2020, where he previously served as chief medical officer from November 2018 to May</w:t>
            </w: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2020 and as franchise lead of neurology from July 2016 to November 2018. Prior to joining Wave Life</w:t>
            </w: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Sciences, Dr. Panzara served in various roles at Sanofi Genzyme, including most recently as head of</w:t>
            </w: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multiple sclerosis, neurology and ophthalmology therapeutic area for global development. Dr. Panzara has</w:t>
            </w: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held numerous other positions in the healthcare and biopharmaceutical industries, including vice president</w:t>
            </w: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and chief medical officer in neurology at Biogen, and instructor in neurology at Harvard Medical School with</w:t>
            </w: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clinical appointments at Brigham &amp; Women’s Hospital and Massachusetts General Hospital. Dr. Panzara</w:t>
            </w: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earned an M.P.H from Harvard School of Public Health in 2002, an M.D. from Stanford University School of</w:t>
            </w: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 xml:space="preserve">Medicine in 1994, and a B.A. in biology from the University of Pennsylvania in 1989. </w:t>
            </w:r>
            <w:r>
              <w:rPr>
                <w:rFonts w:ascii="Arial" w:cs="Arial" w:eastAsia="Arial" w:hAnsi="Arial"/>
                <w:sz w:val="16"/>
                <w:szCs w:val="16"/>
                <w:b w:val="1"/>
                <w:bCs w:val="1"/>
                <w:color w:val="255993"/>
              </w:rPr>
              <w:t>We believe that</w:t>
            </w: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b w:val="1"/>
                <w:bCs w:val="1"/>
                <w:color w:val="255993"/>
              </w:rPr>
              <w:t>Dr. Panzara’s extensive experience in the healthcare and biopharmaceutical industries qualifies him</w:t>
            </w:r>
          </w:p>
        </w:tc>
      </w:tr>
      <w:tr>
        <w:trPr>
          <w:trHeight w:val="223"/>
        </w:trPr>
        <w:tc>
          <w:tcPr>
            <w:tcW w:w="2420" w:type="dxa"/>
            <w:vAlign w:val="bottom"/>
          </w:tcPr>
          <w:p>
            <w:pPr>
              <w:spacing w:after="0"/>
              <w:rPr>
                <w:sz w:val="19"/>
                <w:szCs w:val="19"/>
                <w:color w:val="auto"/>
              </w:rPr>
            </w:pPr>
          </w:p>
        </w:tc>
        <w:tc>
          <w:tcPr>
            <w:tcW w:w="4760" w:type="dxa"/>
            <w:vAlign w:val="bottom"/>
            <w:gridSpan w:val="2"/>
          </w:tcPr>
          <w:p>
            <w:pPr>
              <w:spacing w:after="0"/>
              <w:rPr>
                <w:sz w:val="20"/>
                <w:szCs w:val="20"/>
                <w:color w:val="auto"/>
              </w:rPr>
            </w:pPr>
            <w:r>
              <w:rPr>
                <w:rFonts w:ascii="Arial" w:cs="Arial" w:eastAsia="Arial" w:hAnsi="Arial"/>
                <w:sz w:val="16"/>
                <w:szCs w:val="16"/>
                <w:b w:val="1"/>
                <w:bCs w:val="1"/>
                <w:color w:val="255993"/>
              </w:rPr>
              <w:t>to serve on our board of directors.</w:t>
            </w:r>
          </w:p>
        </w:tc>
        <w:tc>
          <w:tcPr>
            <w:tcW w:w="3840" w:type="dxa"/>
            <w:vAlign w:val="bottom"/>
          </w:tcPr>
          <w:p>
            <w:pPr>
              <w:spacing w:after="0"/>
              <w:rPr>
                <w:sz w:val="19"/>
                <w:szCs w:val="19"/>
                <w:color w:val="auto"/>
              </w:rPr>
            </w:pPr>
          </w:p>
        </w:tc>
      </w:tr>
      <w:tr>
        <w:trPr>
          <w:trHeight w:val="491"/>
        </w:trPr>
        <w:tc>
          <w:tcPr>
            <w:tcW w:w="2420" w:type="dxa"/>
            <w:vAlign w:val="bottom"/>
          </w:tcPr>
          <w:p>
            <w:pPr>
              <w:ind w:left="800"/>
              <w:spacing w:after="0"/>
              <w:rPr>
                <w:sz w:val="20"/>
                <w:szCs w:val="20"/>
                <w:color w:val="auto"/>
              </w:rPr>
            </w:pPr>
            <w:r>
              <w:rPr>
                <w:rFonts w:ascii="Arial" w:cs="Arial" w:eastAsia="Arial" w:hAnsi="Arial"/>
                <w:sz w:val="14"/>
                <w:szCs w:val="14"/>
                <w:color w:val="255993"/>
              </w:rPr>
              <w:t>Athira Pharma, Inc.</w:t>
            </w:r>
          </w:p>
        </w:tc>
        <w:tc>
          <w:tcPr>
            <w:tcW w:w="4760" w:type="dxa"/>
            <w:vAlign w:val="bottom"/>
            <w:gridSpan w:val="2"/>
          </w:tcPr>
          <w:p>
            <w:pPr>
              <w:ind w:left="3000"/>
              <w:spacing w:after="0"/>
              <w:rPr>
                <w:sz w:val="20"/>
                <w:szCs w:val="20"/>
                <w:color w:val="auto"/>
              </w:rPr>
            </w:pPr>
            <w:r>
              <w:rPr>
                <w:rFonts w:ascii="Arial" w:cs="Arial" w:eastAsia="Arial" w:hAnsi="Arial"/>
                <w:sz w:val="14"/>
                <w:szCs w:val="14"/>
                <w:b w:val="1"/>
                <w:bCs w:val="1"/>
                <w:color w:val="255993"/>
              </w:rPr>
              <w:t>11</w:t>
            </w:r>
          </w:p>
        </w:tc>
        <w:tc>
          <w:tcPr>
            <w:tcW w:w="3840" w:type="dxa"/>
            <w:vAlign w:val="bottom"/>
          </w:tcPr>
          <w:p>
            <w:pPr>
              <w:ind w:left="1600"/>
              <w:spacing w:after="0"/>
              <w:rPr>
                <w:sz w:val="20"/>
                <w:szCs w:val="20"/>
                <w:color w:val="auto"/>
              </w:rPr>
            </w:pPr>
            <w:r>
              <w:rPr>
                <w:rFonts w:ascii="Arial" w:cs="Arial" w:eastAsia="Arial" w:hAnsi="Arial"/>
                <w:sz w:val="14"/>
                <w:szCs w:val="14"/>
                <w:color w:val="255993"/>
              </w:rPr>
              <w:t>2024 Proxy Statement</w:t>
            </w:r>
          </w:p>
        </w:tc>
      </w:tr>
      <w:tr>
        <w:trPr>
          <w:trHeight w:val="158"/>
        </w:trPr>
        <w:tc>
          <w:tcPr>
            <w:tcW w:w="24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3360" w:type="dxa"/>
            <w:vAlign w:val="bottom"/>
            <w:tcBorders>
              <w:bottom w:val="single" w:sz="8" w:color="auto"/>
            </w:tcBorders>
          </w:tcPr>
          <w:p>
            <w:pPr>
              <w:spacing w:after="0"/>
              <w:rPr>
                <w:sz w:val="13"/>
                <w:szCs w:val="13"/>
                <w:color w:val="auto"/>
              </w:rPr>
            </w:pPr>
          </w:p>
        </w:tc>
        <w:tc>
          <w:tcPr>
            <w:tcW w:w="3840" w:type="dxa"/>
            <w:vAlign w:val="bottom"/>
            <w:tcBorders>
              <w:bottom w:val="single" w:sz="8" w:color="auto"/>
            </w:tcBorders>
          </w:tcPr>
          <w:p>
            <w:pPr>
              <w:spacing w:after="0"/>
              <w:rPr>
                <w:sz w:val="13"/>
                <w:szCs w:val="13"/>
                <w:color w:val="auto"/>
              </w:rPr>
            </w:pPr>
          </w:p>
        </w:tc>
      </w:tr>
    </w:tbl>
    <w:p>
      <w:pPr>
        <w:sectPr>
          <w:pgSz w:w="11900" w:h="16838" w:orient="portrait"/>
          <w:cols w:equalWidth="0" w:num="1">
            <w:col w:w="11020"/>
          </w:cols>
          <w:pgMar w:left="440" w:top="263" w:right="439" w:bottom="1440" w:gutter="0" w:footer="0" w:header="0"/>
        </w:sectPr>
      </w:pPr>
    </w:p>
    <w:bookmarkStart w:id="20" w:name="page21"/>
    <w:bookmarkEnd w:id="20"/>
    <w:p>
      <w:pPr>
        <w:ind w:left="8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ind w:left="800"/>
        <w:spacing w:after="0"/>
        <w:rPr>
          <w:sz w:val="20"/>
          <w:szCs w:val="20"/>
          <w:color w:val="auto"/>
        </w:rPr>
      </w:pPr>
      <w:r>
        <w:rPr>
          <w:rFonts w:ascii="Arial" w:cs="Arial" w:eastAsia="Arial" w:hAnsi="Arial"/>
          <w:sz w:val="14"/>
          <w:szCs w:val="14"/>
          <w:color w:val="255993"/>
        </w:rPr>
        <w:t>Board of Directors and Corporate Governance</w:t>
      </w:r>
    </w:p>
    <w:p>
      <w:pPr>
        <w:spacing w:after="0" w:line="113"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F8991D"/>
        </w:rPr>
        <w:t>CONTINUING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128905</wp:posOffset>
            </wp:positionV>
            <wp:extent cx="882650" cy="8832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82650" cy="883285"/>
                    </a:xfrm>
                    <a:prstGeom prst="rect">
                      <a:avLst/>
                    </a:prstGeom>
                    <a:noFill/>
                  </pic:spPr>
                </pic:pic>
              </a:graphicData>
            </a:graphic>
          </wp:anchor>
        </w:drawing>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495"/>
        </w:trPr>
        <w:tc>
          <w:tcPr>
            <w:tcW w:w="242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Arial" w:cs="Arial" w:eastAsia="Arial" w:hAnsi="Arial"/>
                <w:sz w:val="40"/>
                <w:szCs w:val="40"/>
                <w:color w:val="255993"/>
              </w:rPr>
              <w:t>Kelly A. Romano</w:t>
            </w:r>
          </w:p>
        </w:tc>
        <w:tc>
          <w:tcPr>
            <w:tcW w:w="3820" w:type="dxa"/>
            <w:vAlign w:val="bottom"/>
          </w:tcPr>
          <w:p>
            <w:pPr>
              <w:spacing w:after="0"/>
              <w:rPr>
                <w:sz w:val="24"/>
                <w:szCs w:val="24"/>
                <w:color w:val="auto"/>
              </w:rPr>
            </w:pPr>
          </w:p>
        </w:tc>
      </w:tr>
      <w:tr>
        <w:trPr>
          <w:trHeight w:val="196"/>
        </w:trPr>
        <w:tc>
          <w:tcPr>
            <w:tcW w:w="2420" w:type="dxa"/>
            <w:vAlign w:val="bottom"/>
          </w:tcPr>
          <w:p>
            <w:pPr>
              <w:spacing w:after="0"/>
              <w:rPr>
                <w:sz w:val="17"/>
                <w:szCs w:val="17"/>
                <w:color w:val="auto"/>
              </w:rPr>
            </w:pPr>
          </w:p>
        </w:tc>
        <w:tc>
          <w:tcPr>
            <w:tcW w:w="4780" w:type="dxa"/>
            <w:vAlign w:val="bottom"/>
            <w:gridSpan w:val="2"/>
          </w:tcPr>
          <w:p>
            <w:pPr>
              <w:spacing w:after="0"/>
              <w:rPr>
                <w:sz w:val="20"/>
                <w:szCs w:val="20"/>
                <w:color w:val="auto"/>
              </w:rPr>
            </w:pPr>
            <w:r>
              <w:rPr>
                <w:rFonts w:ascii="Arial" w:cs="Arial" w:eastAsia="Arial" w:hAnsi="Arial"/>
                <w:sz w:val="14"/>
                <w:szCs w:val="14"/>
                <w:b w:val="1"/>
                <w:bCs w:val="1"/>
                <w:color w:val="auto"/>
              </w:rPr>
              <w:t>AGE: 61  DIRECTOR SINCE: DECEMBER 2020</w:t>
            </w:r>
          </w:p>
        </w:tc>
        <w:tc>
          <w:tcPr>
            <w:tcW w:w="3820" w:type="dxa"/>
            <w:vAlign w:val="bottom"/>
          </w:tcPr>
          <w:p>
            <w:pPr>
              <w:spacing w:after="0"/>
              <w:rPr>
                <w:sz w:val="17"/>
                <w:szCs w:val="17"/>
                <w:color w:val="auto"/>
              </w:rPr>
            </w:pPr>
          </w:p>
        </w:tc>
      </w:tr>
      <w:tr>
        <w:trPr>
          <w:trHeight w:val="225"/>
        </w:trPr>
        <w:tc>
          <w:tcPr>
            <w:tcW w:w="2420" w:type="dxa"/>
            <w:vAlign w:val="bottom"/>
          </w:tcPr>
          <w:p>
            <w:pPr>
              <w:spacing w:after="0"/>
              <w:rPr>
                <w:sz w:val="19"/>
                <w:szCs w:val="19"/>
                <w:color w:val="auto"/>
              </w:rPr>
            </w:pPr>
          </w:p>
        </w:tc>
        <w:tc>
          <w:tcPr>
            <w:tcW w:w="1400" w:type="dxa"/>
            <w:vAlign w:val="bottom"/>
            <w:tcBorders>
              <w:bottom w:val="single" w:sz="8" w:color="F8991D"/>
            </w:tcBorders>
          </w:tcPr>
          <w:p>
            <w:pPr>
              <w:spacing w:after="0"/>
              <w:rPr>
                <w:sz w:val="19"/>
                <w:szCs w:val="19"/>
                <w:color w:val="auto"/>
              </w:rPr>
            </w:pPr>
          </w:p>
        </w:tc>
        <w:tc>
          <w:tcPr>
            <w:tcW w:w="7200" w:type="dxa"/>
            <w:vAlign w:val="bottom"/>
            <w:gridSpan w:val="2"/>
          </w:tcPr>
          <w:p>
            <w:pPr>
              <w:spacing w:after="0"/>
              <w:rPr>
                <w:sz w:val="19"/>
                <w:szCs w:val="19"/>
                <w:color w:val="auto"/>
              </w:rPr>
            </w:pPr>
          </w:p>
        </w:tc>
      </w:tr>
      <w:tr>
        <w:trPr>
          <w:trHeight w:val="431"/>
        </w:trPr>
        <w:tc>
          <w:tcPr>
            <w:tcW w:w="2420" w:type="dxa"/>
            <w:vAlign w:val="bottom"/>
          </w:tcPr>
          <w:p>
            <w:pPr>
              <w:ind w:left="800"/>
              <w:spacing w:after="0"/>
              <w:rPr>
                <w:sz w:val="20"/>
                <w:szCs w:val="20"/>
                <w:color w:val="auto"/>
              </w:rPr>
            </w:pPr>
            <w:r>
              <w:rPr>
                <w:rFonts w:ascii="Arial" w:cs="Arial" w:eastAsia="Arial" w:hAnsi="Arial"/>
                <w:sz w:val="16"/>
                <w:szCs w:val="16"/>
                <w:color w:val="auto"/>
              </w:rPr>
              <w:t> </w:t>
            </w:r>
          </w:p>
        </w:tc>
        <w:tc>
          <w:tcPr>
            <w:tcW w:w="8600" w:type="dxa"/>
            <w:vAlign w:val="bottom"/>
            <w:gridSpan w:val="3"/>
          </w:tcPr>
          <w:p>
            <w:pPr>
              <w:spacing w:after="0"/>
              <w:rPr>
                <w:sz w:val="20"/>
                <w:szCs w:val="20"/>
                <w:color w:val="auto"/>
              </w:rPr>
            </w:pPr>
            <w:r>
              <w:rPr>
                <w:rFonts w:ascii="Arial" w:cs="Arial" w:eastAsia="Arial" w:hAnsi="Arial"/>
                <w:sz w:val="16"/>
                <w:szCs w:val="16"/>
                <w:color w:val="auto"/>
              </w:rPr>
              <w:t>Kelly A. Romano has served as chairwoman of our board of directors since August 2021 and as a member</w:t>
            </w: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of our board of directors since December 2020. Ms. Romano brings over 30 years of executive operating</w:t>
            </w: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experience with technology companies, with a background in commercial buildings and aerospace. Ms.</w:t>
            </w: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Romano is the chief executive officer of BlueRipple Capital, LLC, a consultancy firm she founded in May</w:t>
            </w: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2018. Ms. Romano previously served as an operating partner at AE Industrial Partners, a private equity firm</w:t>
            </w: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focused on aerospace and industrial investments, from August 2020 to July 2023. Ms. Romano has also</w:t>
            </w: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served on the Executive Advisory Board at Gryphon Investors, a middle-market private equity firm, since</w:t>
            </w: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December 2016. Previously, she spent 32 years working at United Technologies Corp. (UTC) and held a</w:t>
            </w: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number of senior executive global positions, including president of Intelligent Building Technologies in UTC</w:t>
            </w: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Building &amp; Industrial Systems and president of Building Systems &amp; Services at Carrier Corporation. Ms.</w:t>
            </w: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Romano is also a member of several boards of directors, including UGI Corporation, Dorman Products, Inc.,</w:t>
            </w: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Potter Global Technologies and Altus Fire &amp; Life Safety. Ms. Romano earned a B.S. in business</w:t>
            </w: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administration from the State University of New York at Buffalo, an M.B.A. from Syracuse University, and is a</w:t>
            </w: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graduate of the Northwestern University Kellogg School of Management’s Corporate Board Governance</w:t>
            </w: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Executive Program, as well as senior executive programs at Darden School of Management, University of</w:t>
            </w: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 xml:space="preserve">Virginia. </w:t>
            </w:r>
            <w:r>
              <w:rPr>
                <w:rFonts w:ascii="Arial" w:cs="Arial" w:eastAsia="Arial" w:hAnsi="Arial"/>
                <w:sz w:val="16"/>
                <w:szCs w:val="16"/>
                <w:b w:val="1"/>
                <w:bCs w:val="1"/>
                <w:color w:val="255993"/>
              </w:rPr>
              <w:t>We believe that Ms. Romano’s executive operating experience and aptitude for</w:t>
            </w:r>
          </w:p>
        </w:tc>
      </w:tr>
      <w:tr>
        <w:trPr>
          <w:trHeight w:val="223"/>
        </w:trPr>
        <w:tc>
          <w:tcPr>
            <w:tcW w:w="2420" w:type="dxa"/>
            <w:vAlign w:val="bottom"/>
          </w:tcPr>
          <w:p>
            <w:pPr>
              <w:spacing w:after="0"/>
              <w:rPr>
                <w:sz w:val="19"/>
                <w:szCs w:val="19"/>
                <w:color w:val="auto"/>
              </w:rPr>
            </w:pPr>
          </w:p>
        </w:tc>
        <w:tc>
          <w:tcPr>
            <w:tcW w:w="8600" w:type="dxa"/>
            <w:vAlign w:val="bottom"/>
            <w:gridSpan w:val="3"/>
          </w:tcPr>
          <w:p>
            <w:pPr>
              <w:spacing w:after="0"/>
              <w:rPr>
                <w:sz w:val="20"/>
                <w:szCs w:val="20"/>
                <w:color w:val="auto"/>
              </w:rPr>
            </w:pPr>
            <w:r>
              <w:rPr>
                <w:rFonts w:ascii="Arial" w:cs="Arial" w:eastAsia="Arial" w:hAnsi="Arial"/>
                <w:sz w:val="16"/>
                <w:szCs w:val="16"/>
                <w:b w:val="1"/>
                <w:bCs w:val="1"/>
                <w:color w:val="255993"/>
              </w:rPr>
              <w:t>understanding growing companies qualifies her to serve on our board of directors.</w:t>
            </w:r>
          </w:p>
        </w:tc>
      </w:tr>
      <w:tr>
        <w:trPr>
          <w:trHeight w:val="943"/>
        </w:trPr>
        <w:tc>
          <w:tcPr>
            <w:tcW w:w="242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Arial" w:cs="Arial" w:eastAsia="Arial" w:hAnsi="Arial"/>
                <w:sz w:val="40"/>
                <w:szCs w:val="40"/>
                <w:color w:val="255993"/>
              </w:rPr>
              <w:t>Joseph Edelman</w:t>
            </w:r>
          </w:p>
        </w:tc>
        <w:tc>
          <w:tcPr>
            <w:tcW w:w="3820" w:type="dxa"/>
            <w:vAlign w:val="bottom"/>
          </w:tcPr>
          <w:p>
            <w:pPr>
              <w:spacing w:after="0"/>
              <w:rPr>
                <w:sz w:val="24"/>
                <w:szCs w:val="24"/>
                <w:color w:val="auto"/>
              </w:rPr>
            </w:pPr>
          </w:p>
        </w:tc>
      </w:tr>
      <w:tr>
        <w:trPr>
          <w:trHeight w:val="196"/>
        </w:trPr>
        <w:tc>
          <w:tcPr>
            <w:tcW w:w="2420" w:type="dxa"/>
            <w:vAlign w:val="bottom"/>
          </w:tcPr>
          <w:p>
            <w:pPr>
              <w:spacing w:after="0"/>
              <w:rPr>
                <w:sz w:val="17"/>
                <w:szCs w:val="17"/>
                <w:color w:val="auto"/>
              </w:rPr>
            </w:pPr>
          </w:p>
        </w:tc>
        <w:tc>
          <w:tcPr>
            <w:tcW w:w="4780" w:type="dxa"/>
            <w:vAlign w:val="bottom"/>
            <w:gridSpan w:val="2"/>
          </w:tcPr>
          <w:p>
            <w:pPr>
              <w:spacing w:after="0"/>
              <w:rPr>
                <w:sz w:val="20"/>
                <w:szCs w:val="20"/>
                <w:color w:val="auto"/>
              </w:rPr>
            </w:pPr>
            <w:r>
              <w:rPr>
                <w:rFonts w:ascii="Arial" w:cs="Arial" w:eastAsia="Arial" w:hAnsi="Arial"/>
                <w:sz w:val="14"/>
                <w:szCs w:val="14"/>
                <w:b w:val="1"/>
                <w:bCs w:val="1"/>
                <w:color w:val="auto"/>
              </w:rPr>
              <w:t>AGE: 68  DIRECTOR SINCE: MAY 2020</w:t>
            </w:r>
          </w:p>
        </w:tc>
        <w:tc>
          <w:tcPr>
            <w:tcW w:w="3820" w:type="dxa"/>
            <w:vAlign w:val="bottom"/>
          </w:tcPr>
          <w:p>
            <w:pPr>
              <w:spacing w:after="0"/>
              <w:rPr>
                <w:sz w:val="17"/>
                <w:szCs w:val="17"/>
                <w:color w:val="auto"/>
              </w:rPr>
            </w:pPr>
          </w:p>
        </w:tc>
      </w:tr>
      <w:tr>
        <w:trPr>
          <w:trHeight w:val="225"/>
        </w:trPr>
        <w:tc>
          <w:tcPr>
            <w:tcW w:w="2420" w:type="dxa"/>
            <w:vAlign w:val="bottom"/>
          </w:tcPr>
          <w:p>
            <w:pPr>
              <w:spacing w:after="0"/>
              <w:rPr>
                <w:sz w:val="19"/>
                <w:szCs w:val="19"/>
                <w:color w:val="auto"/>
              </w:rPr>
            </w:pPr>
          </w:p>
        </w:tc>
        <w:tc>
          <w:tcPr>
            <w:tcW w:w="1400" w:type="dxa"/>
            <w:vAlign w:val="bottom"/>
            <w:tcBorders>
              <w:bottom w:val="single" w:sz="8" w:color="F8991D"/>
            </w:tcBorders>
          </w:tcPr>
          <w:p>
            <w:pPr>
              <w:spacing w:after="0"/>
              <w:rPr>
                <w:sz w:val="19"/>
                <w:szCs w:val="19"/>
                <w:color w:val="auto"/>
              </w:rPr>
            </w:pPr>
          </w:p>
        </w:tc>
        <w:tc>
          <w:tcPr>
            <w:tcW w:w="7200" w:type="dxa"/>
            <w:vAlign w:val="bottom"/>
            <w:gridSpan w:val="2"/>
          </w:tcPr>
          <w:p>
            <w:pPr>
              <w:spacing w:after="0"/>
              <w:rPr>
                <w:sz w:val="19"/>
                <w:szCs w:val="19"/>
                <w:color w:val="auto"/>
              </w:rPr>
            </w:pPr>
          </w:p>
        </w:tc>
      </w:tr>
      <w:tr>
        <w:trPr>
          <w:trHeight w:val="431"/>
        </w:trPr>
        <w:tc>
          <w:tcPr>
            <w:tcW w:w="2420" w:type="dxa"/>
            <w:vAlign w:val="bottom"/>
          </w:tcPr>
          <w:p>
            <w:pPr>
              <w:ind w:left="800"/>
              <w:spacing w:after="0"/>
              <w:rPr>
                <w:sz w:val="20"/>
                <w:szCs w:val="20"/>
                <w:color w:val="auto"/>
              </w:rPr>
            </w:pPr>
            <w:r>
              <w:rPr>
                <w:rFonts w:ascii="Arial" w:cs="Arial" w:eastAsia="Arial" w:hAnsi="Arial"/>
                <w:sz w:val="16"/>
                <w:szCs w:val="16"/>
                <w:color w:val="auto"/>
              </w:rPr>
              <w:t> </w:t>
            </w:r>
          </w:p>
        </w:tc>
        <w:tc>
          <w:tcPr>
            <w:tcW w:w="8600" w:type="dxa"/>
            <w:vAlign w:val="bottom"/>
            <w:gridSpan w:val="3"/>
          </w:tcPr>
          <w:p>
            <w:pPr>
              <w:spacing w:after="0"/>
              <w:rPr>
                <w:sz w:val="20"/>
                <w:szCs w:val="20"/>
                <w:color w:val="auto"/>
              </w:rPr>
            </w:pPr>
            <w:r>
              <w:rPr>
                <w:rFonts w:ascii="Arial" w:cs="Arial" w:eastAsia="Arial" w:hAnsi="Arial"/>
                <w:sz w:val="16"/>
                <w:szCs w:val="16"/>
                <w:color w:val="auto"/>
              </w:rPr>
              <w:t>Joseph Edelman has served on our board of directors since May 2020. Mr. Edelman is the founder and chief</w:t>
            </w: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executive officer of Perceptive Advisors, a hedge fund that specializes in investing in biotechnology stocks.</w:t>
            </w: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He founded Perceptive Advisors in 1999, aiming to support progress in the life sciences industry by</w:t>
            </w: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identifying opportunities and directing financial resources toward the most promising technologies in modern</w:t>
            </w: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healthcare. Mr. Edelman earned an M.B.A. from the Leonard N. Stern School of Business at New York</w:t>
            </w: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University in 1986 and a B.A., magna cum laude, in psychology from the University of California San Diego</w:t>
            </w: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 xml:space="preserve">in 1978. </w:t>
            </w:r>
            <w:r>
              <w:rPr>
                <w:rFonts w:ascii="Arial" w:cs="Arial" w:eastAsia="Arial" w:hAnsi="Arial"/>
                <w:sz w:val="16"/>
                <w:szCs w:val="16"/>
                <w:b w:val="1"/>
                <w:bCs w:val="1"/>
                <w:color w:val="255993"/>
              </w:rPr>
              <w:t>We believe that Mr. Edelman’s experience as a board member and investor in many</w:t>
            </w:r>
          </w:p>
        </w:tc>
      </w:tr>
      <w:tr>
        <w:trPr>
          <w:trHeight w:val="223"/>
        </w:trPr>
        <w:tc>
          <w:tcPr>
            <w:tcW w:w="2420" w:type="dxa"/>
            <w:vAlign w:val="bottom"/>
          </w:tcPr>
          <w:p>
            <w:pPr>
              <w:spacing w:after="0"/>
              <w:rPr>
                <w:sz w:val="19"/>
                <w:szCs w:val="19"/>
                <w:color w:val="auto"/>
              </w:rPr>
            </w:pPr>
          </w:p>
        </w:tc>
        <w:tc>
          <w:tcPr>
            <w:tcW w:w="8600" w:type="dxa"/>
            <w:vAlign w:val="bottom"/>
            <w:gridSpan w:val="3"/>
          </w:tcPr>
          <w:p>
            <w:pPr>
              <w:spacing w:after="0"/>
              <w:rPr>
                <w:sz w:val="20"/>
                <w:szCs w:val="20"/>
                <w:color w:val="auto"/>
              </w:rPr>
            </w:pPr>
            <w:r>
              <w:rPr>
                <w:rFonts w:ascii="Arial" w:cs="Arial" w:eastAsia="Arial" w:hAnsi="Arial"/>
                <w:sz w:val="16"/>
                <w:szCs w:val="16"/>
                <w:b w:val="1"/>
                <w:bCs w:val="1"/>
                <w:color w:val="255993"/>
              </w:rPr>
              <w:t>successful biotechnology companies qualifies him to serve on our board of directors.</w:t>
            </w:r>
          </w:p>
        </w:tc>
      </w:tr>
      <w:tr>
        <w:trPr>
          <w:trHeight w:val="492"/>
        </w:trPr>
        <w:tc>
          <w:tcPr>
            <w:tcW w:w="2420" w:type="dxa"/>
            <w:vAlign w:val="bottom"/>
          </w:tcPr>
          <w:p>
            <w:pPr>
              <w:ind w:left="800"/>
              <w:spacing w:after="0"/>
              <w:rPr>
                <w:sz w:val="20"/>
                <w:szCs w:val="20"/>
                <w:color w:val="auto"/>
              </w:rPr>
            </w:pPr>
            <w:r>
              <w:rPr>
                <w:rFonts w:ascii="Arial" w:cs="Arial" w:eastAsia="Arial" w:hAnsi="Arial"/>
                <w:sz w:val="14"/>
                <w:szCs w:val="14"/>
                <w:color w:val="255993"/>
              </w:rPr>
              <w:t>Athira Pharma, Inc.</w:t>
            </w:r>
          </w:p>
        </w:tc>
        <w:tc>
          <w:tcPr>
            <w:tcW w:w="4780" w:type="dxa"/>
            <w:vAlign w:val="bottom"/>
            <w:gridSpan w:val="2"/>
          </w:tcPr>
          <w:p>
            <w:pPr>
              <w:ind w:left="3000"/>
              <w:spacing w:after="0"/>
              <w:rPr>
                <w:sz w:val="20"/>
                <w:szCs w:val="20"/>
                <w:color w:val="auto"/>
              </w:rPr>
            </w:pPr>
            <w:r>
              <w:rPr>
                <w:rFonts w:ascii="Arial" w:cs="Arial" w:eastAsia="Arial" w:hAnsi="Arial"/>
                <w:sz w:val="14"/>
                <w:szCs w:val="14"/>
                <w:b w:val="1"/>
                <w:bCs w:val="1"/>
                <w:color w:val="255993"/>
              </w:rPr>
              <w:t>12</w:t>
            </w:r>
          </w:p>
        </w:tc>
        <w:tc>
          <w:tcPr>
            <w:tcW w:w="3820" w:type="dxa"/>
            <w:vAlign w:val="bottom"/>
          </w:tcPr>
          <w:p>
            <w:pPr>
              <w:ind w:left="1580"/>
              <w:spacing w:after="0"/>
              <w:rPr>
                <w:sz w:val="20"/>
                <w:szCs w:val="20"/>
                <w:color w:val="auto"/>
              </w:rPr>
            </w:pPr>
            <w:r>
              <w:rPr>
                <w:rFonts w:ascii="Arial" w:cs="Arial" w:eastAsia="Arial" w:hAnsi="Arial"/>
                <w:sz w:val="14"/>
                <w:szCs w:val="14"/>
                <w:color w:val="255993"/>
              </w:rPr>
              <w:t>2024 Proxy Statement</w:t>
            </w:r>
          </w:p>
        </w:tc>
      </w:tr>
      <w:tr>
        <w:trPr>
          <w:trHeight w:val="158"/>
        </w:trPr>
        <w:tc>
          <w:tcPr>
            <w:tcW w:w="24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3380" w:type="dxa"/>
            <w:vAlign w:val="bottom"/>
            <w:tcBorders>
              <w:bottom w:val="single" w:sz="8" w:color="auto"/>
            </w:tcBorders>
          </w:tcPr>
          <w:p>
            <w:pPr>
              <w:spacing w:after="0"/>
              <w:rPr>
                <w:sz w:val="13"/>
                <w:szCs w:val="13"/>
                <w:color w:val="auto"/>
              </w:rPr>
            </w:pPr>
          </w:p>
        </w:tc>
        <w:tc>
          <w:tcPr>
            <w:tcW w:w="3820" w:type="dxa"/>
            <w:vAlign w:val="bottom"/>
            <w:tcBorders>
              <w:bottom w:val="single" w:sz="8" w:color="auto"/>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-2271395</wp:posOffset>
            </wp:positionV>
            <wp:extent cx="882650" cy="8826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82650" cy="882650"/>
                    </a:xfrm>
                    <a:prstGeom prst="rect">
                      <a:avLst/>
                    </a:prstGeom>
                    <a:noFill/>
                  </pic:spPr>
                </pic:pic>
              </a:graphicData>
            </a:graphic>
          </wp:anchor>
        </w:drawing>
      </w:r>
    </w:p>
    <w:p>
      <w:pPr>
        <w:sectPr>
          <w:pgSz w:w="11900" w:h="16838" w:orient="portrait"/>
          <w:cols w:equalWidth="0" w:num="1">
            <w:col w:w="11020"/>
          </w:cols>
          <w:pgMar w:left="440" w:top="263" w:right="439" w:bottom="1440" w:gutter="0" w:footer="0" w:header="0"/>
        </w:sectPr>
      </w:pPr>
    </w:p>
    <w:bookmarkStart w:id="21" w:name="page22"/>
    <w:bookmarkEnd w:id="21"/>
    <w:p>
      <w:pPr>
        <w:ind w:left="8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ind w:left="7260"/>
        <w:spacing w:after="0"/>
        <w:rPr>
          <w:sz w:val="20"/>
          <w:szCs w:val="20"/>
          <w:color w:val="auto"/>
        </w:rPr>
      </w:pPr>
      <w:r>
        <w:rPr>
          <w:rFonts w:ascii="Arial" w:cs="Arial" w:eastAsia="Arial" w:hAnsi="Arial"/>
          <w:sz w:val="14"/>
          <w:szCs w:val="14"/>
          <w:color w:val="255993"/>
        </w:rPr>
        <w:t>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143510</wp:posOffset>
            </wp:positionV>
            <wp:extent cx="882650" cy="8826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82650" cy="882650"/>
                    </a:xfrm>
                    <a:prstGeom prst="rect">
                      <a:avLst/>
                    </a:prstGeom>
                    <a:noFill/>
                  </pic:spPr>
                </pic:pic>
              </a:graphicData>
            </a:graphic>
          </wp:anchor>
        </w:drawing>
      </w:r>
    </w:p>
    <w:p>
      <w:pPr>
        <w:spacing w:after="0" w:line="390" w:lineRule="exact"/>
        <w:rPr>
          <w:sz w:val="20"/>
          <w:szCs w:val="20"/>
          <w:color w:val="auto"/>
        </w:rPr>
      </w:pPr>
    </w:p>
    <w:tbl>
      <w:tblPr>
        <w:tblLayout w:type="fixed"/>
        <w:tblInd w:w="800" w:type="dxa"/>
        <w:tblCellMar>
          <w:top w:w="0" w:type="dxa"/>
          <w:left w:w="0" w:type="dxa"/>
          <w:bottom w:w="0" w:type="dxa"/>
          <w:right w:w="0" w:type="dxa"/>
        </w:tblCellMar>
      </w:tblPr>
      <w:tr>
        <w:trPr>
          <w:trHeight w:val="522"/>
        </w:trPr>
        <w:tc>
          <w:tcPr>
            <w:tcW w:w="1620" w:type="dxa"/>
            <w:vAlign w:val="bottom"/>
          </w:tcPr>
          <w:p>
            <w:pPr>
              <w:spacing w:after="0"/>
              <w:rPr>
                <w:sz w:val="24"/>
                <w:szCs w:val="24"/>
                <w:color w:val="auto"/>
              </w:rPr>
            </w:pPr>
          </w:p>
        </w:tc>
        <w:tc>
          <w:tcPr>
            <w:tcW w:w="7740" w:type="dxa"/>
            <w:vAlign w:val="bottom"/>
            <w:gridSpan w:val="2"/>
          </w:tcPr>
          <w:p>
            <w:pPr>
              <w:spacing w:after="0"/>
              <w:rPr>
                <w:sz w:val="20"/>
                <w:szCs w:val="20"/>
                <w:color w:val="auto"/>
              </w:rPr>
            </w:pPr>
            <w:r>
              <w:rPr>
                <w:rFonts w:ascii="Arial" w:cs="Arial" w:eastAsia="Arial" w:hAnsi="Arial"/>
                <w:sz w:val="40"/>
                <w:szCs w:val="40"/>
                <w:color w:val="255993"/>
              </w:rPr>
              <w:t>John M. Fluke, Jr.</w:t>
            </w: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7740" w:type="dxa"/>
            <w:vAlign w:val="bottom"/>
            <w:gridSpan w:val="2"/>
          </w:tcPr>
          <w:p>
            <w:pPr>
              <w:spacing w:after="0"/>
              <w:rPr>
                <w:sz w:val="20"/>
                <w:szCs w:val="20"/>
                <w:color w:val="auto"/>
              </w:rPr>
            </w:pPr>
            <w:r>
              <w:rPr>
                <w:rFonts w:ascii="Arial" w:cs="Arial" w:eastAsia="Arial" w:hAnsi="Arial"/>
                <w:sz w:val="14"/>
                <w:szCs w:val="14"/>
                <w:b w:val="1"/>
                <w:bCs w:val="1"/>
                <w:color w:val="auto"/>
              </w:rPr>
              <w:t>AGE: 81  DIRECTOR SINCE: DECEMBER 2014</w:t>
            </w:r>
          </w:p>
        </w:tc>
        <w:tc>
          <w:tcPr>
            <w:tcW w:w="0" w:type="dxa"/>
            <w:vAlign w:val="bottom"/>
          </w:tcPr>
          <w:p>
            <w:pPr>
              <w:spacing w:after="0"/>
              <w:rPr>
                <w:sz w:val="1"/>
                <w:szCs w:val="1"/>
                <w:color w:val="auto"/>
              </w:rPr>
            </w:pPr>
          </w:p>
        </w:tc>
      </w:tr>
      <w:tr>
        <w:trPr>
          <w:trHeight w:val="239"/>
        </w:trPr>
        <w:tc>
          <w:tcPr>
            <w:tcW w:w="1620" w:type="dxa"/>
            <w:vAlign w:val="bottom"/>
            <w:vMerge w:val="restart"/>
          </w:tcPr>
          <w:p>
            <w:pPr>
              <w:spacing w:after="0"/>
              <w:rPr>
                <w:sz w:val="20"/>
                <w:szCs w:val="20"/>
                <w:color w:val="auto"/>
              </w:rPr>
            </w:pPr>
            <w:r>
              <w:rPr>
                <w:rFonts w:ascii="Arial" w:cs="Arial" w:eastAsia="Arial" w:hAnsi="Arial"/>
                <w:sz w:val="16"/>
                <w:szCs w:val="16"/>
                <w:color w:val="auto"/>
              </w:rPr>
              <w:t xml:space="preserve">  </w:t>
            </w:r>
          </w:p>
        </w:tc>
        <w:tc>
          <w:tcPr>
            <w:tcW w:w="1400" w:type="dxa"/>
            <w:vAlign w:val="bottom"/>
            <w:tcBorders>
              <w:bottom w:val="single" w:sz="8" w:color="F8991D"/>
            </w:tcBorders>
          </w:tcPr>
          <w:p>
            <w:pPr>
              <w:spacing w:after="0"/>
              <w:rPr>
                <w:sz w:val="20"/>
                <w:szCs w:val="20"/>
                <w:color w:val="auto"/>
              </w:rPr>
            </w:pPr>
          </w:p>
        </w:tc>
        <w:tc>
          <w:tcPr>
            <w:tcW w:w="6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1620" w:type="dxa"/>
            <w:vAlign w:val="bottom"/>
            <w:vMerge w:val="continue"/>
          </w:tcPr>
          <w:p>
            <w:pPr>
              <w:spacing w:after="0"/>
              <w:rPr>
                <w:sz w:val="24"/>
                <w:szCs w:val="24"/>
                <w:color w:val="auto"/>
              </w:rPr>
            </w:pPr>
          </w:p>
        </w:tc>
        <w:tc>
          <w:tcPr>
            <w:tcW w:w="7740" w:type="dxa"/>
            <w:vAlign w:val="bottom"/>
            <w:gridSpan w:val="2"/>
          </w:tcPr>
          <w:p>
            <w:pPr>
              <w:spacing w:after="0"/>
              <w:rPr>
                <w:sz w:val="20"/>
                <w:szCs w:val="20"/>
                <w:color w:val="auto"/>
              </w:rPr>
            </w:pPr>
            <w:r>
              <w:rPr>
                <w:rFonts w:ascii="Arial" w:cs="Arial" w:eastAsia="Arial" w:hAnsi="Arial"/>
                <w:sz w:val="16"/>
                <w:szCs w:val="16"/>
                <w:color w:val="auto"/>
              </w:rPr>
              <w:t>John M. Fluke, Jr. has served on our board of directors since December 2014. Mr. Fluke is chairman of</w:t>
            </w: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7740" w:type="dxa"/>
            <w:vAlign w:val="bottom"/>
            <w:gridSpan w:val="2"/>
          </w:tcPr>
          <w:p>
            <w:pPr>
              <w:spacing w:after="0"/>
              <w:rPr>
                <w:sz w:val="20"/>
                <w:szCs w:val="20"/>
                <w:color w:val="auto"/>
              </w:rPr>
            </w:pPr>
            <w:r>
              <w:rPr>
                <w:rFonts w:ascii="Arial" w:cs="Arial" w:eastAsia="Arial" w:hAnsi="Arial"/>
                <w:sz w:val="16"/>
                <w:szCs w:val="16"/>
                <w:color w:val="auto"/>
              </w:rPr>
              <w:t>Fluke Capital Management, L.P., which he founded in 1976, and was chairman and chief executive officer of</w:t>
            </w: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7740" w:type="dxa"/>
            <w:vAlign w:val="bottom"/>
            <w:gridSpan w:val="2"/>
          </w:tcPr>
          <w:p>
            <w:pPr>
              <w:spacing w:after="0"/>
              <w:rPr>
                <w:sz w:val="20"/>
                <w:szCs w:val="20"/>
                <w:color w:val="auto"/>
              </w:rPr>
            </w:pPr>
            <w:r>
              <w:rPr>
                <w:rFonts w:ascii="Arial" w:cs="Arial" w:eastAsia="Arial" w:hAnsi="Arial"/>
                <w:sz w:val="16"/>
                <w:szCs w:val="16"/>
                <w:color w:val="auto"/>
              </w:rPr>
              <w:t>the John Fluke Manufacturing Co. until 1990. Mr. Fluke previously served on the boards of PACCAR Inc.,</w:t>
            </w: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7740" w:type="dxa"/>
            <w:vAlign w:val="bottom"/>
            <w:gridSpan w:val="2"/>
          </w:tcPr>
          <w:p>
            <w:pPr>
              <w:spacing w:after="0"/>
              <w:rPr>
                <w:sz w:val="20"/>
                <w:szCs w:val="20"/>
                <w:color w:val="auto"/>
              </w:rPr>
            </w:pPr>
            <w:r>
              <w:rPr>
                <w:rFonts w:ascii="Arial" w:cs="Arial" w:eastAsia="Arial" w:hAnsi="Arial"/>
                <w:sz w:val="16"/>
                <w:szCs w:val="16"/>
                <w:color w:val="auto"/>
              </w:rPr>
              <w:t>CellCyte Genetics Corporation, Cell Therapeutics, Primus International, and American Seafoods Group. Mr.</w:t>
            </w: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7740" w:type="dxa"/>
            <w:vAlign w:val="bottom"/>
            <w:gridSpan w:val="2"/>
          </w:tcPr>
          <w:p>
            <w:pPr>
              <w:spacing w:after="0"/>
              <w:rPr>
                <w:sz w:val="20"/>
                <w:szCs w:val="20"/>
                <w:color w:val="auto"/>
              </w:rPr>
            </w:pPr>
            <w:r>
              <w:rPr>
                <w:rFonts w:ascii="Arial" w:cs="Arial" w:eastAsia="Arial" w:hAnsi="Arial"/>
                <w:sz w:val="16"/>
                <w:szCs w:val="16"/>
                <w:color w:val="auto"/>
              </w:rPr>
              <w:t>Fluke is a current trustee of the Greater Seattle Chamber of Commerce (formerly serving as its chairman),</w:t>
            </w: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7740" w:type="dxa"/>
            <w:vAlign w:val="bottom"/>
            <w:gridSpan w:val="2"/>
          </w:tcPr>
          <w:p>
            <w:pPr>
              <w:spacing w:after="0"/>
              <w:rPr>
                <w:sz w:val="20"/>
                <w:szCs w:val="20"/>
                <w:color w:val="auto"/>
              </w:rPr>
            </w:pPr>
            <w:r>
              <w:rPr>
                <w:rFonts w:ascii="Arial" w:cs="Arial" w:eastAsia="Arial" w:hAnsi="Arial"/>
                <w:sz w:val="16"/>
                <w:szCs w:val="16"/>
                <w:color w:val="auto"/>
              </w:rPr>
              <w:t>and previously served as chairman of the Washington State China Relations Council and a trustee emeritus</w:t>
            </w: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7740" w:type="dxa"/>
            <w:vAlign w:val="bottom"/>
            <w:gridSpan w:val="2"/>
          </w:tcPr>
          <w:p>
            <w:pPr>
              <w:spacing w:after="0"/>
              <w:rPr>
                <w:sz w:val="20"/>
                <w:szCs w:val="20"/>
                <w:color w:val="auto"/>
              </w:rPr>
            </w:pPr>
            <w:r>
              <w:rPr>
                <w:rFonts w:ascii="Arial" w:cs="Arial" w:eastAsia="Arial" w:hAnsi="Arial"/>
                <w:sz w:val="16"/>
                <w:szCs w:val="16"/>
                <w:color w:val="auto"/>
              </w:rPr>
              <w:t>of the Museum of Flight. He also previously served as chairman of the Washington Technology Center at the</w:t>
            </w: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7740" w:type="dxa"/>
            <w:vAlign w:val="bottom"/>
            <w:gridSpan w:val="2"/>
          </w:tcPr>
          <w:p>
            <w:pPr>
              <w:spacing w:after="0"/>
              <w:rPr>
                <w:sz w:val="20"/>
                <w:szCs w:val="20"/>
                <w:color w:val="auto"/>
              </w:rPr>
            </w:pPr>
            <w:r>
              <w:rPr>
                <w:rFonts w:ascii="Arial" w:cs="Arial" w:eastAsia="Arial" w:hAnsi="Arial"/>
                <w:sz w:val="16"/>
                <w:szCs w:val="16"/>
                <w:color w:val="auto"/>
              </w:rPr>
              <w:t>University of Washington, which is an organization responsible for managing technology transfers from</w:t>
            </w: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7740" w:type="dxa"/>
            <w:vAlign w:val="bottom"/>
            <w:gridSpan w:val="2"/>
          </w:tcPr>
          <w:p>
            <w:pPr>
              <w:spacing w:after="0"/>
              <w:rPr>
                <w:sz w:val="20"/>
                <w:szCs w:val="20"/>
                <w:color w:val="auto"/>
              </w:rPr>
            </w:pPr>
            <w:r>
              <w:rPr>
                <w:rFonts w:ascii="Arial" w:cs="Arial" w:eastAsia="Arial" w:hAnsi="Arial"/>
                <w:sz w:val="16"/>
                <w:szCs w:val="16"/>
                <w:color w:val="auto"/>
              </w:rPr>
              <w:t>public universities in Washington state to the private sector for commercialization. Mr. Fluke has also served</w:t>
            </w: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7740" w:type="dxa"/>
            <w:vAlign w:val="bottom"/>
            <w:gridSpan w:val="2"/>
          </w:tcPr>
          <w:p>
            <w:pPr>
              <w:spacing w:after="0"/>
              <w:rPr>
                <w:sz w:val="20"/>
                <w:szCs w:val="20"/>
                <w:color w:val="auto"/>
              </w:rPr>
            </w:pPr>
            <w:r>
              <w:rPr>
                <w:rFonts w:ascii="Arial" w:cs="Arial" w:eastAsia="Arial" w:hAnsi="Arial"/>
                <w:sz w:val="16"/>
                <w:szCs w:val="16"/>
                <w:color w:val="auto"/>
              </w:rPr>
              <w:t>as chairman of the trustees of Junior Achievement of Washington and president of the Seattle Council of</w:t>
            </w: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7740" w:type="dxa"/>
            <w:vAlign w:val="bottom"/>
            <w:gridSpan w:val="2"/>
          </w:tcPr>
          <w:p>
            <w:pPr>
              <w:spacing w:after="0"/>
              <w:rPr>
                <w:sz w:val="20"/>
                <w:szCs w:val="20"/>
                <w:color w:val="auto"/>
              </w:rPr>
            </w:pPr>
            <w:r>
              <w:rPr>
                <w:rFonts w:ascii="Arial" w:cs="Arial" w:eastAsia="Arial" w:hAnsi="Arial"/>
                <w:sz w:val="16"/>
                <w:szCs w:val="16"/>
                <w:color w:val="auto"/>
              </w:rPr>
              <w:t>Boy Scouts of America. Mr. Fluke earned an M.S. in electrical engineering from Stanford University in 1966</w:t>
            </w: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7740" w:type="dxa"/>
            <w:vAlign w:val="bottom"/>
            <w:gridSpan w:val="2"/>
          </w:tcPr>
          <w:p>
            <w:pPr>
              <w:spacing w:after="0"/>
              <w:rPr>
                <w:sz w:val="20"/>
                <w:szCs w:val="20"/>
                <w:color w:val="auto"/>
              </w:rPr>
            </w:pPr>
            <w:r>
              <w:rPr>
                <w:rFonts w:ascii="Arial" w:cs="Arial" w:eastAsia="Arial" w:hAnsi="Arial"/>
                <w:sz w:val="16"/>
                <w:szCs w:val="16"/>
                <w:color w:val="auto"/>
              </w:rPr>
              <w:t xml:space="preserve">and a B.S. in electrical engineering from the University of Washington in 1964. </w:t>
            </w:r>
            <w:r>
              <w:rPr>
                <w:rFonts w:ascii="Arial" w:cs="Arial" w:eastAsia="Arial" w:hAnsi="Arial"/>
                <w:sz w:val="16"/>
                <w:szCs w:val="16"/>
                <w:b w:val="1"/>
                <w:bCs w:val="1"/>
                <w:color w:val="255993"/>
              </w:rPr>
              <w:t>We believe that Mr. Fluke’s</w:t>
            </w: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7740" w:type="dxa"/>
            <w:vAlign w:val="bottom"/>
            <w:gridSpan w:val="2"/>
          </w:tcPr>
          <w:p>
            <w:pPr>
              <w:spacing w:after="0"/>
              <w:rPr>
                <w:sz w:val="20"/>
                <w:szCs w:val="20"/>
                <w:color w:val="auto"/>
              </w:rPr>
            </w:pPr>
            <w:r>
              <w:rPr>
                <w:rFonts w:ascii="Arial" w:cs="Arial" w:eastAsia="Arial" w:hAnsi="Arial"/>
                <w:sz w:val="16"/>
                <w:szCs w:val="16"/>
                <w:b w:val="1"/>
                <w:bCs w:val="1"/>
                <w:color w:val="255993"/>
              </w:rPr>
              <w:t>extensive leadership experience and background as an investor in many successful companies</w:t>
            </w:r>
          </w:p>
        </w:tc>
        <w:tc>
          <w:tcPr>
            <w:tcW w:w="0" w:type="dxa"/>
            <w:vAlign w:val="bottom"/>
          </w:tcPr>
          <w:p>
            <w:pPr>
              <w:spacing w:after="0"/>
              <w:rPr>
                <w:sz w:val="1"/>
                <w:szCs w:val="1"/>
                <w:color w:val="auto"/>
              </w:rPr>
            </w:pPr>
          </w:p>
        </w:tc>
      </w:tr>
      <w:tr>
        <w:trPr>
          <w:trHeight w:val="223"/>
        </w:trPr>
        <w:tc>
          <w:tcPr>
            <w:tcW w:w="1620" w:type="dxa"/>
            <w:vAlign w:val="bottom"/>
          </w:tcPr>
          <w:p>
            <w:pPr>
              <w:spacing w:after="0"/>
              <w:rPr>
                <w:sz w:val="19"/>
                <w:szCs w:val="19"/>
                <w:color w:val="auto"/>
              </w:rPr>
            </w:pPr>
          </w:p>
        </w:tc>
        <w:tc>
          <w:tcPr>
            <w:tcW w:w="7740" w:type="dxa"/>
            <w:vAlign w:val="bottom"/>
            <w:gridSpan w:val="2"/>
          </w:tcPr>
          <w:p>
            <w:pPr>
              <w:spacing w:after="0"/>
              <w:rPr>
                <w:sz w:val="20"/>
                <w:szCs w:val="20"/>
                <w:color w:val="auto"/>
              </w:rPr>
            </w:pPr>
            <w:r>
              <w:rPr>
                <w:rFonts w:ascii="Arial" w:cs="Arial" w:eastAsia="Arial" w:hAnsi="Arial"/>
                <w:sz w:val="16"/>
                <w:szCs w:val="16"/>
                <w:b w:val="1"/>
                <w:bCs w:val="1"/>
                <w:color w:val="255993"/>
              </w:rPr>
              <w:t>qualifies him to serve on our board of directors.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167640</wp:posOffset>
            </wp:positionV>
            <wp:extent cx="882650" cy="8826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82650" cy="88265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495"/>
        </w:trPr>
        <w:tc>
          <w:tcPr>
            <w:tcW w:w="2420" w:type="dxa"/>
            <w:vAlign w:val="bottom"/>
          </w:tcPr>
          <w:p>
            <w:pPr>
              <w:spacing w:after="0"/>
              <w:rPr>
                <w:sz w:val="24"/>
                <w:szCs w:val="24"/>
                <w:color w:val="auto"/>
              </w:rPr>
            </w:pPr>
          </w:p>
        </w:tc>
        <w:tc>
          <w:tcPr>
            <w:tcW w:w="6220" w:type="dxa"/>
            <w:vAlign w:val="bottom"/>
            <w:gridSpan w:val="2"/>
          </w:tcPr>
          <w:p>
            <w:pPr>
              <w:spacing w:after="0"/>
              <w:rPr>
                <w:sz w:val="20"/>
                <w:szCs w:val="20"/>
                <w:color w:val="auto"/>
              </w:rPr>
            </w:pPr>
            <w:r>
              <w:rPr>
                <w:rFonts w:ascii="Arial" w:cs="Arial" w:eastAsia="Arial" w:hAnsi="Arial"/>
                <w:sz w:val="40"/>
                <w:szCs w:val="40"/>
                <w:color w:val="255993"/>
              </w:rPr>
              <w:t>James A. Johnson</w:t>
            </w:r>
          </w:p>
        </w:tc>
        <w:tc>
          <w:tcPr>
            <w:tcW w:w="2380" w:type="dxa"/>
            <w:vAlign w:val="bottom"/>
          </w:tcPr>
          <w:p>
            <w:pPr>
              <w:spacing w:after="0"/>
              <w:rPr>
                <w:sz w:val="24"/>
                <w:szCs w:val="24"/>
                <w:color w:val="auto"/>
              </w:rPr>
            </w:pPr>
          </w:p>
        </w:tc>
      </w:tr>
      <w:tr>
        <w:trPr>
          <w:trHeight w:val="196"/>
        </w:trPr>
        <w:tc>
          <w:tcPr>
            <w:tcW w:w="2420" w:type="dxa"/>
            <w:vAlign w:val="bottom"/>
          </w:tcPr>
          <w:p>
            <w:pPr>
              <w:spacing w:after="0"/>
              <w:rPr>
                <w:sz w:val="17"/>
                <w:szCs w:val="17"/>
                <w:color w:val="auto"/>
              </w:rPr>
            </w:pPr>
          </w:p>
        </w:tc>
        <w:tc>
          <w:tcPr>
            <w:tcW w:w="6220" w:type="dxa"/>
            <w:vAlign w:val="bottom"/>
            <w:gridSpan w:val="2"/>
          </w:tcPr>
          <w:p>
            <w:pPr>
              <w:spacing w:after="0"/>
              <w:rPr>
                <w:sz w:val="20"/>
                <w:szCs w:val="20"/>
                <w:color w:val="auto"/>
              </w:rPr>
            </w:pPr>
            <w:r>
              <w:rPr>
                <w:rFonts w:ascii="Arial" w:cs="Arial" w:eastAsia="Arial" w:hAnsi="Arial"/>
                <w:sz w:val="14"/>
                <w:szCs w:val="14"/>
                <w:b w:val="1"/>
                <w:bCs w:val="1"/>
                <w:color w:val="auto"/>
              </w:rPr>
              <w:t>AGE: 67  DIRECTOR SINCE: AUGUST 2020</w:t>
            </w:r>
          </w:p>
        </w:tc>
        <w:tc>
          <w:tcPr>
            <w:tcW w:w="2380" w:type="dxa"/>
            <w:vAlign w:val="bottom"/>
          </w:tcPr>
          <w:p>
            <w:pPr>
              <w:spacing w:after="0"/>
              <w:rPr>
                <w:sz w:val="17"/>
                <w:szCs w:val="17"/>
                <w:color w:val="auto"/>
              </w:rPr>
            </w:pPr>
          </w:p>
        </w:tc>
      </w:tr>
      <w:tr>
        <w:trPr>
          <w:trHeight w:val="225"/>
        </w:trPr>
        <w:tc>
          <w:tcPr>
            <w:tcW w:w="2420" w:type="dxa"/>
            <w:vAlign w:val="bottom"/>
          </w:tcPr>
          <w:p>
            <w:pPr>
              <w:spacing w:after="0"/>
              <w:rPr>
                <w:sz w:val="19"/>
                <w:szCs w:val="19"/>
                <w:color w:val="auto"/>
              </w:rPr>
            </w:pPr>
          </w:p>
        </w:tc>
        <w:tc>
          <w:tcPr>
            <w:tcW w:w="1400" w:type="dxa"/>
            <w:vAlign w:val="bottom"/>
            <w:tcBorders>
              <w:bottom w:val="single" w:sz="8" w:color="F8991D"/>
            </w:tcBorders>
          </w:tcPr>
          <w:p>
            <w:pPr>
              <w:spacing w:after="0"/>
              <w:rPr>
                <w:sz w:val="19"/>
                <w:szCs w:val="19"/>
                <w:color w:val="auto"/>
              </w:rPr>
            </w:pPr>
          </w:p>
        </w:tc>
        <w:tc>
          <w:tcPr>
            <w:tcW w:w="7200" w:type="dxa"/>
            <w:vAlign w:val="bottom"/>
            <w:gridSpan w:val="2"/>
          </w:tcPr>
          <w:p>
            <w:pPr>
              <w:spacing w:after="0"/>
              <w:rPr>
                <w:sz w:val="19"/>
                <w:szCs w:val="19"/>
                <w:color w:val="auto"/>
              </w:rPr>
            </w:pPr>
          </w:p>
        </w:tc>
      </w:tr>
      <w:tr>
        <w:trPr>
          <w:trHeight w:val="431"/>
        </w:trPr>
        <w:tc>
          <w:tcPr>
            <w:tcW w:w="2420" w:type="dxa"/>
            <w:vAlign w:val="bottom"/>
          </w:tcPr>
          <w:p>
            <w:pPr>
              <w:ind w:left="800"/>
              <w:spacing w:after="0"/>
              <w:rPr>
                <w:sz w:val="20"/>
                <w:szCs w:val="20"/>
                <w:color w:val="auto"/>
              </w:rPr>
            </w:pPr>
            <w:r>
              <w:rPr>
                <w:rFonts w:ascii="Arial" w:cs="Arial" w:eastAsia="Arial" w:hAnsi="Arial"/>
                <w:sz w:val="16"/>
                <w:szCs w:val="16"/>
                <w:color w:val="auto"/>
              </w:rPr>
              <w:t> </w:t>
            </w:r>
          </w:p>
        </w:tc>
        <w:tc>
          <w:tcPr>
            <w:tcW w:w="8600" w:type="dxa"/>
            <w:vAlign w:val="bottom"/>
            <w:gridSpan w:val="3"/>
          </w:tcPr>
          <w:p>
            <w:pPr>
              <w:spacing w:after="0"/>
              <w:rPr>
                <w:sz w:val="20"/>
                <w:szCs w:val="20"/>
                <w:color w:val="auto"/>
              </w:rPr>
            </w:pPr>
            <w:r>
              <w:rPr>
                <w:rFonts w:ascii="Arial" w:cs="Arial" w:eastAsia="Arial" w:hAnsi="Arial"/>
                <w:sz w:val="16"/>
                <w:szCs w:val="16"/>
                <w:color w:val="auto"/>
              </w:rPr>
              <w:t>James A. Johnson has served on our board of directors since August 2020. Mr. Johnson previously served</w:t>
            </w: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as the chief financial officer of Nohla Therapeutics, a cell therapy company, from January 2018 to August</w:t>
            </w: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2019. Prior to Nohla, Mr. Johnson served as the chief financial officer of NanoString Technologies, a publicly</w:t>
            </w: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held provider of life science tools for translational research and molecular diagnostics, from October 2012 to</w:t>
            </w: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December 2017. During his tenure as chief financial officer at NanoString, Mr. Johnson oversaw strategic</w:t>
            </w: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and corporate finance activities from private stage through the company’s initial public offering and additional</w:t>
            </w: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rounds of financing, marking the third initial public offering in his career as a chief financial officer. Prior to</w:t>
            </w: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joining NanoString, Mr. Johnson served as chief financial officer of Relypsa, Inc., a clinical-stage</w:t>
            </w: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biopharmaceutical company. Prior to Relypsa, Mr. Johnson served for nearly 10 years as chief financial</w:t>
            </w: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officer of ZymoGenetics, Inc., until the company was acquired by Bristol-Myers Squibb in October 2010.</w:t>
            </w: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Previously, he served for seven years as chief financial officer of Targeted Genetics Corporation (now</w:t>
            </w: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Armata Pharmaceuticals) and as Vice President of Finance at Immunex Corporation during its evolution from</w:t>
            </w: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product development to commercial operations. Mr. Johnson received a B.A. in business administration from</w:t>
            </w: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 xml:space="preserve">the University of Washington in 1979. </w:t>
            </w:r>
            <w:r>
              <w:rPr>
                <w:rFonts w:ascii="Arial" w:cs="Arial" w:eastAsia="Arial" w:hAnsi="Arial"/>
                <w:sz w:val="16"/>
                <w:szCs w:val="16"/>
                <w:b w:val="1"/>
                <w:bCs w:val="1"/>
                <w:color w:val="255993"/>
              </w:rPr>
              <w:t>We believe that Mr. Johnson’s depth of experience in the</w:t>
            </w: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b w:val="1"/>
                <w:bCs w:val="1"/>
                <w:color w:val="255993"/>
              </w:rPr>
              <w:t>biopharmaceuticals industry, including as chief financial officer of a number of publicly traded</w:t>
            </w:r>
          </w:p>
        </w:tc>
      </w:tr>
      <w:tr>
        <w:trPr>
          <w:trHeight w:val="223"/>
        </w:trPr>
        <w:tc>
          <w:tcPr>
            <w:tcW w:w="2420" w:type="dxa"/>
            <w:vAlign w:val="bottom"/>
          </w:tcPr>
          <w:p>
            <w:pPr>
              <w:spacing w:after="0"/>
              <w:rPr>
                <w:sz w:val="19"/>
                <w:szCs w:val="19"/>
                <w:color w:val="auto"/>
              </w:rPr>
            </w:pPr>
          </w:p>
        </w:tc>
        <w:tc>
          <w:tcPr>
            <w:tcW w:w="6220" w:type="dxa"/>
            <w:vAlign w:val="bottom"/>
            <w:gridSpan w:val="2"/>
          </w:tcPr>
          <w:p>
            <w:pPr>
              <w:spacing w:after="0"/>
              <w:rPr>
                <w:sz w:val="20"/>
                <w:szCs w:val="20"/>
                <w:color w:val="auto"/>
              </w:rPr>
            </w:pPr>
            <w:r>
              <w:rPr>
                <w:rFonts w:ascii="Arial" w:cs="Arial" w:eastAsia="Arial" w:hAnsi="Arial"/>
                <w:sz w:val="16"/>
                <w:szCs w:val="16"/>
                <w:b w:val="1"/>
                <w:bCs w:val="1"/>
                <w:color w:val="255993"/>
              </w:rPr>
              <w:t>biopharmaceutical companies, qualifies him to serve on our board of directors.</w:t>
            </w:r>
          </w:p>
        </w:tc>
        <w:tc>
          <w:tcPr>
            <w:tcW w:w="2380" w:type="dxa"/>
            <w:vAlign w:val="bottom"/>
          </w:tcPr>
          <w:p>
            <w:pPr>
              <w:spacing w:after="0"/>
              <w:rPr>
                <w:sz w:val="19"/>
                <w:szCs w:val="19"/>
                <w:color w:val="auto"/>
              </w:rPr>
            </w:pPr>
          </w:p>
        </w:tc>
      </w:tr>
      <w:tr>
        <w:trPr>
          <w:trHeight w:val="491"/>
        </w:trPr>
        <w:tc>
          <w:tcPr>
            <w:tcW w:w="2420" w:type="dxa"/>
            <w:vAlign w:val="bottom"/>
          </w:tcPr>
          <w:p>
            <w:pPr>
              <w:ind w:left="800"/>
              <w:spacing w:after="0"/>
              <w:rPr>
                <w:sz w:val="20"/>
                <w:szCs w:val="20"/>
                <w:color w:val="auto"/>
              </w:rPr>
            </w:pPr>
            <w:r>
              <w:rPr>
                <w:rFonts w:ascii="Arial" w:cs="Arial" w:eastAsia="Arial" w:hAnsi="Arial"/>
                <w:sz w:val="14"/>
                <w:szCs w:val="14"/>
                <w:color w:val="255993"/>
              </w:rPr>
              <w:t>Athira Pharma, Inc.</w:t>
            </w:r>
          </w:p>
        </w:tc>
        <w:tc>
          <w:tcPr>
            <w:tcW w:w="6220" w:type="dxa"/>
            <w:vAlign w:val="bottom"/>
            <w:gridSpan w:val="2"/>
          </w:tcPr>
          <w:p>
            <w:pPr>
              <w:ind w:left="3000"/>
              <w:spacing w:after="0"/>
              <w:rPr>
                <w:sz w:val="20"/>
                <w:szCs w:val="20"/>
                <w:color w:val="auto"/>
              </w:rPr>
            </w:pPr>
            <w:r>
              <w:rPr>
                <w:rFonts w:ascii="Arial" w:cs="Arial" w:eastAsia="Arial" w:hAnsi="Arial"/>
                <w:sz w:val="14"/>
                <w:szCs w:val="14"/>
                <w:b w:val="1"/>
                <w:bCs w:val="1"/>
                <w:color w:val="255993"/>
              </w:rPr>
              <w:t>13</w:t>
            </w:r>
          </w:p>
        </w:tc>
        <w:tc>
          <w:tcPr>
            <w:tcW w:w="2380" w:type="dxa"/>
            <w:vAlign w:val="bottom"/>
          </w:tcPr>
          <w:p>
            <w:pPr>
              <w:ind w:left="140"/>
              <w:spacing w:after="0"/>
              <w:rPr>
                <w:sz w:val="20"/>
                <w:szCs w:val="20"/>
                <w:color w:val="auto"/>
              </w:rPr>
            </w:pPr>
            <w:r>
              <w:rPr>
                <w:rFonts w:ascii="Arial" w:cs="Arial" w:eastAsia="Arial" w:hAnsi="Arial"/>
                <w:sz w:val="14"/>
                <w:szCs w:val="14"/>
                <w:color w:val="255993"/>
              </w:rPr>
              <w:t>2024 Proxy Statement</w:t>
            </w:r>
          </w:p>
        </w:tc>
      </w:tr>
      <w:tr>
        <w:trPr>
          <w:trHeight w:val="158"/>
        </w:trPr>
        <w:tc>
          <w:tcPr>
            <w:tcW w:w="24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4820" w:type="dxa"/>
            <w:vAlign w:val="bottom"/>
            <w:tcBorders>
              <w:bottom w:val="single" w:sz="8" w:color="auto"/>
            </w:tcBorders>
          </w:tcPr>
          <w:p>
            <w:pPr>
              <w:spacing w:after="0"/>
              <w:rPr>
                <w:sz w:val="13"/>
                <w:szCs w:val="13"/>
                <w:color w:val="auto"/>
              </w:rPr>
            </w:pPr>
          </w:p>
        </w:tc>
        <w:tc>
          <w:tcPr>
            <w:tcW w:w="2380" w:type="dxa"/>
            <w:vAlign w:val="bottom"/>
            <w:tcBorders>
              <w:bottom w:val="single" w:sz="8" w:color="auto"/>
            </w:tcBorders>
          </w:tcPr>
          <w:p>
            <w:pPr>
              <w:spacing w:after="0"/>
              <w:rPr>
                <w:sz w:val="13"/>
                <w:szCs w:val="13"/>
                <w:color w:val="auto"/>
              </w:rPr>
            </w:pPr>
          </w:p>
        </w:tc>
      </w:tr>
    </w:tbl>
    <w:p>
      <w:pPr>
        <w:sectPr>
          <w:pgSz w:w="11900" w:h="16838" w:orient="portrait"/>
          <w:cols w:equalWidth="0" w:num="1">
            <w:col w:w="11020"/>
          </w:cols>
          <w:pgMar w:left="440" w:top="263" w:right="439" w:bottom="1440" w:gutter="0" w:footer="0" w:header="0"/>
        </w:sectPr>
      </w:pPr>
    </w:p>
    <w:bookmarkStart w:id="22" w:name="page23"/>
    <w:bookmarkEnd w:id="22"/>
    <w:p>
      <w:pPr>
        <w:ind w:left="8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ind w:left="800"/>
        <w:spacing w:after="0"/>
        <w:rPr>
          <w:sz w:val="20"/>
          <w:szCs w:val="20"/>
          <w:color w:val="auto"/>
        </w:rPr>
      </w:pPr>
      <w:r>
        <w:rPr>
          <w:rFonts w:ascii="Arial" w:cs="Arial" w:eastAsia="Arial" w:hAnsi="Arial"/>
          <w:sz w:val="14"/>
          <w:szCs w:val="14"/>
          <w:color w:val="255993"/>
        </w:rPr>
        <w:t>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126365</wp:posOffset>
            </wp:positionV>
            <wp:extent cx="882650" cy="8832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82650" cy="883285"/>
                    </a:xfrm>
                    <a:prstGeom prst="rect">
                      <a:avLst/>
                    </a:prstGeom>
                    <a:noFill/>
                  </pic:spPr>
                </pic:pic>
              </a:graphicData>
            </a:graphic>
          </wp:anchor>
        </w:drawing>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495"/>
        </w:trPr>
        <w:tc>
          <w:tcPr>
            <w:tcW w:w="2420" w:type="dxa"/>
            <w:vAlign w:val="bottom"/>
          </w:tcPr>
          <w:p>
            <w:pPr>
              <w:spacing w:after="0"/>
              <w:rPr>
                <w:sz w:val="24"/>
                <w:szCs w:val="24"/>
                <w:color w:val="auto"/>
              </w:rPr>
            </w:pPr>
          </w:p>
        </w:tc>
        <w:tc>
          <w:tcPr>
            <w:tcW w:w="5420" w:type="dxa"/>
            <w:vAlign w:val="bottom"/>
            <w:gridSpan w:val="2"/>
          </w:tcPr>
          <w:p>
            <w:pPr>
              <w:spacing w:after="0"/>
              <w:rPr>
                <w:sz w:val="20"/>
                <w:szCs w:val="20"/>
                <w:color w:val="auto"/>
              </w:rPr>
            </w:pPr>
            <w:r>
              <w:rPr>
                <w:rFonts w:ascii="Arial" w:cs="Arial" w:eastAsia="Arial" w:hAnsi="Arial"/>
                <w:sz w:val="40"/>
                <w:szCs w:val="40"/>
                <w:color w:val="255993"/>
              </w:rPr>
              <w:t>Grant Pickering</w:t>
            </w:r>
          </w:p>
        </w:tc>
        <w:tc>
          <w:tcPr>
            <w:tcW w:w="3180" w:type="dxa"/>
            <w:vAlign w:val="bottom"/>
          </w:tcPr>
          <w:p>
            <w:pPr>
              <w:spacing w:after="0"/>
              <w:rPr>
                <w:sz w:val="24"/>
                <w:szCs w:val="24"/>
                <w:color w:val="auto"/>
              </w:rPr>
            </w:pPr>
          </w:p>
        </w:tc>
      </w:tr>
      <w:tr>
        <w:trPr>
          <w:trHeight w:val="196"/>
        </w:trPr>
        <w:tc>
          <w:tcPr>
            <w:tcW w:w="2420" w:type="dxa"/>
            <w:vAlign w:val="bottom"/>
          </w:tcPr>
          <w:p>
            <w:pPr>
              <w:spacing w:after="0"/>
              <w:rPr>
                <w:sz w:val="17"/>
                <w:szCs w:val="17"/>
                <w:color w:val="auto"/>
              </w:rPr>
            </w:pPr>
          </w:p>
        </w:tc>
        <w:tc>
          <w:tcPr>
            <w:tcW w:w="5420" w:type="dxa"/>
            <w:vAlign w:val="bottom"/>
            <w:gridSpan w:val="2"/>
          </w:tcPr>
          <w:p>
            <w:pPr>
              <w:spacing w:after="0"/>
              <w:rPr>
                <w:sz w:val="20"/>
                <w:szCs w:val="20"/>
                <w:color w:val="auto"/>
              </w:rPr>
            </w:pPr>
            <w:r>
              <w:rPr>
                <w:rFonts w:ascii="Arial" w:cs="Arial" w:eastAsia="Arial" w:hAnsi="Arial"/>
                <w:sz w:val="14"/>
                <w:szCs w:val="14"/>
                <w:b w:val="1"/>
                <w:bCs w:val="1"/>
                <w:color w:val="auto"/>
              </w:rPr>
              <w:t>AGE: 56  DIRECTOR SINCE: JANUARY 2022</w:t>
            </w:r>
          </w:p>
        </w:tc>
        <w:tc>
          <w:tcPr>
            <w:tcW w:w="3180" w:type="dxa"/>
            <w:vAlign w:val="bottom"/>
          </w:tcPr>
          <w:p>
            <w:pPr>
              <w:spacing w:after="0"/>
              <w:rPr>
                <w:sz w:val="17"/>
                <w:szCs w:val="17"/>
                <w:color w:val="auto"/>
              </w:rPr>
            </w:pPr>
          </w:p>
        </w:tc>
      </w:tr>
      <w:tr>
        <w:trPr>
          <w:trHeight w:val="225"/>
        </w:trPr>
        <w:tc>
          <w:tcPr>
            <w:tcW w:w="2420" w:type="dxa"/>
            <w:vAlign w:val="bottom"/>
          </w:tcPr>
          <w:p>
            <w:pPr>
              <w:spacing w:after="0"/>
              <w:rPr>
                <w:sz w:val="19"/>
                <w:szCs w:val="19"/>
                <w:color w:val="auto"/>
              </w:rPr>
            </w:pPr>
          </w:p>
        </w:tc>
        <w:tc>
          <w:tcPr>
            <w:tcW w:w="1420" w:type="dxa"/>
            <w:vAlign w:val="bottom"/>
            <w:tcBorders>
              <w:bottom w:val="single" w:sz="8" w:color="F8991D"/>
            </w:tcBorders>
          </w:tcPr>
          <w:p>
            <w:pPr>
              <w:spacing w:after="0"/>
              <w:rPr>
                <w:sz w:val="19"/>
                <w:szCs w:val="19"/>
                <w:color w:val="auto"/>
              </w:rPr>
            </w:pPr>
          </w:p>
        </w:tc>
        <w:tc>
          <w:tcPr>
            <w:tcW w:w="7180" w:type="dxa"/>
            <w:vAlign w:val="bottom"/>
            <w:gridSpan w:val="2"/>
          </w:tcPr>
          <w:p>
            <w:pPr>
              <w:spacing w:after="0"/>
              <w:rPr>
                <w:sz w:val="19"/>
                <w:szCs w:val="19"/>
                <w:color w:val="auto"/>
              </w:rPr>
            </w:pPr>
          </w:p>
        </w:tc>
      </w:tr>
      <w:tr>
        <w:trPr>
          <w:trHeight w:val="431"/>
        </w:trPr>
        <w:tc>
          <w:tcPr>
            <w:tcW w:w="2420" w:type="dxa"/>
            <w:vAlign w:val="bottom"/>
          </w:tcPr>
          <w:p>
            <w:pPr>
              <w:ind w:left="800"/>
              <w:spacing w:after="0"/>
              <w:rPr>
                <w:sz w:val="20"/>
                <w:szCs w:val="20"/>
                <w:color w:val="auto"/>
              </w:rPr>
            </w:pPr>
            <w:r>
              <w:rPr>
                <w:rFonts w:ascii="Arial" w:cs="Arial" w:eastAsia="Arial" w:hAnsi="Arial"/>
                <w:sz w:val="16"/>
                <w:szCs w:val="16"/>
                <w:color w:val="auto"/>
              </w:rPr>
              <w:t> </w:t>
            </w:r>
          </w:p>
        </w:tc>
        <w:tc>
          <w:tcPr>
            <w:tcW w:w="8600" w:type="dxa"/>
            <w:vAlign w:val="bottom"/>
            <w:gridSpan w:val="3"/>
          </w:tcPr>
          <w:p>
            <w:pPr>
              <w:spacing w:after="0"/>
              <w:rPr>
                <w:sz w:val="20"/>
                <w:szCs w:val="20"/>
                <w:color w:val="auto"/>
              </w:rPr>
            </w:pPr>
            <w:r>
              <w:rPr>
                <w:rFonts w:ascii="Arial" w:cs="Arial" w:eastAsia="Arial" w:hAnsi="Arial"/>
                <w:sz w:val="16"/>
                <w:szCs w:val="16"/>
                <w:color w:val="auto"/>
              </w:rPr>
              <w:t>Grant Pickering has served on our board of directors since January 2022. Mr. Pickering co-founded and has</w:t>
            </w: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served as chief executive officer and as a member of the board of directors at Vaxcyte, Inc., a publicly traded</w:t>
            </w: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biotechnology company, since November 2013. Mr. Pickering also served as strategic advisor at Atreca, Inc.,</w:t>
            </w: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a publicly traded biotechnology company, from May 2013 to April 2015. Prior to joining Vaxcyte, Mr.</w:t>
            </w: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Pickering was chief executive officer of Mymetics Corporation, a publicly traded biotechnology company.</w:t>
            </w: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Prior to that, Mr. Pickering served as executive-in-residence at Kleiner Perkins, a venture capital firm, while</w:t>
            </w: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serving as the chief executive officer and as a member of the board of directors at Juvaris BioTherapeutics,</w:t>
            </w: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Inc., a biopharmaceutical company. Prior to that he served as senior vice president of operations of</w:t>
            </w: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Dendreon Corporation, a publicly traded biotechnology company. Mr. Pickering earned an M.B.A. from</w:t>
            </w: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Georgetown University in 1997 with high honors and a B.S. in marketing from Penn State University in 1989.</w:t>
            </w: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b w:val="1"/>
                <w:bCs w:val="1"/>
                <w:color w:val="255993"/>
              </w:rPr>
              <w:t>We believe that Mr. Pickering’s experience in the healthcare, biopharmaceutical, and biotechnology</w:t>
            </w:r>
          </w:p>
        </w:tc>
      </w:tr>
      <w:tr>
        <w:trPr>
          <w:trHeight w:val="223"/>
        </w:trPr>
        <w:tc>
          <w:tcPr>
            <w:tcW w:w="2420" w:type="dxa"/>
            <w:vAlign w:val="bottom"/>
          </w:tcPr>
          <w:p>
            <w:pPr>
              <w:spacing w:after="0"/>
              <w:rPr>
                <w:sz w:val="19"/>
                <w:szCs w:val="19"/>
                <w:color w:val="auto"/>
              </w:rPr>
            </w:pPr>
          </w:p>
        </w:tc>
        <w:tc>
          <w:tcPr>
            <w:tcW w:w="5420" w:type="dxa"/>
            <w:vAlign w:val="bottom"/>
            <w:gridSpan w:val="2"/>
          </w:tcPr>
          <w:p>
            <w:pPr>
              <w:spacing w:after="0"/>
              <w:rPr>
                <w:sz w:val="20"/>
                <w:szCs w:val="20"/>
                <w:color w:val="auto"/>
              </w:rPr>
            </w:pPr>
            <w:r>
              <w:rPr>
                <w:rFonts w:ascii="Arial" w:cs="Arial" w:eastAsia="Arial" w:hAnsi="Arial"/>
                <w:sz w:val="16"/>
                <w:szCs w:val="16"/>
                <w:b w:val="1"/>
                <w:bCs w:val="1"/>
                <w:color w:val="255993"/>
              </w:rPr>
              <w:t>industries qualifies him to serve on our board of directors.</w:t>
            </w:r>
          </w:p>
        </w:tc>
        <w:tc>
          <w:tcPr>
            <w:tcW w:w="3180" w:type="dxa"/>
            <w:vAlign w:val="bottom"/>
          </w:tcPr>
          <w:p>
            <w:pPr>
              <w:spacing w:after="0"/>
              <w:rPr>
                <w:sz w:val="19"/>
                <w:szCs w:val="19"/>
                <w:color w:val="auto"/>
              </w:rPr>
            </w:pPr>
          </w:p>
        </w:tc>
      </w:tr>
      <w:tr>
        <w:trPr>
          <w:trHeight w:val="492"/>
        </w:trPr>
        <w:tc>
          <w:tcPr>
            <w:tcW w:w="2420" w:type="dxa"/>
            <w:vAlign w:val="bottom"/>
          </w:tcPr>
          <w:p>
            <w:pPr>
              <w:ind w:left="800"/>
              <w:spacing w:after="0"/>
              <w:rPr>
                <w:sz w:val="20"/>
                <w:szCs w:val="20"/>
                <w:color w:val="auto"/>
              </w:rPr>
            </w:pPr>
            <w:r>
              <w:rPr>
                <w:rFonts w:ascii="Arial" w:cs="Arial" w:eastAsia="Arial" w:hAnsi="Arial"/>
                <w:sz w:val="14"/>
                <w:szCs w:val="14"/>
                <w:color w:val="255993"/>
              </w:rPr>
              <w:t>Athira Pharma, Inc.</w:t>
            </w:r>
          </w:p>
        </w:tc>
        <w:tc>
          <w:tcPr>
            <w:tcW w:w="5420" w:type="dxa"/>
            <w:vAlign w:val="bottom"/>
            <w:gridSpan w:val="2"/>
          </w:tcPr>
          <w:p>
            <w:pPr>
              <w:ind w:left="3000"/>
              <w:spacing w:after="0"/>
              <w:rPr>
                <w:sz w:val="20"/>
                <w:szCs w:val="20"/>
                <w:color w:val="auto"/>
              </w:rPr>
            </w:pPr>
            <w:r>
              <w:rPr>
                <w:rFonts w:ascii="Arial" w:cs="Arial" w:eastAsia="Arial" w:hAnsi="Arial"/>
                <w:sz w:val="14"/>
                <w:szCs w:val="14"/>
                <w:b w:val="1"/>
                <w:bCs w:val="1"/>
                <w:color w:val="255993"/>
              </w:rPr>
              <w:t>14</w:t>
            </w:r>
          </w:p>
        </w:tc>
        <w:tc>
          <w:tcPr>
            <w:tcW w:w="3180" w:type="dxa"/>
            <w:vAlign w:val="bottom"/>
          </w:tcPr>
          <w:p>
            <w:pPr>
              <w:ind w:left="940"/>
              <w:spacing w:after="0"/>
              <w:rPr>
                <w:sz w:val="20"/>
                <w:szCs w:val="20"/>
                <w:color w:val="auto"/>
              </w:rPr>
            </w:pPr>
            <w:r>
              <w:rPr>
                <w:rFonts w:ascii="Arial" w:cs="Arial" w:eastAsia="Arial" w:hAnsi="Arial"/>
                <w:sz w:val="14"/>
                <w:szCs w:val="14"/>
                <w:color w:val="255993"/>
              </w:rPr>
              <w:t>2024 Proxy Statement</w:t>
            </w:r>
          </w:p>
        </w:tc>
      </w:tr>
      <w:tr>
        <w:trPr>
          <w:trHeight w:val="158"/>
        </w:trPr>
        <w:tc>
          <w:tcPr>
            <w:tcW w:w="24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4000" w:type="dxa"/>
            <w:vAlign w:val="bottom"/>
            <w:tcBorders>
              <w:bottom w:val="single" w:sz="8" w:color="auto"/>
            </w:tcBorders>
          </w:tcPr>
          <w:p>
            <w:pPr>
              <w:spacing w:after="0"/>
              <w:rPr>
                <w:sz w:val="13"/>
                <w:szCs w:val="13"/>
                <w:color w:val="auto"/>
              </w:rPr>
            </w:pPr>
          </w:p>
        </w:tc>
        <w:tc>
          <w:tcPr>
            <w:tcW w:w="3180" w:type="dxa"/>
            <w:vAlign w:val="bottom"/>
            <w:tcBorders>
              <w:bottom w:val="single" w:sz="8" w:color="auto"/>
            </w:tcBorders>
          </w:tcPr>
          <w:p>
            <w:pPr>
              <w:spacing w:after="0"/>
              <w:rPr>
                <w:sz w:val="13"/>
                <w:szCs w:val="13"/>
                <w:color w:val="auto"/>
              </w:rPr>
            </w:pPr>
          </w:p>
        </w:tc>
      </w:tr>
    </w:tbl>
    <w:p>
      <w:pPr>
        <w:sectPr>
          <w:pgSz w:w="11900" w:h="16838" w:orient="portrait"/>
          <w:cols w:equalWidth="0" w:num="1">
            <w:col w:w="11020"/>
          </w:cols>
          <w:pgMar w:left="440" w:top="263" w:right="4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jc w:val="right"/>
        <w:spacing w:after="0"/>
        <w:rPr>
          <w:sz w:val="20"/>
          <w:szCs w:val="20"/>
          <w:color w:val="auto"/>
        </w:rPr>
      </w:pPr>
      <w:r>
        <w:rPr>
          <w:rFonts w:ascii="Arial" w:cs="Arial" w:eastAsia="Arial" w:hAnsi="Arial"/>
          <w:sz w:val="14"/>
          <w:szCs w:val="14"/>
          <w:color w:val="255993"/>
        </w:rPr>
        <w:t>Board of Directors and Corporate Governance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DIRECTOR INDEPENDENCE</w:t>
      </w:r>
    </w:p>
    <w:p>
      <w:pPr>
        <w:spacing w:after="0" w:line="108"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Our common stock is listed on the Nasdaq Global Select Market. Under the rules of Nasdaq, independent directors must comprise a majority of a listed company’s board of directors. In addition, the rules of Nasdaq require that, subject to specified exceptions, each member of a listed company’s audit, compensation, and nominating and corporate governance committees be independent. Audit committee members must also satisfy the independence criteria set forth in Rule 10A-3 under the Exchange Act. Under the rules of Nasdaq,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114"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To be considered independent for purposes of Rule 10A-3, a member of an audit committee of a listed company may not, other than in his or her capacity as a member of the audit committee, the board of directors or any other board committee: (1) accept, directly or indirectly, any consulting, advisory or other compensatory fee from the listed company or any of its subsidiaries; or (2) be an affiliated person of the listed company or any of its subsidiaries.</w:t>
      </w:r>
    </w:p>
    <w:p>
      <w:pPr>
        <w:spacing w:after="0" w:line="110"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Our board of directors has undertaken a review of its composition, the composition of its committees and the independence of our directors and considered whether any director has a material relationship with us that could compromise his or her ability to exercise independent judgment in carrying out his or her responsibilities. Based upon information requested from and provided by each director concerning his or her background, employment and affiliations, including family relationships, our board of directors has determined that, other than Dr. Litton, none of our directors has a relationship that would interfere with the exercise of independent judgment in carrying out the responsibilities of a director and that each of these directors is “independent” as that term is defined under the rules of Nasdaq. Our board of directors also determined that Mr. Johnson, Mr. Fluke and Mr. Pickering, who comprise our audit committee; Ms. Kosacz, Mr. Johnson and Mr. Pickering, who comprise our compensation committee; and</w:t>
      </w:r>
    </w:p>
    <w:p>
      <w:pPr>
        <w:spacing w:after="0" w:line="1"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Ms. Romano, Ms. Kosacz, Mr. Edelman and Mr. Panzara, who comprise our nominating and corporate governance committee, satisfy the independence standards for those committees established by applicable SEC rules and the rules of Nasdaq. In making this determination, our board of directors considered the relationships that each non-employee director has with us and all other facts and circumstances our board of directors deemed relevant in determining their independence, including the beneficial ownership of our capital stock by each non-employee director.</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BOARD LEADERSHIP STRUCTURE</w:t>
      </w:r>
    </w:p>
    <w:p>
      <w:pPr>
        <w:spacing w:after="0" w:line="108"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Ms. Romano serves as the independent chairwoman of the board of directors, and Dr. Litton serves as our president and chief executive officer. The roles of chief executive officer and chairperson of the board of directors are currently separated in recognition of the differences between the two roles. We believe that it is in the best interests of our stockholders for the board of directors to make a determination regarding the separation or combination of these roles each time it elects a new chairperson or appoints a chief executive officer, based on the relevant facts and circumstances applicable at such time. Our board of directors has determined it is in the best interests of our stockholders to continue to maintain an independent chairperson to allow Dr. Litton to focus on his primary responsibility for the operational leadership and strategic direction of our company. Our corporate governance guidelines provide that if our board of directors does not have an independent chairperson, the board of directors will appoint a lead independent director.</w:t>
      </w:r>
    </w:p>
    <w:p>
      <w:pPr>
        <w:spacing w:after="0" w:line="118"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Our independent chairperson sets the agenda and serves as the chairperson of meetings of our board of directors and of executive sessions of our non-executive directors, confers separately with management from time to time, and facilitates discussion among other board members as appropriate. The chairperson may also, when appropriate, act as spokesperson for the Company and perform such other responsibilities that may be designated by a majority of the board of directors from time to time.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ROLE OF BOARD IN RISK OVERSIGHT PROCESS</w:t>
      </w:r>
    </w:p>
    <w:p>
      <w:pPr>
        <w:spacing w:after="0" w:line="108"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Management is responsible for the day-to-day management of risks that the Company faces, in conjunction with our chief compliance officer (who is currently our general counsel) who oversees compliance with certain corporate policies, and our board of directors has an active role, as a whole and also at the committee level, in overseeing the management of our risks. The board of directors is responsible for general oversight of risks and regular review of information regarding our risks, including credit risks, liquidity risks, environmental, social and governance, or ESG, related risks, cybersecurity risks, and operational risks. Our compensation committee is responsible for overseeing the management of risks relating to our executive compensation plans and arrangements. Our audit</w:t>
      </w:r>
    </w:p>
    <w:p>
      <w:pPr>
        <w:spacing w:after="0" w:line="186" w:lineRule="exact"/>
        <w:rPr>
          <w:sz w:val="20"/>
          <w:szCs w:val="20"/>
          <w:color w:val="auto"/>
        </w:rPr>
      </w:pPr>
    </w:p>
    <w:p>
      <w:pPr>
        <w:spacing w:after="0"/>
        <w:tabs>
          <w:tab w:leader="none" w:pos="4600" w:val="left"/>
          <w:tab w:leader="none" w:pos="7960" w:val="left"/>
        </w:tabs>
        <w:rPr>
          <w:sz w:val="20"/>
          <w:szCs w:val="20"/>
          <w:color w:val="auto"/>
        </w:rPr>
      </w:pPr>
      <w:r>
        <w:rPr>
          <w:rFonts w:ascii="Arial" w:cs="Arial" w:eastAsia="Arial" w:hAnsi="Arial"/>
          <w:sz w:val="14"/>
          <w:szCs w:val="14"/>
          <w:color w:val="255993"/>
        </w:rPr>
        <w:t>Athira Pharma, Inc.</w:t>
      </w:r>
      <w:r>
        <w:rPr>
          <w:sz w:val="20"/>
          <w:szCs w:val="20"/>
          <w:color w:val="auto"/>
        </w:rPr>
        <w:tab/>
      </w:r>
      <w:r>
        <w:rPr>
          <w:rFonts w:ascii="Arial" w:cs="Arial" w:eastAsia="Arial" w:hAnsi="Arial"/>
          <w:sz w:val="14"/>
          <w:szCs w:val="14"/>
          <w:b w:val="1"/>
          <w:bCs w:val="1"/>
          <w:color w:val="255993"/>
        </w:rPr>
        <w:t>15</w:t>
      </w:r>
      <w:r>
        <w:rPr>
          <w:sz w:val="20"/>
          <w:szCs w:val="20"/>
          <w:color w:val="auto"/>
        </w:rPr>
        <w:tab/>
      </w:r>
      <w:r>
        <w:rPr>
          <w:rFonts w:ascii="Arial" w:cs="Arial" w:eastAsia="Arial" w:hAnsi="Arial"/>
          <w:sz w:val="14"/>
          <w:szCs w:val="14"/>
          <w:color w:val="255993"/>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118110</wp:posOffset>
            </wp:positionV>
            <wp:extent cx="699516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263" w:right="12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255993"/>
        </w:rPr>
        <w:t>Board of Directors and Corporate Governance</w:t>
      </w:r>
    </w:p>
    <w:p>
      <w:pPr>
        <w:spacing w:after="0" w:line="104" w:lineRule="exact"/>
        <w:rPr>
          <w:sz w:val="20"/>
          <w:szCs w:val="20"/>
          <w:color w:val="auto"/>
        </w:rPr>
      </w:pPr>
    </w:p>
    <w:p>
      <w:pPr>
        <w:ind w:right="140"/>
        <w:spacing w:after="0" w:line="254" w:lineRule="auto"/>
        <w:rPr>
          <w:sz w:val="20"/>
          <w:szCs w:val="20"/>
          <w:color w:val="auto"/>
        </w:rPr>
      </w:pPr>
      <w:r>
        <w:rPr>
          <w:rFonts w:ascii="Arial" w:cs="Arial" w:eastAsia="Arial" w:hAnsi="Arial"/>
          <w:sz w:val="16"/>
          <w:szCs w:val="16"/>
          <w:color w:val="auto"/>
        </w:rPr>
        <w:t>committee is responsible for overseeing the management of our risks relating to accounting matters and financial reporting. Our nominating and corporate governance committee is responsible for overseeing the management of our risks associated with the independence of our board of directors. While each committee is responsible for evaluating certain risks and overseeing the management of such risks, our entire board of directors is regularly informed through discussions with committee members about such risks. Our board of directors believes its administration of its risk oversight function has not affected the board of directors’ leadership structure.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ATTENDANCE AT BOARD AND STOCKHOLDER MEETINGS</w:t>
      </w:r>
    </w:p>
    <w:p>
      <w:pPr>
        <w:spacing w:after="0" w:line="108"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auto"/>
        </w:rPr>
        <w:t>During our fiscal year ended December 31, 2023, our board of directors held eight meetings (including regularly scheduled and special meetings), and each director attended at least 75% of the aggregate of (1) the total number of meetings of the board of directors held during the period for which he or she was a director and (2) the total number of meetings held by all committees on which he or she served during the periods that he or she served.</w:t>
      </w:r>
    </w:p>
    <w:p>
      <w:pPr>
        <w:spacing w:after="0" w:line="110"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Although we do not have a formal policy regarding attendance by members of our board of directors at our annual meetings of stockholders, we encourage, but do not require, directors to attend. Each person who was then a member of our board of directors attended our 2023 annual meeting.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EXECUTIVE SESSIONS OF NON-EMPLOYEE DIRECTORS</w:t>
      </w:r>
    </w:p>
    <w:p>
      <w:pPr>
        <w:spacing w:after="0" w:line="108" w:lineRule="exact"/>
        <w:rPr>
          <w:sz w:val="20"/>
          <w:szCs w:val="20"/>
          <w:color w:val="auto"/>
        </w:rPr>
      </w:pPr>
    </w:p>
    <w:p>
      <w:pPr>
        <w:ind w:right="240"/>
        <w:spacing w:after="0" w:line="256" w:lineRule="auto"/>
        <w:rPr>
          <w:sz w:val="20"/>
          <w:szCs w:val="20"/>
          <w:color w:val="auto"/>
        </w:rPr>
      </w:pPr>
      <w:r>
        <w:rPr>
          <w:rFonts w:ascii="Arial" w:cs="Arial" w:eastAsia="Arial" w:hAnsi="Arial"/>
          <w:sz w:val="16"/>
          <w:szCs w:val="16"/>
          <w:color w:val="auto"/>
        </w:rPr>
        <w:t>To encourage and enhance communication among non-employee directors, and as required under applicable Nasdaq rules, our corporate governance guidelines provide that our non-employee directors will meet in executive sessions without management directors or management present on a periodic basis. In addition, if any of our non-employee directors are not independent directors, then our independent directors will also meet in executive session on a periodic basis. These executive sessions are chaired by Kelly Romano, our chairwoman of the board of directors.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BOARD DIVERSITY</w:t>
      </w:r>
    </w:p>
    <w:p>
      <w:pPr>
        <w:spacing w:after="0" w:line="108"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Our board of directors and nominating and corporate governance committee are committed to diversity of experience, gender, race and ethnicity, and seek to ensure that there is diversity of thought among our directors. The Company believes that diversity of thought stems from many factors including professional experience, life experience, socio-economic background, gender, race, ethnicity, religion, skill set, and geographic representation. The Company believes that the backgrounds and qualifications of the directors, considered as a group, should provide a significant composite mix of experience, knowledge, abilities, and stockholder and community representation that will allow the board of directors to fulfill its responsibilities.</w:t>
      </w:r>
    </w:p>
    <w:p>
      <w:pPr>
        <w:spacing w:after="0" w:line="114"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In August 2021, the SEC approved a Nasdaq proposal to adopt listing rules relating to board diversity and disclosure. As approved by the SEC, the Nasdaq listing rules require all Nasdaq listed companies to disclose consistent, transparent diversity statistics regarding their boards of directors. The rules also require most Nasdaq listed companies to have, or explain why they do not have, at least two diverse directors, including one who self-identifies as female and one who self-identifies as either an underrepresented minority or LGBTQ+. Smaller reporting companies satisfy this requirement where the second diverse director self-identifies as female, LGBTQ+, or an underrepresented minority. In this regard, Kelly Romano and Barbara Kosacz each self-identify as female. Accordingly, the Company is in compliance with Nasdaq’s diversity requirement. The Board Diversity Matrix below presents the board of directors’ diversity statistics in the format prescribed by the Nasdaq rules.</w:t>
      </w:r>
    </w:p>
    <w:p>
      <w:pPr>
        <w:spacing w:after="0" w:line="187" w:lineRule="exact"/>
        <w:rPr>
          <w:sz w:val="20"/>
          <w:szCs w:val="20"/>
          <w:color w:val="auto"/>
        </w:rPr>
      </w:pPr>
    </w:p>
    <w:p>
      <w:pPr>
        <w:spacing w:after="0"/>
        <w:tabs>
          <w:tab w:leader="none" w:pos="4600" w:val="left"/>
          <w:tab w:leader="none" w:pos="7960" w:val="left"/>
        </w:tabs>
        <w:rPr>
          <w:sz w:val="20"/>
          <w:szCs w:val="20"/>
          <w:color w:val="auto"/>
        </w:rPr>
      </w:pPr>
      <w:r>
        <w:rPr>
          <w:rFonts w:ascii="Arial" w:cs="Arial" w:eastAsia="Arial" w:hAnsi="Arial"/>
          <w:sz w:val="14"/>
          <w:szCs w:val="14"/>
          <w:color w:val="255993"/>
        </w:rPr>
        <w:t>Athira Pharma, Inc.</w:t>
      </w:r>
      <w:r>
        <w:rPr>
          <w:sz w:val="20"/>
          <w:szCs w:val="20"/>
          <w:color w:val="auto"/>
        </w:rPr>
        <w:tab/>
      </w:r>
      <w:r>
        <w:rPr>
          <w:rFonts w:ascii="Arial" w:cs="Arial" w:eastAsia="Arial" w:hAnsi="Arial"/>
          <w:sz w:val="14"/>
          <w:szCs w:val="14"/>
          <w:b w:val="1"/>
          <w:bCs w:val="1"/>
          <w:color w:val="255993"/>
        </w:rPr>
        <w:t>16</w:t>
      </w:r>
      <w:r>
        <w:rPr>
          <w:sz w:val="20"/>
          <w:szCs w:val="20"/>
          <w:color w:val="auto"/>
        </w:rPr>
        <w:tab/>
      </w:r>
      <w:r>
        <w:rPr>
          <w:rFonts w:ascii="Arial" w:cs="Arial" w:eastAsia="Arial" w:hAnsi="Arial"/>
          <w:sz w:val="14"/>
          <w:szCs w:val="14"/>
          <w:color w:val="255993"/>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118110</wp:posOffset>
            </wp:positionV>
            <wp:extent cx="699516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263" w:right="1259" w:bottom="1440" w:gutter="0" w:footer="0" w:header="0"/>
        </w:sectPr>
      </w:pPr>
    </w:p>
    <w:bookmarkStart w:id="25" w:name="page26"/>
    <w:bookmarkEnd w:id="25"/>
    <w:p>
      <w:pPr>
        <w:ind w:left="8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ind w:left="7260"/>
        <w:spacing w:after="0"/>
        <w:rPr>
          <w:sz w:val="20"/>
          <w:szCs w:val="20"/>
          <w:color w:val="auto"/>
        </w:rPr>
      </w:pPr>
      <w:r>
        <w:rPr>
          <w:rFonts w:ascii="Arial" w:cs="Arial" w:eastAsia="Arial" w:hAnsi="Arial"/>
          <w:sz w:val="14"/>
          <w:szCs w:val="14"/>
          <w:color w:val="255993"/>
        </w:rPr>
        <w:t>Board of Directors and Corporate Governance</w:t>
      </w:r>
    </w:p>
    <w:p>
      <w:pPr>
        <w:spacing w:after="0" w:line="113"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F8991D"/>
        </w:rPr>
        <w:t>BOARD DIVERSITY MATRIX (AS OF MARCH 26,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94615</wp:posOffset>
            </wp:positionV>
            <wp:extent cx="5966460" cy="9258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966460" cy="925830"/>
                    </a:xfrm>
                    <a:prstGeom prst="rect">
                      <a:avLst/>
                    </a:prstGeom>
                    <a:noFill/>
                  </pic:spPr>
                </pic:pic>
              </a:graphicData>
            </a:graphic>
          </wp:anchor>
        </w:drawing>
      </w:r>
    </w:p>
    <w:p>
      <w:pPr>
        <w:spacing w:after="0" w:line="129" w:lineRule="exact"/>
        <w:rPr>
          <w:sz w:val="20"/>
          <w:szCs w:val="20"/>
          <w:color w:val="auto"/>
        </w:rPr>
      </w:pPr>
    </w:p>
    <w:tbl>
      <w:tblPr>
        <w:tblLayout w:type="fixed"/>
        <w:tblInd w:w="800" w:type="dxa"/>
        <w:tblCellMar>
          <w:top w:w="0" w:type="dxa"/>
          <w:left w:w="0" w:type="dxa"/>
          <w:bottom w:w="0" w:type="dxa"/>
          <w:right w:w="0" w:type="dxa"/>
        </w:tblCellMar>
      </w:tblPr>
      <w:tr>
        <w:trPr>
          <w:trHeight w:val="349"/>
        </w:trPr>
        <w:tc>
          <w:tcPr>
            <w:tcW w:w="3480" w:type="dxa"/>
            <w:vAlign w:val="bottom"/>
            <w:shd w:val="clear" w:color="auto" w:fill="255993"/>
          </w:tcPr>
          <w:p>
            <w:pPr>
              <w:ind w:left="80"/>
              <w:spacing w:after="0"/>
              <w:rPr>
                <w:sz w:val="20"/>
                <w:szCs w:val="20"/>
                <w:color w:val="auto"/>
              </w:rPr>
            </w:pPr>
            <w:r>
              <w:rPr>
                <w:rFonts w:ascii="Arial" w:cs="Arial" w:eastAsia="Arial" w:hAnsi="Arial"/>
                <w:sz w:val="14"/>
                <w:szCs w:val="14"/>
                <w:b w:val="1"/>
                <w:bCs w:val="1"/>
                <w:color w:val="FFFFFF"/>
              </w:rPr>
              <w:t>TOTAL NUMBER OF DIRECTORS</w:t>
            </w:r>
          </w:p>
        </w:tc>
        <w:tc>
          <w:tcPr>
            <w:tcW w:w="5920" w:type="dxa"/>
            <w:vAlign w:val="bottom"/>
            <w:shd w:val="clear" w:color="auto" w:fill="F8991D"/>
          </w:tcPr>
          <w:p>
            <w:pPr>
              <w:jc w:val="right"/>
              <w:ind w:right="2768"/>
              <w:spacing w:after="0"/>
              <w:rPr>
                <w:sz w:val="20"/>
                <w:szCs w:val="20"/>
                <w:color w:val="auto"/>
              </w:rPr>
            </w:pPr>
            <w:r>
              <w:rPr>
                <w:rFonts w:ascii="Arial" w:cs="Arial" w:eastAsia="Arial" w:hAnsi="Arial"/>
                <w:sz w:val="14"/>
                <w:szCs w:val="14"/>
                <w:b w:val="1"/>
                <w:bCs w:val="1"/>
                <w:color w:val="FFFFFF"/>
              </w:rPr>
              <w:t>8</w:t>
            </w:r>
          </w:p>
        </w:tc>
      </w:tr>
      <w:tr>
        <w:trPr>
          <w:trHeight w:val="218"/>
        </w:trPr>
        <w:tc>
          <w:tcPr>
            <w:tcW w:w="3480" w:type="dxa"/>
            <w:vAlign w:val="bottom"/>
            <w:shd w:val="clear" w:color="auto" w:fill="255993"/>
          </w:tcPr>
          <w:p>
            <w:pPr>
              <w:spacing w:after="0"/>
              <w:rPr>
                <w:sz w:val="18"/>
                <w:szCs w:val="18"/>
                <w:color w:val="auto"/>
              </w:rPr>
            </w:pPr>
          </w:p>
        </w:tc>
        <w:tc>
          <w:tcPr>
            <w:tcW w:w="5920" w:type="dxa"/>
            <w:vAlign w:val="bottom"/>
            <w:shd w:val="clear" w:color="auto" w:fill="F8991D"/>
          </w:tcPr>
          <w:p>
            <w:pPr>
              <w:spacing w:after="0"/>
              <w:rPr>
                <w:sz w:val="18"/>
                <w:szCs w:val="18"/>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398"/>
        </w:trPr>
        <w:tc>
          <w:tcPr>
            <w:tcW w:w="8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220" w:type="dxa"/>
            <w:vAlign w:val="bottom"/>
            <w:shd w:val="clear" w:color="auto" w:fill="255993"/>
          </w:tcPr>
          <w:p>
            <w:pPr>
              <w:spacing w:after="0"/>
              <w:rPr>
                <w:sz w:val="24"/>
                <w:szCs w:val="24"/>
                <w:color w:val="auto"/>
              </w:rPr>
            </w:pPr>
          </w:p>
        </w:tc>
        <w:tc>
          <w:tcPr>
            <w:tcW w:w="1740" w:type="dxa"/>
            <w:vAlign w:val="bottom"/>
            <w:shd w:val="clear" w:color="auto" w:fill="255993"/>
          </w:tcPr>
          <w:p>
            <w:pPr>
              <w:spacing w:after="0"/>
              <w:rPr>
                <w:sz w:val="24"/>
                <w:szCs w:val="24"/>
                <w:color w:val="auto"/>
              </w:rPr>
            </w:pPr>
          </w:p>
        </w:tc>
        <w:tc>
          <w:tcPr>
            <w:tcW w:w="1500" w:type="dxa"/>
            <w:vAlign w:val="bottom"/>
            <w:shd w:val="clear" w:color="auto" w:fill="255993"/>
          </w:tcPr>
          <w:p>
            <w:pPr>
              <w:spacing w:after="0"/>
              <w:rPr>
                <w:sz w:val="24"/>
                <w:szCs w:val="24"/>
                <w:color w:val="auto"/>
              </w:rPr>
            </w:pPr>
          </w:p>
        </w:tc>
        <w:tc>
          <w:tcPr>
            <w:tcW w:w="1600" w:type="dxa"/>
            <w:vAlign w:val="bottom"/>
            <w:shd w:val="clear" w:color="auto" w:fill="255993"/>
          </w:tcPr>
          <w:p>
            <w:pPr>
              <w:jc w:val="center"/>
              <w:ind w:left="147"/>
              <w:spacing w:after="0"/>
              <w:rPr>
                <w:sz w:val="20"/>
                <w:szCs w:val="20"/>
                <w:color w:val="auto"/>
              </w:rPr>
            </w:pPr>
            <w:r>
              <w:rPr>
                <w:rFonts w:ascii="Arial" w:cs="Arial" w:eastAsia="Arial" w:hAnsi="Arial"/>
                <w:sz w:val="16"/>
                <w:szCs w:val="16"/>
                <w:b w:val="1"/>
                <w:bCs w:val="1"/>
                <w:color w:val="FFFFFF"/>
              </w:rPr>
              <w:t>Did Not</w:t>
            </w:r>
          </w:p>
        </w:tc>
        <w:tc>
          <w:tcPr>
            <w:tcW w:w="820" w:type="dxa"/>
            <w:vAlign w:val="bottom"/>
          </w:tcPr>
          <w:p>
            <w:pPr>
              <w:spacing w:after="0"/>
              <w:rPr>
                <w:sz w:val="24"/>
                <w:szCs w:val="24"/>
                <w:color w:val="auto"/>
              </w:rPr>
            </w:pPr>
          </w:p>
        </w:tc>
      </w:tr>
      <w:tr>
        <w:trPr>
          <w:trHeight w:val="223"/>
        </w:trPr>
        <w:tc>
          <w:tcPr>
            <w:tcW w:w="80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1220" w:type="dxa"/>
            <w:vAlign w:val="bottom"/>
            <w:shd w:val="clear" w:color="auto" w:fill="255993"/>
          </w:tcPr>
          <w:p>
            <w:pPr>
              <w:ind w:left="600"/>
              <w:spacing w:after="0"/>
              <w:rPr>
                <w:sz w:val="20"/>
                <w:szCs w:val="20"/>
                <w:color w:val="auto"/>
              </w:rPr>
            </w:pPr>
            <w:r>
              <w:rPr>
                <w:rFonts w:ascii="Arial" w:cs="Arial" w:eastAsia="Arial" w:hAnsi="Arial"/>
                <w:sz w:val="16"/>
                <w:szCs w:val="16"/>
                <w:b w:val="1"/>
                <w:bCs w:val="1"/>
                <w:color w:val="FFFFFF"/>
              </w:rPr>
              <w:t>Female</w:t>
            </w:r>
          </w:p>
        </w:tc>
        <w:tc>
          <w:tcPr>
            <w:tcW w:w="1740" w:type="dxa"/>
            <w:vAlign w:val="bottom"/>
            <w:shd w:val="clear" w:color="auto" w:fill="255993"/>
          </w:tcPr>
          <w:p>
            <w:pPr>
              <w:jc w:val="right"/>
              <w:ind w:right="347"/>
              <w:spacing w:after="0"/>
              <w:rPr>
                <w:sz w:val="20"/>
                <w:szCs w:val="20"/>
                <w:color w:val="auto"/>
              </w:rPr>
            </w:pPr>
            <w:r>
              <w:rPr>
                <w:rFonts w:ascii="Arial" w:cs="Arial" w:eastAsia="Arial" w:hAnsi="Arial"/>
                <w:sz w:val="16"/>
                <w:szCs w:val="16"/>
                <w:b w:val="1"/>
                <w:bCs w:val="1"/>
                <w:color w:val="FFFFFF"/>
              </w:rPr>
              <w:t>Male</w:t>
            </w:r>
          </w:p>
        </w:tc>
        <w:tc>
          <w:tcPr>
            <w:tcW w:w="1500" w:type="dxa"/>
            <w:vAlign w:val="bottom"/>
            <w:shd w:val="clear" w:color="auto" w:fill="255993"/>
          </w:tcPr>
          <w:p>
            <w:pPr>
              <w:jc w:val="center"/>
              <w:ind w:left="167"/>
              <w:spacing w:after="0"/>
              <w:rPr>
                <w:sz w:val="20"/>
                <w:szCs w:val="20"/>
                <w:color w:val="auto"/>
              </w:rPr>
            </w:pPr>
            <w:r>
              <w:rPr>
                <w:rFonts w:ascii="Arial" w:cs="Arial" w:eastAsia="Arial" w:hAnsi="Arial"/>
                <w:sz w:val="16"/>
                <w:szCs w:val="16"/>
                <w:b w:val="1"/>
                <w:bCs w:val="1"/>
                <w:color w:val="FFFFFF"/>
                <w:w w:val="99"/>
              </w:rPr>
              <w:t>Non-Binary</w:t>
            </w:r>
          </w:p>
        </w:tc>
        <w:tc>
          <w:tcPr>
            <w:tcW w:w="1600" w:type="dxa"/>
            <w:vAlign w:val="bottom"/>
            <w:shd w:val="clear" w:color="auto" w:fill="255993"/>
          </w:tcPr>
          <w:p>
            <w:pPr>
              <w:jc w:val="center"/>
              <w:ind w:left="167"/>
              <w:spacing w:after="0"/>
              <w:rPr>
                <w:sz w:val="20"/>
                <w:szCs w:val="20"/>
                <w:color w:val="auto"/>
              </w:rPr>
            </w:pPr>
            <w:r>
              <w:rPr>
                <w:rFonts w:ascii="Arial" w:cs="Arial" w:eastAsia="Arial" w:hAnsi="Arial"/>
                <w:sz w:val="16"/>
                <w:szCs w:val="16"/>
                <w:b w:val="1"/>
                <w:bCs w:val="1"/>
                <w:color w:val="FFFFFF"/>
              </w:rPr>
              <w:t>Disclose Gender</w:t>
            </w:r>
          </w:p>
        </w:tc>
        <w:tc>
          <w:tcPr>
            <w:tcW w:w="820" w:type="dxa"/>
            <w:vAlign w:val="bottom"/>
          </w:tcPr>
          <w:p>
            <w:pPr>
              <w:spacing w:after="0"/>
              <w:rPr>
                <w:sz w:val="19"/>
                <w:szCs w:val="19"/>
                <w:color w:val="auto"/>
              </w:rPr>
            </w:pPr>
          </w:p>
        </w:tc>
      </w:tr>
      <w:tr>
        <w:trPr>
          <w:trHeight w:val="223"/>
        </w:trPr>
        <w:tc>
          <w:tcPr>
            <w:tcW w:w="80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1220" w:type="dxa"/>
            <w:vAlign w:val="bottom"/>
            <w:shd w:val="clear" w:color="auto" w:fill="255993"/>
          </w:tcPr>
          <w:p>
            <w:pPr>
              <w:spacing w:after="0"/>
              <w:rPr>
                <w:sz w:val="19"/>
                <w:szCs w:val="19"/>
                <w:color w:val="auto"/>
              </w:rPr>
            </w:pPr>
          </w:p>
        </w:tc>
        <w:tc>
          <w:tcPr>
            <w:tcW w:w="1740" w:type="dxa"/>
            <w:vAlign w:val="bottom"/>
            <w:shd w:val="clear" w:color="auto" w:fill="255993"/>
          </w:tcPr>
          <w:p>
            <w:pPr>
              <w:spacing w:after="0"/>
              <w:rPr>
                <w:sz w:val="19"/>
                <w:szCs w:val="19"/>
                <w:color w:val="auto"/>
              </w:rPr>
            </w:pPr>
          </w:p>
        </w:tc>
        <w:tc>
          <w:tcPr>
            <w:tcW w:w="1500" w:type="dxa"/>
            <w:vAlign w:val="bottom"/>
            <w:shd w:val="clear" w:color="auto" w:fill="255993"/>
          </w:tcPr>
          <w:p>
            <w:pPr>
              <w:spacing w:after="0"/>
              <w:rPr>
                <w:sz w:val="19"/>
                <w:szCs w:val="19"/>
                <w:color w:val="auto"/>
              </w:rPr>
            </w:pPr>
          </w:p>
        </w:tc>
        <w:tc>
          <w:tcPr>
            <w:tcW w:w="1600" w:type="dxa"/>
            <w:vAlign w:val="bottom"/>
            <w:shd w:val="clear" w:color="auto" w:fill="255993"/>
          </w:tcPr>
          <w:p>
            <w:pPr>
              <w:spacing w:after="0"/>
              <w:rPr>
                <w:sz w:val="19"/>
                <w:szCs w:val="19"/>
                <w:color w:val="auto"/>
              </w:rPr>
            </w:pPr>
          </w:p>
        </w:tc>
        <w:tc>
          <w:tcPr>
            <w:tcW w:w="820" w:type="dxa"/>
            <w:vAlign w:val="bottom"/>
          </w:tcPr>
          <w:p>
            <w:pPr>
              <w:spacing w:after="0"/>
              <w:rPr>
                <w:sz w:val="19"/>
                <w:szCs w:val="19"/>
                <w:color w:val="auto"/>
              </w:rPr>
            </w:pPr>
          </w:p>
        </w:tc>
      </w:tr>
      <w:tr>
        <w:trPr>
          <w:trHeight w:val="430"/>
        </w:trPr>
        <w:tc>
          <w:tcPr>
            <w:tcW w:w="800" w:type="dxa"/>
            <w:vAlign w:val="bottom"/>
          </w:tcPr>
          <w:p>
            <w:pPr>
              <w:spacing w:after="0"/>
              <w:rPr>
                <w:sz w:val="24"/>
                <w:szCs w:val="24"/>
                <w:color w:val="auto"/>
              </w:rPr>
            </w:pPr>
          </w:p>
        </w:tc>
        <w:tc>
          <w:tcPr>
            <w:tcW w:w="3340" w:type="dxa"/>
            <w:vAlign w:val="bottom"/>
            <w:shd w:val="clear" w:color="auto" w:fill="F8991D"/>
          </w:tcPr>
          <w:p>
            <w:pPr>
              <w:ind w:left="80"/>
              <w:spacing w:after="0"/>
              <w:rPr>
                <w:sz w:val="20"/>
                <w:szCs w:val="20"/>
                <w:color w:val="auto"/>
              </w:rPr>
            </w:pPr>
            <w:r>
              <w:rPr>
                <w:rFonts w:ascii="Arial" w:cs="Arial" w:eastAsia="Arial" w:hAnsi="Arial"/>
                <w:sz w:val="14"/>
                <w:szCs w:val="14"/>
                <w:b w:val="1"/>
                <w:bCs w:val="1"/>
                <w:color w:val="FFFFFF"/>
              </w:rPr>
              <w:t>PART I: GENDER IDENTITY</w:t>
            </w:r>
          </w:p>
        </w:tc>
        <w:tc>
          <w:tcPr>
            <w:tcW w:w="1220" w:type="dxa"/>
            <w:vAlign w:val="bottom"/>
            <w:shd w:val="clear" w:color="auto" w:fill="F8991D"/>
          </w:tcPr>
          <w:p>
            <w:pPr>
              <w:spacing w:after="0"/>
              <w:rPr>
                <w:sz w:val="24"/>
                <w:szCs w:val="24"/>
                <w:color w:val="auto"/>
              </w:rPr>
            </w:pPr>
          </w:p>
        </w:tc>
        <w:tc>
          <w:tcPr>
            <w:tcW w:w="1740" w:type="dxa"/>
            <w:vAlign w:val="bottom"/>
            <w:shd w:val="clear" w:color="auto" w:fill="F8991D"/>
          </w:tcPr>
          <w:p>
            <w:pPr>
              <w:spacing w:after="0"/>
              <w:rPr>
                <w:sz w:val="24"/>
                <w:szCs w:val="24"/>
                <w:color w:val="auto"/>
              </w:rPr>
            </w:pPr>
          </w:p>
        </w:tc>
        <w:tc>
          <w:tcPr>
            <w:tcW w:w="1500" w:type="dxa"/>
            <w:vAlign w:val="bottom"/>
            <w:shd w:val="clear" w:color="auto" w:fill="F8991D"/>
          </w:tcPr>
          <w:p>
            <w:pPr>
              <w:spacing w:after="0"/>
              <w:rPr>
                <w:sz w:val="24"/>
                <w:szCs w:val="24"/>
                <w:color w:val="auto"/>
              </w:rPr>
            </w:pPr>
          </w:p>
        </w:tc>
        <w:tc>
          <w:tcPr>
            <w:tcW w:w="1600" w:type="dxa"/>
            <w:vAlign w:val="bottom"/>
            <w:shd w:val="clear" w:color="auto" w:fill="F8991D"/>
          </w:tcPr>
          <w:p>
            <w:pPr>
              <w:spacing w:after="0"/>
              <w:rPr>
                <w:sz w:val="24"/>
                <w:szCs w:val="24"/>
                <w:color w:val="auto"/>
              </w:rPr>
            </w:pPr>
          </w:p>
        </w:tc>
        <w:tc>
          <w:tcPr>
            <w:tcW w:w="820" w:type="dxa"/>
            <w:vAlign w:val="bottom"/>
          </w:tcPr>
          <w:p>
            <w:pPr>
              <w:spacing w:after="0"/>
              <w:rPr>
                <w:sz w:val="24"/>
                <w:szCs w:val="24"/>
                <w:color w:val="auto"/>
              </w:rPr>
            </w:pPr>
          </w:p>
        </w:tc>
      </w:tr>
      <w:tr>
        <w:trPr>
          <w:trHeight w:val="218"/>
        </w:trPr>
        <w:tc>
          <w:tcPr>
            <w:tcW w:w="800" w:type="dxa"/>
            <w:vAlign w:val="bottom"/>
          </w:tcPr>
          <w:p>
            <w:pPr>
              <w:spacing w:after="0"/>
              <w:rPr>
                <w:sz w:val="18"/>
                <w:szCs w:val="18"/>
                <w:color w:val="auto"/>
              </w:rPr>
            </w:pPr>
          </w:p>
        </w:tc>
        <w:tc>
          <w:tcPr>
            <w:tcW w:w="3340" w:type="dxa"/>
            <w:vAlign w:val="bottom"/>
            <w:shd w:val="clear" w:color="auto" w:fill="F8991D"/>
          </w:tcPr>
          <w:p>
            <w:pPr>
              <w:spacing w:after="0"/>
              <w:rPr>
                <w:sz w:val="18"/>
                <w:szCs w:val="18"/>
                <w:color w:val="auto"/>
              </w:rPr>
            </w:pPr>
          </w:p>
        </w:tc>
        <w:tc>
          <w:tcPr>
            <w:tcW w:w="1220" w:type="dxa"/>
            <w:vAlign w:val="bottom"/>
            <w:shd w:val="clear" w:color="auto" w:fill="F8991D"/>
          </w:tcPr>
          <w:p>
            <w:pPr>
              <w:spacing w:after="0"/>
              <w:rPr>
                <w:sz w:val="18"/>
                <w:szCs w:val="18"/>
                <w:color w:val="auto"/>
              </w:rPr>
            </w:pPr>
          </w:p>
        </w:tc>
        <w:tc>
          <w:tcPr>
            <w:tcW w:w="1740" w:type="dxa"/>
            <w:vAlign w:val="bottom"/>
            <w:shd w:val="clear" w:color="auto" w:fill="F8991D"/>
          </w:tcPr>
          <w:p>
            <w:pPr>
              <w:spacing w:after="0"/>
              <w:rPr>
                <w:sz w:val="18"/>
                <w:szCs w:val="18"/>
                <w:color w:val="auto"/>
              </w:rPr>
            </w:pPr>
          </w:p>
        </w:tc>
        <w:tc>
          <w:tcPr>
            <w:tcW w:w="1500" w:type="dxa"/>
            <w:vAlign w:val="bottom"/>
            <w:shd w:val="clear" w:color="auto" w:fill="F8991D"/>
          </w:tcPr>
          <w:p>
            <w:pPr>
              <w:spacing w:after="0"/>
              <w:rPr>
                <w:sz w:val="18"/>
                <w:szCs w:val="18"/>
                <w:color w:val="auto"/>
              </w:rPr>
            </w:pPr>
          </w:p>
        </w:tc>
        <w:tc>
          <w:tcPr>
            <w:tcW w:w="1600" w:type="dxa"/>
            <w:vAlign w:val="bottom"/>
            <w:shd w:val="clear" w:color="auto" w:fill="F8991D"/>
          </w:tcPr>
          <w:p>
            <w:pPr>
              <w:spacing w:after="0"/>
              <w:rPr>
                <w:sz w:val="18"/>
                <w:szCs w:val="18"/>
                <w:color w:val="auto"/>
              </w:rPr>
            </w:pPr>
          </w:p>
        </w:tc>
        <w:tc>
          <w:tcPr>
            <w:tcW w:w="820" w:type="dxa"/>
            <w:vAlign w:val="bottom"/>
          </w:tcPr>
          <w:p>
            <w:pPr>
              <w:spacing w:after="0"/>
              <w:rPr>
                <w:sz w:val="18"/>
                <w:szCs w:val="18"/>
                <w:color w:val="auto"/>
              </w:rPr>
            </w:pPr>
          </w:p>
        </w:tc>
      </w:tr>
      <w:tr>
        <w:trPr>
          <w:trHeight w:val="430"/>
        </w:trPr>
        <w:tc>
          <w:tcPr>
            <w:tcW w:w="800" w:type="dxa"/>
            <w:vAlign w:val="bottom"/>
          </w:tcPr>
          <w:p>
            <w:pPr>
              <w:spacing w:after="0"/>
              <w:rPr>
                <w:sz w:val="24"/>
                <w:szCs w:val="24"/>
                <w:color w:val="auto"/>
              </w:rPr>
            </w:pPr>
          </w:p>
        </w:tc>
        <w:tc>
          <w:tcPr>
            <w:tcW w:w="3340" w:type="dxa"/>
            <w:vAlign w:val="bottom"/>
            <w:shd w:val="clear" w:color="auto" w:fill="EBEBEB"/>
          </w:tcPr>
          <w:p>
            <w:pPr>
              <w:ind w:left="80"/>
              <w:spacing w:after="0"/>
              <w:rPr>
                <w:sz w:val="20"/>
                <w:szCs w:val="20"/>
                <w:color w:val="auto"/>
              </w:rPr>
            </w:pPr>
            <w:r>
              <w:rPr>
                <w:rFonts w:ascii="Arial" w:cs="Arial" w:eastAsia="Arial" w:hAnsi="Arial"/>
                <w:sz w:val="14"/>
                <w:szCs w:val="14"/>
                <w:b w:val="1"/>
                <w:bCs w:val="1"/>
                <w:color w:val="auto"/>
              </w:rPr>
              <w:t>Directors</w:t>
            </w:r>
          </w:p>
        </w:tc>
        <w:tc>
          <w:tcPr>
            <w:tcW w:w="1220" w:type="dxa"/>
            <w:vAlign w:val="bottom"/>
            <w:shd w:val="clear" w:color="auto" w:fill="EBEBEB"/>
          </w:tcPr>
          <w:p>
            <w:pPr>
              <w:jc w:val="center"/>
              <w:ind w:left="467"/>
              <w:spacing w:after="0"/>
              <w:rPr>
                <w:sz w:val="20"/>
                <w:szCs w:val="20"/>
                <w:color w:val="auto"/>
              </w:rPr>
            </w:pPr>
            <w:r>
              <w:rPr>
                <w:rFonts w:ascii="Arial" w:cs="Arial" w:eastAsia="Arial" w:hAnsi="Arial"/>
                <w:sz w:val="14"/>
                <w:szCs w:val="14"/>
                <w:color w:val="auto"/>
              </w:rPr>
              <w:t>2</w:t>
            </w:r>
          </w:p>
        </w:tc>
        <w:tc>
          <w:tcPr>
            <w:tcW w:w="1740" w:type="dxa"/>
            <w:vAlign w:val="bottom"/>
            <w:shd w:val="clear" w:color="auto" w:fill="EBEBEB"/>
          </w:tcPr>
          <w:p>
            <w:pPr>
              <w:jc w:val="center"/>
              <w:ind w:left="467"/>
              <w:spacing w:after="0"/>
              <w:rPr>
                <w:sz w:val="20"/>
                <w:szCs w:val="20"/>
                <w:color w:val="auto"/>
              </w:rPr>
            </w:pPr>
            <w:r>
              <w:rPr>
                <w:rFonts w:ascii="Arial" w:cs="Arial" w:eastAsia="Arial" w:hAnsi="Arial"/>
                <w:sz w:val="14"/>
                <w:szCs w:val="14"/>
                <w:color w:val="auto"/>
              </w:rPr>
              <w:t>5</w:t>
            </w:r>
          </w:p>
        </w:tc>
        <w:tc>
          <w:tcPr>
            <w:tcW w:w="1500" w:type="dxa"/>
            <w:vAlign w:val="bottom"/>
            <w:shd w:val="clear" w:color="auto" w:fill="EBEBEB"/>
          </w:tcPr>
          <w:p>
            <w:pPr>
              <w:jc w:val="center"/>
              <w:ind w:left="167"/>
              <w:spacing w:after="0"/>
              <w:rPr>
                <w:sz w:val="20"/>
                <w:szCs w:val="20"/>
                <w:color w:val="auto"/>
              </w:rPr>
            </w:pPr>
            <w:r>
              <w:rPr>
                <w:rFonts w:ascii="Arial" w:cs="Arial" w:eastAsia="Arial" w:hAnsi="Arial"/>
                <w:sz w:val="14"/>
                <w:szCs w:val="14"/>
                <w:color w:val="auto"/>
                <w:w w:val="99"/>
              </w:rPr>
              <w:t>—</w:t>
            </w:r>
          </w:p>
        </w:tc>
        <w:tc>
          <w:tcPr>
            <w:tcW w:w="1600" w:type="dxa"/>
            <w:vAlign w:val="bottom"/>
            <w:shd w:val="clear" w:color="auto" w:fill="EBEBEB"/>
          </w:tcPr>
          <w:p>
            <w:pPr>
              <w:jc w:val="center"/>
              <w:ind w:left="167"/>
              <w:spacing w:after="0"/>
              <w:rPr>
                <w:sz w:val="20"/>
                <w:szCs w:val="20"/>
                <w:color w:val="auto"/>
              </w:rPr>
            </w:pPr>
            <w:r>
              <w:rPr>
                <w:rFonts w:ascii="Arial" w:cs="Arial" w:eastAsia="Arial" w:hAnsi="Arial"/>
                <w:sz w:val="14"/>
                <w:szCs w:val="14"/>
                <w:color w:val="auto"/>
              </w:rPr>
              <w:t>1</w:t>
            </w:r>
          </w:p>
        </w:tc>
        <w:tc>
          <w:tcPr>
            <w:tcW w:w="820" w:type="dxa"/>
            <w:vAlign w:val="bottom"/>
          </w:tcPr>
          <w:p>
            <w:pPr>
              <w:spacing w:after="0"/>
              <w:rPr>
                <w:sz w:val="24"/>
                <w:szCs w:val="24"/>
                <w:color w:val="auto"/>
              </w:rPr>
            </w:pPr>
          </w:p>
        </w:tc>
      </w:tr>
      <w:tr>
        <w:trPr>
          <w:trHeight w:val="218"/>
        </w:trPr>
        <w:tc>
          <w:tcPr>
            <w:tcW w:w="800" w:type="dxa"/>
            <w:vAlign w:val="bottom"/>
          </w:tcPr>
          <w:p>
            <w:pPr>
              <w:spacing w:after="0"/>
              <w:rPr>
                <w:sz w:val="18"/>
                <w:szCs w:val="18"/>
                <w:color w:val="auto"/>
              </w:rPr>
            </w:pPr>
          </w:p>
        </w:tc>
        <w:tc>
          <w:tcPr>
            <w:tcW w:w="3340" w:type="dxa"/>
            <w:vAlign w:val="bottom"/>
            <w:shd w:val="clear" w:color="auto" w:fill="EBEBEB"/>
          </w:tcPr>
          <w:p>
            <w:pPr>
              <w:spacing w:after="0"/>
              <w:rPr>
                <w:sz w:val="18"/>
                <w:szCs w:val="18"/>
                <w:color w:val="auto"/>
              </w:rPr>
            </w:pPr>
          </w:p>
        </w:tc>
        <w:tc>
          <w:tcPr>
            <w:tcW w:w="1220" w:type="dxa"/>
            <w:vAlign w:val="bottom"/>
            <w:shd w:val="clear" w:color="auto" w:fill="EBEBEB"/>
          </w:tcPr>
          <w:p>
            <w:pPr>
              <w:spacing w:after="0"/>
              <w:rPr>
                <w:sz w:val="18"/>
                <w:szCs w:val="18"/>
                <w:color w:val="auto"/>
              </w:rPr>
            </w:pPr>
          </w:p>
        </w:tc>
        <w:tc>
          <w:tcPr>
            <w:tcW w:w="1740" w:type="dxa"/>
            <w:vAlign w:val="bottom"/>
            <w:shd w:val="clear" w:color="auto" w:fill="EBEBEB"/>
          </w:tcPr>
          <w:p>
            <w:pPr>
              <w:spacing w:after="0"/>
              <w:rPr>
                <w:sz w:val="18"/>
                <w:szCs w:val="18"/>
                <w:color w:val="auto"/>
              </w:rPr>
            </w:pPr>
          </w:p>
        </w:tc>
        <w:tc>
          <w:tcPr>
            <w:tcW w:w="1500" w:type="dxa"/>
            <w:vAlign w:val="bottom"/>
            <w:shd w:val="clear" w:color="auto" w:fill="EBEBEB"/>
          </w:tcPr>
          <w:p>
            <w:pPr>
              <w:spacing w:after="0"/>
              <w:rPr>
                <w:sz w:val="18"/>
                <w:szCs w:val="18"/>
                <w:color w:val="auto"/>
              </w:rPr>
            </w:pPr>
          </w:p>
        </w:tc>
        <w:tc>
          <w:tcPr>
            <w:tcW w:w="1600" w:type="dxa"/>
            <w:vAlign w:val="bottom"/>
            <w:shd w:val="clear" w:color="auto" w:fill="EBEBEB"/>
          </w:tcPr>
          <w:p>
            <w:pPr>
              <w:spacing w:after="0"/>
              <w:rPr>
                <w:sz w:val="18"/>
                <w:szCs w:val="18"/>
                <w:color w:val="auto"/>
              </w:rPr>
            </w:pPr>
          </w:p>
        </w:tc>
        <w:tc>
          <w:tcPr>
            <w:tcW w:w="820" w:type="dxa"/>
            <w:vAlign w:val="bottom"/>
          </w:tcPr>
          <w:p>
            <w:pPr>
              <w:spacing w:after="0"/>
              <w:rPr>
                <w:sz w:val="18"/>
                <w:szCs w:val="18"/>
                <w:color w:val="auto"/>
              </w:rPr>
            </w:pPr>
          </w:p>
        </w:tc>
      </w:tr>
      <w:tr>
        <w:trPr>
          <w:trHeight w:val="430"/>
        </w:trPr>
        <w:tc>
          <w:tcPr>
            <w:tcW w:w="800" w:type="dxa"/>
            <w:vAlign w:val="bottom"/>
          </w:tcPr>
          <w:p>
            <w:pPr>
              <w:spacing w:after="0"/>
              <w:rPr>
                <w:sz w:val="24"/>
                <w:szCs w:val="24"/>
                <w:color w:val="auto"/>
              </w:rPr>
            </w:pPr>
          </w:p>
        </w:tc>
        <w:tc>
          <w:tcPr>
            <w:tcW w:w="3340" w:type="dxa"/>
            <w:vAlign w:val="bottom"/>
            <w:shd w:val="clear" w:color="auto" w:fill="6CCAD0"/>
          </w:tcPr>
          <w:p>
            <w:pPr>
              <w:ind w:left="80"/>
              <w:spacing w:after="0"/>
              <w:rPr>
                <w:sz w:val="20"/>
                <w:szCs w:val="20"/>
                <w:color w:val="auto"/>
              </w:rPr>
            </w:pPr>
            <w:r>
              <w:rPr>
                <w:rFonts w:ascii="Arial" w:cs="Arial" w:eastAsia="Arial" w:hAnsi="Arial"/>
                <w:sz w:val="14"/>
                <w:szCs w:val="14"/>
                <w:b w:val="1"/>
                <w:bCs w:val="1"/>
                <w:color w:val="FFFFFF"/>
              </w:rPr>
              <w:t>PART II: DEMOGRAPHIC BACKGROUND</w:t>
            </w:r>
          </w:p>
        </w:tc>
        <w:tc>
          <w:tcPr>
            <w:tcW w:w="1220" w:type="dxa"/>
            <w:vAlign w:val="bottom"/>
            <w:shd w:val="clear" w:color="auto" w:fill="6CCAD0"/>
          </w:tcPr>
          <w:p>
            <w:pPr>
              <w:spacing w:after="0"/>
              <w:rPr>
                <w:sz w:val="24"/>
                <w:szCs w:val="24"/>
                <w:color w:val="auto"/>
              </w:rPr>
            </w:pPr>
          </w:p>
        </w:tc>
        <w:tc>
          <w:tcPr>
            <w:tcW w:w="1740" w:type="dxa"/>
            <w:vAlign w:val="bottom"/>
            <w:shd w:val="clear" w:color="auto" w:fill="6CCAD0"/>
          </w:tcPr>
          <w:p>
            <w:pPr>
              <w:spacing w:after="0"/>
              <w:rPr>
                <w:sz w:val="24"/>
                <w:szCs w:val="24"/>
                <w:color w:val="auto"/>
              </w:rPr>
            </w:pPr>
          </w:p>
        </w:tc>
        <w:tc>
          <w:tcPr>
            <w:tcW w:w="1500" w:type="dxa"/>
            <w:vAlign w:val="bottom"/>
            <w:shd w:val="clear" w:color="auto" w:fill="6CCAD0"/>
          </w:tcPr>
          <w:p>
            <w:pPr>
              <w:spacing w:after="0"/>
              <w:rPr>
                <w:sz w:val="24"/>
                <w:szCs w:val="24"/>
                <w:color w:val="auto"/>
              </w:rPr>
            </w:pPr>
          </w:p>
        </w:tc>
        <w:tc>
          <w:tcPr>
            <w:tcW w:w="1600" w:type="dxa"/>
            <w:vAlign w:val="bottom"/>
            <w:shd w:val="clear" w:color="auto" w:fill="6CCAD0"/>
          </w:tcPr>
          <w:p>
            <w:pPr>
              <w:spacing w:after="0"/>
              <w:rPr>
                <w:sz w:val="24"/>
                <w:szCs w:val="24"/>
                <w:color w:val="auto"/>
              </w:rPr>
            </w:pPr>
          </w:p>
        </w:tc>
        <w:tc>
          <w:tcPr>
            <w:tcW w:w="820" w:type="dxa"/>
            <w:vAlign w:val="bottom"/>
          </w:tcPr>
          <w:p>
            <w:pPr>
              <w:spacing w:after="0"/>
              <w:rPr>
                <w:sz w:val="24"/>
                <w:szCs w:val="24"/>
                <w:color w:val="auto"/>
              </w:rPr>
            </w:pPr>
          </w:p>
        </w:tc>
      </w:tr>
      <w:tr>
        <w:trPr>
          <w:trHeight w:val="218"/>
        </w:trPr>
        <w:tc>
          <w:tcPr>
            <w:tcW w:w="800" w:type="dxa"/>
            <w:vAlign w:val="bottom"/>
          </w:tcPr>
          <w:p>
            <w:pPr>
              <w:spacing w:after="0"/>
              <w:rPr>
                <w:sz w:val="18"/>
                <w:szCs w:val="18"/>
                <w:color w:val="auto"/>
              </w:rPr>
            </w:pPr>
          </w:p>
        </w:tc>
        <w:tc>
          <w:tcPr>
            <w:tcW w:w="3340" w:type="dxa"/>
            <w:vAlign w:val="bottom"/>
            <w:shd w:val="clear" w:color="auto" w:fill="6CCAD0"/>
          </w:tcPr>
          <w:p>
            <w:pPr>
              <w:spacing w:after="0"/>
              <w:rPr>
                <w:sz w:val="18"/>
                <w:szCs w:val="18"/>
                <w:color w:val="auto"/>
              </w:rPr>
            </w:pPr>
          </w:p>
        </w:tc>
        <w:tc>
          <w:tcPr>
            <w:tcW w:w="1220" w:type="dxa"/>
            <w:vAlign w:val="bottom"/>
            <w:shd w:val="clear" w:color="auto" w:fill="6CCAD0"/>
          </w:tcPr>
          <w:p>
            <w:pPr>
              <w:spacing w:after="0"/>
              <w:rPr>
                <w:sz w:val="18"/>
                <w:szCs w:val="18"/>
                <w:color w:val="auto"/>
              </w:rPr>
            </w:pPr>
          </w:p>
        </w:tc>
        <w:tc>
          <w:tcPr>
            <w:tcW w:w="1740" w:type="dxa"/>
            <w:vAlign w:val="bottom"/>
            <w:shd w:val="clear" w:color="auto" w:fill="6CCAD0"/>
          </w:tcPr>
          <w:p>
            <w:pPr>
              <w:spacing w:after="0"/>
              <w:rPr>
                <w:sz w:val="18"/>
                <w:szCs w:val="18"/>
                <w:color w:val="auto"/>
              </w:rPr>
            </w:pPr>
          </w:p>
        </w:tc>
        <w:tc>
          <w:tcPr>
            <w:tcW w:w="1500" w:type="dxa"/>
            <w:vAlign w:val="bottom"/>
            <w:shd w:val="clear" w:color="auto" w:fill="6CCAD0"/>
          </w:tcPr>
          <w:p>
            <w:pPr>
              <w:spacing w:after="0"/>
              <w:rPr>
                <w:sz w:val="18"/>
                <w:szCs w:val="18"/>
                <w:color w:val="auto"/>
              </w:rPr>
            </w:pPr>
          </w:p>
        </w:tc>
        <w:tc>
          <w:tcPr>
            <w:tcW w:w="1600" w:type="dxa"/>
            <w:vAlign w:val="bottom"/>
            <w:shd w:val="clear" w:color="auto" w:fill="6CCAD0"/>
          </w:tcPr>
          <w:p>
            <w:pPr>
              <w:spacing w:after="0"/>
              <w:rPr>
                <w:sz w:val="18"/>
                <w:szCs w:val="18"/>
                <w:color w:val="auto"/>
              </w:rPr>
            </w:pPr>
          </w:p>
        </w:tc>
        <w:tc>
          <w:tcPr>
            <w:tcW w:w="820" w:type="dxa"/>
            <w:vAlign w:val="bottom"/>
          </w:tcPr>
          <w:p>
            <w:pPr>
              <w:spacing w:after="0"/>
              <w:rPr>
                <w:sz w:val="18"/>
                <w:szCs w:val="18"/>
                <w:color w:val="auto"/>
              </w:rPr>
            </w:pPr>
          </w:p>
        </w:tc>
      </w:tr>
      <w:tr>
        <w:trPr>
          <w:trHeight w:val="430"/>
        </w:trPr>
        <w:tc>
          <w:tcPr>
            <w:tcW w:w="800" w:type="dxa"/>
            <w:vAlign w:val="bottom"/>
          </w:tcPr>
          <w:p>
            <w:pPr>
              <w:spacing w:after="0"/>
              <w:rPr>
                <w:sz w:val="24"/>
                <w:szCs w:val="24"/>
                <w:color w:val="auto"/>
              </w:rPr>
            </w:pPr>
          </w:p>
        </w:tc>
        <w:tc>
          <w:tcPr>
            <w:tcW w:w="3340" w:type="dxa"/>
            <w:vAlign w:val="bottom"/>
            <w:shd w:val="clear" w:color="auto" w:fill="EBEBEB"/>
          </w:tcPr>
          <w:p>
            <w:pPr>
              <w:ind w:left="80"/>
              <w:spacing w:after="0"/>
              <w:rPr>
                <w:sz w:val="20"/>
                <w:szCs w:val="20"/>
                <w:color w:val="auto"/>
              </w:rPr>
            </w:pPr>
            <w:r>
              <w:rPr>
                <w:rFonts w:ascii="Arial" w:cs="Arial" w:eastAsia="Arial" w:hAnsi="Arial"/>
                <w:sz w:val="14"/>
                <w:szCs w:val="14"/>
                <w:b w:val="1"/>
                <w:bCs w:val="1"/>
                <w:color w:val="auto"/>
              </w:rPr>
              <w:t>African American or Black</w:t>
            </w:r>
          </w:p>
        </w:tc>
        <w:tc>
          <w:tcPr>
            <w:tcW w:w="1220" w:type="dxa"/>
            <w:vAlign w:val="bottom"/>
            <w:shd w:val="clear" w:color="auto" w:fill="EBEBEB"/>
          </w:tcPr>
          <w:p>
            <w:pPr>
              <w:jc w:val="center"/>
              <w:ind w:left="487"/>
              <w:spacing w:after="0"/>
              <w:rPr>
                <w:sz w:val="20"/>
                <w:szCs w:val="20"/>
                <w:color w:val="auto"/>
              </w:rPr>
            </w:pPr>
            <w:r>
              <w:rPr>
                <w:rFonts w:ascii="Arial" w:cs="Arial" w:eastAsia="Arial" w:hAnsi="Arial"/>
                <w:sz w:val="14"/>
                <w:szCs w:val="14"/>
                <w:color w:val="auto"/>
                <w:w w:val="99"/>
              </w:rPr>
              <w:t>—</w:t>
            </w:r>
          </w:p>
        </w:tc>
        <w:tc>
          <w:tcPr>
            <w:tcW w:w="1740" w:type="dxa"/>
            <w:vAlign w:val="bottom"/>
            <w:shd w:val="clear" w:color="auto" w:fill="EBEBEB"/>
          </w:tcPr>
          <w:p>
            <w:pPr>
              <w:jc w:val="center"/>
              <w:ind w:left="447"/>
              <w:spacing w:after="0"/>
              <w:rPr>
                <w:sz w:val="20"/>
                <w:szCs w:val="20"/>
                <w:color w:val="auto"/>
              </w:rPr>
            </w:pPr>
            <w:r>
              <w:rPr>
                <w:rFonts w:ascii="Arial" w:cs="Arial" w:eastAsia="Arial" w:hAnsi="Arial"/>
                <w:sz w:val="14"/>
                <w:szCs w:val="14"/>
                <w:color w:val="auto"/>
                <w:w w:val="99"/>
              </w:rPr>
              <w:t>—</w:t>
            </w:r>
          </w:p>
        </w:tc>
        <w:tc>
          <w:tcPr>
            <w:tcW w:w="1500" w:type="dxa"/>
            <w:vAlign w:val="bottom"/>
            <w:shd w:val="clear" w:color="auto" w:fill="EBEBEB"/>
          </w:tcPr>
          <w:p>
            <w:pPr>
              <w:jc w:val="center"/>
              <w:ind w:left="167"/>
              <w:spacing w:after="0"/>
              <w:rPr>
                <w:sz w:val="20"/>
                <w:szCs w:val="20"/>
                <w:color w:val="auto"/>
              </w:rPr>
            </w:pPr>
            <w:r>
              <w:rPr>
                <w:rFonts w:ascii="Arial" w:cs="Arial" w:eastAsia="Arial" w:hAnsi="Arial"/>
                <w:sz w:val="14"/>
                <w:szCs w:val="14"/>
                <w:color w:val="auto"/>
                <w:w w:val="99"/>
              </w:rPr>
              <w:t>—</w:t>
            </w:r>
          </w:p>
        </w:tc>
        <w:tc>
          <w:tcPr>
            <w:tcW w:w="1600" w:type="dxa"/>
            <w:vAlign w:val="bottom"/>
            <w:shd w:val="clear" w:color="auto" w:fill="EBEBEB"/>
          </w:tcPr>
          <w:p>
            <w:pPr>
              <w:jc w:val="center"/>
              <w:ind w:left="187"/>
              <w:spacing w:after="0"/>
              <w:rPr>
                <w:sz w:val="20"/>
                <w:szCs w:val="20"/>
                <w:color w:val="auto"/>
              </w:rPr>
            </w:pPr>
            <w:r>
              <w:rPr>
                <w:rFonts w:ascii="Arial" w:cs="Arial" w:eastAsia="Arial" w:hAnsi="Arial"/>
                <w:sz w:val="14"/>
                <w:szCs w:val="14"/>
                <w:color w:val="auto"/>
                <w:w w:val="99"/>
              </w:rPr>
              <w:t>—</w:t>
            </w:r>
          </w:p>
        </w:tc>
        <w:tc>
          <w:tcPr>
            <w:tcW w:w="820" w:type="dxa"/>
            <w:vAlign w:val="bottom"/>
          </w:tcPr>
          <w:p>
            <w:pPr>
              <w:spacing w:after="0"/>
              <w:rPr>
                <w:sz w:val="24"/>
                <w:szCs w:val="24"/>
                <w:color w:val="auto"/>
              </w:rPr>
            </w:pPr>
          </w:p>
        </w:tc>
      </w:tr>
      <w:tr>
        <w:trPr>
          <w:trHeight w:val="218"/>
        </w:trPr>
        <w:tc>
          <w:tcPr>
            <w:tcW w:w="800" w:type="dxa"/>
            <w:vAlign w:val="bottom"/>
          </w:tcPr>
          <w:p>
            <w:pPr>
              <w:spacing w:after="0"/>
              <w:rPr>
                <w:sz w:val="18"/>
                <w:szCs w:val="18"/>
                <w:color w:val="auto"/>
              </w:rPr>
            </w:pPr>
          </w:p>
        </w:tc>
        <w:tc>
          <w:tcPr>
            <w:tcW w:w="3340" w:type="dxa"/>
            <w:vAlign w:val="bottom"/>
            <w:shd w:val="clear" w:color="auto" w:fill="EBEBEB"/>
          </w:tcPr>
          <w:p>
            <w:pPr>
              <w:spacing w:after="0"/>
              <w:rPr>
                <w:sz w:val="18"/>
                <w:szCs w:val="18"/>
                <w:color w:val="auto"/>
              </w:rPr>
            </w:pPr>
          </w:p>
        </w:tc>
        <w:tc>
          <w:tcPr>
            <w:tcW w:w="1220" w:type="dxa"/>
            <w:vAlign w:val="bottom"/>
            <w:shd w:val="clear" w:color="auto" w:fill="EBEBEB"/>
          </w:tcPr>
          <w:p>
            <w:pPr>
              <w:spacing w:after="0"/>
              <w:rPr>
                <w:sz w:val="18"/>
                <w:szCs w:val="18"/>
                <w:color w:val="auto"/>
              </w:rPr>
            </w:pPr>
          </w:p>
        </w:tc>
        <w:tc>
          <w:tcPr>
            <w:tcW w:w="1740" w:type="dxa"/>
            <w:vAlign w:val="bottom"/>
            <w:shd w:val="clear" w:color="auto" w:fill="EBEBEB"/>
          </w:tcPr>
          <w:p>
            <w:pPr>
              <w:spacing w:after="0"/>
              <w:rPr>
                <w:sz w:val="18"/>
                <w:szCs w:val="18"/>
                <w:color w:val="auto"/>
              </w:rPr>
            </w:pPr>
          </w:p>
        </w:tc>
        <w:tc>
          <w:tcPr>
            <w:tcW w:w="1500" w:type="dxa"/>
            <w:vAlign w:val="bottom"/>
            <w:shd w:val="clear" w:color="auto" w:fill="EBEBEB"/>
          </w:tcPr>
          <w:p>
            <w:pPr>
              <w:spacing w:after="0"/>
              <w:rPr>
                <w:sz w:val="18"/>
                <w:szCs w:val="18"/>
                <w:color w:val="auto"/>
              </w:rPr>
            </w:pPr>
          </w:p>
        </w:tc>
        <w:tc>
          <w:tcPr>
            <w:tcW w:w="1600" w:type="dxa"/>
            <w:vAlign w:val="bottom"/>
            <w:shd w:val="clear" w:color="auto" w:fill="EBEBEB"/>
          </w:tcPr>
          <w:p>
            <w:pPr>
              <w:spacing w:after="0"/>
              <w:rPr>
                <w:sz w:val="18"/>
                <w:szCs w:val="18"/>
                <w:color w:val="auto"/>
              </w:rPr>
            </w:pPr>
          </w:p>
        </w:tc>
        <w:tc>
          <w:tcPr>
            <w:tcW w:w="820" w:type="dxa"/>
            <w:vAlign w:val="bottom"/>
          </w:tcPr>
          <w:p>
            <w:pPr>
              <w:spacing w:after="0"/>
              <w:rPr>
                <w:sz w:val="18"/>
                <w:szCs w:val="18"/>
                <w:color w:val="auto"/>
              </w:rPr>
            </w:pPr>
          </w:p>
        </w:tc>
      </w:tr>
      <w:tr>
        <w:trPr>
          <w:trHeight w:val="430"/>
        </w:trPr>
        <w:tc>
          <w:tcPr>
            <w:tcW w:w="800" w:type="dxa"/>
            <w:vAlign w:val="bottom"/>
          </w:tcPr>
          <w:p>
            <w:pPr>
              <w:spacing w:after="0"/>
              <w:rPr>
                <w:sz w:val="24"/>
                <w:szCs w:val="24"/>
                <w:color w:val="auto"/>
              </w:rPr>
            </w:pPr>
          </w:p>
        </w:tc>
        <w:tc>
          <w:tcPr>
            <w:tcW w:w="3340" w:type="dxa"/>
            <w:vAlign w:val="bottom"/>
            <w:shd w:val="clear" w:color="auto" w:fill="FAFAFA"/>
          </w:tcPr>
          <w:p>
            <w:pPr>
              <w:ind w:left="80"/>
              <w:spacing w:after="0"/>
              <w:rPr>
                <w:sz w:val="20"/>
                <w:szCs w:val="20"/>
                <w:color w:val="auto"/>
              </w:rPr>
            </w:pPr>
            <w:r>
              <w:rPr>
                <w:rFonts w:ascii="Arial" w:cs="Arial" w:eastAsia="Arial" w:hAnsi="Arial"/>
                <w:sz w:val="14"/>
                <w:szCs w:val="14"/>
                <w:b w:val="1"/>
                <w:bCs w:val="1"/>
                <w:color w:val="auto"/>
              </w:rPr>
              <w:t>Alaskan Native or Native American</w:t>
            </w:r>
          </w:p>
        </w:tc>
        <w:tc>
          <w:tcPr>
            <w:tcW w:w="1220" w:type="dxa"/>
            <w:vAlign w:val="bottom"/>
            <w:shd w:val="clear" w:color="auto" w:fill="FAFAFA"/>
          </w:tcPr>
          <w:p>
            <w:pPr>
              <w:jc w:val="center"/>
              <w:ind w:left="487"/>
              <w:spacing w:after="0"/>
              <w:rPr>
                <w:sz w:val="20"/>
                <w:szCs w:val="20"/>
                <w:color w:val="auto"/>
              </w:rPr>
            </w:pPr>
            <w:r>
              <w:rPr>
                <w:rFonts w:ascii="Arial" w:cs="Arial" w:eastAsia="Arial" w:hAnsi="Arial"/>
                <w:sz w:val="14"/>
                <w:szCs w:val="14"/>
                <w:color w:val="auto"/>
                <w:w w:val="99"/>
              </w:rPr>
              <w:t>—</w:t>
            </w:r>
          </w:p>
        </w:tc>
        <w:tc>
          <w:tcPr>
            <w:tcW w:w="1740" w:type="dxa"/>
            <w:vAlign w:val="bottom"/>
            <w:shd w:val="clear" w:color="auto" w:fill="FAFAFA"/>
          </w:tcPr>
          <w:p>
            <w:pPr>
              <w:jc w:val="center"/>
              <w:ind w:left="447"/>
              <w:spacing w:after="0"/>
              <w:rPr>
                <w:sz w:val="20"/>
                <w:szCs w:val="20"/>
                <w:color w:val="auto"/>
              </w:rPr>
            </w:pPr>
            <w:r>
              <w:rPr>
                <w:rFonts w:ascii="Arial" w:cs="Arial" w:eastAsia="Arial" w:hAnsi="Arial"/>
                <w:sz w:val="14"/>
                <w:szCs w:val="14"/>
                <w:color w:val="auto"/>
                <w:w w:val="99"/>
              </w:rPr>
              <w:t>—</w:t>
            </w:r>
          </w:p>
        </w:tc>
        <w:tc>
          <w:tcPr>
            <w:tcW w:w="1500" w:type="dxa"/>
            <w:vAlign w:val="bottom"/>
            <w:shd w:val="clear" w:color="auto" w:fill="FAFAFA"/>
          </w:tcPr>
          <w:p>
            <w:pPr>
              <w:jc w:val="center"/>
              <w:ind w:left="167"/>
              <w:spacing w:after="0"/>
              <w:rPr>
                <w:sz w:val="20"/>
                <w:szCs w:val="20"/>
                <w:color w:val="auto"/>
              </w:rPr>
            </w:pPr>
            <w:r>
              <w:rPr>
                <w:rFonts w:ascii="Arial" w:cs="Arial" w:eastAsia="Arial" w:hAnsi="Arial"/>
                <w:sz w:val="14"/>
                <w:szCs w:val="14"/>
                <w:color w:val="auto"/>
                <w:w w:val="99"/>
              </w:rPr>
              <w:t>—</w:t>
            </w:r>
          </w:p>
        </w:tc>
        <w:tc>
          <w:tcPr>
            <w:tcW w:w="1600" w:type="dxa"/>
            <w:vAlign w:val="bottom"/>
            <w:shd w:val="clear" w:color="auto" w:fill="FAFAFA"/>
          </w:tcPr>
          <w:p>
            <w:pPr>
              <w:jc w:val="center"/>
              <w:ind w:left="187"/>
              <w:spacing w:after="0"/>
              <w:rPr>
                <w:sz w:val="20"/>
                <w:szCs w:val="20"/>
                <w:color w:val="auto"/>
              </w:rPr>
            </w:pPr>
            <w:r>
              <w:rPr>
                <w:rFonts w:ascii="Arial" w:cs="Arial" w:eastAsia="Arial" w:hAnsi="Arial"/>
                <w:sz w:val="14"/>
                <w:szCs w:val="14"/>
                <w:color w:val="auto"/>
                <w:w w:val="99"/>
              </w:rPr>
              <w:t>—</w:t>
            </w:r>
          </w:p>
        </w:tc>
        <w:tc>
          <w:tcPr>
            <w:tcW w:w="820" w:type="dxa"/>
            <w:vAlign w:val="bottom"/>
          </w:tcPr>
          <w:p>
            <w:pPr>
              <w:spacing w:after="0"/>
              <w:rPr>
                <w:sz w:val="24"/>
                <w:szCs w:val="24"/>
                <w:color w:val="auto"/>
              </w:rPr>
            </w:pPr>
          </w:p>
        </w:tc>
      </w:tr>
      <w:tr>
        <w:trPr>
          <w:trHeight w:val="218"/>
        </w:trPr>
        <w:tc>
          <w:tcPr>
            <w:tcW w:w="800" w:type="dxa"/>
            <w:vAlign w:val="bottom"/>
          </w:tcPr>
          <w:p>
            <w:pPr>
              <w:spacing w:after="0"/>
              <w:rPr>
                <w:sz w:val="18"/>
                <w:szCs w:val="18"/>
                <w:color w:val="auto"/>
              </w:rPr>
            </w:pPr>
          </w:p>
        </w:tc>
        <w:tc>
          <w:tcPr>
            <w:tcW w:w="3340" w:type="dxa"/>
            <w:vAlign w:val="bottom"/>
            <w:shd w:val="clear" w:color="auto" w:fill="FAFAFA"/>
          </w:tcPr>
          <w:p>
            <w:pPr>
              <w:spacing w:after="0"/>
              <w:rPr>
                <w:sz w:val="18"/>
                <w:szCs w:val="18"/>
                <w:color w:val="auto"/>
              </w:rPr>
            </w:pPr>
          </w:p>
        </w:tc>
        <w:tc>
          <w:tcPr>
            <w:tcW w:w="1220" w:type="dxa"/>
            <w:vAlign w:val="bottom"/>
            <w:shd w:val="clear" w:color="auto" w:fill="FAFAFA"/>
          </w:tcPr>
          <w:p>
            <w:pPr>
              <w:spacing w:after="0"/>
              <w:rPr>
                <w:sz w:val="18"/>
                <w:szCs w:val="18"/>
                <w:color w:val="auto"/>
              </w:rPr>
            </w:pPr>
          </w:p>
        </w:tc>
        <w:tc>
          <w:tcPr>
            <w:tcW w:w="1740" w:type="dxa"/>
            <w:vAlign w:val="bottom"/>
            <w:shd w:val="clear" w:color="auto" w:fill="FAFAFA"/>
          </w:tcPr>
          <w:p>
            <w:pPr>
              <w:spacing w:after="0"/>
              <w:rPr>
                <w:sz w:val="18"/>
                <w:szCs w:val="18"/>
                <w:color w:val="auto"/>
              </w:rPr>
            </w:pPr>
          </w:p>
        </w:tc>
        <w:tc>
          <w:tcPr>
            <w:tcW w:w="1500" w:type="dxa"/>
            <w:vAlign w:val="bottom"/>
            <w:shd w:val="clear" w:color="auto" w:fill="FAFAFA"/>
          </w:tcPr>
          <w:p>
            <w:pPr>
              <w:spacing w:after="0"/>
              <w:rPr>
                <w:sz w:val="18"/>
                <w:szCs w:val="18"/>
                <w:color w:val="auto"/>
              </w:rPr>
            </w:pPr>
          </w:p>
        </w:tc>
        <w:tc>
          <w:tcPr>
            <w:tcW w:w="1600" w:type="dxa"/>
            <w:vAlign w:val="bottom"/>
            <w:shd w:val="clear" w:color="auto" w:fill="FAFAFA"/>
          </w:tcPr>
          <w:p>
            <w:pPr>
              <w:spacing w:after="0"/>
              <w:rPr>
                <w:sz w:val="18"/>
                <w:szCs w:val="18"/>
                <w:color w:val="auto"/>
              </w:rPr>
            </w:pPr>
          </w:p>
        </w:tc>
        <w:tc>
          <w:tcPr>
            <w:tcW w:w="820" w:type="dxa"/>
            <w:vAlign w:val="bottom"/>
          </w:tcPr>
          <w:p>
            <w:pPr>
              <w:spacing w:after="0"/>
              <w:rPr>
                <w:sz w:val="18"/>
                <w:szCs w:val="18"/>
                <w:color w:val="auto"/>
              </w:rPr>
            </w:pPr>
          </w:p>
        </w:tc>
      </w:tr>
      <w:tr>
        <w:trPr>
          <w:trHeight w:val="430"/>
        </w:trPr>
        <w:tc>
          <w:tcPr>
            <w:tcW w:w="800" w:type="dxa"/>
            <w:vAlign w:val="bottom"/>
          </w:tcPr>
          <w:p>
            <w:pPr>
              <w:spacing w:after="0"/>
              <w:rPr>
                <w:sz w:val="24"/>
                <w:szCs w:val="24"/>
                <w:color w:val="auto"/>
              </w:rPr>
            </w:pPr>
          </w:p>
        </w:tc>
        <w:tc>
          <w:tcPr>
            <w:tcW w:w="3340" w:type="dxa"/>
            <w:vAlign w:val="bottom"/>
            <w:shd w:val="clear" w:color="auto" w:fill="EBEBEB"/>
          </w:tcPr>
          <w:p>
            <w:pPr>
              <w:ind w:left="80"/>
              <w:spacing w:after="0"/>
              <w:rPr>
                <w:sz w:val="20"/>
                <w:szCs w:val="20"/>
                <w:color w:val="auto"/>
              </w:rPr>
            </w:pPr>
            <w:r>
              <w:rPr>
                <w:rFonts w:ascii="Arial" w:cs="Arial" w:eastAsia="Arial" w:hAnsi="Arial"/>
                <w:sz w:val="14"/>
                <w:szCs w:val="14"/>
                <w:b w:val="1"/>
                <w:bCs w:val="1"/>
                <w:color w:val="auto"/>
              </w:rPr>
              <w:t>Asian</w:t>
            </w:r>
          </w:p>
        </w:tc>
        <w:tc>
          <w:tcPr>
            <w:tcW w:w="1220" w:type="dxa"/>
            <w:vAlign w:val="bottom"/>
            <w:shd w:val="clear" w:color="auto" w:fill="EBEBEB"/>
          </w:tcPr>
          <w:p>
            <w:pPr>
              <w:jc w:val="center"/>
              <w:ind w:left="487"/>
              <w:spacing w:after="0"/>
              <w:rPr>
                <w:sz w:val="20"/>
                <w:szCs w:val="20"/>
                <w:color w:val="auto"/>
              </w:rPr>
            </w:pPr>
            <w:r>
              <w:rPr>
                <w:rFonts w:ascii="Arial" w:cs="Arial" w:eastAsia="Arial" w:hAnsi="Arial"/>
                <w:sz w:val="14"/>
                <w:szCs w:val="14"/>
                <w:color w:val="auto"/>
                <w:w w:val="99"/>
              </w:rPr>
              <w:t>—</w:t>
            </w:r>
          </w:p>
        </w:tc>
        <w:tc>
          <w:tcPr>
            <w:tcW w:w="1740" w:type="dxa"/>
            <w:vAlign w:val="bottom"/>
            <w:shd w:val="clear" w:color="auto" w:fill="EBEBEB"/>
          </w:tcPr>
          <w:p>
            <w:pPr>
              <w:jc w:val="center"/>
              <w:ind w:left="447"/>
              <w:spacing w:after="0"/>
              <w:rPr>
                <w:sz w:val="20"/>
                <w:szCs w:val="20"/>
                <w:color w:val="auto"/>
              </w:rPr>
            </w:pPr>
            <w:r>
              <w:rPr>
                <w:rFonts w:ascii="Arial" w:cs="Arial" w:eastAsia="Arial" w:hAnsi="Arial"/>
                <w:sz w:val="14"/>
                <w:szCs w:val="14"/>
                <w:color w:val="auto"/>
                <w:w w:val="99"/>
              </w:rPr>
              <w:t>—</w:t>
            </w:r>
          </w:p>
        </w:tc>
        <w:tc>
          <w:tcPr>
            <w:tcW w:w="1500" w:type="dxa"/>
            <w:vAlign w:val="bottom"/>
            <w:shd w:val="clear" w:color="auto" w:fill="EBEBEB"/>
          </w:tcPr>
          <w:p>
            <w:pPr>
              <w:jc w:val="center"/>
              <w:ind w:left="167"/>
              <w:spacing w:after="0"/>
              <w:rPr>
                <w:sz w:val="20"/>
                <w:szCs w:val="20"/>
                <w:color w:val="auto"/>
              </w:rPr>
            </w:pPr>
            <w:r>
              <w:rPr>
                <w:rFonts w:ascii="Arial" w:cs="Arial" w:eastAsia="Arial" w:hAnsi="Arial"/>
                <w:sz w:val="14"/>
                <w:szCs w:val="14"/>
                <w:color w:val="auto"/>
                <w:w w:val="99"/>
              </w:rPr>
              <w:t>—</w:t>
            </w:r>
          </w:p>
        </w:tc>
        <w:tc>
          <w:tcPr>
            <w:tcW w:w="1600" w:type="dxa"/>
            <w:vAlign w:val="bottom"/>
            <w:shd w:val="clear" w:color="auto" w:fill="EBEBEB"/>
          </w:tcPr>
          <w:p>
            <w:pPr>
              <w:jc w:val="center"/>
              <w:ind w:left="187"/>
              <w:spacing w:after="0"/>
              <w:rPr>
                <w:sz w:val="20"/>
                <w:szCs w:val="20"/>
                <w:color w:val="auto"/>
              </w:rPr>
            </w:pPr>
            <w:r>
              <w:rPr>
                <w:rFonts w:ascii="Arial" w:cs="Arial" w:eastAsia="Arial" w:hAnsi="Arial"/>
                <w:sz w:val="14"/>
                <w:szCs w:val="14"/>
                <w:color w:val="auto"/>
                <w:w w:val="99"/>
              </w:rPr>
              <w:t>—</w:t>
            </w:r>
          </w:p>
        </w:tc>
        <w:tc>
          <w:tcPr>
            <w:tcW w:w="820" w:type="dxa"/>
            <w:vAlign w:val="bottom"/>
          </w:tcPr>
          <w:p>
            <w:pPr>
              <w:spacing w:after="0"/>
              <w:rPr>
                <w:sz w:val="24"/>
                <w:szCs w:val="24"/>
                <w:color w:val="auto"/>
              </w:rPr>
            </w:pPr>
          </w:p>
        </w:tc>
      </w:tr>
      <w:tr>
        <w:trPr>
          <w:trHeight w:val="218"/>
        </w:trPr>
        <w:tc>
          <w:tcPr>
            <w:tcW w:w="800" w:type="dxa"/>
            <w:vAlign w:val="bottom"/>
          </w:tcPr>
          <w:p>
            <w:pPr>
              <w:spacing w:after="0"/>
              <w:rPr>
                <w:sz w:val="18"/>
                <w:szCs w:val="18"/>
                <w:color w:val="auto"/>
              </w:rPr>
            </w:pPr>
          </w:p>
        </w:tc>
        <w:tc>
          <w:tcPr>
            <w:tcW w:w="3340" w:type="dxa"/>
            <w:vAlign w:val="bottom"/>
            <w:shd w:val="clear" w:color="auto" w:fill="EBEBEB"/>
          </w:tcPr>
          <w:p>
            <w:pPr>
              <w:spacing w:after="0"/>
              <w:rPr>
                <w:sz w:val="18"/>
                <w:szCs w:val="18"/>
                <w:color w:val="auto"/>
              </w:rPr>
            </w:pPr>
          </w:p>
        </w:tc>
        <w:tc>
          <w:tcPr>
            <w:tcW w:w="1220" w:type="dxa"/>
            <w:vAlign w:val="bottom"/>
            <w:shd w:val="clear" w:color="auto" w:fill="EBEBEB"/>
          </w:tcPr>
          <w:p>
            <w:pPr>
              <w:spacing w:after="0"/>
              <w:rPr>
                <w:sz w:val="18"/>
                <w:szCs w:val="18"/>
                <w:color w:val="auto"/>
              </w:rPr>
            </w:pPr>
          </w:p>
        </w:tc>
        <w:tc>
          <w:tcPr>
            <w:tcW w:w="1740" w:type="dxa"/>
            <w:vAlign w:val="bottom"/>
            <w:shd w:val="clear" w:color="auto" w:fill="EBEBEB"/>
          </w:tcPr>
          <w:p>
            <w:pPr>
              <w:spacing w:after="0"/>
              <w:rPr>
                <w:sz w:val="18"/>
                <w:szCs w:val="18"/>
                <w:color w:val="auto"/>
              </w:rPr>
            </w:pPr>
          </w:p>
        </w:tc>
        <w:tc>
          <w:tcPr>
            <w:tcW w:w="1500" w:type="dxa"/>
            <w:vAlign w:val="bottom"/>
            <w:shd w:val="clear" w:color="auto" w:fill="EBEBEB"/>
          </w:tcPr>
          <w:p>
            <w:pPr>
              <w:spacing w:after="0"/>
              <w:rPr>
                <w:sz w:val="18"/>
                <w:szCs w:val="18"/>
                <w:color w:val="auto"/>
              </w:rPr>
            </w:pPr>
          </w:p>
        </w:tc>
        <w:tc>
          <w:tcPr>
            <w:tcW w:w="1600" w:type="dxa"/>
            <w:vAlign w:val="bottom"/>
            <w:shd w:val="clear" w:color="auto" w:fill="EBEBEB"/>
          </w:tcPr>
          <w:p>
            <w:pPr>
              <w:spacing w:after="0"/>
              <w:rPr>
                <w:sz w:val="18"/>
                <w:szCs w:val="18"/>
                <w:color w:val="auto"/>
              </w:rPr>
            </w:pPr>
          </w:p>
        </w:tc>
        <w:tc>
          <w:tcPr>
            <w:tcW w:w="820" w:type="dxa"/>
            <w:vAlign w:val="bottom"/>
          </w:tcPr>
          <w:p>
            <w:pPr>
              <w:spacing w:after="0"/>
              <w:rPr>
                <w:sz w:val="18"/>
                <w:szCs w:val="18"/>
                <w:color w:val="auto"/>
              </w:rPr>
            </w:pPr>
          </w:p>
        </w:tc>
      </w:tr>
      <w:tr>
        <w:trPr>
          <w:trHeight w:val="430"/>
        </w:trPr>
        <w:tc>
          <w:tcPr>
            <w:tcW w:w="800" w:type="dxa"/>
            <w:vAlign w:val="bottom"/>
          </w:tcPr>
          <w:p>
            <w:pPr>
              <w:spacing w:after="0"/>
              <w:rPr>
                <w:sz w:val="24"/>
                <w:szCs w:val="24"/>
                <w:color w:val="auto"/>
              </w:rPr>
            </w:pPr>
          </w:p>
        </w:tc>
        <w:tc>
          <w:tcPr>
            <w:tcW w:w="3340" w:type="dxa"/>
            <w:vAlign w:val="bottom"/>
            <w:shd w:val="clear" w:color="auto" w:fill="FAFAFA"/>
          </w:tcPr>
          <w:p>
            <w:pPr>
              <w:ind w:left="80"/>
              <w:spacing w:after="0"/>
              <w:rPr>
                <w:sz w:val="20"/>
                <w:szCs w:val="20"/>
                <w:color w:val="auto"/>
              </w:rPr>
            </w:pPr>
            <w:r>
              <w:rPr>
                <w:rFonts w:ascii="Arial" w:cs="Arial" w:eastAsia="Arial" w:hAnsi="Arial"/>
                <w:sz w:val="14"/>
                <w:szCs w:val="14"/>
                <w:b w:val="1"/>
                <w:bCs w:val="1"/>
                <w:color w:val="auto"/>
              </w:rPr>
              <w:t>Hispanic or Latinx</w:t>
            </w:r>
          </w:p>
        </w:tc>
        <w:tc>
          <w:tcPr>
            <w:tcW w:w="1220" w:type="dxa"/>
            <w:vAlign w:val="bottom"/>
            <w:shd w:val="clear" w:color="auto" w:fill="FAFAFA"/>
          </w:tcPr>
          <w:p>
            <w:pPr>
              <w:jc w:val="center"/>
              <w:ind w:left="487"/>
              <w:spacing w:after="0"/>
              <w:rPr>
                <w:sz w:val="20"/>
                <w:szCs w:val="20"/>
                <w:color w:val="auto"/>
              </w:rPr>
            </w:pPr>
            <w:r>
              <w:rPr>
                <w:rFonts w:ascii="Arial" w:cs="Arial" w:eastAsia="Arial" w:hAnsi="Arial"/>
                <w:sz w:val="14"/>
                <w:szCs w:val="14"/>
                <w:color w:val="auto"/>
                <w:w w:val="99"/>
              </w:rPr>
              <w:t>—</w:t>
            </w:r>
          </w:p>
        </w:tc>
        <w:tc>
          <w:tcPr>
            <w:tcW w:w="1740" w:type="dxa"/>
            <w:vAlign w:val="bottom"/>
            <w:shd w:val="clear" w:color="auto" w:fill="FAFAFA"/>
          </w:tcPr>
          <w:p>
            <w:pPr>
              <w:jc w:val="center"/>
              <w:ind w:left="447"/>
              <w:spacing w:after="0"/>
              <w:rPr>
                <w:sz w:val="20"/>
                <w:szCs w:val="20"/>
                <w:color w:val="auto"/>
              </w:rPr>
            </w:pPr>
            <w:r>
              <w:rPr>
                <w:rFonts w:ascii="Arial" w:cs="Arial" w:eastAsia="Arial" w:hAnsi="Arial"/>
                <w:sz w:val="14"/>
                <w:szCs w:val="14"/>
                <w:color w:val="auto"/>
                <w:w w:val="99"/>
              </w:rPr>
              <w:t>—</w:t>
            </w:r>
          </w:p>
        </w:tc>
        <w:tc>
          <w:tcPr>
            <w:tcW w:w="1500" w:type="dxa"/>
            <w:vAlign w:val="bottom"/>
            <w:shd w:val="clear" w:color="auto" w:fill="FAFAFA"/>
          </w:tcPr>
          <w:p>
            <w:pPr>
              <w:jc w:val="center"/>
              <w:ind w:left="167"/>
              <w:spacing w:after="0"/>
              <w:rPr>
                <w:sz w:val="20"/>
                <w:szCs w:val="20"/>
                <w:color w:val="auto"/>
              </w:rPr>
            </w:pPr>
            <w:r>
              <w:rPr>
                <w:rFonts w:ascii="Arial" w:cs="Arial" w:eastAsia="Arial" w:hAnsi="Arial"/>
                <w:sz w:val="14"/>
                <w:szCs w:val="14"/>
                <w:color w:val="auto"/>
                <w:w w:val="99"/>
              </w:rPr>
              <w:t>—</w:t>
            </w:r>
          </w:p>
        </w:tc>
        <w:tc>
          <w:tcPr>
            <w:tcW w:w="1600" w:type="dxa"/>
            <w:vAlign w:val="bottom"/>
            <w:shd w:val="clear" w:color="auto" w:fill="FAFAFA"/>
          </w:tcPr>
          <w:p>
            <w:pPr>
              <w:jc w:val="center"/>
              <w:ind w:left="187"/>
              <w:spacing w:after="0"/>
              <w:rPr>
                <w:sz w:val="20"/>
                <w:szCs w:val="20"/>
                <w:color w:val="auto"/>
              </w:rPr>
            </w:pPr>
            <w:r>
              <w:rPr>
                <w:rFonts w:ascii="Arial" w:cs="Arial" w:eastAsia="Arial" w:hAnsi="Arial"/>
                <w:sz w:val="14"/>
                <w:szCs w:val="14"/>
                <w:color w:val="auto"/>
                <w:w w:val="99"/>
              </w:rPr>
              <w:t>—</w:t>
            </w:r>
          </w:p>
        </w:tc>
        <w:tc>
          <w:tcPr>
            <w:tcW w:w="820" w:type="dxa"/>
            <w:vAlign w:val="bottom"/>
          </w:tcPr>
          <w:p>
            <w:pPr>
              <w:spacing w:after="0"/>
              <w:rPr>
                <w:sz w:val="24"/>
                <w:szCs w:val="24"/>
                <w:color w:val="auto"/>
              </w:rPr>
            </w:pPr>
          </w:p>
        </w:tc>
      </w:tr>
      <w:tr>
        <w:trPr>
          <w:trHeight w:val="218"/>
        </w:trPr>
        <w:tc>
          <w:tcPr>
            <w:tcW w:w="800" w:type="dxa"/>
            <w:vAlign w:val="bottom"/>
          </w:tcPr>
          <w:p>
            <w:pPr>
              <w:spacing w:after="0"/>
              <w:rPr>
                <w:sz w:val="18"/>
                <w:szCs w:val="18"/>
                <w:color w:val="auto"/>
              </w:rPr>
            </w:pPr>
          </w:p>
        </w:tc>
        <w:tc>
          <w:tcPr>
            <w:tcW w:w="3340" w:type="dxa"/>
            <w:vAlign w:val="bottom"/>
            <w:shd w:val="clear" w:color="auto" w:fill="FAFAFA"/>
          </w:tcPr>
          <w:p>
            <w:pPr>
              <w:spacing w:after="0"/>
              <w:rPr>
                <w:sz w:val="18"/>
                <w:szCs w:val="18"/>
                <w:color w:val="auto"/>
              </w:rPr>
            </w:pPr>
          </w:p>
        </w:tc>
        <w:tc>
          <w:tcPr>
            <w:tcW w:w="1220" w:type="dxa"/>
            <w:vAlign w:val="bottom"/>
            <w:shd w:val="clear" w:color="auto" w:fill="FAFAFA"/>
          </w:tcPr>
          <w:p>
            <w:pPr>
              <w:spacing w:after="0"/>
              <w:rPr>
                <w:sz w:val="18"/>
                <w:szCs w:val="18"/>
                <w:color w:val="auto"/>
              </w:rPr>
            </w:pPr>
          </w:p>
        </w:tc>
        <w:tc>
          <w:tcPr>
            <w:tcW w:w="1740" w:type="dxa"/>
            <w:vAlign w:val="bottom"/>
            <w:shd w:val="clear" w:color="auto" w:fill="FAFAFA"/>
          </w:tcPr>
          <w:p>
            <w:pPr>
              <w:spacing w:after="0"/>
              <w:rPr>
                <w:sz w:val="18"/>
                <w:szCs w:val="18"/>
                <w:color w:val="auto"/>
              </w:rPr>
            </w:pPr>
          </w:p>
        </w:tc>
        <w:tc>
          <w:tcPr>
            <w:tcW w:w="1500" w:type="dxa"/>
            <w:vAlign w:val="bottom"/>
            <w:shd w:val="clear" w:color="auto" w:fill="FAFAFA"/>
          </w:tcPr>
          <w:p>
            <w:pPr>
              <w:spacing w:after="0"/>
              <w:rPr>
                <w:sz w:val="18"/>
                <w:szCs w:val="18"/>
                <w:color w:val="auto"/>
              </w:rPr>
            </w:pPr>
          </w:p>
        </w:tc>
        <w:tc>
          <w:tcPr>
            <w:tcW w:w="1600" w:type="dxa"/>
            <w:vAlign w:val="bottom"/>
            <w:shd w:val="clear" w:color="auto" w:fill="FAFAFA"/>
          </w:tcPr>
          <w:p>
            <w:pPr>
              <w:spacing w:after="0"/>
              <w:rPr>
                <w:sz w:val="18"/>
                <w:szCs w:val="18"/>
                <w:color w:val="auto"/>
              </w:rPr>
            </w:pPr>
          </w:p>
        </w:tc>
        <w:tc>
          <w:tcPr>
            <w:tcW w:w="820" w:type="dxa"/>
            <w:vAlign w:val="bottom"/>
          </w:tcPr>
          <w:p>
            <w:pPr>
              <w:spacing w:after="0"/>
              <w:rPr>
                <w:sz w:val="18"/>
                <w:szCs w:val="18"/>
                <w:color w:val="auto"/>
              </w:rPr>
            </w:pPr>
          </w:p>
        </w:tc>
      </w:tr>
      <w:tr>
        <w:trPr>
          <w:trHeight w:val="430"/>
        </w:trPr>
        <w:tc>
          <w:tcPr>
            <w:tcW w:w="800" w:type="dxa"/>
            <w:vAlign w:val="bottom"/>
          </w:tcPr>
          <w:p>
            <w:pPr>
              <w:spacing w:after="0"/>
              <w:rPr>
                <w:sz w:val="24"/>
                <w:szCs w:val="24"/>
                <w:color w:val="auto"/>
              </w:rPr>
            </w:pPr>
          </w:p>
        </w:tc>
        <w:tc>
          <w:tcPr>
            <w:tcW w:w="3340" w:type="dxa"/>
            <w:vAlign w:val="bottom"/>
            <w:shd w:val="clear" w:color="auto" w:fill="EBEBEB"/>
          </w:tcPr>
          <w:p>
            <w:pPr>
              <w:ind w:left="80"/>
              <w:spacing w:after="0"/>
              <w:rPr>
                <w:sz w:val="20"/>
                <w:szCs w:val="20"/>
                <w:color w:val="auto"/>
              </w:rPr>
            </w:pPr>
            <w:r>
              <w:rPr>
                <w:rFonts w:ascii="Arial" w:cs="Arial" w:eastAsia="Arial" w:hAnsi="Arial"/>
                <w:sz w:val="14"/>
                <w:szCs w:val="14"/>
                <w:b w:val="1"/>
                <w:bCs w:val="1"/>
                <w:color w:val="auto"/>
              </w:rPr>
              <w:t>Native Hawaiian or Pacific Islander</w:t>
            </w:r>
          </w:p>
        </w:tc>
        <w:tc>
          <w:tcPr>
            <w:tcW w:w="1220" w:type="dxa"/>
            <w:vAlign w:val="bottom"/>
            <w:shd w:val="clear" w:color="auto" w:fill="EBEBEB"/>
          </w:tcPr>
          <w:p>
            <w:pPr>
              <w:jc w:val="center"/>
              <w:ind w:left="487"/>
              <w:spacing w:after="0"/>
              <w:rPr>
                <w:sz w:val="20"/>
                <w:szCs w:val="20"/>
                <w:color w:val="auto"/>
              </w:rPr>
            </w:pPr>
            <w:r>
              <w:rPr>
                <w:rFonts w:ascii="Arial" w:cs="Arial" w:eastAsia="Arial" w:hAnsi="Arial"/>
                <w:sz w:val="14"/>
                <w:szCs w:val="14"/>
                <w:color w:val="auto"/>
                <w:w w:val="99"/>
              </w:rPr>
              <w:t>—</w:t>
            </w:r>
          </w:p>
        </w:tc>
        <w:tc>
          <w:tcPr>
            <w:tcW w:w="1740" w:type="dxa"/>
            <w:vAlign w:val="bottom"/>
            <w:shd w:val="clear" w:color="auto" w:fill="EBEBEB"/>
          </w:tcPr>
          <w:p>
            <w:pPr>
              <w:jc w:val="center"/>
              <w:ind w:left="447"/>
              <w:spacing w:after="0"/>
              <w:rPr>
                <w:sz w:val="20"/>
                <w:szCs w:val="20"/>
                <w:color w:val="auto"/>
              </w:rPr>
            </w:pPr>
            <w:r>
              <w:rPr>
                <w:rFonts w:ascii="Arial" w:cs="Arial" w:eastAsia="Arial" w:hAnsi="Arial"/>
                <w:sz w:val="14"/>
                <w:szCs w:val="14"/>
                <w:color w:val="auto"/>
                <w:w w:val="99"/>
              </w:rPr>
              <w:t>—</w:t>
            </w:r>
          </w:p>
        </w:tc>
        <w:tc>
          <w:tcPr>
            <w:tcW w:w="1500" w:type="dxa"/>
            <w:vAlign w:val="bottom"/>
            <w:shd w:val="clear" w:color="auto" w:fill="EBEBEB"/>
          </w:tcPr>
          <w:p>
            <w:pPr>
              <w:jc w:val="center"/>
              <w:ind w:left="167"/>
              <w:spacing w:after="0"/>
              <w:rPr>
                <w:sz w:val="20"/>
                <w:szCs w:val="20"/>
                <w:color w:val="auto"/>
              </w:rPr>
            </w:pPr>
            <w:r>
              <w:rPr>
                <w:rFonts w:ascii="Arial" w:cs="Arial" w:eastAsia="Arial" w:hAnsi="Arial"/>
                <w:sz w:val="14"/>
                <w:szCs w:val="14"/>
                <w:color w:val="auto"/>
                <w:w w:val="99"/>
              </w:rPr>
              <w:t>—</w:t>
            </w:r>
          </w:p>
        </w:tc>
        <w:tc>
          <w:tcPr>
            <w:tcW w:w="1600" w:type="dxa"/>
            <w:vAlign w:val="bottom"/>
            <w:shd w:val="clear" w:color="auto" w:fill="EBEBEB"/>
          </w:tcPr>
          <w:p>
            <w:pPr>
              <w:jc w:val="center"/>
              <w:ind w:left="187"/>
              <w:spacing w:after="0"/>
              <w:rPr>
                <w:sz w:val="20"/>
                <w:szCs w:val="20"/>
                <w:color w:val="auto"/>
              </w:rPr>
            </w:pPr>
            <w:r>
              <w:rPr>
                <w:rFonts w:ascii="Arial" w:cs="Arial" w:eastAsia="Arial" w:hAnsi="Arial"/>
                <w:sz w:val="14"/>
                <w:szCs w:val="14"/>
                <w:color w:val="auto"/>
                <w:w w:val="99"/>
              </w:rPr>
              <w:t>—</w:t>
            </w:r>
          </w:p>
        </w:tc>
        <w:tc>
          <w:tcPr>
            <w:tcW w:w="820" w:type="dxa"/>
            <w:vAlign w:val="bottom"/>
          </w:tcPr>
          <w:p>
            <w:pPr>
              <w:spacing w:after="0"/>
              <w:rPr>
                <w:sz w:val="24"/>
                <w:szCs w:val="24"/>
                <w:color w:val="auto"/>
              </w:rPr>
            </w:pPr>
          </w:p>
        </w:tc>
      </w:tr>
      <w:tr>
        <w:trPr>
          <w:trHeight w:val="218"/>
        </w:trPr>
        <w:tc>
          <w:tcPr>
            <w:tcW w:w="800" w:type="dxa"/>
            <w:vAlign w:val="bottom"/>
          </w:tcPr>
          <w:p>
            <w:pPr>
              <w:spacing w:after="0"/>
              <w:rPr>
                <w:sz w:val="18"/>
                <w:szCs w:val="18"/>
                <w:color w:val="auto"/>
              </w:rPr>
            </w:pPr>
          </w:p>
        </w:tc>
        <w:tc>
          <w:tcPr>
            <w:tcW w:w="3340" w:type="dxa"/>
            <w:vAlign w:val="bottom"/>
            <w:shd w:val="clear" w:color="auto" w:fill="EBEBEB"/>
          </w:tcPr>
          <w:p>
            <w:pPr>
              <w:spacing w:after="0"/>
              <w:rPr>
                <w:sz w:val="18"/>
                <w:szCs w:val="18"/>
                <w:color w:val="auto"/>
              </w:rPr>
            </w:pPr>
          </w:p>
        </w:tc>
        <w:tc>
          <w:tcPr>
            <w:tcW w:w="1220" w:type="dxa"/>
            <w:vAlign w:val="bottom"/>
            <w:shd w:val="clear" w:color="auto" w:fill="EBEBEB"/>
          </w:tcPr>
          <w:p>
            <w:pPr>
              <w:spacing w:after="0"/>
              <w:rPr>
                <w:sz w:val="18"/>
                <w:szCs w:val="18"/>
                <w:color w:val="auto"/>
              </w:rPr>
            </w:pPr>
          </w:p>
        </w:tc>
        <w:tc>
          <w:tcPr>
            <w:tcW w:w="1740" w:type="dxa"/>
            <w:vAlign w:val="bottom"/>
            <w:shd w:val="clear" w:color="auto" w:fill="EBEBEB"/>
          </w:tcPr>
          <w:p>
            <w:pPr>
              <w:spacing w:after="0"/>
              <w:rPr>
                <w:sz w:val="18"/>
                <w:szCs w:val="18"/>
                <w:color w:val="auto"/>
              </w:rPr>
            </w:pPr>
          </w:p>
        </w:tc>
        <w:tc>
          <w:tcPr>
            <w:tcW w:w="1500" w:type="dxa"/>
            <w:vAlign w:val="bottom"/>
            <w:shd w:val="clear" w:color="auto" w:fill="EBEBEB"/>
          </w:tcPr>
          <w:p>
            <w:pPr>
              <w:spacing w:after="0"/>
              <w:rPr>
                <w:sz w:val="18"/>
                <w:szCs w:val="18"/>
                <w:color w:val="auto"/>
              </w:rPr>
            </w:pPr>
          </w:p>
        </w:tc>
        <w:tc>
          <w:tcPr>
            <w:tcW w:w="1600" w:type="dxa"/>
            <w:vAlign w:val="bottom"/>
            <w:shd w:val="clear" w:color="auto" w:fill="EBEBEB"/>
          </w:tcPr>
          <w:p>
            <w:pPr>
              <w:spacing w:after="0"/>
              <w:rPr>
                <w:sz w:val="18"/>
                <w:szCs w:val="18"/>
                <w:color w:val="auto"/>
              </w:rPr>
            </w:pPr>
          </w:p>
        </w:tc>
        <w:tc>
          <w:tcPr>
            <w:tcW w:w="820" w:type="dxa"/>
            <w:vAlign w:val="bottom"/>
          </w:tcPr>
          <w:p>
            <w:pPr>
              <w:spacing w:after="0"/>
              <w:rPr>
                <w:sz w:val="18"/>
                <w:szCs w:val="18"/>
                <w:color w:val="auto"/>
              </w:rPr>
            </w:pPr>
          </w:p>
        </w:tc>
      </w:tr>
      <w:tr>
        <w:trPr>
          <w:trHeight w:val="430"/>
        </w:trPr>
        <w:tc>
          <w:tcPr>
            <w:tcW w:w="800" w:type="dxa"/>
            <w:vAlign w:val="bottom"/>
          </w:tcPr>
          <w:p>
            <w:pPr>
              <w:spacing w:after="0"/>
              <w:rPr>
                <w:sz w:val="24"/>
                <w:szCs w:val="24"/>
                <w:color w:val="auto"/>
              </w:rPr>
            </w:pPr>
          </w:p>
        </w:tc>
        <w:tc>
          <w:tcPr>
            <w:tcW w:w="3340" w:type="dxa"/>
            <w:vAlign w:val="bottom"/>
            <w:shd w:val="clear" w:color="auto" w:fill="FAFAFA"/>
          </w:tcPr>
          <w:p>
            <w:pPr>
              <w:ind w:left="80"/>
              <w:spacing w:after="0"/>
              <w:rPr>
                <w:sz w:val="20"/>
                <w:szCs w:val="20"/>
                <w:color w:val="auto"/>
              </w:rPr>
            </w:pPr>
            <w:r>
              <w:rPr>
                <w:rFonts w:ascii="Arial" w:cs="Arial" w:eastAsia="Arial" w:hAnsi="Arial"/>
                <w:sz w:val="14"/>
                <w:szCs w:val="14"/>
                <w:b w:val="1"/>
                <w:bCs w:val="1"/>
                <w:color w:val="auto"/>
              </w:rPr>
              <w:t>White</w:t>
            </w:r>
          </w:p>
        </w:tc>
        <w:tc>
          <w:tcPr>
            <w:tcW w:w="1220" w:type="dxa"/>
            <w:vAlign w:val="bottom"/>
            <w:shd w:val="clear" w:color="auto" w:fill="FAFAFA"/>
          </w:tcPr>
          <w:p>
            <w:pPr>
              <w:jc w:val="center"/>
              <w:ind w:left="467"/>
              <w:spacing w:after="0"/>
              <w:rPr>
                <w:sz w:val="20"/>
                <w:szCs w:val="20"/>
                <w:color w:val="auto"/>
              </w:rPr>
            </w:pPr>
            <w:r>
              <w:rPr>
                <w:rFonts w:ascii="Arial" w:cs="Arial" w:eastAsia="Arial" w:hAnsi="Arial"/>
                <w:sz w:val="14"/>
                <w:szCs w:val="14"/>
                <w:color w:val="auto"/>
              </w:rPr>
              <w:t>2</w:t>
            </w:r>
          </w:p>
        </w:tc>
        <w:tc>
          <w:tcPr>
            <w:tcW w:w="1740" w:type="dxa"/>
            <w:vAlign w:val="bottom"/>
            <w:shd w:val="clear" w:color="auto" w:fill="FAFAFA"/>
          </w:tcPr>
          <w:p>
            <w:pPr>
              <w:jc w:val="center"/>
              <w:ind w:left="467"/>
              <w:spacing w:after="0"/>
              <w:rPr>
                <w:sz w:val="20"/>
                <w:szCs w:val="20"/>
                <w:color w:val="auto"/>
              </w:rPr>
            </w:pPr>
            <w:r>
              <w:rPr>
                <w:rFonts w:ascii="Arial" w:cs="Arial" w:eastAsia="Arial" w:hAnsi="Arial"/>
                <w:sz w:val="14"/>
                <w:szCs w:val="14"/>
                <w:color w:val="auto"/>
              </w:rPr>
              <w:t>5</w:t>
            </w:r>
          </w:p>
        </w:tc>
        <w:tc>
          <w:tcPr>
            <w:tcW w:w="1500" w:type="dxa"/>
            <w:vAlign w:val="bottom"/>
            <w:shd w:val="clear" w:color="auto" w:fill="FAFAFA"/>
          </w:tcPr>
          <w:p>
            <w:pPr>
              <w:jc w:val="center"/>
              <w:ind w:left="167"/>
              <w:spacing w:after="0"/>
              <w:rPr>
                <w:sz w:val="20"/>
                <w:szCs w:val="20"/>
                <w:color w:val="auto"/>
              </w:rPr>
            </w:pPr>
            <w:r>
              <w:rPr>
                <w:rFonts w:ascii="Arial" w:cs="Arial" w:eastAsia="Arial" w:hAnsi="Arial"/>
                <w:sz w:val="14"/>
                <w:szCs w:val="14"/>
                <w:color w:val="auto"/>
                <w:w w:val="99"/>
              </w:rPr>
              <w:t>—</w:t>
            </w:r>
          </w:p>
        </w:tc>
        <w:tc>
          <w:tcPr>
            <w:tcW w:w="1600" w:type="dxa"/>
            <w:vAlign w:val="bottom"/>
            <w:shd w:val="clear" w:color="auto" w:fill="FAFAFA"/>
          </w:tcPr>
          <w:p>
            <w:pPr>
              <w:jc w:val="center"/>
              <w:ind w:left="187"/>
              <w:spacing w:after="0"/>
              <w:rPr>
                <w:sz w:val="20"/>
                <w:szCs w:val="20"/>
                <w:color w:val="auto"/>
              </w:rPr>
            </w:pPr>
            <w:r>
              <w:rPr>
                <w:rFonts w:ascii="Arial" w:cs="Arial" w:eastAsia="Arial" w:hAnsi="Arial"/>
                <w:sz w:val="14"/>
                <w:szCs w:val="14"/>
                <w:color w:val="auto"/>
                <w:w w:val="99"/>
              </w:rPr>
              <w:t>—</w:t>
            </w:r>
          </w:p>
        </w:tc>
        <w:tc>
          <w:tcPr>
            <w:tcW w:w="820" w:type="dxa"/>
            <w:vAlign w:val="bottom"/>
          </w:tcPr>
          <w:p>
            <w:pPr>
              <w:spacing w:after="0"/>
              <w:rPr>
                <w:sz w:val="24"/>
                <w:szCs w:val="24"/>
                <w:color w:val="auto"/>
              </w:rPr>
            </w:pPr>
          </w:p>
        </w:tc>
      </w:tr>
      <w:tr>
        <w:trPr>
          <w:trHeight w:val="218"/>
        </w:trPr>
        <w:tc>
          <w:tcPr>
            <w:tcW w:w="800" w:type="dxa"/>
            <w:vAlign w:val="bottom"/>
          </w:tcPr>
          <w:p>
            <w:pPr>
              <w:spacing w:after="0"/>
              <w:rPr>
                <w:sz w:val="18"/>
                <w:szCs w:val="18"/>
                <w:color w:val="auto"/>
              </w:rPr>
            </w:pPr>
          </w:p>
        </w:tc>
        <w:tc>
          <w:tcPr>
            <w:tcW w:w="3340" w:type="dxa"/>
            <w:vAlign w:val="bottom"/>
            <w:shd w:val="clear" w:color="auto" w:fill="FAFAFA"/>
          </w:tcPr>
          <w:p>
            <w:pPr>
              <w:spacing w:after="0"/>
              <w:rPr>
                <w:sz w:val="18"/>
                <w:szCs w:val="18"/>
                <w:color w:val="auto"/>
              </w:rPr>
            </w:pPr>
          </w:p>
        </w:tc>
        <w:tc>
          <w:tcPr>
            <w:tcW w:w="1220" w:type="dxa"/>
            <w:vAlign w:val="bottom"/>
            <w:shd w:val="clear" w:color="auto" w:fill="FAFAFA"/>
          </w:tcPr>
          <w:p>
            <w:pPr>
              <w:spacing w:after="0"/>
              <w:rPr>
                <w:sz w:val="18"/>
                <w:szCs w:val="18"/>
                <w:color w:val="auto"/>
              </w:rPr>
            </w:pPr>
          </w:p>
        </w:tc>
        <w:tc>
          <w:tcPr>
            <w:tcW w:w="1740" w:type="dxa"/>
            <w:vAlign w:val="bottom"/>
            <w:shd w:val="clear" w:color="auto" w:fill="FAFAFA"/>
          </w:tcPr>
          <w:p>
            <w:pPr>
              <w:spacing w:after="0"/>
              <w:rPr>
                <w:sz w:val="18"/>
                <w:szCs w:val="18"/>
                <w:color w:val="auto"/>
              </w:rPr>
            </w:pPr>
          </w:p>
        </w:tc>
        <w:tc>
          <w:tcPr>
            <w:tcW w:w="1500" w:type="dxa"/>
            <w:vAlign w:val="bottom"/>
            <w:shd w:val="clear" w:color="auto" w:fill="FAFAFA"/>
          </w:tcPr>
          <w:p>
            <w:pPr>
              <w:spacing w:after="0"/>
              <w:rPr>
                <w:sz w:val="18"/>
                <w:szCs w:val="18"/>
                <w:color w:val="auto"/>
              </w:rPr>
            </w:pPr>
          </w:p>
        </w:tc>
        <w:tc>
          <w:tcPr>
            <w:tcW w:w="1600" w:type="dxa"/>
            <w:vAlign w:val="bottom"/>
            <w:shd w:val="clear" w:color="auto" w:fill="FAFAFA"/>
          </w:tcPr>
          <w:p>
            <w:pPr>
              <w:spacing w:after="0"/>
              <w:rPr>
                <w:sz w:val="18"/>
                <w:szCs w:val="18"/>
                <w:color w:val="auto"/>
              </w:rPr>
            </w:pPr>
          </w:p>
        </w:tc>
        <w:tc>
          <w:tcPr>
            <w:tcW w:w="820" w:type="dxa"/>
            <w:vAlign w:val="bottom"/>
          </w:tcPr>
          <w:p>
            <w:pPr>
              <w:spacing w:after="0"/>
              <w:rPr>
                <w:sz w:val="18"/>
                <w:szCs w:val="18"/>
                <w:color w:val="auto"/>
              </w:rPr>
            </w:pPr>
          </w:p>
        </w:tc>
      </w:tr>
      <w:tr>
        <w:trPr>
          <w:trHeight w:val="430"/>
        </w:trPr>
        <w:tc>
          <w:tcPr>
            <w:tcW w:w="800" w:type="dxa"/>
            <w:vAlign w:val="bottom"/>
          </w:tcPr>
          <w:p>
            <w:pPr>
              <w:spacing w:after="0"/>
              <w:rPr>
                <w:sz w:val="24"/>
                <w:szCs w:val="24"/>
                <w:color w:val="auto"/>
              </w:rPr>
            </w:pPr>
          </w:p>
        </w:tc>
        <w:tc>
          <w:tcPr>
            <w:tcW w:w="3340" w:type="dxa"/>
            <w:vAlign w:val="bottom"/>
            <w:shd w:val="clear" w:color="auto" w:fill="EBEBEB"/>
          </w:tcPr>
          <w:p>
            <w:pPr>
              <w:ind w:left="80"/>
              <w:spacing w:after="0"/>
              <w:rPr>
                <w:sz w:val="20"/>
                <w:szCs w:val="20"/>
                <w:color w:val="auto"/>
              </w:rPr>
            </w:pPr>
            <w:r>
              <w:rPr>
                <w:rFonts w:ascii="Arial" w:cs="Arial" w:eastAsia="Arial" w:hAnsi="Arial"/>
                <w:sz w:val="14"/>
                <w:szCs w:val="14"/>
                <w:b w:val="1"/>
                <w:bCs w:val="1"/>
                <w:color w:val="auto"/>
              </w:rPr>
              <w:t>Two or More Races or Ethnicities</w:t>
            </w:r>
          </w:p>
        </w:tc>
        <w:tc>
          <w:tcPr>
            <w:tcW w:w="1220" w:type="dxa"/>
            <w:vAlign w:val="bottom"/>
            <w:shd w:val="clear" w:color="auto" w:fill="EBEBEB"/>
          </w:tcPr>
          <w:p>
            <w:pPr>
              <w:jc w:val="center"/>
              <w:ind w:left="487"/>
              <w:spacing w:after="0"/>
              <w:rPr>
                <w:sz w:val="20"/>
                <w:szCs w:val="20"/>
                <w:color w:val="auto"/>
              </w:rPr>
            </w:pPr>
            <w:r>
              <w:rPr>
                <w:rFonts w:ascii="Arial" w:cs="Arial" w:eastAsia="Arial" w:hAnsi="Arial"/>
                <w:sz w:val="14"/>
                <w:szCs w:val="14"/>
                <w:color w:val="auto"/>
                <w:w w:val="99"/>
              </w:rPr>
              <w:t>—</w:t>
            </w:r>
          </w:p>
        </w:tc>
        <w:tc>
          <w:tcPr>
            <w:tcW w:w="1740" w:type="dxa"/>
            <w:vAlign w:val="bottom"/>
            <w:shd w:val="clear" w:color="auto" w:fill="EBEBEB"/>
          </w:tcPr>
          <w:p>
            <w:pPr>
              <w:jc w:val="center"/>
              <w:ind w:left="447"/>
              <w:spacing w:after="0"/>
              <w:rPr>
                <w:sz w:val="20"/>
                <w:szCs w:val="20"/>
                <w:color w:val="auto"/>
              </w:rPr>
            </w:pPr>
            <w:r>
              <w:rPr>
                <w:rFonts w:ascii="Arial" w:cs="Arial" w:eastAsia="Arial" w:hAnsi="Arial"/>
                <w:sz w:val="14"/>
                <w:szCs w:val="14"/>
                <w:color w:val="auto"/>
                <w:w w:val="99"/>
              </w:rPr>
              <w:t>—</w:t>
            </w:r>
          </w:p>
        </w:tc>
        <w:tc>
          <w:tcPr>
            <w:tcW w:w="1500" w:type="dxa"/>
            <w:vAlign w:val="bottom"/>
            <w:shd w:val="clear" w:color="auto" w:fill="EBEBEB"/>
          </w:tcPr>
          <w:p>
            <w:pPr>
              <w:jc w:val="center"/>
              <w:ind w:left="167"/>
              <w:spacing w:after="0"/>
              <w:rPr>
                <w:sz w:val="20"/>
                <w:szCs w:val="20"/>
                <w:color w:val="auto"/>
              </w:rPr>
            </w:pPr>
            <w:r>
              <w:rPr>
                <w:rFonts w:ascii="Arial" w:cs="Arial" w:eastAsia="Arial" w:hAnsi="Arial"/>
                <w:sz w:val="14"/>
                <w:szCs w:val="14"/>
                <w:color w:val="auto"/>
                <w:w w:val="99"/>
              </w:rPr>
              <w:t>—</w:t>
            </w:r>
          </w:p>
        </w:tc>
        <w:tc>
          <w:tcPr>
            <w:tcW w:w="1600" w:type="dxa"/>
            <w:vAlign w:val="bottom"/>
            <w:shd w:val="clear" w:color="auto" w:fill="EBEBEB"/>
          </w:tcPr>
          <w:p>
            <w:pPr>
              <w:jc w:val="center"/>
              <w:ind w:left="187"/>
              <w:spacing w:after="0"/>
              <w:rPr>
                <w:sz w:val="20"/>
                <w:szCs w:val="20"/>
                <w:color w:val="auto"/>
              </w:rPr>
            </w:pPr>
            <w:r>
              <w:rPr>
                <w:rFonts w:ascii="Arial" w:cs="Arial" w:eastAsia="Arial" w:hAnsi="Arial"/>
                <w:sz w:val="14"/>
                <w:szCs w:val="14"/>
                <w:color w:val="auto"/>
                <w:w w:val="99"/>
              </w:rPr>
              <w:t>—</w:t>
            </w:r>
          </w:p>
        </w:tc>
        <w:tc>
          <w:tcPr>
            <w:tcW w:w="820" w:type="dxa"/>
            <w:vAlign w:val="bottom"/>
          </w:tcPr>
          <w:p>
            <w:pPr>
              <w:spacing w:after="0"/>
              <w:rPr>
                <w:sz w:val="24"/>
                <w:szCs w:val="24"/>
                <w:color w:val="auto"/>
              </w:rPr>
            </w:pPr>
          </w:p>
        </w:tc>
      </w:tr>
      <w:tr>
        <w:trPr>
          <w:trHeight w:val="218"/>
        </w:trPr>
        <w:tc>
          <w:tcPr>
            <w:tcW w:w="800" w:type="dxa"/>
            <w:vAlign w:val="bottom"/>
          </w:tcPr>
          <w:p>
            <w:pPr>
              <w:spacing w:after="0"/>
              <w:rPr>
                <w:sz w:val="18"/>
                <w:szCs w:val="18"/>
                <w:color w:val="auto"/>
              </w:rPr>
            </w:pPr>
          </w:p>
        </w:tc>
        <w:tc>
          <w:tcPr>
            <w:tcW w:w="3340" w:type="dxa"/>
            <w:vAlign w:val="bottom"/>
            <w:shd w:val="clear" w:color="auto" w:fill="EBEBEB"/>
          </w:tcPr>
          <w:p>
            <w:pPr>
              <w:spacing w:after="0"/>
              <w:rPr>
                <w:sz w:val="18"/>
                <w:szCs w:val="18"/>
                <w:color w:val="auto"/>
              </w:rPr>
            </w:pPr>
          </w:p>
        </w:tc>
        <w:tc>
          <w:tcPr>
            <w:tcW w:w="1220" w:type="dxa"/>
            <w:vAlign w:val="bottom"/>
            <w:shd w:val="clear" w:color="auto" w:fill="EBEBEB"/>
          </w:tcPr>
          <w:p>
            <w:pPr>
              <w:spacing w:after="0"/>
              <w:rPr>
                <w:sz w:val="18"/>
                <w:szCs w:val="18"/>
                <w:color w:val="auto"/>
              </w:rPr>
            </w:pPr>
          </w:p>
        </w:tc>
        <w:tc>
          <w:tcPr>
            <w:tcW w:w="1740" w:type="dxa"/>
            <w:vAlign w:val="bottom"/>
            <w:shd w:val="clear" w:color="auto" w:fill="EBEBEB"/>
          </w:tcPr>
          <w:p>
            <w:pPr>
              <w:spacing w:after="0"/>
              <w:rPr>
                <w:sz w:val="18"/>
                <w:szCs w:val="18"/>
                <w:color w:val="auto"/>
              </w:rPr>
            </w:pPr>
          </w:p>
        </w:tc>
        <w:tc>
          <w:tcPr>
            <w:tcW w:w="1500" w:type="dxa"/>
            <w:vAlign w:val="bottom"/>
            <w:shd w:val="clear" w:color="auto" w:fill="EBEBEB"/>
          </w:tcPr>
          <w:p>
            <w:pPr>
              <w:spacing w:after="0"/>
              <w:rPr>
                <w:sz w:val="18"/>
                <w:szCs w:val="18"/>
                <w:color w:val="auto"/>
              </w:rPr>
            </w:pPr>
          </w:p>
        </w:tc>
        <w:tc>
          <w:tcPr>
            <w:tcW w:w="1600" w:type="dxa"/>
            <w:vAlign w:val="bottom"/>
            <w:shd w:val="clear" w:color="auto" w:fill="EBEBEB"/>
          </w:tcPr>
          <w:p>
            <w:pPr>
              <w:spacing w:after="0"/>
              <w:rPr>
                <w:sz w:val="18"/>
                <w:szCs w:val="18"/>
                <w:color w:val="auto"/>
              </w:rPr>
            </w:pPr>
          </w:p>
        </w:tc>
        <w:tc>
          <w:tcPr>
            <w:tcW w:w="820" w:type="dxa"/>
            <w:vAlign w:val="bottom"/>
          </w:tcPr>
          <w:p>
            <w:pPr>
              <w:spacing w:after="0"/>
              <w:rPr>
                <w:sz w:val="18"/>
                <w:szCs w:val="18"/>
                <w:color w:val="auto"/>
              </w:rPr>
            </w:pPr>
          </w:p>
        </w:tc>
      </w:tr>
      <w:tr>
        <w:trPr>
          <w:trHeight w:val="430"/>
        </w:trPr>
        <w:tc>
          <w:tcPr>
            <w:tcW w:w="800" w:type="dxa"/>
            <w:vAlign w:val="bottom"/>
          </w:tcPr>
          <w:p>
            <w:pPr>
              <w:spacing w:after="0"/>
              <w:rPr>
                <w:sz w:val="24"/>
                <w:szCs w:val="24"/>
                <w:color w:val="auto"/>
              </w:rPr>
            </w:pPr>
          </w:p>
        </w:tc>
        <w:tc>
          <w:tcPr>
            <w:tcW w:w="3340" w:type="dxa"/>
            <w:vAlign w:val="bottom"/>
            <w:shd w:val="clear" w:color="auto" w:fill="FAFAFA"/>
          </w:tcPr>
          <w:p>
            <w:pPr>
              <w:ind w:left="80"/>
              <w:spacing w:after="0"/>
              <w:rPr>
                <w:sz w:val="20"/>
                <w:szCs w:val="20"/>
                <w:color w:val="auto"/>
              </w:rPr>
            </w:pPr>
            <w:r>
              <w:rPr>
                <w:rFonts w:ascii="Arial" w:cs="Arial" w:eastAsia="Arial" w:hAnsi="Arial"/>
                <w:sz w:val="14"/>
                <w:szCs w:val="14"/>
                <w:b w:val="1"/>
                <w:bCs w:val="1"/>
                <w:color w:val="auto"/>
              </w:rPr>
              <w:t>LGBTQ+</w:t>
            </w:r>
          </w:p>
        </w:tc>
        <w:tc>
          <w:tcPr>
            <w:tcW w:w="1220" w:type="dxa"/>
            <w:vAlign w:val="bottom"/>
            <w:shd w:val="clear" w:color="auto" w:fill="FAFAFA"/>
          </w:tcPr>
          <w:p>
            <w:pPr>
              <w:jc w:val="center"/>
              <w:ind w:left="487"/>
              <w:spacing w:after="0"/>
              <w:rPr>
                <w:sz w:val="20"/>
                <w:szCs w:val="20"/>
                <w:color w:val="auto"/>
              </w:rPr>
            </w:pPr>
            <w:r>
              <w:rPr>
                <w:rFonts w:ascii="Arial" w:cs="Arial" w:eastAsia="Arial" w:hAnsi="Arial"/>
                <w:sz w:val="14"/>
                <w:szCs w:val="14"/>
                <w:color w:val="auto"/>
                <w:w w:val="99"/>
              </w:rPr>
              <w:t>—</w:t>
            </w:r>
          </w:p>
        </w:tc>
        <w:tc>
          <w:tcPr>
            <w:tcW w:w="1740" w:type="dxa"/>
            <w:vAlign w:val="bottom"/>
            <w:shd w:val="clear" w:color="auto" w:fill="FAFAFA"/>
          </w:tcPr>
          <w:p>
            <w:pPr>
              <w:jc w:val="center"/>
              <w:ind w:left="447"/>
              <w:spacing w:after="0"/>
              <w:rPr>
                <w:sz w:val="20"/>
                <w:szCs w:val="20"/>
                <w:color w:val="auto"/>
              </w:rPr>
            </w:pPr>
            <w:r>
              <w:rPr>
                <w:rFonts w:ascii="Arial" w:cs="Arial" w:eastAsia="Arial" w:hAnsi="Arial"/>
                <w:sz w:val="14"/>
                <w:szCs w:val="14"/>
                <w:color w:val="auto"/>
                <w:w w:val="99"/>
              </w:rPr>
              <w:t>—</w:t>
            </w:r>
          </w:p>
        </w:tc>
        <w:tc>
          <w:tcPr>
            <w:tcW w:w="1500" w:type="dxa"/>
            <w:vAlign w:val="bottom"/>
            <w:shd w:val="clear" w:color="auto" w:fill="FAFAFA"/>
          </w:tcPr>
          <w:p>
            <w:pPr>
              <w:jc w:val="center"/>
              <w:ind w:left="167"/>
              <w:spacing w:after="0"/>
              <w:rPr>
                <w:sz w:val="20"/>
                <w:szCs w:val="20"/>
                <w:color w:val="auto"/>
              </w:rPr>
            </w:pPr>
            <w:r>
              <w:rPr>
                <w:rFonts w:ascii="Arial" w:cs="Arial" w:eastAsia="Arial" w:hAnsi="Arial"/>
                <w:sz w:val="14"/>
                <w:szCs w:val="14"/>
                <w:color w:val="auto"/>
                <w:w w:val="99"/>
              </w:rPr>
              <w:t>—</w:t>
            </w:r>
          </w:p>
        </w:tc>
        <w:tc>
          <w:tcPr>
            <w:tcW w:w="1600" w:type="dxa"/>
            <w:vAlign w:val="bottom"/>
            <w:shd w:val="clear" w:color="auto" w:fill="FAFAFA"/>
          </w:tcPr>
          <w:p>
            <w:pPr>
              <w:jc w:val="center"/>
              <w:ind w:left="187"/>
              <w:spacing w:after="0"/>
              <w:rPr>
                <w:sz w:val="20"/>
                <w:szCs w:val="20"/>
                <w:color w:val="auto"/>
              </w:rPr>
            </w:pPr>
            <w:r>
              <w:rPr>
                <w:rFonts w:ascii="Arial" w:cs="Arial" w:eastAsia="Arial" w:hAnsi="Arial"/>
                <w:sz w:val="14"/>
                <w:szCs w:val="14"/>
                <w:color w:val="auto"/>
                <w:w w:val="99"/>
              </w:rPr>
              <w:t>—</w:t>
            </w:r>
          </w:p>
        </w:tc>
        <w:tc>
          <w:tcPr>
            <w:tcW w:w="820" w:type="dxa"/>
            <w:vAlign w:val="bottom"/>
          </w:tcPr>
          <w:p>
            <w:pPr>
              <w:spacing w:after="0"/>
              <w:rPr>
                <w:sz w:val="24"/>
                <w:szCs w:val="24"/>
                <w:color w:val="auto"/>
              </w:rPr>
            </w:pPr>
          </w:p>
        </w:tc>
      </w:tr>
      <w:tr>
        <w:trPr>
          <w:trHeight w:val="218"/>
        </w:trPr>
        <w:tc>
          <w:tcPr>
            <w:tcW w:w="800" w:type="dxa"/>
            <w:vAlign w:val="bottom"/>
          </w:tcPr>
          <w:p>
            <w:pPr>
              <w:spacing w:after="0"/>
              <w:rPr>
                <w:sz w:val="18"/>
                <w:szCs w:val="18"/>
                <w:color w:val="auto"/>
              </w:rPr>
            </w:pPr>
          </w:p>
        </w:tc>
        <w:tc>
          <w:tcPr>
            <w:tcW w:w="3340" w:type="dxa"/>
            <w:vAlign w:val="bottom"/>
            <w:shd w:val="clear" w:color="auto" w:fill="FAFAFA"/>
          </w:tcPr>
          <w:p>
            <w:pPr>
              <w:spacing w:after="0"/>
              <w:rPr>
                <w:sz w:val="18"/>
                <w:szCs w:val="18"/>
                <w:color w:val="auto"/>
              </w:rPr>
            </w:pPr>
          </w:p>
        </w:tc>
        <w:tc>
          <w:tcPr>
            <w:tcW w:w="1220" w:type="dxa"/>
            <w:vAlign w:val="bottom"/>
            <w:shd w:val="clear" w:color="auto" w:fill="FAFAFA"/>
          </w:tcPr>
          <w:p>
            <w:pPr>
              <w:spacing w:after="0"/>
              <w:rPr>
                <w:sz w:val="18"/>
                <w:szCs w:val="18"/>
                <w:color w:val="auto"/>
              </w:rPr>
            </w:pPr>
          </w:p>
        </w:tc>
        <w:tc>
          <w:tcPr>
            <w:tcW w:w="1740" w:type="dxa"/>
            <w:vAlign w:val="bottom"/>
            <w:shd w:val="clear" w:color="auto" w:fill="FAFAFA"/>
          </w:tcPr>
          <w:p>
            <w:pPr>
              <w:spacing w:after="0"/>
              <w:rPr>
                <w:sz w:val="18"/>
                <w:szCs w:val="18"/>
                <w:color w:val="auto"/>
              </w:rPr>
            </w:pPr>
          </w:p>
        </w:tc>
        <w:tc>
          <w:tcPr>
            <w:tcW w:w="1500" w:type="dxa"/>
            <w:vAlign w:val="bottom"/>
            <w:shd w:val="clear" w:color="auto" w:fill="FAFAFA"/>
          </w:tcPr>
          <w:p>
            <w:pPr>
              <w:spacing w:after="0"/>
              <w:rPr>
                <w:sz w:val="18"/>
                <w:szCs w:val="18"/>
                <w:color w:val="auto"/>
              </w:rPr>
            </w:pPr>
          </w:p>
        </w:tc>
        <w:tc>
          <w:tcPr>
            <w:tcW w:w="1600" w:type="dxa"/>
            <w:vAlign w:val="bottom"/>
            <w:shd w:val="clear" w:color="auto" w:fill="FAFAFA"/>
          </w:tcPr>
          <w:p>
            <w:pPr>
              <w:spacing w:after="0"/>
              <w:rPr>
                <w:sz w:val="18"/>
                <w:szCs w:val="18"/>
                <w:color w:val="auto"/>
              </w:rPr>
            </w:pPr>
          </w:p>
        </w:tc>
        <w:tc>
          <w:tcPr>
            <w:tcW w:w="820" w:type="dxa"/>
            <w:vAlign w:val="bottom"/>
          </w:tcPr>
          <w:p>
            <w:pPr>
              <w:spacing w:after="0"/>
              <w:rPr>
                <w:sz w:val="18"/>
                <w:szCs w:val="18"/>
                <w:color w:val="auto"/>
              </w:rPr>
            </w:pPr>
          </w:p>
        </w:tc>
      </w:tr>
      <w:tr>
        <w:trPr>
          <w:trHeight w:val="430"/>
        </w:trPr>
        <w:tc>
          <w:tcPr>
            <w:tcW w:w="800" w:type="dxa"/>
            <w:vAlign w:val="bottom"/>
          </w:tcPr>
          <w:p>
            <w:pPr>
              <w:spacing w:after="0"/>
              <w:rPr>
                <w:sz w:val="24"/>
                <w:szCs w:val="24"/>
                <w:color w:val="auto"/>
              </w:rPr>
            </w:pPr>
          </w:p>
        </w:tc>
        <w:tc>
          <w:tcPr>
            <w:tcW w:w="3340" w:type="dxa"/>
            <w:vAlign w:val="bottom"/>
            <w:shd w:val="clear" w:color="auto" w:fill="EBEBEB"/>
          </w:tcPr>
          <w:p>
            <w:pPr>
              <w:ind w:left="80"/>
              <w:spacing w:after="0"/>
              <w:rPr>
                <w:sz w:val="20"/>
                <w:szCs w:val="20"/>
                <w:color w:val="auto"/>
              </w:rPr>
            </w:pPr>
            <w:r>
              <w:rPr>
                <w:rFonts w:ascii="Arial" w:cs="Arial" w:eastAsia="Arial" w:hAnsi="Arial"/>
                <w:sz w:val="14"/>
                <w:szCs w:val="14"/>
                <w:b w:val="1"/>
                <w:bCs w:val="1"/>
                <w:color w:val="auto"/>
              </w:rPr>
              <w:t>Did Not Disclose Demographic Background</w:t>
            </w:r>
          </w:p>
        </w:tc>
        <w:tc>
          <w:tcPr>
            <w:tcW w:w="1220" w:type="dxa"/>
            <w:vAlign w:val="bottom"/>
            <w:shd w:val="clear" w:color="auto" w:fill="EBEBEB"/>
          </w:tcPr>
          <w:p>
            <w:pPr>
              <w:jc w:val="center"/>
              <w:ind w:left="487"/>
              <w:spacing w:after="0"/>
              <w:rPr>
                <w:sz w:val="20"/>
                <w:szCs w:val="20"/>
                <w:color w:val="auto"/>
              </w:rPr>
            </w:pPr>
            <w:r>
              <w:rPr>
                <w:rFonts w:ascii="Arial" w:cs="Arial" w:eastAsia="Arial" w:hAnsi="Arial"/>
                <w:sz w:val="14"/>
                <w:szCs w:val="14"/>
                <w:color w:val="auto"/>
                <w:w w:val="99"/>
              </w:rPr>
              <w:t>—</w:t>
            </w:r>
          </w:p>
        </w:tc>
        <w:tc>
          <w:tcPr>
            <w:tcW w:w="1740" w:type="dxa"/>
            <w:vAlign w:val="bottom"/>
            <w:shd w:val="clear" w:color="auto" w:fill="EBEBEB"/>
          </w:tcPr>
          <w:p>
            <w:pPr>
              <w:jc w:val="center"/>
              <w:ind w:left="447"/>
              <w:spacing w:after="0"/>
              <w:rPr>
                <w:sz w:val="20"/>
                <w:szCs w:val="20"/>
                <w:color w:val="auto"/>
              </w:rPr>
            </w:pPr>
            <w:r>
              <w:rPr>
                <w:rFonts w:ascii="Arial" w:cs="Arial" w:eastAsia="Arial" w:hAnsi="Arial"/>
                <w:sz w:val="14"/>
                <w:szCs w:val="14"/>
                <w:color w:val="auto"/>
                <w:w w:val="99"/>
              </w:rPr>
              <w:t>—</w:t>
            </w:r>
          </w:p>
        </w:tc>
        <w:tc>
          <w:tcPr>
            <w:tcW w:w="1500" w:type="dxa"/>
            <w:vAlign w:val="bottom"/>
            <w:shd w:val="clear" w:color="auto" w:fill="EBEBEB"/>
          </w:tcPr>
          <w:p>
            <w:pPr>
              <w:jc w:val="center"/>
              <w:ind w:left="167"/>
              <w:spacing w:after="0"/>
              <w:rPr>
                <w:sz w:val="20"/>
                <w:szCs w:val="20"/>
                <w:color w:val="auto"/>
              </w:rPr>
            </w:pPr>
            <w:r>
              <w:rPr>
                <w:rFonts w:ascii="Arial" w:cs="Arial" w:eastAsia="Arial" w:hAnsi="Arial"/>
                <w:sz w:val="14"/>
                <w:szCs w:val="14"/>
                <w:color w:val="auto"/>
                <w:w w:val="99"/>
              </w:rPr>
              <w:t>—</w:t>
            </w:r>
          </w:p>
        </w:tc>
        <w:tc>
          <w:tcPr>
            <w:tcW w:w="1600" w:type="dxa"/>
            <w:vAlign w:val="bottom"/>
            <w:shd w:val="clear" w:color="auto" w:fill="EBEBEB"/>
          </w:tcPr>
          <w:p>
            <w:pPr>
              <w:jc w:val="center"/>
              <w:ind w:left="167"/>
              <w:spacing w:after="0"/>
              <w:rPr>
                <w:sz w:val="20"/>
                <w:szCs w:val="20"/>
                <w:color w:val="auto"/>
              </w:rPr>
            </w:pPr>
            <w:r>
              <w:rPr>
                <w:rFonts w:ascii="Arial" w:cs="Arial" w:eastAsia="Arial" w:hAnsi="Arial"/>
                <w:sz w:val="14"/>
                <w:szCs w:val="14"/>
                <w:color w:val="auto"/>
              </w:rPr>
              <w:t>1</w:t>
            </w:r>
          </w:p>
        </w:tc>
        <w:tc>
          <w:tcPr>
            <w:tcW w:w="820" w:type="dxa"/>
            <w:vAlign w:val="bottom"/>
          </w:tcPr>
          <w:p>
            <w:pPr>
              <w:spacing w:after="0"/>
              <w:rPr>
                <w:sz w:val="24"/>
                <w:szCs w:val="24"/>
                <w:color w:val="auto"/>
              </w:rPr>
            </w:pPr>
          </w:p>
        </w:tc>
      </w:tr>
      <w:tr>
        <w:trPr>
          <w:trHeight w:val="191"/>
        </w:trPr>
        <w:tc>
          <w:tcPr>
            <w:tcW w:w="800" w:type="dxa"/>
            <w:vAlign w:val="bottom"/>
          </w:tcPr>
          <w:p>
            <w:pPr>
              <w:spacing w:after="0"/>
              <w:rPr>
                <w:sz w:val="16"/>
                <w:szCs w:val="16"/>
                <w:color w:val="auto"/>
              </w:rPr>
            </w:pPr>
          </w:p>
        </w:tc>
        <w:tc>
          <w:tcPr>
            <w:tcW w:w="3340" w:type="dxa"/>
            <w:vAlign w:val="bottom"/>
            <w:shd w:val="clear" w:color="auto" w:fill="EBEBEB"/>
          </w:tcPr>
          <w:p>
            <w:pPr>
              <w:spacing w:after="0"/>
              <w:rPr>
                <w:sz w:val="16"/>
                <w:szCs w:val="16"/>
                <w:color w:val="auto"/>
              </w:rPr>
            </w:pPr>
          </w:p>
        </w:tc>
        <w:tc>
          <w:tcPr>
            <w:tcW w:w="1220" w:type="dxa"/>
            <w:vAlign w:val="bottom"/>
            <w:shd w:val="clear" w:color="auto" w:fill="EBEBEB"/>
          </w:tcPr>
          <w:p>
            <w:pPr>
              <w:spacing w:after="0"/>
              <w:rPr>
                <w:sz w:val="16"/>
                <w:szCs w:val="16"/>
                <w:color w:val="auto"/>
              </w:rPr>
            </w:pPr>
          </w:p>
        </w:tc>
        <w:tc>
          <w:tcPr>
            <w:tcW w:w="1740" w:type="dxa"/>
            <w:vAlign w:val="bottom"/>
            <w:shd w:val="clear" w:color="auto" w:fill="EBEBEB"/>
          </w:tcPr>
          <w:p>
            <w:pPr>
              <w:spacing w:after="0"/>
              <w:rPr>
                <w:sz w:val="16"/>
                <w:szCs w:val="16"/>
                <w:color w:val="auto"/>
              </w:rPr>
            </w:pPr>
          </w:p>
        </w:tc>
        <w:tc>
          <w:tcPr>
            <w:tcW w:w="1500" w:type="dxa"/>
            <w:vAlign w:val="bottom"/>
            <w:shd w:val="clear" w:color="auto" w:fill="EBEBEB"/>
          </w:tcPr>
          <w:p>
            <w:pPr>
              <w:spacing w:after="0"/>
              <w:rPr>
                <w:sz w:val="16"/>
                <w:szCs w:val="16"/>
                <w:color w:val="auto"/>
              </w:rPr>
            </w:pPr>
          </w:p>
        </w:tc>
        <w:tc>
          <w:tcPr>
            <w:tcW w:w="1600" w:type="dxa"/>
            <w:vAlign w:val="bottom"/>
            <w:shd w:val="clear" w:color="auto" w:fill="EBEBEB"/>
          </w:tcPr>
          <w:p>
            <w:pPr>
              <w:spacing w:after="0"/>
              <w:rPr>
                <w:sz w:val="16"/>
                <w:szCs w:val="16"/>
                <w:color w:val="auto"/>
              </w:rPr>
            </w:pPr>
          </w:p>
        </w:tc>
        <w:tc>
          <w:tcPr>
            <w:tcW w:w="820" w:type="dxa"/>
            <w:vAlign w:val="bottom"/>
          </w:tcPr>
          <w:p>
            <w:pPr>
              <w:spacing w:after="0"/>
              <w:rPr>
                <w:sz w:val="16"/>
                <w:szCs w:val="16"/>
                <w:color w:val="auto"/>
              </w:rPr>
            </w:pPr>
          </w:p>
        </w:tc>
      </w:tr>
      <w:tr>
        <w:trPr>
          <w:trHeight w:val="403"/>
        </w:trPr>
        <w:tc>
          <w:tcPr>
            <w:tcW w:w="800" w:type="dxa"/>
            <w:vAlign w:val="bottom"/>
          </w:tcPr>
          <w:p>
            <w:pPr>
              <w:spacing w:after="0"/>
              <w:rPr>
                <w:sz w:val="24"/>
                <w:szCs w:val="24"/>
                <w:color w:val="auto"/>
              </w:rPr>
            </w:pPr>
          </w:p>
        </w:tc>
        <w:tc>
          <w:tcPr>
            <w:tcW w:w="3340" w:type="dxa"/>
            <w:vAlign w:val="bottom"/>
          </w:tcPr>
          <w:p>
            <w:pPr>
              <w:spacing w:after="0"/>
              <w:rPr>
                <w:sz w:val="20"/>
                <w:szCs w:val="20"/>
                <w:color w:val="auto"/>
              </w:rPr>
            </w:pPr>
            <w:r>
              <w:rPr>
                <w:rFonts w:ascii="Arial" w:cs="Arial" w:eastAsia="Arial" w:hAnsi="Arial"/>
                <w:sz w:val="14"/>
                <w:szCs w:val="14"/>
                <w:color w:val="255993"/>
              </w:rPr>
              <w:t>Athira Pharma, Inc.</w:t>
            </w:r>
          </w:p>
        </w:tc>
        <w:tc>
          <w:tcPr>
            <w:tcW w:w="1220" w:type="dxa"/>
            <w:vAlign w:val="bottom"/>
          </w:tcPr>
          <w:p>
            <w:pPr>
              <w:spacing w:after="0"/>
              <w:rPr>
                <w:sz w:val="24"/>
                <w:szCs w:val="24"/>
                <w:color w:val="auto"/>
              </w:rPr>
            </w:pPr>
          </w:p>
        </w:tc>
        <w:tc>
          <w:tcPr>
            <w:tcW w:w="1740" w:type="dxa"/>
            <w:vAlign w:val="bottom"/>
          </w:tcPr>
          <w:p>
            <w:pPr>
              <w:jc w:val="right"/>
              <w:ind w:right="1447"/>
              <w:spacing w:after="0"/>
              <w:rPr>
                <w:sz w:val="20"/>
                <w:szCs w:val="20"/>
                <w:color w:val="auto"/>
              </w:rPr>
            </w:pPr>
            <w:r>
              <w:rPr>
                <w:rFonts w:ascii="Arial" w:cs="Arial" w:eastAsia="Arial" w:hAnsi="Arial"/>
                <w:sz w:val="14"/>
                <w:szCs w:val="14"/>
                <w:b w:val="1"/>
                <w:bCs w:val="1"/>
                <w:color w:val="255993"/>
              </w:rPr>
              <w:t>17</w:t>
            </w:r>
          </w:p>
        </w:tc>
        <w:tc>
          <w:tcPr>
            <w:tcW w:w="1500" w:type="dxa"/>
            <w:vAlign w:val="bottom"/>
          </w:tcPr>
          <w:p>
            <w:pPr>
              <w:spacing w:after="0"/>
              <w:rPr>
                <w:sz w:val="24"/>
                <w:szCs w:val="24"/>
                <w:color w:val="auto"/>
              </w:rPr>
            </w:pPr>
          </w:p>
        </w:tc>
        <w:tc>
          <w:tcPr>
            <w:tcW w:w="2420" w:type="dxa"/>
            <w:vAlign w:val="bottom"/>
            <w:gridSpan w:val="2"/>
          </w:tcPr>
          <w:p>
            <w:pPr>
              <w:jc w:val="center"/>
              <w:ind w:right="640"/>
              <w:spacing w:after="0"/>
              <w:rPr>
                <w:sz w:val="20"/>
                <w:szCs w:val="20"/>
                <w:color w:val="auto"/>
              </w:rPr>
            </w:pPr>
            <w:r>
              <w:rPr>
                <w:rFonts w:ascii="Arial" w:cs="Arial" w:eastAsia="Arial" w:hAnsi="Arial"/>
                <w:sz w:val="14"/>
                <w:szCs w:val="14"/>
                <w:color w:val="255993"/>
              </w:rPr>
              <w:t>2024 Proxy Statement</w:t>
            </w:r>
          </w:p>
        </w:tc>
      </w:tr>
      <w:tr>
        <w:trPr>
          <w:trHeight w:val="158"/>
        </w:trPr>
        <w:tc>
          <w:tcPr>
            <w:tcW w:w="800" w:type="dxa"/>
            <w:vAlign w:val="bottom"/>
            <w:tcBorders>
              <w:bottom w:val="single" w:sz="8" w:color="auto"/>
            </w:tcBorders>
          </w:tcPr>
          <w:p>
            <w:pPr>
              <w:spacing w:after="0"/>
              <w:rPr>
                <w:sz w:val="13"/>
                <w:szCs w:val="13"/>
                <w:color w:val="auto"/>
              </w:rPr>
            </w:pPr>
          </w:p>
        </w:tc>
        <w:tc>
          <w:tcPr>
            <w:tcW w:w="33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-779145</wp:posOffset>
            </wp:positionV>
            <wp:extent cx="5966460" cy="342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966460" cy="34290"/>
                    </a:xfrm>
                    <a:prstGeom prst="rect">
                      <a:avLst/>
                    </a:prstGeom>
                    <a:noFill/>
                  </pic:spPr>
                </pic:pic>
              </a:graphicData>
            </a:graphic>
          </wp:anchor>
        </w:drawing>
        <w:drawing>
          <wp:anchor simplePos="0" relativeHeight="251657728" behindDoc="1" locked="0" layoutInCell="0" allowOverlap="1">
            <wp:simplePos x="0" y="0"/>
            <wp:positionH relativeFrom="column">
              <wp:posOffset>511810</wp:posOffset>
            </wp:positionH>
            <wp:positionV relativeFrom="paragraph">
              <wp:posOffset>-1190625</wp:posOffset>
            </wp:positionV>
            <wp:extent cx="5966460" cy="342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966460" cy="34290"/>
                    </a:xfrm>
                    <a:prstGeom prst="rect">
                      <a:avLst/>
                    </a:prstGeom>
                    <a:noFill/>
                  </pic:spPr>
                </pic:pic>
              </a:graphicData>
            </a:graphic>
          </wp:anchor>
        </w:drawing>
        <w:drawing>
          <wp:anchor simplePos="0" relativeHeight="251657728" behindDoc="1" locked="0" layoutInCell="0" allowOverlap="1">
            <wp:simplePos x="0" y="0"/>
            <wp:positionH relativeFrom="column">
              <wp:posOffset>511810</wp:posOffset>
            </wp:positionH>
            <wp:positionV relativeFrom="paragraph">
              <wp:posOffset>-1602105</wp:posOffset>
            </wp:positionV>
            <wp:extent cx="5966460" cy="342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966460" cy="34290"/>
                    </a:xfrm>
                    <a:prstGeom prst="rect">
                      <a:avLst/>
                    </a:prstGeom>
                    <a:noFill/>
                  </pic:spPr>
                </pic:pic>
              </a:graphicData>
            </a:graphic>
          </wp:anchor>
        </w:drawing>
        <w:drawing>
          <wp:anchor simplePos="0" relativeHeight="251657728" behindDoc="1" locked="0" layoutInCell="0" allowOverlap="1">
            <wp:simplePos x="0" y="0"/>
            <wp:positionH relativeFrom="column">
              <wp:posOffset>511810</wp:posOffset>
            </wp:positionH>
            <wp:positionV relativeFrom="paragraph">
              <wp:posOffset>-2013585</wp:posOffset>
            </wp:positionV>
            <wp:extent cx="5966460" cy="342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966460" cy="34290"/>
                    </a:xfrm>
                    <a:prstGeom prst="rect">
                      <a:avLst/>
                    </a:prstGeom>
                    <a:noFill/>
                  </pic:spPr>
                </pic:pic>
              </a:graphicData>
            </a:graphic>
          </wp:anchor>
        </w:drawing>
        <w:drawing>
          <wp:anchor simplePos="0" relativeHeight="251657728" behindDoc="1" locked="0" layoutInCell="0" allowOverlap="1">
            <wp:simplePos x="0" y="0"/>
            <wp:positionH relativeFrom="column">
              <wp:posOffset>511810</wp:posOffset>
            </wp:positionH>
            <wp:positionV relativeFrom="paragraph">
              <wp:posOffset>-2425065</wp:posOffset>
            </wp:positionV>
            <wp:extent cx="5966460" cy="342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966460" cy="34290"/>
                    </a:xfrm>
                    <a:prstGeom prst="rect">
                      <a:avLst/>
                    </a:prstGeom>
                    <a:noFill/>
                  </pic:spPr>
                </pic:pic>
              </a:graphicData>
            </a:graphic>
          </wp:anchor>
        </w:drawing>
        <w:drawing>
          <wp:anchor simplePos="0" relativeHeight="251657728" behindDoc="1" locked="0" layoutInCell="0" allowOverlap="1">
            <wp:simplePos x="0" y="0"/>
            <wp:positionH relativeFrom="column">
              <wp:posOffset>511810</wp:posOffset>
            </wp:positionH>
            <wp:positionV relativeFrom="paragraph">
              <wp:posOffset>-2836545</wp:posOffset>
            </wp:positionV>
            <wp:extent cx="5966460" cy="342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966460" cy="34290"/>
                    </a:xfrm>
                    <a:prstGeom prst="rect">
                      <a:avLst/>
                    </a:prstGeom>
                    <a:noFill/>
                  </pic:spPr>
                </pic:pic>
              </a:graphicData>
            </a:graphic>
          </wp:anchor>
        </w:drawing>
        <w:drawing>
          <wp:anchor simplePos="0" relativeHeight="251657728" behindDoc="1" locked="0" layoutInCell="0" allowOverlap="1">
            <wp:simplePos x="0" y="0"/>
            <wp:positionH relativeFrom="column">
              <wp:posOffset>511810</wp:posOffset>
            </wp:positionH>
            <wp:positionV relativeFrom="paragraph">
              <wp:posOffset>-3248025</wp:posOffset>
            </wp:positionV>
            <wp:extent cx="5966460" cy="342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966460" cy="34290"/>
                    </a:xfrm>
                    <a:prstGeom prst="rect">
                      <a:avLst/>
                    </a:prstGeom>
                    <a:noFill/>
                  </pic:spPr>
                </pic:pic>
              </a:graphicData>
            </a:graphic>
          </wp:anchor>
        </w:drawing>
        <w:drawing>
          <wp:anchor simplePos="0" relativeHeight="251657728" behindDoc="1" locked="0" layoutInCell="0" allowOverlap="1">
            <wp:simplePos x="0" y="0"/>
            <wp:positionH relativeFrom="column">
              <wp:posOffset>511810</wp:posOffset>
            </wp:positionH>
            <wp:positionV relativeFrom="paragraph">
              <wp:posOffset>-3659505</wp:posOffset>
            </wp:positionV>
            <wp:extent cx="5966460" cy="342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966460" cy="34290"/>
                    </a:xfrm>
                    <a:prstGeom prst="rect">
                      <a:avLst/>
                    </a:prstGeom>
                    <a:noFill/>
                  </pic:spPr>
                </pic:pic>
              </a:graphicData>
            </a:graphic>
          </wp:anchor>
        </w:drawing>
        <w:drawing>
          <wp:anchor simplePos="0" relativeHeight="251657728" behindDoc="1" locked="0" layoutInCell="0" allowOverlap="1">
            <wp:simplePos x="0" y="0"/>
            <wp:positionH relativeFrom="column">
              <wp:posOffset>511810</wp:posOffset>
            </wp:positionH>
            <wp:positionV relativeFrom="paragraph">
              <wp:posOffset>-4070985</wp:posOffset>
            </wp:positionV>
            <wp:extent cx="5966460" cy="342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966460" cy="34290"/>
                    </a:xfrm>
                    <a:prstGeom prst="rect">
                      <a:avLst/>
                    </a:prstGeom>
                    <a:noFill/>
                  </pic:spPr>
                </pic:pic>
              </a:graphicData>
            </a:graphic>
          </wp:anchor>
        </w:drawing>
        <w:drawing>
          <wp:anchor simplePos="0" relativeHeight="251657728" behindDoc="1" locked="0" layoutInCell="0" allowOverlap="1">
            <wp:simplePos x="0" y="0"/>
            <wp:positionH relativeFrom="column">
              <wp:posOffset>511810</wp:posOffset>
            </wp:positionH>
            <wp:positionV relativeFrom="paragraph">
              <wp:posOffset>-4482465</wp:posOffset>
            </wp:positionV>
            <wp:extent cx="5966460" cy="342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966460" cy="34290"/>
                    </a:xfrm>
                    <a:prstGeom prst="rect">
                      <a:avLst/>
                    </a:prstGeom>
                    <a:noFill/>
                  </pic:spPr>
                </pic:pic>
              </a:graphicData>
            </a:graphic>
          </wp:anchor>
        </w:drawing>
        <w:drawing>
          <wp:anchor simplePos="0" relativeHeight="251657728" behindDoc="1" locked="0" layoutInCell="0" allowOverlap="1">
            <wp:simplePos x="0" y="0"/>
            <wp:positionH relativeFrom="column">
              <wp:posOffset>511810</wp:posOffset>
            </wp:positionH>
            <wp:positionV relativeFrom="paragraph">
              <wp:posOffset>-4893945</wp:posOffset>
            </wp:positionV>
            <wp:extent cx="5966460" cy="342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966460" cy="34290"/>
                    </a:xfrm>
                    <a:prstGeom prst="rect">
                      <a:avLst/>
                    </a:prstGeom>
                    <a:noFill/>
                  </pic:spPr>
                </pic:pic>
              </a:graphicData>
            </a:graphic>
          </wp:anchor>
        </w:drawing>
      </w:r>
    </w:p>
    <w:p>
      <w:pPr>
        <w:sectPr>
          <w:pgSz w:w="11900" w:h="16838" w:orient="portrait"/>
          <w:cols w:equalWidth="0" w:num="1">
            <w:col w:w="11020"/>
          </w:cols>
          <w:pgMar w:left="440" w:top="263" w:right="4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255993"/>
        </w:rPr>
        <w:t>Board of Directors and Corporate Governance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BOARD COMMITTEES</w:t>
      </w:r>
    </w:p>
    <w:p>
      <w:pPr>
        <w:spacing w:after="0" w:line="108" w:lineRule="exact"/>
        <w:rPr>
          <w:sz w:val="20"/>
          <w:szCs w:val="20"/>
          <w:color w:val="auto"/>
        </w:rPr>
      </w:pPr>
    </w:p>
    <w:p>
      <w:pPr>
        <w:ind w:right="200"/>
        <w:spacing w:after="0" w:line="266" w:lineRule="auto"/>
        <w:rPr>
          <w:sz w:val="20"/>
          <w:szCs w:val="20"/>
          <w:color w:val="auto"/>
        </w:rPr>
      </w:pPr>
      <w:r>
        <w:rPr>
          <w:rFonts w:ascii="Arial" w:cs="Arial" w:eastAsia="Arial" w:hAnsi="Arial"/>
          <w:sz w:val="16"/>
          <w:szCs w:val="16"/>
          <w:color w:val="auto"/>
        </w:rPr>
        <w:t>As of the date of this proxy statement, our board of directors has three separately designated standing committees: an audit committee, a compensation committee, and a nominating and corporate governance committee. Our board of directors may also establish other committees from time to time.</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Each committee has the composition and the responsibilities described below.</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AUDIT COMMITTEE</w:t>
      </w:r>
    </w:p>
    <w:p>
      <w:pPr>
        <w:spacing w:after="0" w:line="113"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The members of our audit committee are Messrs. Johnson, Fluke and Pickering, each of whom is a non-employee member of our board of directors. Our audit committee chairman, Mr. Johnson, is our audit committee financial expert, as that term is defined under the SEC rules implementing Section 407 of the Sarbanes-Oxley Act of 2002, and possesses financial sophistication, as defined under the rules of Nasdaq. Our audit committee oversees our corporate accounting and financial reporting process and assists our board of directors in monitoring our financial systems. Our audit committee operates under a written charter that specifies its duties and responsibilities and satisfies the applicable listing standards of Nasdaq. A copy of the charter of our audit committee is available on our website at https://investors.athira.com/corporate-governance/governance-overview. Our board of directors has determined that each of Messrs. Johnson, Fluke and Pickering is independent for audit committee purposes, as that term is defined in the rules of the SEC and the applicable Nasdaq rules, and has sufficient knowledge in financial and auditing matters to serve on the audit committee. During our fiscal year ended December 31, 2023, our audit committee held four meetings (including regularly scheduled and special meetings).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Our audit committee:</w:t>
      </w:r>
    </w:p>
    <w:p>
      <w:pPr>
        <w:spacing w:after="0" w:line="154" w:lineRule="exact"/>
        <w:rPr>
          <w:sz w:val="20"/>
          <w:szCs w:val="20"/>
          <w:color w:val="auto"/>
        </w:rPr>
      </w:pPr>
    </w:p>
    <w:p>
      <w:pPr>
        <w:ind w:left="140" w:right="580" w:hanging="134"/>
        <w:spacing w:after="0" w:line="264" w:lineRule="auto"/>
        <w:tabs>
          <w:tab w:leader="none" w:pos="140" w:val="left"/>
        </w:tabs>
        <w:numPr>
          <w:ilvl w:val="0"/>
          <w:numId w:val="15"/>
        </w:numPr>
        <w:rPr>
          <w:rFonts w:ascii="Arial" w:cs="Arial" w:eastAsia="Arial" w:hAnsi="Arial"/>
          <w:sz w:val="16"/>
          <w:szCs w:val="16"/>
          <w:color w:val="255993"/>
        </w:rPr>
      </w:pPr>
      <w:r>
        <w:rPr>
          <w:rFonts w:ascii="Arial" w:cs="Arial" w:eastAsia="Arial" w:hAnsi="Arial"/>
          <w:sz w:val="16"/>
          <w:szCs w:val="16"/>
          <w:color w:val="auto"/>
        </w:rPr>
        <w:t>selects, retains, compensates, evaluates, oversees and, where appropriate, terminates our independent registered public accounting firm;</w:t>
      </w:r>
    </w:p>
    <w:p>
      <w:pPr>
        <w:ind w:left="140" w:right="300" w:hanging="134"/>
        <w:spacing w:after="0" w:line="272" w:lineRule="auto"/>
        <w:tabs>
          <w:tab w:leader="none" w:pos="140" w:val="left"/>
        </w:tabs>
        <w:numPr>
          <w:ilvl w:val="0"/>
          <w:numId w:val="15"/>
        </w:numPr>
        <w:rPr>
          <w:rFonts w:ascii="Arial" w:cs="Arial" w:eastAsia="Arial" w:hAnsi="Arial"/>
          <w:sz w:val="16"/>
          <w:szCs w:val="16"/>
          <w:color w:val="255993"/>
        </w:rPr>
      </w:pPr>
      <w:r>
        <w:rPr>
          <w:rFonts w:ascii="Arial" w:cs="Arial" w:eastAsia="Arial" w:hAnsi="Arial"/>
          <w:sz w:val="16"/>
          <w:szCs w:val="16"/>
          <w:color w:val="auto"/>
        </w:rPr>
        <w:t>reviews and approves the scope and plans for the audits and the audit fees and approves all non-audit and tax services to be performed by the independent audit;</w:t>
      </w:r>
    </w:p>
    <w:p>
      <w:pPr>
        <w:spacing w:after="0" w:line="1" w:lineRule="exact"/>
        <w:rPr>
          <w:rFonts w:ascii="Arial" w:cs="Arial" w:eastAsia="Arial" w:hAnsi="Arial"/>
          <w:sz w:val="16"/>
          <w:szCs w:val="16"/>
          <w:color w:val="255993"/>
        </w:rPr>
      </w:pPr>
    </w:p>
    <w:p>
      <w:pPr>
        <w:ind w:left="140" w:hanging="134"/>
        <w:spacing w:after="0"/>
        <w:tabs>
          <w:tab w:leader="none" w:pos="140" w:val="left"/>
        </w:tabs>
        <w:numPr>
          <w:ilvl w:val="0"/>
          <w:numId w:val="15"/>
        </w:numPr>
        <w:rPr>
          <w:rFonts w:ascii="Arial" w:cs="Arial" w:eastAsia="Arial" w:hAnsi="Arial"/>
          <w:sz w:val="16"/>
          <w:szCs w:val="16"/>
          <w:color w:val="255993"/>
        </w:rPr>
      </w:pPr>
      <w:r>
        <w:rPr>
          <w:rFonts w:ascii="Arial" w:cs="Arial" w:eastAsia="Arial" w:hAnsi="Arial"/>
          <w:sz w:val="16"/>
          <w:szCs w:val="16"/>
          <w:color w:val="auto"/>
        </w:rPr>
        <w:t>evaluates the independence and qualification of the independent registered public accounting firm;</w:t>
      </w:r>
    </w:p>
    <w:p>
      <w:pPr>
        <w:spacing w:after="0" w:line="45" w:lineRule="exact"/>
        <w:rPr>
          <w:rFonts w:ascii="Arial" w:cs="Arial" w:eastAsia="Arial" w:hAnsi="Arial"/>
          <w:sz w:val="16"/>
          <w:szCs w:val="16"/>
          <w:color w:val="255993"/>
        </w:rPr>
      </w:pPr>
    </w:p>
    <w:p>
      <w:pPr>
        <w:ind w:left="140" w:hanging="134"/>
        <w:spacing w:after="0"/>
        <w:tabs>
          <w:tab w:leader="none" w:pos="140" w:val="left"/>
        </w:tabs>
        <w:numPr>
          <w:ilvl w:val="0"/>
          <w:numId w:val="15"/>
        </w:numPr>
        <w:rPr>
          <w:rFonts w:ascii="Arial" w:cs="Arial" w:eastAsia="Arial" w:hAnsi="Arial"/>
          <w:sz w:val="16"/>
          <w:szCs w:val="16"/>
          <w:color w:val="255993"/>
        </w:rPr>
      </w:pPr>
      <w:r>
        <w:rPr>
          <w:rFonts w:ascii="Arial" w:cs="Arial" w:eastAsia="Arial" w:hAnsi="Arial"/>
          <w:sz w:val="16"/>
          <w:szCs w:val="16"/>
          <w:color w:val="auto"/>
        </w:rPr>
        <w:t>reviews internal controls and integrity of financial statements;</w:t>
      </w:r>
    </w:p>
    <w:p>
      <w:pPr>
        <w:spacing w:after="0" w:line="32" w:lineRule="exact"/>
        <w:rPr>
          <w:rFonts w:ascii="Arial" w:cs="Arial" w:eastAsia="Arial" w:hAnsi="Arial"/>
          <w:sz w:val="16"/>
          <w:szCs w:val="16"/>
          <w:color w:val="255993"/>
        </w:rPr>
      </w:pPr>
    </w:p>
    <w:p>
      <w:pPr>
        <w:ind w:left="140" w:hanging="134"/>
        <w:spacing w:after="0"/>
        <w:tabs>
          <w:tab w:leader="none" w:pos="140" w:val="left"/>
        </w:tabs>
        <w:numPr>
          <w:ilvl w:val="0"/>
          <w:numId w:val="15"/>
        </w:numPr>
        <w:rPr>
          <w:rFonts w:ascii="Arial" w:cs="Arial" w:eastAsia="Arial" w:hAnsi="Arial"/>
          <w:sz w:val="16"/>
          <w:szCs w:val="16"/>
          <w:color w:val="255993"/>
        </w:rPr>
      </w:pPr>
      <w:r>
        <w:rPr>
          <w:rFonts w:ascii="Arial" w:cs="Arial" w:eastAsia="Arial" w:hAnsi="Arial"/>
          <w:sz w:val="16"/>
          <w:szCs w:val="16"/>
          <w:color w:val="auto"/>
        </w:rPr>
        <w:t>reviews financial information presentation, earnings press releases and guidance;</w:t>
      </w:r>
    </w:p>
    <w:p>
      <w:pPr>
        <w:spacing w:after="0" w:line="45" w:lineRule="exact"/>
        <w:rPr>
          <w:rFonts w:ascii="Arial" w:cs="Arial" w:eastAsia="Arial" w:hAnsi="Arial"/>
          <w:sz w:val="16"/>
          <w:szCs w:val="16"/>
          <w:color w:val="255993"/>
        </w:rPr>
      </w:pPr>
    </w:p>
    <w:p>
      <w:pPr>
        <w:ind w:left="140" w:hanging="134"/>
        <w:spacing w:after="0"/>
        <w:tabs>
          <w:tab w:leader="none" w:pos="140" w:val="left"/>
        </w:tabs>
        <w:numPr>
          <w:ilvl w:val="0"/>
          <w:numId w:val="15"/>
        </w:numPr>
        <w:rPr>
          <w:rFonts w:ascii="Arial" w:cs="Arial" w:eastAsia="Arial" w:hAnsi="Arial"/>
          <w:sz w:val="16"/>
          <w:szCs w:val="16"/>
          <w:color w:val="255993"/>
        </w:rPr>
      </w:pPr>
      <w:r>
        <w:rPr>
          <w:rFonts w:ascii="Arial" w:cs="Arial" w:eastAsia="Arial" w:hAnsi="Arial"/>
          <w:sz w:val="16"/>
          <w:szCs w:val="16"/>
          <w:color w:val="auto"/>
        </w:rPr>
        <w:t>oversees the design, implementation and performance of our internal audit function, if any;</w:t>
      </w:r>
    </w:p>
    <w:p>
      <w:pPr>
        <w:spacing w:after="0" w:line="45" w:lineRule="exact"/>
        <w:rPr>
          <w:rFonts w:ascii="Arial" w:cs="Arial" w:eastAsia="Arial" w:hAnsi="Arial"/>
          <w:sz w:val="16"/>
          <w:szCs w:val="16"/>
          <w:color w:val="255993"/>
        </w:rPr>
      </w:pPr>
    </w:p>
    <w:p>
      <w:pPr>
        <w:ind w:left="140" w:right="580" w:hanging="134"/>
        <w:spacing w:after="0" w:line="264" w:lineRule="auto"/>
        <w:tabs>
          <w:tab w:leader="none" w:pos="140" w:val="left"/>
        </w:tabs>
        <w:numPr>
          <w:ilvl w:val="0"/>
          <w:numId w:val="15"/>
        </w:numPr>
        <w:rPr>
          <w:rFonts w:ascii="Arial" w:cs="Arial" w:eastAsia="Arial" w:hAnsi="Arial"/>
          <w:sz w:val="16"/>
          <w:szCs w:val="16"/>
          <w:color w:val="255993"/>
        </w:rPr>
      </w:pPr>
      <w:r>
        <w:rPr>
          <w:rFonts w:ascii="Arial" w:cs="Arial" w:eastAsia="Arial" w:hAnsi="Arial"/>
          <w:sz w:val="16"/>
          <w:szCs w:val="16"/>
          <w:color w:val="auto"/>
        </w:rPr>
        <w:t>sets hiring policies with regard to the hiring of employees and former employees of our independent auditor and oversees compliance with such policies;</w:t>
      </w:r>
    </w:p>
    <w:p>
      <w:pPr>
        <w:ind w:left="140" w:hanging="134"/>
        <w:spacing w:after="0"/>
        <w:tabs>
          <w:tab w:leader="none" w:pos="140" w:val="left"/>
        </w:tabs>
        <w:numPr>
          <w:ilvl w:val="0"/>
          <w:numId w:val="15"/>
        </w:numPr>
        <w:rPr>
          <w:rFonts w:ascii="Arial" w:cs="Arial" w:eastAsia="Arial" w:hAnsi="Arial"/>
          <w:sz w:val="16"/>
          <w:szCs w:val="16"/>
          <w:color w:val="255993"/>
        </w:rPr>
      </w:pPr>
      <w:r>
        <w:rPr>
          <w:rFonts w:ascii="Arial" w:cs="Arial" w:eastAsia="Arial" w:hAnsi="Arial"/>
          <w:sz w:val="16"/>
          <w:szCs w:val="16"/>
          <w:color w:val="auto"/>
        </w:rPr>
        <w:t>reviews and monitors compliance with our Investment Policy and approves any amendments or deviations;</w:t>
      </w:r>
    </w:p>
    <w:p>
      <w:pPr>
        <w:spacing w:after="0" w:line="45" w:lineRule="exact"/>
        <w:rPr>
          <w:rFonts w:ascii="Arial" w:cs="Arial" w:eastAsia="Arial" w:hAnsi="Arial"/>
          <w:sz w:val="16"/>
          <w:szCs w:val="16"/>
          <w:color w:val="255993"/>
        </w:rPr>
      </w:pPr>
    </w:p>
    <w:p>
      <w:pPr>
        <w:ind w:left="140" w:hanging="134"/>
        <w:spacing w:after="0"/>
        <w:tabs>
          <w:tab w:leader="none" w:pos="140" w:val="left"/>
        </w:tabs>
        <w:numPr>
          <w:ilvl w:val="0"/>
          <w:numId w:val="15"/>
        </w:numPr>
        <w:rPr>
          <w:rFonts w:ascii="Arial" w:cs="Arial" w:eastAsia="Arial" w:hAnsi="Arial"/>
          <w:sz w:val="16"/>
          <w:szCs w:val="16"/>
          <w:color w:val="255993"/>
        </w:rPr>
      </w:pPr>
      <w:r>
        <w:rPr>
          <w:rFonts w:ascii="Arial" w:cs="Arial" w:eastAsia="Arial" w:hAnsi="Arial"/>
          <w:sz w:val="16"/>
          <w:szCs w:val="16"/>
          <w:color w:val="auto"/>
        </w:rPr>
        <w:t>reviews, approves and monitors related party transactions;</w:t>
      </w:r>
    </w:p>
    <w:p>
      <w:pPr>
        <w:spacing w:after="0" w:line="45" w:lineRule="exact"/>
        <w:rPr>
          <w:rFonts w:ascii="Arial" w:cs="Arial" w:eastAsia="Arial" w:hAnsi="Arial"/>
          <w:sz w:val="16"/>
          <w:szCs w:val="16"/>
          <w:color w:val="255993"/>
        </w:rPr>
      </w:pPr>
    </w:p>
    <w:p>
      <w:pPr>
        <w:ind w:left="140" w:hanging="134"/>
        <w:spacing w:after="0"/>
        <w:tabs>
          <w:tab w:leader="none" w:pos="140" w:val="left"/>
        </w:tabs>
        <w:numPr>
          <w:ilvl w:val="0"/>
          <w:numId w:val="15"/>
        </w:numPr>
        <w:rPr>
          <w:rFonts w:ascii="Arial" w:cs="Arial" w:eastAsia="Arial" w:hAnsi="Arial"/>
          <w:sz w:val="16"/>
          <w:szCs w:val="16"/>
          <w:color w:val="255993"/>
        </w:rPr>
      </w:pPr>
      <w:r>
        <w:rPr>
          <w:rFonts w:ascii="Arial" w:cs="Arial" w:eastAsia="Arial" w:hAnsi="Arial"/>
          <w:sz w:val="16"/>
          <w:szCs w:val="16"/>
          <w:color w:val="auto"/>
        </w:rPr>
        <w:t>develops, approves, reviews and monitors compliance with our code of business conduct and ethics;</w:t>
      </w:r>
    </w:p>
    <w:p>
      <w:pPr>
        <w:spacing w:after="0" w:line="32" w:lineRule="exact"/>
        <w:rPr>
          <w:rFonts w:ascii="Arial" w:cs="Arial" w:eastAsia="Arial" w:hAnsi="Arial"/>
          <w:sz w:val="16"/>
          <w:szCs w:val="16"/>
          <w:color w:val="255993"/>
        </w:rPr>
      </w:pPr>
    </w:p>
    <w:p>
      <w:pPr>
        <w:ind w:left="140" w:hanging="134"/>
        <w:spacing w:after="0"/>
        <w:tabs>
          <w:tab w:leader="none" w:pos="140" w:val="left"/>
        </w:tabs>
        <w:numPr>
          <w:ilvl w:val="0"/>
          <w:numId w:val="15"/>
        </w:numPr>
        <w:rPr>
          <w:rFonts w:ascii="Arial" w:cs="Arial" w:eastAsia="Arial" w:hAnsi="Arial"/>
          <w:sz w:val="16"/>
          <w:szCs w:val="16"/>
          <w:color w:val="255993"/>
        </w:rPr>
      </w:pPr>
      <w:r>
        <w:rPr>
          <w:rFonts w:ascii="Arial" w:cs="Arial" w:eastAsia="Arial" w:hAnsi="Arial"/>
          <w:sz w:val="16"/>
          <w:szCs w:val="16"/>
          <w:color w:val="auto"/>
        </w:rPr>
        <w:t>adopts and oversees procedures to address complaints regarding accounting, internal accounting controls or auditing matters;</w:t>
      </w:r>
    </w:p>
    <w:p>
      <w:pPr>
        <w:spacing w:after="0" w:line="45" w:lineRule="exact"/>
        <w:rPr>
          <w:rFonts w:ascii="Arial" w:cs="Arial" w:eastAsia="Arial" w:hAnsi="Arial"/>
          <w:sz w:val="16"/>
          <w:szCs w:val="16"/>
          <w:color w:val="255993"/>
        </w:rPr>
      </w:pPr>
    </w:p>
    <w:p>
      <w:pPr>
        <w:ind w:left="140" w:hanging="134"/>
        <w:spacing w:after="0"/>
        <w:tabs>
          <w:tab w:leader="none" w:pos="140" w:val="left"/>
        </w:tabs>
        <w:numPr>
          <w:ilvl w:val="0"/>
          <w:numId w:val="15"/>
        </w:numPr>
        <w:rPr>
          <w:rFonts w:ascii="Arial" w:cs="Arial" w:eastAsia="Arial" w:hAnsi="Arial"/>
          <w:sz w:val="16"/>
          <w:szCs w:val="16"/>
          <w:color w:val="255993"/>
        </w:rPr>
      </w:pPr>
      <w:r>
        <w:rPr>
          <w:rFonts w:ascii="Arial" w:cs="Arial" w:eastAsia="Arial" w:hAnsi="Arial"/>
          <w:sz w:val="16"/>
          <w:szCs w:val="16"/>
          <w:color w:val="auto"/>
        </w:rPr>
        <w:t>reviews and discusses with our management and the independent auditor our compliance with various laws;</w:t>
      </w:r>
    </w:p>
    <w:p>
      <w:pPr>
        <w:spacing w:after="0" w:line="45" w:lineRule="exact"/>
        <w:rPr>
          <w:rFonts w:ascii="Arial" w:cs="Arial" w:eastAsia="Arial" w:hAnsi="Arial"/>
          <w:sz w:val="16"/>
          <w:szCs w:val="16"/>
          <w:color w:val="255993"/>
        </w:rPr>
      </w:pPr>
    </w:p>
    <w:p>
      <w:pPr>
        <w:ind w:left="140" w:right="560" w:hanging="134"/>
        <w:spacing w:after="0" w:line="264" w:lineRule="auto"/>
        <w:tabs>
          <w:tab w:leader="none" w:pos="140" w:val="left"/>
        </w:tabs>
        <w:numPr>
          <w:ilvl w:val="0"/>
          <w:numId w:val="15"/>
        </w:numPr>
        <w:rPr>
          <w:rFonts w:ascii="Arial" w:cs="Arial" w:eastAsia="Arial" w:hAnsi="Arial"/>
          <w:sz w:val="16"/>
          <w:szCs w:val="16"/>
          <w:color w:val="255993"/>
        </w:rPr>
      </w:pPr>
      <w:r>
        <w:rPr>
          <w:rFonts w:ascii="Arial" w:cs="Arial" w:eastAsia="Arial" w:hAnsi="Arial"/>
          <w:sz w:val="16"/>
          <w:szCs w:val="16"/>
          <w:color w:val="auto"/>
        </w:rPr>
        <w:t>reviews and discusses with management our independent auditor guidelines and policies to identify, monitor, and address enterprise risks;</w:t>
      </w:r>
    </w:p>
    <w:p>
      <w:pPr>
        <w:ind w:left="140" w:hanging="134"/>
        <w:spacing w:after="0"/>
        <w:tabs>
          <w:tab w:leader="none" w:pos="140" w:val="left"/>
        </w:tabs>
        <w:numPr>
          <w:ilvl w:val="0"/>
          <w:numId w:val="15"/>
        </w:numPr>
        <w:rPr>
          <w:rFonts w:ascii="Arial" w:cs="Arial" w:eastAsia="Arial" w:hAnsi="Arial"/>
          <w:sz w:val="16"/>
          <w:szCs w:val="16"/>
          <w:color w:val="255993"/>
        </w:rPr>
      </w:pPr>
      <w:r>
        <w:rPr>
          <w:rFonts w:ascii="Arial" w:cs="Arial" w:eastAsia="Arial" w:hAnsi="Arial"/>
          <w:sz w:val="16"/>
          <w:szCs w:val="16"/>
          <w:color w:val="auto"/>
        </w:rPr>
        <w:t>engages independent legal, accounting and other advisors;</w:t>
      </w:r>
    </w:p>
    <w:p>
      <w:pPr>
        <w:spacing w:after="0" w:line="45" w:lineRule="exact"/>
        <w:rPr>
          <w:rFonts w:ascii="Arial" w:cs="Arial" w:eastAsia="Arial" w:hAnsi="Arial"/>
          <w:sz w:val="16"/>
          <w:szCs w:val="16"/>
          <w:color w:val="255993"/>
        </w:rPr>
      </w:pPr>
    </w:p>
    <w:p>
      <w:pPr>
        <w:ind w:left="140" w:right="300" w:hanging="134"/>
        <w:spacing w:after="0" w:line="264" w:lineRule="auto"/>
        <w:tabs>
          <w:tab w:leader="none" w:pos="140" w:val="left"/>
        </w:tabs>
        <w:numPr>
          <w:ilvl w:val="0"/>
          <w:numId w:val="15"/>
        </w:numPr>
        <w:rPr>
          <w:rFonts w:ascii="Arial" w:cs="Arial" w:eastAsia="Arial" w:hAnsi="Arial"/>
          <w:sz w:val="16"/>
          <w:szCs w:val="16"/>
          <w:color w:val="255993"/>
        </w:rPr>
      </w:pPr>
      <w:r>
        <w:rPr>
          <w:rFonts w:ascii="Arial" w:cs="Arial" w:eastAsia="Arial" w:hAnsi="Arial"/>
          <w:sz w:val="16"/>
          <w:szCs w:val="16"/>
          <w:color w:val="auto"/>
        </w:rPr>
        <w:t>determines appropriate funding for compensation to independent registered accounting firms, advisors and related expenses; and</w:t>
      </w:r>
    </w:p>
    <w:p>
      <w:pPr>
        <w:ind w:left="140" w:hanging="134"/>
        <w:spacing w:after="0"/>
        <w:tabs>
          <w:tab w:leader="none" w:pos="140" w:val="left"/>
        </w:tabs>
        <w:numPr>
          <w:ilvl w:val="0"/>
          <w:numId w:val="15"/>
        </w:numPr>
        <w:rPr>
          <w:rFonts w:ascii="Arial" w:cs="Arial" w:eastAsia="Arial" w:hAnsi="Arial"/>
          <w:sz w:val="16"/>
          <w:szCs w:val="16"/>
          <w:color w:val="255993"/>
        </w:rPr>
      </w:pPr>
      <w:r>
        <w:rPr>
          <w:rFonts w:ascii="Arial" w:cs="Arial" w:eastAsia="Arial" w:hAnsi="Arial"/>
          <w:sz w:val="16"/>
          <w:szCs w:val="16"/>
          <w:color w:val="auto"/>
        </w:rPr>
        <w:t>reviews the adequacy of the audit committee charter and recommends any proposed changes to our board of directors.</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COMPENSATION COMMITTEE</w:t>
      </w:r>
    </w:p>
    <w:p>
      <w:pPr>
        <w:spacing w:after="0" w:line="113"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The members of our compensation committee are Ms. Kosacz and Messrs. Johnson and Pickering. Ms. Kosacz is the chairwoman of our compensation committee. Our compensation committee oversees our compensation policies, plans and benefits programs. Our compensation committee operates under a written charter that specifies its duties and responsibilities and satisfies the applicable</w:t>
      </w:r>
    </w:p>
    <w:p>
      <w:pPr>
        <w:spacing w:after="0" w:line="183" w:lineRule="exact"/>
        <w:rPr>
          <w:sz w:val="20"/>
          <w:szCs w:val="20"/>
          <w:color w:val="auto"/>
        </w:rPr>
      </w:pPr>
    </w:p>
    <w:p>
      <w:pPr>
        <w:spacing w:after="0"/>
        <w:tabs>
          <w:tab w:leader="none" w:pos="4600" w:val="left"/>
          <w:tab w:leader="none" w:pos="7960" w:val="left"/>
        </w:tabs>
        <w:rPr>
          <w:sz w:val="20"/>
          <w:szCs w:val="20"/>
          <w:color w:val="auto"/>
        </w:rPr>
      </w:pPr>
      <w:r>
        <w:rPr>
          <w:rFonts w:ascii="Arial" w:cs="Arial" w:eastAsia="Arial" w:hAnsi="Arial"/>
          <w:sz w:val="14"/>
          <w:szCs w:val="14"/>
          <w:color w:val="255993"/>
        </w:rPr>
        <w:t>Athira Pharma, Inc.</w:t>
      </w:r>
      <w:r>
        <w:rPr>
          <w:sz w:val="20"/>
          <w:szCs w:val="20"/>
          <w:color w:val="auto"/>
        </w:rPr>
        <w:tab/>
      </w:r>
      <w:r>
        <w:rPr>
          <w:rFonts w:ascii="Arial" w:cs="Arial" w:eastAsia="Arial" w:hAnsi="Arial"/>
          <w:sz w:val="14"/>
          <w:szCs w:val="14"/>
          <w:b w:val="1"/>
          <w:bCs w:val="1"/>
          <w:color w:val="255993"/>
        </w:rPr>
        <w:t>18</w:t>
      </w:r>
      <w:r>
        <w:rPr>
          <w:sz w:val="20"/>
          <w:szCs w:val="20"/>
          <w:color w:val="auto"/>
        </w:rPr>
        <w:tab/>
      </w:r>
      <w:r>
        <w:rPr>
          <w:rFonts w:ascii="Arial" w:cs="Arial" w:eastAsia="Arial" w:hAnsi="Arial"/>
          <w:sz w:val="14"/>
          <w:szCs w:val="14"/>
          <w:color w:val="255993"/>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118110</wp:posOffset>
            </wp:positionV>
            <wp:extent cx="699516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263" w:right="12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ind w:left="6460"/>
        <w:spacing w:after="0"/>
        <w:rPr>
          <w:sz w:val="20"/>
          <w:szCs w:val="20"/>
          <w:color w:val="auto"/>
        </w:rPr>
      </w:pPr>
      <w:r>
        <w:rPr>
          <w:rFonts w:ascii="Arial" w:cs="Arial" w:eastAsia="Arial" w:hAnsi="Arial"/>
          <w:sz w:val="14"/>
          <w:szCs w:val="14"/>
          <w:color w:val="255993"/>
        </w:rPr>
        <w:t>Board of Directors and Corporate Governance</w:t>
      </w:r>
    </w:p>
    <w:p>
      <w:pPr>
        <w:spacing w:after="0" w:line="104" w:lineRule="exact"/>
        <w:rPr>
          <w:sz w:val="20"/>
          <w:szCs w:val="20"/>
          <w:color w:val="auto"/>
        </w:rPr>
      </w:pPr>
    </w:p>
    <w:p>
      <w:pPr>
        <w:ind w:right="340"/>
        <w:spacing w:after="0" w:line="266" w:lineRule="auto"/>
        <w:rPr>
          <w:sz w:val="20"/>
          <w:szCs w:val="20"/>
          <w:color w:val="auto"/>
        </w:rPr>
      </w:pPr>
      <w:r>
        <w:rPr>
          <w:rFonts w:ascii="Arial" w:cs="Arial" w:eastAsia="Arial" w:hAnsi="Arial"/>
          <w:sz w:val="16"/>
          <w:szCs w:val="16"/>
          <w:color w:val="auto"/>
        </w:rPr>
        <w:t>listing standards of Nasdaq. A copy of the charter of our compensation committee is available on our website at https://investors.athira.com/corporate-governance/governance-overview. During our fiscal year ended December 31, 2023, our compensation committee held four meetings (including regularly scheduled and special meetings).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Our compensation committee:</w:t>
      </w:r>
    </w:p>
    <w:p>
      <w:pPr>
        <w:spacing w:after="0" w:line="140" w:lineRule="exact"/>
        <w:rPr>
          <w:sz w:val="20"/>
          <w:szCs w:val="20"/>
          <w:color w:val="auto"/>
        </w:rPr>
      </w:pPr>
    </w:p>
    <w:p>
      <w:pPr>
        <w:ind w:left="140" w:hanging="134"/>
        <w:spacing w:after="0"/>
        <w:tabs>
          <w:tab w:leader="none" w:pos="140" w:val="left"/>
        </w:tabs>
        <w:numPr>
          <w:ilvl w:val="0"/>
          <w:numId w:val="16"/>
        </w:numPr>
        <w:rPr>
          <w:rFonts w:ascii="Arial" w:cs="Arial" w:eastAsia="Arial" w:hAnsi="Arial"/>
          <w:sz w:val="16"/>
          <w:szCs w:val="16"/>
          <w:color w:val="255993"/>
        </w:rPr>
      </w:pPr>
      <w:r>
        <w:rPr>
          <w:rFonts w:ascii="Arial" w:cs="Arial" w:eastAsia="Arial" w:hAnsi="Arial"/>
          <w:sz w:val="16"/>
          <w:szCs w:val="16"/>
          <w:color w:val="auto"/>
        </w:rPr>
        <w:t>reviews and approves the corporate goals and objectives applicable to the compensation of our chief executive officer;</w:t>
      </w:r>
    </w:p>
    <w:p>
      <w:pPr>
        <w:spacing w:after="0" w:line="45" w:lineRule="exact"/>
        <w:rPr>
          <w:rFonts w:ascii="Arial" w:cs="Arial" w:eastAsia="Arial" w:hAnsi="Arial"/>
          <w:sz w:val="16"/>
          <w:szCs w:val="16"/>
          <w:color w:val="255993"/>
        </w:rPr>
      </w:pPr>
    </w:p>
    <w:p>
      <w:pPr>
        <w:ind w:left="140" w:hanging="134"/>
        <w:spacing w:after="0"/>
        <w:tabs>
          <w:tab w:leader="none" w:pos="140" w:val="left"/>
        </w:tabs>
        <w:numPr>
          <w:ilvl w:val="0"/>
          <w:numId w:val="16"/>
        </w:numPr>
        <w:rPr>
          <w:rFonts w:ascii="Arial" w:cs="Arial" w:eastAsia="Arial" w:hAnsi="Arial"/>
          <w:sz w:val="16"/>
          <w:szCs w:val="16"/>
          <w:color w:val="255993"/>
        </w:rPr>
      </w:pPr>
      <w:r>
        <w:rPr>
          <w:rFonts w:ascii="Arial" w:cs="Arial" w:eastAsia="Arial" w:hAnsi="Arial"/>
          <w:sz w:val="16"/>
          <w:szCs w:val="16"/>
          <w:color w:val="auto"/>
        </w:rPr>
        <w:t>reviews and approves the compensation and benefits for our executive officers;</w:t>
      </w:r>
    </w:p>
    <w:p>
      <w:pPr>
        <w:spacing w:after="0" w:line="45" w:lineRule="exact"/>
        <w:rPr>
          <w:rFonts w:ascii="Arial" w:cs="Arial" w:eastAsia="Arial" w:hAnsi="Arial"/>
          <w:sz w:val="16"/>
          <w:szCs w:val="16"/>
          <w:color w:val="255993"/>
        </w:rPr>
      </w:pPr>
    </w:p>
    <w:p>
      <w:pPr>
        <w:ind w:left="140" w:hanging="134"/>
        <w:spacing w:after="0"/>
        <w:tabs>
          <w:tab w:leader="none" w:pos="140" w:val="left"/>
        </w:tabs>
        <w:numPr>
          <w:ilvl w:val="0"/>
          <w:numId w:val="16"/>
        </w:numPr>
        <w:rPr>
          <w:rFonts w:ascii="Arial" w:cs="Arial" w:eastAsia="Arial" w:hAnsi="Arial"/>
          <w:sz w:val="16"/>
          <w:szCs w:val="16"/>
          <w:color w:val="255993"/>
        </w:rPr>
      </w:pPr>
      <w:r>
        <w:rPr>
          <w:rFonts w:ascii="Arial" w:cs="Arial" w:eastAsia="Arial" w:hAnsi="Arial"/>
          <w:sz w:val="16"/>
          <w:szCs w:val="16"/>
          <w:color w:val="auto"/>
        </w:rPr>
        <w:t>reviews, approves, and administers employee compensation plans;</w:t>
      </w:r>
    </w:p>
    <w:p>
      <w:pPr>
        <w:spacing w:after="0" w:line="32" w:lineRule="exact"/>
        <w:rPr>
          <w:rFonts w:ascii="Arial" w:cs="Arial" w:eastAsia="Arial" w:hAnsi="Arial"/>
          <w:sz w:val="16"/>
          <w:szCs w:val="16"/>
          <w:color w:val="255993"/>
        </w:rPr>
      </w:pPr>
    </w:p>
    <w:p>
      <w:pPr>
        <w:ind w:left="140" w:hanging="134"/>
        <w:spacing w:after="0"/>
        <w:tabs>
          <w:tab w:leader="none" w:pos="140" w:val="left"/>
        </w:tabs>
        <w:numPr>
          <w:ilvl w:val="0"/>
          <w:numId w:val="16"/>
        </w:numPr>
        <w:rPr>
          <w:rFonts w:ascii="Arial" w:cs="Arial" w:eastAsia="Arial" w:hAnsi="Arial"/>
          <w:sz w:val="16"/>
          <w:szCs w:val="16"/>
          <w:color w:val="255993"/>
        </w:rPr>
      </w:pPr>
      <w:r>
        <w:rPr>
          <w:rFonts w:ascii="Arial" w:cs="Arial" w:eastAsia="Arial" w:hAnsi="Arial"/>
          <w:sz w:val="16"/>
          <w:szCs w:val="16"/>
          <w:color w:val="auto"/>
        </w:rPr>
        <w:t>advises on proposals to stockholders on executive compensation matters;</w:t>
      </w:r>
    </w:p>
    <w:p>
      <w:pPr>
        <w:spacing w:after="0" w:line="45" w:lineRule="exact"/>
        <w:rPr>
          <w:rFonts w:ascii="Arial" w:cs="Arial" w:eastAsia="Arial" w:hAnsi="Arial"/>
          <w:sz w:val="16"/>
          <w:szCs w:val="16"/>
          <w:color w:val="255993"/>
        </w:rPr>
      </w:pPr>
    </w:p>
    <w:p>
      <w:pPr>
        <w:ind w:left="140" w:hanging="134"/>
        <w:spacing w:after="0"/>
        <w:tabs>
          <w:tab w:leader="none" w:pos="140" w:val="left"/>
        </w:tabs>
        <w:numPr>
          <w:ilvl w:val="0"/>
          <w:numId w:val="16"/>
        </w:numPr>
        <w:rPr>
          <w:rFonts w:ascii="Arial" w:cs="Arial" w:eastAsia="Arial" w:hAnsi="Arial"/>
          <w:sz w:val="16"/>
          <w:szCs w:val="16"/>
          <w:color w:val="255993"/>
        </w:rPr>
      </w:pPr>
      <w:r>
        <w:rPr>
          <w:rFonts w:ascii="Arial" w:cs="Arial" w:eastAsia="Arial" w:hAnsi="Arial"/>
          <w:sz w:val="16"/>
          <w:szCs w:val="16"/>
          <w:color w:val="auto"/>
        </w:rPr>
        <w:t>oversees compensation plans and programs;</w:t>
      </w:r>
    </w:p>
    <w:p>
      <w:pPr>
        <w:spacing w:after="0" w:line="45" w:lineRule="exact"/>
        <w:rPr>
          <w:rFonts w:ascii="Arial" w:cs="Arial" w:eastAsia="Arial" w:hAnsi="Arial"/>
          <w:sz w:val="16"/>
          <w:szCs w:val="16"/>
          <w:color w:val="255993"/>
        </w:rPr>
      </w:pPr>
    </w:p>
    <w:p>
      <w:pPr>
        <w:ind w:left="140" w:hanging="134"/>
        <w:spacing w:after="0"/>
        <w:tabs>
          <w:tab w:leader="none" w:pos="140" w:val="left"/>
        </w:tabs>
        <w:numPr>
          <w:ilvl w:val="0"/>
          <w:numId w:val="16"/>
        </w:numPr>
        <w:rPr>
          <w:rFonts w:ascii="Arial" w:cs="Arial" w:eastAsia="Arial" w:hAnsi="Arial"/>
          <w:sz w:val="16"/>
          <w:szCs w:val="16"/>
          <w:color w:val="255993"/>
        </w:rPr>
      </w:pPr>
      <w:r>
        <w:rPr>
          <w:rFonts w:ascii="Arial" w:cs="Arial" w:eastAsia="Arial" w:hAnsi="Arial"/>
          <w:sz w:val="16"/>
          <w:szCs w:val="16"/>
          <w:color w:val="auto"/>
        </w:rPr>
        <w:t>reviews and discusses our compensation policies and practices and the risks related thereto;</w:t>
      </w:r>
    </w:p>
    <w:p>
      <w:pPr>
        <w:spacing w:after="0" w:line="32" w:lineRule="exact"/>
        <w:rPr>
          <w:rFonts w:ascii="Arial" w:cs="Arial" w:eastAsia="Arial" w:hAnsi="Arial"/>
          <w:sz w:val="16"/>
          <w:szCs w:val="16"/>
          <w:color w:val="255993"/>
        </w:rPr>
      </w:pPr>
    </w:p>
    <w:p>
      <w:pPr>
        <w:ind w:left="140" w:hanging="134"/>
        <w:spacing w:after="0"/>
        <w:tabs>
          <w:tab w:leader="none" w:pos="140" w:val="left"/>
        </w:tabs>
        <w:numPr>
          <w:ilvl w:val="0"/>
          <w:numId w:val="16"/>
        </w:numPr>
        <w:rPr>
          <w:rFonts w:ascii="Arial" w:cs="Arial" w:eastAsia="Arial" w:hAnsi="Arial"/>
          <w:sz w:val="16"/>
          <w:szCs w:val="16"/>
          <w:color w:val="255993"/>
        </w:rPr>
      </w:pPr>
      <w:r>
        <w:rPr>
          <w:rFonts w:ascii="Arial" w:cs="Arial" w:eastAsia="Arial" w:hAnsi="Arial"/>
          <w:sz w:val="16"/>
          <w:szCs w:val="16"/>
          <w:color w:val="auto"/>
        </w:rPr>
        <w:t>approves the creation or revision of any clawback policy allowing us to recoup compensation paid to employees;</w:t>
      </w:r>
    </w:p>
    <w:p>
      <w:pPr>
        <w:spacing w:after="0" w:line="45" w:lineRule="exact"/>
        <w:rPr>
          <w:rFonts w:ascii="Arial" w:cs="Arial" w:eastAsia="Arial" w:hAnsi="Arial"/>
          <w:sz w:val="16"/>
          <w:szCs w:val="16"/>
          <w:color w:val="255993"/>
        </w:rPr>
      </w:pPr>
    </w:p>
    <w:p>
      <w:pPr>
        <w:ind w:left="140" w:right="200" w:hanging="134"/>
        <w:spacing w:after="0" w:line="272" w:lineRule="auto"/>
        <w:tabs>
          <w:tab w:leader="none" w:pos="140" w:val="left"/>
        </w:tabs>
        <w:numPr>
          <w:ilvl w:val="0"/>
          <w:numId w:val="16"/>
        </w:numPr>
        <w:rPr>
          <w:rFonts w:ascii="Arial" w:cs="Arial" w:eastAsia="Arial" w:hAnsi="Arial"/>
          <w:sz w:val="16"/>
          <w:szCs w:val="16"/>
          <w:color w:val="255993"/>
        </w:rPr>
      </w:pPr>
      <w:r>
        <w:rPr>
          <w:rFonts w:ascii="Arial" w:cs="Arial" w:eastAsia="Arial" w:hAnsi="Arial"/>
          <w:sz w:val="16"/>
          <w:szCs w:val="16"/>
          <w:color w:val="auto"/>
        </w:rPr>
        <w:t>reviews and recommends to the board of directors the form and amount of compensation to be paid for service on the board of directors and committees and for service as a chairperson of a committee;</w:t>
      </w:r>
    </w:p>
    <w:p>
      <w:pPr>
        <w:spacing w:after="0" w:line="1" w:lineRule="exact"/>
        <w:rPr>
          <w:rFonts w:ascii="Arial" w:cs="Arial" w:eastAsia="Arial" w:hAnsi="Arial"/>
          <w:sz w:val="16"/>
          <w:szCs w:val="16"/>
          <w:color w:val="255993"/>
        </w:rPr>
      </w:pPr>
    </w:p>
    <w:p>
      <w:pPr>
        <w:ind w:left="140" w:hanging="134"/>
        <w:spacing w:after="0"/>
        <w:tabs>
          <w:tab w:leader="none" w:pos="140" w:val="left"/>
        </w:tabs>
        <w:numPr>
          <w:ilvl w:val="0"/>
          <w:numId w:val="16"/>
        </w:numPr>
        <w:rPr>
          <w:rFonts w:ascii="Arial" w:cs="Arial" w:eastAsia="Arial" w:hAnsi="Arial"/>
          <w:sz w:val="16"/>
          <w:szCs w:val="16"/>
          <w:color w:val="255993"/>
        </w:rPr>
      </w:pPr>
      <w:r>
        <w:rPr>
          <w:rFonts w:ascii="Arial" w:cs="Arial" w:eastAsia="Arial" w:hAnsi="Arial"/>
          <w:sz w:val="16"/>
          <w:szCs w:val="16"/>
          <w:color w:val="auto"/>
        </w:rPr>
        <w:t>oversees regulatory compliance with respect to compensation matters;</w:t>
      </w:r>
    </w:p>
    <w:p>
      <w:pPr>
        <w:spacing w:after="0" w:line="32" w:lineRule="exact"/>
        <w:rPr>
          <w:rFonts w:ascii="Arial" w:cs="Arial" w:eastAsia="Arial" w:hAnsi="Arial"/>
          <w:sz w:val="16"/>
          <w:szCs w:val="16"/>
          <w:color w:val="255993"/>
        </w:rPr>
      </w:pPr>
    </w:p>
    <w:p>
      <w:pPr>
        <w:ind w:left="140" w:hanging="134"/>
        <w:spacing w:after="0"/>
        <w:tabs>
          <w:tab w:leader="none" w:pos="140" w:val="left"/>
        </w:tabs>
        <w:numPr>
          <w:ilvl w:val="0"/>
          <w:numId w:val="16"/>
        </w:numPr>
        <w:rPr>
          <w:rFonts w:ascii="Arial" w:cs="Arial" w:eastAsia="Arial" w:hAnsi="Arial"/>
          <w:sz w:val="16"/>
          <w:szCs w:val="16"/>
          <w:color w:val="255993"/>
        </w:rPr>
      </w:pPr>
      <w:r>
        <w:rPr>
          <w:rFonts w:ascii="Arial" w:cs="Arial" w:eastAsia="Arial" w:hAnsi="Arial"/>
          <w:sz w:val="16"/>
          <w:szCs w:val="16"/>
          <w:color w:val="auto"/>
        </w:rPr>
        <w:t>retains or obtains the advice of compensation consultants; and</w:t>
      </w:r>
    </w:p>
    <w:p>
      <w:pPr>
        <w:spacing w:after="0" w:line="45" w:lineRule="exact"/>
        <w:rPr>
          <w:rFonts w:ascii="Arial" w:cs="Arial" w:eastAsia="Arial" w:hAnsi="Arial"/>
          <w:sz w:val="16"/>
          <w:szCs w:val="16"/>
          <w:color w:val="255993"/>
        </w:rPr>
      </w:pPr>
    </w:p>
    <w:p>
      <w:pPr>
        <w:ind w:left="140" w:hanging="134"/>
        <w:spacing w:after="0"/>
        <w:tabs>
          <w:tab w:leader="none" w:pos="140" w:val="left"/>
        </w:tabs>
        <w:numPr>
          <w:ilvl w:val="0"/>
          <w:numId w:val="16"/>
        </w:numPr>
        <w:rPr>
          <w:rFonts w:ascii="Arial" w:cs="Arial" w:eastAsia="Arial" w:hAnsi="Arial"/>
          <w:sz w:val="16"/>
          <w:szCs w:val="16"/>
          <w:color w:val="255993"/>
        </w:rPr>
      </w:pPr>
      <w:r>
        <w:rPr>
          <w:rFonts w:ascii="Arial" w:cs="Arial" w:eastAsia="Arial" w:hAnsi="Arial"/>
          <w:sz w:val="16"/>
          <w:szCs w:val="16"/>
          <w:color w:val="auto"/>
        </w:rPr>
        <w:t>reviews the adequacy of the compensation committee charter and recommends any proposed changes to our board of directors.</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NOMINATING AND CORPORATE GOVERNANCE COMMITTEE</w:t>
      </w:r>
    </w:p>
    <w:p>
      <w:pPr>
        <w:spacing w:after="0" w:line="113" w:lineRule="exact"/>
        <w:rPr>
          <w:sz w:val="20"/>
          <w:szCs w:val="20"/>
          <w:color w:val="auto"/>
        </w:rPr>
      </w:pPr>
    </w:p>
    <w:p>
      <w:pPr>
        <w:ind w:right="140"/>
        <w:spacing w:after="0" w:line="252" w:lineRule="auto"/>
        <w:rPr>
          <w:sz w:val="20"/>
          <w:szCs w:val="20"/>
          <w:color w:val="auto"/>
        </w:rPr>
      </w:pPr>
      <w:r>
        <w:rPr>
          <w:rFonts w:ascii="Arial" w:cs="Arial" w:eastAsia="Arial" w:hAnsi="Arial"/>
          <w:sz w:val="16"/>
          <w:szCs w:val="16"/>
          <w:color w:val="auto"/>
        </w:rPr>
        <w:t>The members of our nominating and corporate governance committee are Mses. Romano and Kosacz and Messrs. Edelman and Panzara. Ms. Romano is the chairwoman of our nominating and corporate governance committee. Our nominating and corporate governance committee oversees and assists our board of directors in reviewing and recommending nominees for election as directors. Our nominating and corporate governance committee operates under a written charter that specifies its duties and responsibilities and satisfies the applicable listing standards of Nasdaq. A copy of the charter of our nominating and corporate governance committee is available on our website at https://investors.athira.com/corporate-governance/governance-overview. During our fiscal year ended December 31, 2023, our nominating and corporate governance committee held four meetings (including regularly scheduled and special meetings).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The nominating and corporate governance committee:</w:t>
      </w:r>
    </w:p>
    <w:p>
      <w:pPr>
        <w:spacing w:after="0" w:line="127" w:lineRule="exact"/>
        <w:rPr>
          <w:sz w:val="20"/>
          <w:szCs w:val="20"/>
          <w:color w:val="auto"/>
        </w:rPr>
      </w:pPr>
    </w:p>
    <w:p>
      <w:pPr>
        <w:ind w:left="140" w:hanging="134"/>
        <w:spacing w:after="0"/>
        <w:tabs>
          <w:tab w:leader="none" w:pos="140" w:val="left"/>
        </w:tabs>
        <w:numPr>
          <w:ilvl w:val="0"/>
          <w:numId w:val="17"/>
        </w:numPr>
        <w:rPr>
          <w:rFonts w:ascii="Arial" w:cs="Arial" w:eastAsia="Arial" w:hAnsi="Arial"/>
          <w:sz w:val="16"/>
          <w:szCs w:val="16"/>
          <w:color w:val="255993"/>
        </w:rPr>
      </w:pPr>
      <w:r>
        <w:rPr>
          <w:rFonts w:ascii="Arial" w:cs="Arial" w:eastAsia="Arial" w:hAnsi="Arial"/>
          <w:sz w:val="16"/>
          <w:szCs w:val="16"/>
          <w:color w:val="auto"/>
        </w:rPr>
        <w:t>establishes procedures for the submission of candidates for election to our board of directors;</w:t>
      </w:r>
    </w:p>
    <w:p>
      <w:pPr>
        <w:spacing w:after="0" w:line="45" w:lineRule="exact"/>
        <w:rPr>
          <w:rFonts w:ascii="Arial" w:cs="Arial" w:eastAsia="Arial" w:hAnsi="Arial"/>
          <w:sz w:val="16"/>
          <w:szCs w:val="16"/>
          <w:color w:val="255993"/>
        </w:rPr>
      </w:pPr>
    </w:p>
    <w:p>
      <w:pPr>
        <w:ind w:left="140" w:hanging="134"/>
        <w:spacing w:after="0"/>
        <w:tabs>
          <w:tab w:leader="none" w:pos="140" w:val="left"/>
        </w:tabs>
        <w:numPr>
          <w:ilvl w:val="0"/>
          <w:numId w:val="17"/>
        </w:numPr>
        <w:rPr>
          <w:rFonts w:ascii="Arial" w:cs="Arial" w:eastAsia="Arial" w:hAnsi="Arial"/>
          <w:sz w:val="16"/>
          <w:szCs w:val="16"/>
          <w:color w:val="255993"/>
        </w:rPr>
      </w:pPr>
      <w:r>
        <w:rPr>
          <w:rFonts w:ascii="Arial" w:cs="Arial" w:eastAsia="Arial" w:hAnsi="Arial"/>
          <w:sz w:val="16"/>
          <w:szCs w:val="16"/>
          <w:color w:val="auto"/>
        </w:rPr>
        <w:t>conducts a periodic review of our succession planning process for the executive management team;</w:t>
      </w:r>
    </w:p>
    <w:p>
      <w:pPr>
        <w:spacing w:after="0" w:line="32" w:lineRule="exact"/>
        <w:rPr>
          <w:rFonts w:ascii="Arial" w:cs="Arial" w:eastAsia="Arial" w:hAnsi="Arial"/>
          <w:sz w:val="16"/>
          <w:szCs w:val="16"/>
          <w:color w:val="255993"/>
        </w:rPr>
      </w:pPr>
    </w:p>
    <w:p>
      <w:pPr>
        <w:ind w:left="140" w:right="700" w:hanging="134"/>
        <w:spacing w:after="0" w:line="272" w:lineRule="auto"/>
        <w:tabs>
          <w:tab w:leader="none" w:pos="140" w:val="left"/>
        </w:tabs>
        <w:numPr>
          <w:ilvl w:val="0"/>
          <w:numId w:val="17"/>
        </w:numPr>
        <w:rPr>
          <w:rFonts w:ascii="Arial" w:cs="Arial" w:eastAsia="Arial" w:hAnsi="Arial"/>
          <w:sz w:val="16"/>
          <w:szCs w:val="16"/>
          <w:color w:val="255993"/>
        </w:rPr>
      </w:pPr>
      <w:r>
        <w:rPr>
          <w:rFonts w:ascii="Arial" w:cs="Arial" w:eastAsia="Arial" w:hAnsi="Arial"/>
          <w:sz w:val="16"/>
          <w:szCs w:val="16"/>
          <w:color w:val="auto"/>
        </w:rPr>
        <w:t>reviews the structure and composition of each committee of our board of directors and makes recommendations for any proposed changes to the committees;</w:t>
      </w:r>
    </w:p>
    <w:p>
      <w:pPr>
        <w:spacing w:after="0" w:line="1" w:lineRule="exact"/>
        <w:rPr>
          <w:rFonts w:ascii="Arial" w:cs="Arial" w:eastAsia="Arial" w:hAnsi="Arial"/>
          <w:sz w:val="16"/>
          <w:szCs w:val="16"/>
          <w:color w:val="255993"/>
        </w:rPr>
      </w:pPr>
    </w:p>
    <w:p>
      <w:pPr>
        <w:ind w:left="140" w:right="600" w:hanging="134"/>
        <w:spacing w:after="0" w:line="272" w:lineRule="auto"/>
        <w:tabs>
          <w:tab w:leader="none" w:pos="140" w:val="left"/>
        </w:tabs>
        <w:numPr>
          <w:ilvl w:val="0"/>
          <w:numId w:val="17"/>
        </w:numPr>
        <w:rPr>
          <w:rFonts w:ascii="Arial" w:cs="Arial" w:eastAsia="Arial" w:hAnsi="Arial"/>
          <w:sz w:val="16"/>
          <w:szCs w:val="16"/>
          <w:color w:val="255993"/>
        </w:rPr>
      </w:pPr>
      <w:r>
        <w:rPr>
          <w:rFonts w:ascii="Arial" w:cs="Arial" w:eastAsia="Arial" w:hAnsi="Arial"/>
          <w:sz w:val="16"/>
          <w:szCs w:val="16"/>
          <w:color w:val="auto"/>
        </w:rPr>
        <w:t>develops and recommends to the board of directors corporate governance guidelines and annually reviews the corporate governance guidelines and their application;</w:t>
      </w:r>
    </w:p>
    <w:p>
      <w:pPr>
        <w:spacing w:after="0" w:line="1" w:lineRule="exact"/>
        <w:rPr>
          <w:rFonts w:ascii="Arial" w:cs="Arial" w:eastAsia="Arial" w:hAnsi="Arial"/>
          <w:sz w:val="16"/>
          <w:szCs w:val="16"/>
          <w:color w:val="255993"/>
        </w:rPr>
      </w:pPr>
    </w:p>
    <w:p>
      <w:pPr>
        <w:ind w:left="140" w:hanging="134"/>
        <w:spacing w:after="0"/>
        <w:tabs>
          <w:tab w:leader="none" w:pos="140" w:val="left"/>
        </w:tabs>
        <w:numPr>
          <w:ilvl w:val="0"/>
          <w:numId w:val="17"/>
        </w:numPr>
        <w:rPr>
          <w:rFonts w:ascii="Arial" w:cs="Arial" w:eastAsia="Arial" w:hAnsi="Arial"/>
          <w:sz w:val="16"/>
          <w:szCs w:val="16"/>
          <w:color w:val="255993"/>
        </w:rPr>
      </w:pPr>
      <w:r>
        <w:rPr>
          <w:rFonts w:ascii="Arial" w:cs="Arial" w:eastAsia="Arial" w:hAnsi="Arial"/>
          <w:sz w:val="16"/>
          <w:szCs w:val="16"/>
          <w:color w:val="auto"/>
        </w:rPr>
        <w:t>oversees governance practices;</w:t>
      </w:r>
    </w:p>
    <w:p>
      <w:pPr>
        <w:spacing w:after="0" w:line="32" w:lineRule="exact"/>
        <w:rPr>
          <w:rFonts w:ascii="Arial" w:cs="Arial" w:eastAsia="Arial" w:hAnsi="Arial"/>
          <w:sz w:val="16"/>
          <w:szCs w:val="16"/>
          <w:color w:val="255993"/>
        </w:rPr>
      </w:pPr>
    </w:p>
    <w:p>
      <w:pPr>
        <w:ind w:left="140" w:hanging="134"/>
        <w:spacing w:after="0"/>
        <w:tabs>
          <w:tab w:leader="none" w:pos="140" w:val="left"/>
        </w:tabs>
        <w:numPr>
          <w:ilvl w:val="0"/>
          <w:numId w:val="17"/>
        </w:numPr>
        <w:rPr>
          <w:rFonts w:ascii="Arial" w:cs="Arial" w:eastAsia="Arial" w:hAnsi="Arial"/>
          <w:sz w:val="16"/>
          <w:szCs w:val="16"/>
          <w:color w:val="255993"/>
        </w:rPr>
      </w:pPr>
      <w:r>
        <w:rPr>
          <w:rFonts w:ascii="Arial" w:cs="Arial" w:eastAsia="Arial" w:hAnsi="Arial"/>
          <w:sz w:val="16"/>
          <w:szCs w:val="16"/>
          <w:color w:val="auto"/>
        </w:rPr>
        <w:t>oversees our director orientation and continuing education;</w:t>
      </w:r>
    </w:p>
    <w:p>
      <w:pPr>
        <w:spacing w:after="0" w:line="45" w:lineRule="exact"/>
        <w:rPr>
          <w:rFonts w:ascii="Arial" w:cs="Arial" w:eastAsia="Arial" w:hAnsi="Arial"/>
          <w:sz w:val="16"/>
          <w:szCs w:val="16"/>
          <w:color w:val="255993"/>
        </w:rPr>
      </w:pPr>
    </w:p>
    <w:p>
      <w:pPr>
        <w:ind w:left="140" w:hanging="134"/>
        <w:spacing w:after="0"/>
        <w:tabs>
          <w:tab w:leader="none" w:pos="140" w:val="left"/>
        </w:tabs>
        <w:numPr>
          <w:ilvl w:val="0"/>
          <w:numId w:val="17"/>
        </w:numPr>
        <w:rPr>
          <w:rFonts w:ascii="Arial" w:cs="Arial" w:eastAsia="Arial" w:hAnsi="Arial"/>
          <w:sz w:val="16"/>
          <w:szCs w:val="16"/>
          <w:color w:val="255993"/>
        </w:rPr>
      </w:pPr>
      <w:r>
        <w:rPr>
          <w:rFonts w:ascii="Arial" w:cs="Arial" w:eastAsia="Arial" w:hAnsi="Arial"/>
          <w:sz w:val="16"/>
          <w:szCs w:val="16"/>
          <w:color w:val="auto"/>
        </w:rPr>
        <w:t>oversees the evaluation of our board of directors and its committees;</w:t>
      </w:r>
    </w:p>
    <w:p>
      <w:pPr>
        <w:spacing w:after="0" w:line="45" w:lineRule="exact"/>
        <w:rPr>
          <w:rFonts w:ascii="Arial" w:cs="Arial" w:eastAsia="Arial" w:hAnsi="Arial"/>
          <w:sz w:val="16"/>
          <w:szCs w:val="16"/>
          <w:color w:val="255993"/>
        </w:rPr>
      </w:pPr>
    </w:p>
    <w:p>
      <w:pPr>
        <w:ind w:left="140" w:right="860" w:hanging="134"/>
        <w:spacing w:after="0" w:line="264" w:lineRule="auto"/>
        <w:tabs>
          <w:tab w:leader="none" w:pos="140" w:val="left"/>
        </w:tabs>
        <w:numPr>
          <w:ilvl w:val="0"/>
          <w:numId w:val="17"/>
        </w:numPr>
        <w:rPr>
          <w:rFonts w:ascii="Arial" w:cs="Arial" w:eastAsia="Arial" w:hAnsi="Arial"/>
          <w:sz w:val="16"/>
          <w:szCs w:val="16"/>
          <w:color w:val="255993"/>
        </w:rPr>
      </w:pPr>
      <w:r>
        <w:rPr>
          <w:rFonts w:ascii="Arial" w:cs="Arial" w:eastAsia="Arial" w:hAnsi="Arial"/>
          <w:sz w:val="16"/>
          <w:szCs w:val="16"/>
          <w:color w:val="auto"/>
        </w:rPr>
        <w:t>administers policies and procedures for various constituencies that are involved with us to communicate with the non-management members of our board of directors;</w:t>
      </w:r>
    </w:p>
    <w:p>
      <w:pPr>
        <w:ind w:left="140" w:right="600" w:hanging="134"/>
        <w:spacing w:after="0" w:line="272" w:lineRule="auto"/>
        <w:tabs>
          <w:tab w:leader="none" w:pos="140" w:val="left"/>
        </w:tabs>
        <w:numPr>
          <w:ilvl w:val="0"/>
          <w:numId w:val="17"/>
        </w:numPr>
        <w:rPr>
          <w:rFonts w:ascii="Arial" w:cs="Arial" w:eastAsia="Arial" w:hAnsi="Arial"/>
          <w:sz w:val="16"/>
          <w:szCs w:val="16"/>
          <w:color w:val="255993"/>
        </w:rPr>
      </w:pPr>
      <w:r>
        <w:rPr>
          <w:rFonts w:ascii="Arial" w:cs="Arial" w:eastAsia="Arial" w:hAnsi="Arial"/>
          <w:sz w:val="16"/>
          <w:szCs w:val="16"/>
          <w:color w:val="auto"/>
        </w:rPr>
        <w:t>oversees and periodically reviews the Company’s ESG activities, programs and public disclosure, including in light of any feedback received from stockholders of the Company; and</w:t>
      </w:r>
    </w:p>
    <w:p>
      <w:pPr>
        <w:spacing w:after="0" w:line="1" w:lineRule="exact"/>
        <w:rPr>
          <w:rFonts w:ascii="Arial" w:cs="Arial" w:eastAsia="Arial" w:hAnsi="Arial"/>
          <w:sz w:val="16"/>
          <w:szCs w:val="16"/>
          <w:color w:val="255993"/>
        </w:rPr>
      </w:pPr>
    </w:p>
    <w:p>
      <w:pPr>
        <w:ind w:left="140" w:right="140" w:hanging="134"/>
        <w:spacing w:after="0" w:line="286" w:lineRule="auto"/>
        <w:tabs>
          <w:tab w:leader="none" w:pos="140" w:val="left"/>
        </w:tabs>
        <w:numPr>
          <w:ilvl w:val="0"/>
          <w:numId w:val="17"/>
        </w:numPr>
        <w:rPr>
          <w:rFonts w:ascii="Arial" w:cs="Arial" w:eastAsia="Arial" w:hAnsi="Arial"/>
          <w:sz w:val="16"/>
          <w:szCs w:val="16"/>
          <w:color w:val="255993"/>
        </w:rPr>
      </w:pPr>
      <w:r>
        <w:rPr>
          <w:rFonts w:ascii="Arial" w:cs="Arial" w:eastAsia="Arial" w:hAnsi="Arial"/>
          <w:sz w:val="16"/>
          <w:szCs w:val="16"/>
          <w:color w:val="auto"/>
        </w:rPr>
        <w:t>reviews the adequacy of the nominating and corporate governance committee charter and recommends any proposed changes to our board of directors.</w:t>
      </w:r>
    </w:p>
    <w:p>
      <w:pPr>
        <w:spacing w:after="0" w:line="160" w:lineRule="exact"/>
        <w:rPr>
          <w:sz w:val="20"/>
          <w:szCs w:val="20"/>
          <w:color w:val="auto"/>
        </w:rPr>
      </w:pPr>
    </w:p>
    <w:p>
      <w:pPr>
        <w:spacing w:after="0"/>
        <w:tabs>
          <w:tab w:leader="none" w:pos="4600" w:val="left"/>
          <w:tab w:leader="none" w:pos="7960" w:val="left"/>
        </w:tabs>
        <w:rPr>
          <w:sz w:val="20"/>
          <w:szCs w:val="20"/>
          <w:color w:val="auto"/>
        </w:rPr>
      </w:pPr>
      <w:r>
        <w:rPr>
          <w:rFonts w:ascii="Arial" w:cs="Arial" w:eastAsia="Arial" w:hAnsi="Arial"/>
          <w:sz w:val="14"/>
          <w:szCs w:val="14"/>
          <w:color w:val="255993"/>
        </w:rPr>
        <w:t>Athira Pharma, Inc.</w:t>
      </w:r>
      <w:r>
        <w:rPr>
          <w:sz w:val="20"/>
          <w:szCs w:val="20"/>
          <w:color w:val="auto"/>
        </w:rPr>
        <w:tab/>
      </w:r>
      <w:r>
        <w:rPr>
          <w:rFonts w:ascii="Arial" w:cs="Arial" w:eastAsia="Arial" w:hAnsi="Arial"/>
          <w:sz w:val="14"/>
          <w:szCs w:val="14"/>
          <w:b w:val="1"/>
          <w:bCs w:val="1"/>
          <w:color w:val="255993"/>
        </w:rPr>
        <w:t>19</w:t>
      </w:r>
      <w:r>
        <w:rPr>
          <w:sz w:val="20"/>
          <w:szCs w:val="20"/>
          <w:color w:val="auto"/>
        </w:rPr>
        <w:tab/>
      </w:r>
      <w:r>
        <w:rPr>
          <w:rFonts w:ascii="Arial" w:cs="Arial" w:eastAsia="Arial" w:hAnsi="Arial"/>
          <w:sz w:val="14"/>
          <w:szCs w:val="14"/>
          <w:color w:val="255993"/>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118110</wp:posOffset>
            </wp:positionV>
            <wp:extent cx="699516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263" w:right="12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255993"/>
        </w:rPr>
        <w:t>Board of Directors and Corporate Governance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CONSIDERATIONS IN EVALUATING DIRECTOR NOMINEES</w:t>
      </w:r>
    </w:p>
    <w:p>
      <w:pPr>
        <w:spacing w:after="0" w:line="108"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Our nominating and corporate governance committee uses a variety of methods for identifying and evaluating potential director nominees. In its evaluation of director candidates, including the current directors eligible for re-election, our nominating and corporate governance committee will consider the current size and composition of our board of directors and the needs of our board of directors and the respective committees of our board of directors and other director qualifications. While our board of directors has not established minimum qualifications for board members, some of the factors that our nominating and corporate governance committee considers in assessing director nominee qualifications include, without limitation, character, professional ethics and integrity, judgment, business acumen, proven achievement and competence in one’s field, the ability to exercise sound business judgment, tenure on the board of directors and skills that are complementary to the board of directors, an understanding of our business, an understanding of the responsibilities that are required of a member of the board of directors, other time commitments, diversity with respect to professional background, education, race, ethnicity, gender, age and geography, as well as other individual qualities and attributes that contribute to the total mix of viewpoints and experience represented on our board of directors. Although our board of directors does not maintain a specific policy with respect to board diversity, our board of directors believes that the board of directors should be a diverse body, and the nominating and corporate governance committee considers a broad range of perspectives, backgrounds and experiences.</w:t>
      </w:r>
    </w:p>
    <w:p>
      <w:pPr>
        <w:spacing w:after="0" w:line="122"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color w:val="auto"/>
        </w:rPr>
        <w:t>If our nominating and corporate governance committee determines that an additional or replacement director is required, then the committee may take such measures as it considers appropriate in connection with its evaluation of a director candidate, including candidate interviews, inquiry of the person or persons making the recommendation or nomination, engagement of an outside search firm to gather additional information, or reliance on the knowledge of the members of the committee, board of directors or management.</w:t>
      </w:r>
    </w:p>
    <w:p>
      <w:pPr>
        <w:spacing w:after="0" w:line="112"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After completing its review and evaluation of director candidates, our nominating and corporate governance committee recommends to our full board of directors the director nominees for selection. Our nominating and corporate governance committee has discretion to decide which individuals to recommend for nomination as directors and our board of directors has the final authority in determining the selection of director candidates for nomination to our board of directors.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STOCKHOLDER RECOMMENDATIONS AND NOMINATIONS TO OUR BOARD OF DIRECTORS</w:t>
      </w:r>
    </w:p>
    <w:p>
      <w:pPr>
        <w:spacing w:after="0" w:line="108"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Our nominating and corporate governance committee will consider recommendations for candidates to our board of directors from stockholders in the same manner as candidates recommended to the committee from other sources. Our nominating and corporate governance committee will evaluate such recommendations in accordance with its charter, the Bylaws and the director nominee criteria described above.</w:t>
      </w:r>
    </w:p>
    <w:p>
      <w:pPr>
        <w:spacing w:after="0" w:line="110" w:lineRule="exact"/>
        <w:rPr>
          <w:sz w:val="20"/>
          <w:szCs w:val="20"/>
          <w:color w:val="auto"/>
        </w:rPr>
      </w:pPr>
    </w:p>
    <w:p>
      <w:pPr>
        <w:ind w:right="120"/>
        <w:spacing w:after="0" w:line="252" w:lineRule="auto"/>
        <w:rPr>
          <w:sz w:val="20"/>
          <w:szCs w:val="20"/>
          <w:color w:val="auto"/>
        </w:rPr>
      </w:pPr>
      <w:r>
        <w:rPr>
          <w:rFonts w:ascii="Arial" w:cs="Arial" w:eastAsia="Arial" w:hAnsi="Arial"/>
          <w:sz w:val="16"/>
          <w:szCs w:val="16"/>
          <w:color w:val="auto"/>
        </w:rPr>
        <w:t>A stockholder that wants to recommend a candidate to our board of directors should direct the recommendation in writing by letter to our corporate secretary at Athira Pharma, Inc., 18706 North Creek Parkway, Suite 104, Bothell, Washington 98011, Attention: Corporate Secretary. Such recommendation must include the candidate’s name, home and business contact information, detailed biographical data, relevant qualifications, a signed letter from the candidate confirming willingness to serve, information regarding any relationships between the candidate and us, and evidence of the recommending stockholder’s ownership of our capital stock. Such recommendation must also include a statement from the recommending stockholder in support of the candidate. Our nominating and corporate governance committee has discretion to decide which individuals to recommend for nomination as directors.</w:t>
      </w:r>
    </w:p>
    <w:p>
      <w:pPr>
        <w:spacing w:after="0" w:line="102"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color w:val="auto"/>
        </w:rPr>
        <w:t>Under the Bylaws, stockholders may also directly nominate persons for our board of directors. Any nomination must comply with the requirements set forth in the Bylaws and the rules and regulations of the SEC and should be sent in writing to our corporate secretary at the address above. To be timely for our next year’s annual meeting of stockholders, nominations must be received by our corporate secretary observing the deadlines discussed above under “</w:t>
      </w:r>
      <w:r>
        <w:rPr>
          <w:rFonts w:ascii="Arial" w:cs="Arial" w:eastAsia="Arial" w:hAnsi="Arial"/>
          <w:sz w:val="16"/>
          <w:szCs w:val="16"/>
          <w:i w:val="1"/>
          <w:iCs w:val="1"/>
          <w:color w:val="auto"/>
        </w:rPr>
        <w:t>Questions and Answers About the Proxy Materials and</w:t>
      </w:r>
      <w:r>
        <w:rPr>
          <w:rFonts w:ascii="Arial" w:cs="Arial" w:eastAsia="Arial" w:hAnsi="Arial"/>
          <w:sz w:val="16"/>
          <w:szCs w:val="16"/>
          <w:color w:val="auto"/>
        </w:rPr>
        <w:t xml:space="preserve"> </w:t>
      </w:r>
      <w:r>
        <w:rPr>
          <w:rFonts w:ascii="Arial" w:cs="Arial" w:eastAsia="Arial" w:hAnsi="Arial"/>
          <w:sz w:val="16"/>
          <w:szCs w:val="16"/>
          <w:i w:val="1"/>
          <w:iCs w:val="1"/>
          <w:color w:val="auto"/>
        </w:rPr>
        <w:t>our Annual Meeting—What is the deadline to propose actions for consideration at next year’s annual meeting of stockholders or to nominate individuals to serve as directors?</w:t>
      </w:r>
      <w:r>
        <w:rPr>
          <w:rFonts w:ascii="Arial" w:cs="Arial" w:eastAsia="Arial" w:hAnsi="Arial"/>
          <w:sz w:val="16"/>
          <w:szCs w:val="16"/>
          <w:color w:val="auto"/>
        </w:rPr>
        <w:t>”</w:t>
      </w:r>
    </w:p>
    <w:p>
      <w:pPr>
        <w:spacing w:after="0" w:line="187" w:lineRule="exact"/>
        <w:rPr>
          <w:sz w:val="20"/>
          <w:szCs w:val="20"/>
          <w:color w:val="auto"/>
        </w:rPr>
      </w:pPr>
    </w:p>
    <w:p>
      <w:pPr>
        <w:spacing w:after="0"/>
        <w:tabs>
          <w:tab w:leader="none" w:pos="4600" w:val="left"/>
          <w:tab w:leader="none" w:pos="7960" w:val="left"/>
        </w:tabs>
        <w:rPr>
          <w:sz w:val="20"/>
          <w:szCs w:val="20"/>
          <w:color w:val="auto"/>
        </w:rPr>
      </w:pPr>
      <w:r>
        <w:rPr>
          <w:rFonts w:ascii="Arial" w:cs="Arial" w:eastAsia="Arial" w:hAnsi="Arial"/>
          <w:sz w:val="14"/>
          <w:szCs w:val="14"/>
          <w:color w:val="255993"/>
        </w:rPr>
        <w:t>Athira Pharma, Inc.</w:t>
      </w:r>
      <w:r>
        <w:rPr>
          <w:sz w:val="20"/>
          <w:szCs w:val="20"/>
          <w:color w:val="auto"/>
        </w:rPr>
        <w:tab/>
      </w:r>
      <w:r>
        <w:rPr>
          <w:rFonts w:ascii="Arial" w:cs="Arial" w:eastAsia="Arial" w:hAnsi="Arial"/>
          <w:sz w:val="14"/>
          <w:szCs w:val="14"/>
          <w:b w:val="1"/>
          <w:bCs w:val="1"/>
          <w:color w:val="255993"/>
        </w:rPr>
        <w:t>20</w:t>
      </w:r>
      <w:r>
        <w:rPr>
          <w:sz w:val="20"/>
          <w:szCs w:val="20"/>
          <w:color w:val="auto"/>
        </w:rPr>
        <w:tab/>
      </w:r>
      <w:r>
        <w:rPr>
          <w:rFonts w:ascii="Arial" w:cs="Arial" w:eastAsia="Arial" w:hAnsi="Arial"/>
          <w:sz w:val="14"/>
          <w:szCs w:val="14"/>
          <w:color w:val="255993"/>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126365</wp:posOffset>
            </wp:positionV>
            <wp:extent cx="699516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263" w:right="12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jc w:val="right"/>
        <w:spacing w:after="0"/>
        <w:rPr>
          <w:sz w:val="20"/>
          <w:szCs w:val="20"/>
          <w:color w:val="auto"/>
        </w:rPr>
      </w:pPr>
      <w:r>
        <w:rPr>
          <w:rFonts w:ascii="Arial" w:cs="Arial" w:eastAsia="Arial" w:hAnsi="Arial"/>
          <w:sz w:val="14"/>
          <w:szCs w:val="14"/>
          <w:color w:val="255993"/>
        </w:rPr>
        <w:t>Board of Directors and Corporate Governance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COMMUNICATIONS WITH THE BOARD OF DIRECTORS</w:t>
      </w:r>
    </w:p>
    <w:p>
      <w:pPr>
        <w:spacing w:after="0" w:line="108"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Stockholders and other interested parties wishing to communicate directly with our non-employee directors may do so by writing and sending the correspondence to our corporate secretary by mail to our principal executive offices at Athira Pharma, Inc., 18706 North Creek Parkway, Suite 104, Bothell, Washington 98011. Our corporate secretary, in consultation with appropriate directors as necessary, will review all incoming communications and screen for communications that (1) are solicitations for products and services, (2) relate to matters of a personal nature not relevant for our stockholders to act on or for our board of directors to consider and (3) matters that are of a type that render them improper or irrelevant to the functioning of our board of directors or our business, for example, mass mailings, product complaints or inquiries, job inquiries, business solicitations and patently offensive or otherwise inappropriate material. If appropriate, our corporate secretary will route such communications to the appropriate director(s) or, if none is specified, then to the chairperson of the board of directors. These policies and procedures do not apply to communications to non-employee directors from our officers or directors who are stockholders or stockholder proposals submitted pursuant to Rule 14a-8 under the Exchange Act.</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POLICY PROHIBITING HEDGING OR PLEDGING OF SECURITIES</w:t>
      </w:r>
    </w:p>
    <w:p>
      <w:pPr>
        <w:spacing w:after="0" w:line="108"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Under our insider trading policy, our employees, including our executive officers, consultants, contractors, advisors, and the members of our board of directors are prohibited from, directly or indirectly, among other things, (1) engaging in short sales, (2) trading in publicly-traded options, such as puts and calls, and other derivative securities with respect to our securities (other than stock options, restricted stock units and other compensatory awards issued to such individuals by us), (3) purchasing financial instruments (including prepaid variable forward contracts, equity swaps, collars and exchange funds), or otherwise engaging in transactions that hedge or offset, or are designed to hedge or offset, any decrease in the market value of equity securities granted to them by us as part of their compensation or held, directly or indirectly, by them, (4) pledging any of our securities as collateral for any loans or as part of any other pledging transaction and (5) holding our securities in a margin account.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CODE OF BUSINESS CONDUCT AND ETHICS</w:t>
      </w:r>
    </w:p>
    <w:p>
      <w:pPr>
        <w:spacing w:after="0" w:line="108"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We have adopted a written code of business conduct and ethics that applies to our directors, officers and employees, including our principal executive officer, principal financial officer, principal accounting officer or controller, or persons performing similar functions. A copy of the code is posted on the investor section of our website at https://investors.athira.com/corporate-governance/ governance-overview. We will post amendments to our code of business conduct and ethics or waivers of our code of business conduct and ethics for directors and executive officers on the same website.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ENVIRONMENTAL, SOCIAL AND GOVERNANCE (ESG) AND RELATED MATTERS</w:t>
      </w:r>
    </w:p>
    <w:p>
      <w:pPr>
        <w:spacing w:after="0" w:line="108"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Our ESG strategy is focused on areas that are material to our business and clearly connected to our business operations. We expect our ESG strategy to evolve as we continue to assess the appropriate framework for our disclosures and appropriate metrics to measure our actions. Our nominating and corporate governance committee has oversight of our overall ESG activities and programs, and we have discussed elsewhere in this proxy statement certain of our corporate governance policies and programs, including our code of business conduct and ethics, corporate governance guidelines, related-person transactions policy, clawback policy, and overall commitment to diversity of experience, gender, race and ethnicity to seek to ensure that there is diversity of thought among our directors. We also require training and compliance with other corporate policies including our whistleblower policy, global anti-bribery and anti-corruption policy, and insider trading policy and various quality assurance, cybersecurity and safety protocols.</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CORE VALUES</w:t>
      </w:r>
    </w:p>
    <w:p>
      <w:pPr>
        <w:spacing w:after="0" w:line="113"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At Athira, we are guided by our mission to restore lives by advancing bold therapies for neuronal health, thoughtfully and urgently. We are committed to restoring, rebuilding and retaining connections. Our core values of people, integrity, collaboration, perseverance, transformation, inclusion and resourcefulness serve to guide us on our path toward achieving our mission. Our core values establish the foundation for how we conduct our business, how we interact with each other and our stakeholders, and how we evaluate employee performance.</w:t>
      </w:r>
    </w:p>
    <w:p>
      <w:pPr>
        <w:spacing w:after="0" w:line="185" w:lineRule="exact"/>
        <w:rPr>
          <w:sz w:val="20"/>
          <w:szCs w:val="20"/>
          <w:color w:val="auto"/>
        </w:rPr>
      </w:pPr>
    </w:p>
    <w:p>
      <w:pPr>
        <w:spacing w:after="0"/>
        <w:tabs>
          <w:tab w:leader="none" w:pos="4600" w:val="left"/>
          <w:tab w:leader="none" w:pos="7960" w:val="left"/>
        </w:tabs>
        <w:rPr>
          <w:sz w:val="20"/>
          <w:szCs w:val="20"/>
          <w:color w:val="auto"/>
        </w:rPr>
      </w:pPr>
      <w:r>
        <w:rPr>
          <w:rFonts w:ascii="Arial" w:cs="Arial" w:eastAsia="Arial" w:hAnsi="Arial"/>
          <w:sz w:val="14"/>
          <w:szCs w:val="14"/>
          <w:color w:val="255993"/>
        </w:rPr>
        <w:t>Athira Pharma, Inc.</w:t>
      </w:r>
      <w:r>
        <w:rPr>
          <w:sz w:val="20"/>
          <w:szCs w:val="20"/>
          <w:color w:val="auto"/>
        </w:rPr>
        <w:tab/>
      </w:r>
      <w:r>
        <w:rPr>
          <w:rFonts w:ascii="Arial" w:cs="Arial" w:eastAsia="Arial" w:hAnsi="Arial"/>
          <w:sz w:val="14"/>
          <w:szCs w:val="14"/>
          <w:b w:val="1"/>
          <w:bCs w:val="1"/>
          <w:color w:val="255993"/>
        </w:rPr>
        <w:t>21</w:t>
      </w:r>
      <w:r>
        <w:rPr>
          <w:sz w:val="20"/>
          <w:szCs w:val="20"/>
          <w:color w:val="auto"/>
        </w:rPr>
        <w:tab/>
      </w:r>
      <w:r>
        <w:rPr>
          <w:rFonts w:ascii="Arial" w:cs="Arial" w:eastAsia="Arial" w:hAnsi="Arial"/>
          <w:sz w:val="14"/>
          <w:szCs w:val="14"/>
          <w:color w:val="255993"/>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126365</wp:posOffset>
            </wp:positionV>
            <wp:extent cx="699516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263" w:right="12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255993"/>
        </w:rPr>
        <w:t>Board of Directors and Corporate Governance</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EMPLOYEES</w:t>
      </w:r>
    </w:p>
    <w:p>
      <w:pPr>
        <w:spacing w:after="0" w:line="113"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The hiring, engagement and retention of a skilled workforce is particularly important in the highly competitive scientific fields in which we operate. Our employees play a key role in our ability to achieve our mission, and we strive to attract, empower and retain highly qualified employees who are inspired, diverse and driven. To attract and retain top talent, we strive to create opportunities for our employees to grow and develop in their careers and ensure they are supported by competitive compensation and a comprehensive benefits program.</w:t>
      </w:r>
    </w:p>
    <w:p>
      <w:pPr>
        <w:spacing w:after="0" w:line="112"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We believe employee career development is an investment in our employees’ skills and our future. Additionally, we have an employee review program which evaluates employee performance and is designed to support our employees’ career and personal development, which ultimately contributes to achieving our mission.</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We believe it is important to encourage open and direct communication at all levels in our organization.</w:t>
      </w:r>
    </w:p>
    <w:p>
      <w:pPr>
        <w:spacing w:after="0" w:line="140"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color w:val="auto"/>
        </w:rPr>
        <w:t>We believe we provide competitive and comprehensive financial compensation and benefits for our employees and that our programs are designed to meet our employees’ needs. In addition to salaries, these programs include, for eligible employees, new employee equity grants, additional discretionary equity awards, discretionary merit-based annual bonuses, a voluntary employee stock purchase program, a 401(k) plan with company matching, healthcare and insurance benefits, health flexible spending accounts, dependent care flexible spending accounts, professional development opportunities and reimbursement, paid time off, and family leave.</w:t>
      </w: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INCREASING DIVERSITY AND INCLUSION IN CLINICAL TRIAL RECRUITMENT</w:t>
      </w:r>
    </w:p>
    <w:p>
      <w:pPr>
        <w:spacing w:after="0" w:line="113"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We strive to increase diversity and inclusion in our clinical trials, as appropriate, and have taken steps to recruit historically underrepresented patient populations. We are committed to helping to make potential scientific advances available to all applicable patients.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OPEN-LABEL EXTENSION</w:t>
      </w:r>
    </w:p>
    <w:p>
      <w:pPr>
        <w:spacing w:after="0" w:line="113" w:lineRule="exact"/>
        <w:rPr>
          <w:sz w:val="20"/>
          <w:szCs w:val="20"/>
          <w:color w:val="auto"/>
        </w:rPr>
      </w:pPr>
    </w:p>
    <w:p>
      <w:pPr>
        <w:ind w:right="180"/>
        <w:spacing w:after="0" w:line="259" w:lineRule="auto"/>
        <w:rPr>
          <w:sz w:val="20"/>
          <w:szCs w:val="20"/>
          <w:color w:val="auto"/>
        </w:rPr>
      </w:pPr>
      <w:r>
        <w:rPr>
          <w:rFonts w:ascii="Arial" w:cs="Arial" w:eastAsia="Arial" w:hAnsi="Arial"/>
          <w:sz w:val="16"/>
          <w:szCs w:val="16"/>
          <w:color w:val="auto"/>
        </w:rPr>
        <w:t>Finally, we have extended our ACT-AD and LIFT-AD clinical trials in an open label extension intended to continue access to our current drug candidate for Alzheimer’s disease in support of the patients in those clinical trials and their caregivers who are faced with such a devastating disease, again in furtherance of our mission to restore lives by advancing bold therapies for neuronal health, thoughtfully and urgently.</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DIRECTOR COMPENSATION</w:t>
      </w:r>
    </w:p>
    <w:p>
      <w:pPr>
        <w:spacing w:after="0" w:line="108"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following table provides information regarding compensation of our non-employee directors for service as directors for the year ended December 31, 2023.</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337"/>
        </w:trPr>
        <w:tc>
          <w:tcPr>
            <w:tcW w:w="3660" w:type="dxa"/>
            <w:vAlign w:val="bottom"/>
            <w:shd w:val="clear" w:color="auto" w:fill="255993"/>
          </w:tcPr>
          <w:p>
            <w:pPr>
              <w:spacing w:after="0"/>
              <w:rPr>
                <w:sz w:val="24"/>
                <w:szCs w:val="24"/>
                <w:color w:val="auto"/>
              </w:rPr>
            </w:pPr>
          </w:p>
        </w:tc>
        <w:tc>
          <w:tcPr>
            <w:tcW w:w="2980" w:type="dxa"/>
            <w:vAlign w:val="bottom"/>
            <w:shd w:val="clear" w:color="auto" w:fill="255993"/>
          </w:tcPr>
          <w:p>
            <w:pPr>
              <w:jc w:val="right"/>
              <w:ind w:right="305"/>
              <w:spacing w:after="0"/>
              <w:rPr>
                <w:sz w:val="20"/>
                <w:szCs w:val="20"/>
                <w:color w:val="auto"/>
              </w:rPr>
            </w:pPr>
            <w:r>
              <w:rPr>
                <w:rFonts w:ascii="Arial" w:cs="Arial" w:eastAsia="Arial" w:hAnsi="Arial"/>
                <w:sz w:val="16"/>
                <w:szCs w:val="16"/>
                <w:b w:val="1"/>
                <w:bCs w:val="1"/>
                <w:color w:val="FFFFFF"/>
              </w:rPr>
              <w:t>Fees Earned or</w:t>
            </w:r>
          </w:p>
        </w:tc>
        <w:tc>
          <w:tcPr>
            <w:tcW w:w="1880" w:type="dxa"/>
            <w:vAlign w:val="bottom"/>
            <w:vMerge w:val="restart"/>
            <w:shd w:val="clear" w:color="auto" w:fill="255993"/>
          </w:tcPr>
          <w:p>
            <w:pPr>
              <w:jc w:val="right"/>
              <w:ind w:right="306"/>
              <w:spacing w:after="0"/>
              <w:rPr>
                <w:sz w:val="20"/>
                <w:szCs w:val="20"/>
                <w:color w:val="auto"/>
              </w:rPr>
            </w:pPr>
            <w:r>
              <w:rPr>
                <w:rFonts w:ascii="Arial" w:cs="Arial" w:eastAsia="Arial" w:hAnsi="Arial"/>
                <w:sz w:val="16"/>
                <w:szCs w:val="16"/>
                <w:b w:val="1"/>
                <w:bCs w:val="1"/>
                <w:color w:val="FFFFFF"/>
              </w:rPr>
              <w:t>Option Awards</w:t>
            </w:r>
          </w:p>
        </w:tc>
        <w:tc>
          <w:tcPr>
            <w:tcW w:w="880" w:type="dxa"/>
            <w:vAlign w:val="bottom"/>
            <w:shd w:val="clear" w:color="auto" w:fill="255993"/>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3660" w:type="dxa"/>
            <w:vAlign w:val="bottom"/>
            <w:shd w:val="clear" w:color="auto" w:fill="255993"/>
          </w:tcPr>
          <w:p>
            <w:pPr>
              <w:spacing w:after="0"/>
              <w:rPr>
                <w:sz w:val="14"/>
                <w:szCs w:val="14"/>
                <w:color w:val="auto"/>
              </w:rPr>
            </w:pPr>
          </w:p>
        </w:tc>
        <w:tc>
          <w:tcPr>
            <w:tcW w:w="2980" w:type="dxa"/>
            <w:vAlign w:val="bottom"/>
            <w:shd w:val="clear" w:color="auto" w:fill="255993"/>
          </w:tcPr>
          <w:p>
            <w:pPr>
              <w:jc w:val="right"/>
              <w:ind w:right="265"/>
              <w:spacing w:after="0" w:line="163" w:lineRule="exact"/>
              <w:rPr>
                <w:sz w:val="20"/>
                <w:szCs w:val="20"/>
                <w:color w:val="auto"/>
              </w:rPr>
            </w:pPr>
            <w:r>
              <w:rPr>
                <w:rFonts w:ascii="Arial" w:cs="Arial" w:eastAsia="Arial" w:hAnsi="Arial"/>
                <w:sz w:val="16"/>
                <w:szCs w:val="16"/>
                <w:b w:val="1"/>
                <w:bCs w:val="1"/>
                <w:color w:val="FFFFFF"/>
              </w:rPr>
              <w:t>Paid in Cash</w:t>
            </w:r>
          </w:p>
        </w:tc>
        <w:tc>
          <w:tcPr>
            <w:tcW w:w="1880" w:type="dxa"/>
            <w:vAlign w:val="bottom"/>
            <w:vMerge w:val="continue"/>
            <w:shd w:val="clear" w:color="auto" w:fill="255993"/>
          </w:tcPr>
          <w:p>
            <w:pPr>
              <w:spacing w:after="0"/>
              <w:rPr>
                <w:sz w:val="14"/>
                <w:szCs w:val="14"/>
                <w:color w:val="auto"/>
              </w:rPr>
            </w:pPr>
          </w:p>
        </w:tc>
        <w:tc>
          <w:tcPr>
            <w:tcW w:w="880" w:type="dxa"/>
            <w:vAlign w:val="bottom"/>
            <w:shd w:val="clear" w:color="auto" w:fill="255993"/>
          </w:tcPr>
          <w:p>
            <w:pPr>
              <w:jc w:val="right"/>
              <w:spacing w:after="0" w:line="163" w:lineRule="exact"/>
              <w:rPr>
                <w:sz w:val="20"/>
                <w:szCs w:val="20"/>
                <w:color w:val="auto"/>
              </w:rPr>
            </w:pPr>
            <w:r>
              <w:rPr>
                <w:rFonts w:ascii="Arial" w:cs="Arial" w:eastAsia="Arial" w:hAnsi="Arial"/>
                <w:sz w:val="16"/>
                <w:szCs w:val="16"/>
                <w:b w:val="1"/>
                <w:bCs w:val="1"/>
                <w:color w:val="FFFFFF"/>
              </w:rPr>
              <w:t>Total</w:t>
            </w:r>
          </w:p>
        </w:tc>
        <w:tc>
          <w:tcPr>
            <w:tcW w:w="0" w:type="dxa"/>
            <w:vAlign w:val="bottom"/>
          </w:tcPr>
          <w:p>
            <w:pPr>
              <w:spacing w:after="0"/>
              <w:rPr>
                <w:sz w:val="1"/>
                <w:szCs w:val="1"/>
                <w:color w:val="auto"/>
              </w:rPr>
            </w:pPr>
          </w:p>
        </w:tc>
      </w:tr>
      <w:tr>
        <w:trPr>
          <w:trHeight w:val="297"/>
        </w:trPr>
        <w:tc>
          <w:tcPr>
            <w:tcW w:w="3660" w:type="dxa"/>
            <w:vAlign w:val="bottom"/>
            <w:shd w:val="clear" w:color="auto" w:fill="255993"/>
          </w:tcPr>
          <w:p>
            <w:pPr>
              <w:ind w:left="100"/>
              <w:spacing w:after="0"/>
              <w:rPr>
                <w:sz w:val="20"/>
                <w:szCs w:val="20"/>
                <w:color w:val="auto"/>
              </w:rPr>
            </w:pPr>
            <w:r>
              <w:rPr>
                <w:rFonts w:ascii="Arial" w:cs="Arial" w:eastAsia="Arial" w:hAnsi="Arial"/>
                <w:sz w:val="16"/>
                <w:szCs w:val="16"/>
                <w:b w:val="1"/>
                <w:bCs w:val="1"/>
                <w:color w:val="FFFFFF"/>
              </w:rPr>
              <w:t>Name</w:t>
            </w:r>
          </w:p>
        </w:tc>
        <w:tc>
          <w:tcPr>
            <w:tcW w:w="2980" w:type="dxa"/>
            <w:vAlign w:val="bottom"/>
            <w:shd w:val="clear" w:color="auto" w:fill="255993"/>
          </w:tcPr>
          <w:p>
            <w:pPr>
              <w:jc w:val="right"/>
              <w:ind w:right="265"/>
              <w:spacing w:after="0"/>
              <w:rPr>
                <w:sz w:val="20"/>
                <w:szCs w:val="20"/>
                <w:color w:val="auto"/>
              </w:rPr>
            </w:pPr>
            <w:r>
              <w:rPr>
                <w:rFonts w:ascii="Arial" w:cs="Arial" w:eastAsia="Arial" w:hAnsi="Arial"/>
                <w:sz w:val="16"/>
                <w:szCs w:val="16"/>
                <w:b w:val="1"/>
                <w:bCs w:val="1"/>
                <w:color w:val="FFFFFF"/>
              </w:rPr>
              <w:t>($)</w:t>
            </w:r>
          </w:p>
        </w:tc>
        <w:tc>
          <w:tcPr>
            <w:tcW w:w="1880" w:type="dxa"/>
            <w:vAlign w:val="bottom"/>
            <w:shd w:val="clear" w:color="auto" w:fill="255993"/>
          </w:tcPr>
          <w:p>
            <w:pPr>
              <w:jc w:val="right"/>
              <w:ind w:right="306"/>
              <w:spacing w:after="0" w:line="297" w:lineRule="exact"/>
              <w:rPr>
                <w:sz w:val="20"/>
                <w:szCs w:val="20"/>
                <w:color w:val="auto"/>
              </w:rPr>
            </w:pPr>
            <w:r>
              <w:rPr>
                <w:rFonts w:ascii="Arial" w:cs="Arial" w:eastAsia="Arial" w:hAnsi="Arial"/>
                <w:sz w:val="16"/>
                <w:szCs w:val="16"/>
                <w:b w:val="1"/>
                <w:bCs w:val="1"/>
                <w:color w:val="FFFFFF"/>
              </w:rPr>
              <w:t>($)</w:t>
            </w:r>
            <w:r>
              <w:rPr>
                <w:rFonts w:ascii="Arial" w:cs="Arial" w:eastAsia="Arial" w:hAnsi="Arial"/>
                <w:sz w:val="26"/>
                <w:szCs w:val="26"/>
                <w:b w:val="1"/>
                <w:bCs w:val="1"/>
                <w:color w:val="FFFFFF"/>
                <w:vertAlign w:val="superscript"/>
              </w:rPr>
              <w:t>(1)</w:t>
            </w:r>
          </w:p>
        </w:tc>
        <w:tc>
          <w:tcPr>
            <w:tcW w:w="880" w:type="dxa"/>
            <w:vAlign w:val="bottom"/>
            <w:shd w:val="clear" w:color="auto" w:fill="255993"/>
          </w:tcPr>
          <w:p>
            <w:pPr>
              <w:jc w:val="right"/>
              <w:spacing w:after="0"/>
              <w:rPr>
                <w:sz w:val="20"/>
                <w:szCs w:val="20"/>
                <w:color w:val="auto"/>
              </w:rPr>
            </w:pPr>
            <w:r>
              <w:rPr>
                <w:rFonts w:ascii="Arial" w:cs="Arial" w:eastAsia="Arial" w:hAnsi="Arial"/>
                <w:sz w:val="16"/>
                <w:szCs w:val="16"/>
                <w:b w:val="1"/>
                <w:bCs w:val="1"/>
                <w:color w:val="FFFFFF"/>
              </w:rPr>
              <w:t>($)</w:t>
            </w:r>
          </w:p>
        </w:tc>
        <w:tc>
          <w:tcPr>
            <w:tcW w:w="0" w:type="dxa"/>
            <w:vAlign w:val="bottom"/>
          </w:tcPr>
          <w:p>
            <w:pPr>
              <w:spacing w:after="0"/>
              <w:rPr>
                <w:sz w:val="1"/>
                <w:szCs w:val="1"/>
                <w:color w:val="auto"/>
              </w:rPr>
            </w:pPr>
          </w:p>
        </w:tc>
      </w:tr>
      <w:tr>
        <w:trPr>
          <w:trHeight w:val="338"/>
        </w:trPr>
        <w:tc>
          <w:tcPr>
            <w:tcW w:w="3660" w:type="dxa"/>
            <w:vAlign w:val="bottom"/>
            <w:shd w:val="clear" w:color="auto" w:fill="EBEBEB"/>
          </w:tcPr>
          <w:p>
            <w:pPr>
              <w:ind w:left="100"/>
              <w:spacing w:after="0"/>
              <w:rPr>
                <w:sz w:val="20"/>
                <w:szCs w:val="20"/>
                <w:color w:val="auto"/>
              </w:rPr>
            </w:pPr>
            <w:r>
              <w:rPr>
                <w:rFonts w:ascii="Arial" w:cs="Arial" w:eastAsia="Arial" w:hAnsi="Arial"/>
                <w:sz w:val="14"/>
                <w:szCs w:val="14"/>
                <w:b w:val="1"/>
                <w:bCs w:val="1"/>
                <w:color w:val="auto"/>
              </w:rPr>
              <w:t>Kelly A. Romano</w:t>
            </w:r>
            <w:r>
              <w:rPr>
                <w:rFonts w:ascii="Arial" w:cs="Arial" w:eastAsia="Arial" w:hAnsi="Arial"/>
                <w:sz w:val="23"/>
                <w:szCs w:val="23"/>
                <w:color w:val="auto"/>
                <w:vertAlign w:val="superscript"/>
              </w:rPr>
              <w:t>(2)</w:t>
            </w:r>
          </w:p>
        </w:tc>
        <w:tc>
          <w:tcPr>
            <w:tcW w:w="2980" w:type="dxa"/>
            <w:vAlign w:val="bottom"/>
            <w:shd w:val="clear" w:color="auto" w:fill="EBEBEB"/>
          </w:tcPr>
          <w:p>
            <w:pPr>
              <w:jc w:val="right"/>
              <w:ind w:right="265"/>
              <w:spacing w:after="0"/>
              <w:rPr>
                <w:sz w:val="20"/>
                <w:szCs w:val="20"/>
                <w:color w:val="auto"/>
              </w:rPr>
            </w:pPr>
            <w:r>
              <w:rPr>
                <w:rFonts w:ascii="Arial" w:cs="Arial" w:eastAsia="Arial" w:hAnsi="Arial"/>
                <w:sz w:val="14"/>
                <w:szCs w:val="14"/>
                <w:color w:val="auto"/>
              </w:rPr>
              <w:t>77,810</w:t>
            </w:r>
          </w:p>
        </w:tc>
        <w:tc>
          <w:tcPr>
            <w:tcW w:w="1880" w:type="dxa"/>
            <w:vAlign w:val="bottom"/>
            <w:shd w:val="clear" w:color="auto" w:fill="EBEBEB"/>
          </w:tcPr>
          <w:p>
            <w:pPr>
              <w:jc w:val="right"/>
              <w:ind w:right="306"/>
              <w:spacing w:after="0"/>
              <w:rPr>
                <w:sz w:val="20"/>
                <w:szCs w:val="20"/>
                <w:color w:val="auto"/>
              </w:rPr>
            </w:pPr>
            <w:r>
              <w:rPr>
                <w:rFonts w:ascii="Arial" w:cs="Arial" w:eastAsia="Arial" w:hAnsi="Arial"/>
                <w:sz w:val="14"/>
                <w:szCs w:val="14"/>
                <w:color w:val="auto"/>
              </w:rPr>
              <w:t>46,871</w:t>
            </w:r>
          </w:p>
        </w:tc>
        <w:tc>
          <w:tcPr>
            <w:tcW w:w="880" w:type="dxa"/>
            <w:vAlign w:val="bottom"/>
            <w:shd w:val="clear" w:color="auto" w:fill="EBEBEB"/>
          </w:tcPr>
          <w:p>
            <w:pPr>
              <w:jc w:val="right"/>
              <w:spacing w:after="0"/>
              <w:rPr>
                <w:sz w:val="20"/>
                <w:szCs w:val="20"/>
                <w:color w:val="auto"/>
              </w:rPr>
            </w:pPr>
            <w:r>
              <w:rPr>
                <w:rFonts w:ascii="Arial" w:cs="Arial" w:eastAsia="Arial" w:hAnsi="Arial"/>
                <w:sz w:val="14"/>
                <w:szCs w:val="14"/>
                <w:color w:val="auto"/>
              </w:rPr>
              <w:t>124,681</w:t>
            </w:r>
          </w:p>
        </w:tc>
        <w:tc>
          <w:tcPr>
            <w:tcW w:w="0" w:type="dxa"/>
            <w:vAlign w:val="bottom"/>
          </w:tcPr>
          <w:p>
            <w:pPr>
              <w:spacing w:after="0"/>
              <w:rPr>
                <w:sz w:val="1"/>
                <w:szCs w:val="1"/>
                <w:color w:val="auto"/>
              </w:rPr>
            </w:pPr>
          </w:p>
        </w:tc>
      </w:tr>
      <w:tr>
        <w:trPr>
          <w:trHeight w:val="338"/>
        </w:trPr>
        <w:tc>
          <w:tcPr>
            <w:tcW w:w="3660" w:type="dxa"/>
            <w:vAlign w:val="bottom"/>
            <w:shd w:val="clear" w:color="auto" w:fill="FAFAFA"/>
          </w:tcPr>
          <w:p>
            <w:pPr>
              <w:ind w:left="100"/>
              <w:spacing w:after="0"/>
              <w:rPr>
                <w:sz w:val="20"/>
                <w:szCs w:val="20"/>
                <w:color w:val="auto"/>
              </w:rPr>
            </w:pPr>
            <w:r>
              <w:rPr>
                <w:rFonts w:ascii="Arial" w:cs="Arial" w:eastAsia="Arial" w:hAnsi="Arial"/>
                <w:sz w:val="14"/>
                <w:szCs w:val="14"/>
                <w:b w:val="1"/>
                <w:bCs w:val="1"/>
                <w:color w:val="auto"/>
              </w:rPr>
              <w:t>Joseph Edelman</w:t>
            </w:r>
            <w:r>
              <w:rPr>
                <w:rFonts w:ascii="Arial" w:cs="Arial" w:eastAsia="Arial" w:hAnsi="Arial"/>
                <w:sz w:val="23"/>
                <w:szCs w:val="23"/>
                <w:color w:val="auto"/>
                <w:vertAlign w:val="superscript"/>
              </w:rPr>
              <w:t>(3)</w:t>
            </w:r>
          </w:p>
        </w:tc>
        <w:tc>
          <w:tcPr>
            <w:tcW w:w="2980" w:type="dxa"/>
            <w:vAlign w:val="bottom"/>
            <w:shd w:val="clear" w:color="auto" w:fill="FAFAFA"/>
          </w:tcPr>
          <w:p>
            <w:pPr>
              <w:jc w:val="right"/>
              <w:ind w:right="265"/>
              <w:spacing w:after="0"/>
              <w:rPr>
                <w:sz w:val="20"/>
                <w:szCs w:val="20"/>
                <w:color w:val="auto"/>
              </w:rPr>
            </w:pPr>
            <w:r>
              <w:rPr>
                <w:rFonts w:ascii="Arial" w:cs="Arial" w:eastAsia="Arial" w:hAnsi="Arial"/>
                <w:sz w:val="14"/>
                <w:szCs w:val="14"/>
                <w:color w:val="auto"/>
              </w:rPr>
              <w:t>45,896</w:t>
            </w:r>
          </w:p>
        </w:tc>
        <w:tc>
          <w:tcPr>
            <w:tcW w:w="1880" w:type="dxa"/>
            <w:vAlign w:val="bottom"/>
            <w:shd w:val="clear" w:color="auto" w:fill="FAFAFA"/>
          </w:tcPr>
          <w:p>
            <w:pPr>
              <w:jc w:val="right"/>
              <w:ind w:right="306"/>
              <w:spacing w:after="0"/>
              <w:rPr>
                <w:sz w:val="20"/>
                <w:szCs w:val="20"/>
                <w:color w:val="auto"/>
              </w:rPr>
            </w:pPr>
            <w:r>
              <w:rPr>
                <w:rFonts w:ascii="Arial" w:cs="Arial" w:eastAsia="Arial" w:hAnsi="Arial"/>
                <w:sz w:val="14"/>
                <w:szCs w:val="14"/>
                <w:color w:val="auto"/>
              </w:rPr>
              <w:t>46,871</w:t>
            </w:r>
          </w:p>
        </w:tc>
        <w:tc>
          <w:tcPr>
            <w:tcW w:w="880" w:type="dxa"/>
            <w:vAlign w:val="bottom"/>
            <w:shd w:val="clear" w:color="auto" w:fill="FAFAFA"/>
          </w:tcPr>
          <w:p>
            <w:pPr>
              <w:jc w:val="right"/>
              <w:spacing w:after="0"/>
              <w:rPr>
                <w:sz w:val="20"/>
                <w:szCs w:val="20"/>
                <w:color w:val="auto"/>
              </w:rPr>
            </w:pPr>
            <w:r>
              <w:rPr>
                <w:rFonts w:ascii="Arial" w:cs="Arial" w:eastAsia="Arial" w:hAnsi="Arial"/>
                <w:sz w:val="14"/>
                <w:szCs w:val="14"/>
                <w:color w:val="auto"/>
              </w:rPr>
              <w:t>92,767</w:t>
            </w:r>
          </w:p>
        </w:tc>
        <w:tc>
          <w:tcPr>
            <w:tcW w:w="0" w:type="dxa"/>
            <w:vAlign w:val="bottom"/>
          </w:tcPr>
          <w:p>
            <w:pPr>
              <w:spacing w:after="0"/>
              <w:rPr>
                <w:sz w:val="1"/>
                <w:szCs w:val="1"/>
                <w:color w:val="auto"/>
              </w:rPr>
            </w:pPr>
          </w:p>
        </w:tc>
      </w:tr>
      <w:tr>
        <w:trPr>
          <w:trHeight w:val="338"/>
        </w:trPr>
        <w:tc>
          <w:tcPr>
            <w:tcW w:w="3660" w:type="dxa"/>
            <w:vAlign w:val="bottom"/>
            <w:shd w:val="clear" w:color="auto" w:fill="EBEBEB"/>
          </w:tcPr>
          <w:p>
            <w:pPr>
              <w:ind w:left="100"/>
              <w:spacing w:after="0"/>
              <w:rPr>
                <w:sz w:val="20"/>
                <w:szCs w:val="20"/>
                <w:color w:val="auto"/>
              </w:rPr>
            </w:pPr>
            <w:r>
              <w:rPr>
                <w:rFonts w:ascii="Arial" w:cs="Arial" w:eastAsia="Arial" w:hAnsi="Arial"/>
                <w:sz w:val="14"/>
                <w:szCs w:val="14"/>
                <w:b w:val="1"/>
                <w:bCs w:val="1"/>
                <w:color w:val="auto"/>
              </w:rPr>
              <w:t>John M. Fluke, Jr.</w:t>
            </w:r>
            <w:r>
              <w:rPr>
                <w:rFonts w:ascii="Arial" w:cs="Arial" w:eastAsia="Arial" w:hAnsi="Arial"/>
                <w:sz w:val="23"/>
                <w:szCs w:val="23"/>
                <w:color w:val="auto"/>
                <w:vertAlign w:val="superscript"/>
              </w:rPr>
              <w:t>(4)</w:t>
            </w:r>
          </w:p>
        </w:tc>
        <w:tc>
          <w:tcPr>
            <w:tcW w:w="2980" w:type="dxa"/>
            <w:vAlign w:val="bottom"/>
            <w:shd w:val="clear" w:color="auto" w:fill="EBEBEB"/>
          </w:tcPr>
          <w:p>
            <w:pPr>
              <w:jc w:val="right"/>
              <w:ind w:right="265"/>
              <w:spacing w:after="0"/>
              <w:rPr>
                <w:sz w:val="20"/>
                <w:szCs w:val="20"/>
                <w:color w:val="auto"/>
              </w:rPr>
            </w:pPr>
            <w:r>
              <w:rPr>
                <w:rFonts w:ascii="Arial" w:cs="Arial" w:eastAsia="Arial" w:hAnsi="Arial"/>
                <w:sz w:val="14"/>
                <w:szCs w:val="14"/>
                <w:color w:val="auto"/>
              </w:rPr>
              <w:t>49,016</w:t>
            </w:r>
          </w:p>
        </w:tc>
        <w:tc>
          <w:tcPr>
            <w:tcW w:w="1880" w:type="dxa"/>
            <w:vAlign w:val="bottom"/>
            <w:shd w:val="clear" w:color="auto" w:fill="EBEBEB"/>
          </w:tcPr>
          <w:p>
            <w:pPr>
              <w:jc w:val="right"/>
              <w:ind w:right="306"/>
              <w:spacing w:after="0"/>
              <w:rPr>
                <w:sz w:val="20"/>
                <w:szCs w:val="20"/>
                <w:color w:val="auto"/>
              </w:rPr>
            </w:pPr>
            <w:r>
              <w:rPr>
                <w:rFonts w:ascii="Arial" w:cs="Arial" w:eastAsia="Arial" w:hAnsi="Arial"/>
                <w:sz w:val="14"/>
                <w:szCs w:val="14"/>
                <w:color w:val="auto"/>
              </w:rPr>
              <w:t>46,871</w:t>
            </w:r>
          </w:p>
        </w:tc>
        <w:tc>
          <w:tcPr>
            <w:tcW w:w="880" w:type="dxa"/>
            <w:vAlign w:val="bottom"/>
            <w:shd w:val="clear" w:color="auto" w:fill="EBEBEB"/>
          </w:tcPr>
          <w:p>
            <w:pPr>
              <w:jc w:val="right"/>
              <w:spacing w:after="0"/>
              <w:rPr>
                <w:sz w:val="20"/>
                <w:szCs w:val="20"/>
                <w:color w:val="auto"/>
              </w:rPr>
            </w:pPr>
            <w:r>
              <w:rPr>
                <w:rFonts w:ascii="Arial" w:cs="Arial" w:eastAsia="Arial" w:hAnsi="Arial"/>
                <w:sz w:val="14"/>
                <w:szCs w:val="14"/>
                <w:color w:val="auto"/>
              </w:rPr>
              <w:t>95,887</w:t>
            </w:r>
          </w:p>
        </w:tc>
        <w:tc>
          <w:tcPr>
            <w:tcW w:w="0" w:type="dxa"/>
            <w:vAlign w:val="bottom"/>
          </w:tcPr>
          <w:p>
            <w:pPr>
              <w:spacing w:after="0"/>
              <w:rPr>
                <w:sz w:val="1"/>
                <w:szCs w:val="1"/>
                <w:color w:val="auto"/>
              </w:rPr>
            </w:pPr>
          </w:p>
        </w:tc>
      </w:tr>
      <w:tr>
        <w:trPr>
          <w:trHeight w:val="338"/>
        </w:trPr>
        <w:tc>
          <w:tcPr>
            <w:tcW w:w="3660" w:type="dxa"/>
            <w:vAlign w:val="bottom"/>
            <w:shd w:val="clear" w:color="auto" w:fill="FAFAFA"/>
          </w:tcPr>
          <w:p>
            <w:pPr>
              <w:ind w:left="100"/>
              <w:spacing w:after="0"/>
              <w:rPr>
                <w:sz w:val="20"/>
                <w:szCs w:val="20"/>
                <w:color w:val="auto"/>
              </w:rPr>
            </w:pPr>
            <w:r>
              <w:rPr>
                <w:rFonts w:ascii="Arial" w:cs="Arial" w:eastAsia="Arial" w:hAnsi="Arial"/>
                <w:sz w:val="14"/>
                <w:szCs w:val="14"/>
                <w:b w:val="1"/>
                <w:bCs w:val="1"/>
                <w:color w:val="auto"/>
              </w:rPr>
              <w:t>James A. Johnson</w:t>
            </w:r>
            <w:r>
              <w:rPr>
                <w:rFonts w:ascii="Arial" w:cs="Arial" w:eastAsia="Arial" w:hAnsi="Arial"/>
                <w:sz w:val="23"/>
                <w:szCs w:val="23"/>
                <w:color w:val="auto"/>
                <w:vertAlign w:val="superscript"/>
              </w:rPr>
              <w:t>(5)</w:t>
            </w:r>
          </w:p>
        </w:tc>
        <w:tc>
          <w:tcPr>
            <w:tcW w:w="2980" w:type="dxa"/>
            <w:vAlign w:val="bottom"/>
            <w:shd w:val="clear" w:color="auto" w:fill="FAFAFA"/>
          </w:tcPr>
          <w:p>
            <w:pPr>
              <w:jc w:val="right"/>
              <w:ind w:right="265"/>
              <w:spacing w:after="0"/>
              <w:rPr>
                <w:sz w:val="20"/>
                <w:szCs w:val="20"/>
                <w:color w:val="auto"/>
              </w:rPr>
            </w:pPr>
            <w:r>
              <w:rPr>
                <w:rFonts w:ascii="Arial" w:cs="Arial" w:eastAsia="Arial" w:hAnsi="Arial"/>
                <w:sz w:val="14"/>
                <w:szCs w:val="14"/>
                <w:color w:val="auto"/>
              </w:rPr>
              <w:t>60,000</w:t>
            </w:r>
          </w:p>
        </w:tc>
        <w:tc>
          <w:tcPr>
            <w:tcW w:w="1880" w:type="dxa"/>
            <w:vAlign w:val="bottom"/>
            <w:shd w:val="clear" w:color="auto" w:fill="FAFAFA"/>
          </w:tcPr>
          <w:p>
            <w:pPr>
              <w:jc w:val="right"/>
              <w:ind w:right="306"/>
              <w:spacing w:after="0"/>
              <w:rPr>
                <w:sz w:val="20"/>
                <w:szCs w:val="20"/>
                <w:color w:val="auto"/>
              </w:rPr>
            </w:pPr>
            <w:r>
              <w:rPr>
                <w:rFonts w:ascii="Arial" w:cs="Arial" w:eastAsia="Arial" w:hAnsi="Arial"/>
                <w:sz w:val="14"/>
                <w:szCs w:val="14"/>
                <w:color w:val="auto"/>
              </w:rPr>
              <w:t>46,871</w:t>
            </w:r>
          </w:p>
        </w:tc>
        <w:tc>
          <w:tcPr>
            <w:tcW w:w="880" w:type="dxa"/>
            <w:vAlign w:val="bottom"/>
            <w:shd w:val="clear" w:color="auto" w:fill="FAFAFA"/>
          </w:tcPr>
          <w:p>
            <w:pPr>
              <w:jc w:val="right"/>
              <w:spacing w:after="0"/>
              <w:rPr>
                <w:sz w:val="20"/>
                <w:szCs w:val="20"/>
                <w:color w:val="auto"/>
              </w:rPr>
            </w:pPr>
            <w:r>
              <w:rPr>
                <w:rFonts w:ascii="Arial" w:cs="Arial" w:eastAsia="Arial" w:hAnsi="Arial"/>
                <w:sz w:val="14"/>
                <w:szCs w:val="14"/>
                <w:color w:val="auto"/>
              </w:rPr>
              <w:t>106,871</w:t>
            </w:r>
          </w:p>
        </w:tc>
        <w:tc>
          <w:tcPr>
            <w:tcW w:w="0" w:type="dxa"/>
            <w:vAlign w:val="bottom"/>
          </w:tcPr>
          <w:p>
            <w:pPr>
              <w:spacing w:after="0"/>
              <w:rPr>
                <w:sz w:val="1"/>
                <w:szCs w:val="1"/>
                <w:color w:val="auto"/>
              </w:rPr>
            </w:pPr>
          </w:p>
        </w:tc>
      </w:tr>
      <w:tr>
        <w:trPr>
          <w:trHeight w:val="338"/>
        </w:trPr>
        <w:tc>
          <w:tcPr>
            <w:tcW w:w="3660" w:type="dxa"/>
            <w:vAlign w:val="bottom"/>
            <w:shd w:val="clear" w:color="auto" w:fill="EBEBEB"/>
          </w:tcPr>
          <w:p>
            <w:pPr>
              <w:ind w:left="100"/>
              <w:spacing w:after="0"/>
              <w:rPr>
                <w:sz w:val="20"/>
                <w:szCs w:val="20"/>
                <w:color w:val="auto"/>
              </w:rPr>
            </w:pPr>
            <w:r>
              <w:rPr>
                <w:rFonts w:ascii="Arial" w:cs="Arial" w:eastAsia="Arial" w:hAnsi="Arial"/>
                <w:sz w:val="14"/>
                <w:szCs w:val="14"/>
                <w:b w:val="1"/>
                <w:bCs w:val="1"/>
                <w:color w:val="auto"/>
              </w:rPr>
              <w:t>Barbara Kosacz</w:t>
            </w:r>
            <w:r>
              <w:rPr>
                <w:rFonts w:ascii="Arial" w:cs="Arial" w:eastAsia="Arial" w:hAnsi="Arial"/>
                <w:sz w:val="23"/>
                <w:szCs w:val="23"/>
                <w:color w:val="auto"/>
                <w:vertAlign w:val="superscript"/>
              </w:rPr>
              <w:t>(6)</w:t>
            </w:r>
          </w:p>
        </w:tc>
        <w:tc>
          <w:tcPr>
            <w:tcW w:w="2980" w:type="dxa"/>
            <w:vAlign w:val="bottom"/>
            <w:shd w:val="clear" w:color="auto" w:fill="EBEBEB"/>
          </w:tcPr>
          <w:p>
            <w:pPr>
              <w:jc w:val="right"/>
              <w:ind w:right="265"/>
              <w:spacing w:after="0"/>
              <w:rPr>
                <w:sz w:val="20"/>
                <w:szCs w:val="20"/>
                <w:color w:val="auto"/>
              </w:rPr>
            </w:pPr>
            <w:r>
              <w:rPr>
                <w:rFonts w:ascii="Arial" w:cs="Arial" w:eastAsia="Arial" w:hAnsi="Arial"/>
                <w:sz w:val="14"/>
                <w:szCs w:val="14"/>
                <w:color w:val="auto"/>
              </w:rPr>
              <w:t>55,516</w:t>
            </w:r>
          </w:p>
        </w:tc>
        <w:tc>
          <w:tcPr>
            <w:tcW w:w="1880" w:type="dxa"/>
            <w:vAlign w:val="bottom"/>
            <w:shd w:val="clear" w:color="auto" w:fill="EBEBEB"/>
          </w:tcPr>
          <w:p>
            <w:pPr>
              <w:jc w:val="right"/>
              <w:ind w:right="306"/>
              <w:spacing w:after="0"/>
              <w:rPr>
                <w:sz w:val="20"/>
                <w:szCs w:val="20"/>
                <w:color w:val="auto"/>
              </w:rPr>
            </w:pPr>
            <w:r>
              <w:rPr>
                <w:rFonts w:ascii="Arial" w:cs="Arial" w:eastAsia="Arial" w:hAnsi="Arial"/>
                <w:sz w:val="14"/>
                <w:szCs w:val="14"/>
                <w:color w:val="auto"/>
              </w:rPr>
              <w:t>46,871</w:t>
            </w:r>
          </w:p>
        </w:tc>
        <w:tc>
          <w:tcPr>
            <w:tcW w:w="880" w:type="dxa"/>
            <w:vAlign w:val="bottom"/>
            <w:shd w:val="clear" w:color="auto" w:fill="EBEBEB"/>
          </w:tcPr>
          <w:p>
            <w:pPr>
              <w:jc w:val="right"/>
              <w:spacing w:after="0"/>
              <w:rPr>
                <w:sz w:val="20"/>
                <w:szCs w:val="20"/>
                <w:color w:val="auto"/>
              </w:rPr>
            </w:pPr>
            <w:r>
              <w:rPr>
                <w:rFonts w:ascii="Arial" w:cs="Arial" w:eastAsia="Arial" w:hAnsi="Arial"/>
                <w:sz w:val="14"/>
                <w:szCs w:val="14"/>
                <w:color w:val="auto"/>
              </w:rPr>
              <w:t>102,387</w:t>
            </w:r>
          </w:p>
        </w:tc>
        <w:tc>
          <w:tcPr>
            <w:tcW w:w="0" w:type="dxa"/>
            <w:vAlign w:val="bottom"/>
          </w:tcPr>
          <w:p>
            <w:pPr>
              <w:spacing w:after="0"/>
              <w:rPr>
                <w:sz w:val="1"/>
                <w:szCs w:val="1"/>
                <w:color w:val="auto"/>
              </w:rPr>
            </w:pPr>
          </w:p>
        </w:tc>
      </w:tr>
      <w:tr>
        <w:trPr>
          <w:trHeight w:val="337"/>
        </w:trPr>
        <w:tc>
          <w:tcPr>
            <w:tcW w:w="3660" w:type="dxa"/>
            <w:vAlign w:val="bottom"/>
            <w:shd w:val="clear" w:color="auto" w:fill="FAFAFA"/>
          </w:tcPr>
          <w:p>
            <w:pPr>
              <w:ind w:left="100"/>
              <w:spacing w:after="0"/>
              <w:rPr>
                <w:sz w:val="20"/>
                <w:szCs w:val="20"/>
                <w:color w:val="auto"/>
              </w:rPr>
            </w:pPr>
            <w:r>
              <w:rPr>
                <w:rFonts w:ascii="Arial" w:cs="Arial" w:eastAsia="Arial" w:hAnsi="Arial"/>
                <w:sz w:val="14"/>
                <w:szCs w:val="14"/>
                <w:b w:val="1"/>
                <w:bCs w:val="1"/>
                <w:color w:val="auto"/>
              </w:rPr>
              <w:t>Michael Panzara, M.D., M.P.H.</w:t>
            </w:r>
            <w:r>
              <w:rPr>
                <w:rFonts w:ascii="Arial" w:cs="Arial" w:eastAsia="Arial" w:hAnsi="Arial"/>
                <w:sz w:val="23"/>
                <w:szCs w:val="23"/>
                <w:color w:val="auto"/>
                <w:vertAlign w:val="superscript"/>
              </w:rPr>
              <w:t>(7)</w:t>
            </w:r>
          </w:p>
        </w:tc>
        <w:tc>
          <w:tcPr>
            <w:tcW w:w="2980" w:type="dxa"/>
            <w:vAlign w:val="bottom"/>
            <w:shd w:val="clear" w:color="auto" w:fill="FAFAFA"/>
          </w:tcPr>
          <w:p>
            <w:pPr>
              <w:jc w:val="right"/>
              <w:ind w:right="265"/>
              <w:spacing w:after="0"/>
              <w:rPr>
                <w:sz w:val="20"/>
                <w:szCs w:val="20"/>
                <w:color w:val="auto"/>
              </w:rPr>
            </w:pPr>
            <w:r>
              <w:rPr>
                <w:rFonts w:ascii="Arial" w:cs="Arial" w:eastAsia="Arial" w:hAnsi="Arial"/>
                <w:sz w:val="14"/>
                <w:szCs w:val="14"/>
                <w:color w:val="auto"/>
              </w:rPr>
              <w:t>42,484</w:t>
            </w:r>
          </w:p>
        </w:tc>
        <w:tc>
          <w:tcPr>
            <w:tcW w:w="1880" w:type="dxa"/>
            <w:vAlign w:val="bottom"/>
            <w:shd w:val="clear" w:color="auto" w:fill="FAFAFA"/>
          </w:tcPr>
          <w:p>
            <w:pPr>
              <w:jc w:val="right"/>
              <w:ind w:right="306"/>
              <w:spacing w:after="0"/>
              <w:rPr>
                <w:sz w:val="20"/>
                <w:szCs w:val="20"/>
                <w:color w:val="auto"/>
              </w:rPr>
            </w:pPr>
            <w:r>
              <w:rPr>
                <w:rFonts w:ascii="Arial" w:cs="Arial" w:eastAsia="Arial" w:hAnsi="Arial"/>
                <w:sz w:val="14"/>
                <w:szCs w:val="14"/>
                <w:color w:val="auto"/>
              </w:rPr>
              <w:t>46,871</w:t>
            </w:r>
          </w:p>
        </w:tc>
        <w:tc>
          <w:tcPr>
            <w:tcW w:w="880" w:type="dxa"/>
            <w:vAlign w:val="bottom"/>
            <w:shd w:val="clear" w:color="auto" w:fill="FAFAFA"/>
          </w:tcPr>
          <w:p>
            <w:pPr>
              <w:jc w:val="right"/>
              <w:spacing w:after="0"/>
              <w:rPr>
                <w:sz w:val="20"/>
                <w:szCs w:val="20"/>
                <w:color w:val="auto"/>
              </w:rPr>
            </w:pPr>
            <w:r>
              <w:rPr>
                <w:rFonts w:ascii="Arial" w:cs="Arial" w:eastAsia="Arial" w:hAnsi="Arial"/>
                <w:sz w:val="14"/>
                <w:szCs w:val="14"/>
                <w:color w:val="auto"/>
              </w:rPr>
              <w:t>89,354</w:t>
            </w:r>
          </w:p>
        </w:tc>
        <w:tc>
          <w:tcPr>
            <w:tcW w:w="0" w:type="dxa"/>
            <w:vAlign w:val="bottom"/>
          </w:tcPr>
          <w:p>
            <w:pPr>
              <w:spacing w:after="0"/>
              <w:rPr>
                <w:sz w:val="1"/>
                <w:szCs w:val="1"/>
                <w:color w:val="auto"/>
              </w:rPr>
            </w:pPr>
          </w:p>
        </w:tc>
      </w:tr>
      <w:tr>
        <w:trPr>
          <w:trHeight w:val="378"/>
        </w:trPr>
        <w:tc>
          <w:tcPr>
            <w:tcW w:w="3660" w:type="dxa"/>
            <w:vAlign w:val="bottom"/>
            <w:shd w:val="clear" w:color="auto" w:fill="EBEBEB"/>
          </w:tcPr>
          <w:p>
            <w:pPr>
              <w:ind w:left="100"/>
              <w:spacing w:after="0"/>
              <w:rPr>
                <w:sz w:val="20"/>
                <w:szCs w:val="20"/>
                <w:color w:val="auto"/>
              </w:rPr>
            </w:pPr>
            <w:r>
              <w:rPr>
                <w:rFonts w:ascii="Arial" w:cs="Arial" w:eastAsia="Arial" w:hAnsi="Arial"/>
                <w:sz w:val="14"/>
                <w:szCs w:val="14"/>
                <w:b w:val="1"/>
                <w:bCs w:val="1"/>
                <w:color w:val="auto"/>
              </w:rPr>
              <w:t>Grant Pickering</w:t>
            </w:r>
            <w:r>
              <w:rPr>
                <w:rFonts w:ascii="Arial" w:cs="Arial" w:eastAsia="Arial" w:hAnsi="Arial"/>
                <w:sz w:val="23"/>
                <w:szCs w:val="23"/>
                <w:color w:val="auto"/>
                <w:vertAlign w:val="superscript"/>
              </w:rPr>
              <w:t>(8)</w:t>
            </w:r>
          </w:p>
        </w:tc>
        <w:tc>
          <w:tcPr>
            <w:tcW w:w="2980" w:type="dxa"/>
            <w:vAlign w:val="bottom"/>
            <w:shd w:val="clear" w:color="auto" w:fill="EBEBEB"/>
          </w:tcPr>
          <w:p>
            <w:pPr>
              <w:jc w:val="right"/>
              <w:ind w:right="265"/>
              <w:spacing w:after="0"/>
              <w:rPr>
                <w:sz w:val="20"/>
                <w:szCs w:val="20"/>
                <w:color w:val="auto"/>
              </w:rPr>
            </w:pPr>
            <w:r>
              <w:rPr>
                <w:rFonts w:ascii="Arial" w:cs="Arial" w:eastAsia="Arial" w:hAnsi="Arial"/>
                <w:sz w:val="14"/>
                <w:szCs w:val="14"/>
                <w:color w:val="auto"/>
              </w:rPr>
              <w:t>49,657</w:t>
            </w:r>
          </w:p>
        </w:tc>
        <w:tc>
          <w:tcPr>
            <w:tcW w:w="1880" w:type="dxa"/>
            <w:vAlign w:val="bottom"/>
            <w:shd w:val="clear" w:color="auto" w:fill="EBEBEB"/>
          </w:tcPr>
          <w:p>
            <w:pPr>
              <w:jc w:val="right"/>
              <w:ind w:right="306"/>
              <w:spacing w:after="0"/>
              <w:rPr>
                <w:sz w:val="20"/>
                <w:szCs w:val="20"/>
                <w:color w:val="auto"/>
              </w:rPr>
            </w:pPr>
            <w:r>
              <w:rPr>
                <w:rFonts w:ascii="Arial" w:cs="Arial" w:eastAsia="Arial" w:hAnsi="Arial"/>
                <w:sz w:val="14"/>
                <w:szCs w:val="14"/>
                <w:color w:val="auto"/>
              </w:rPr>
              <w:t>46,871</w:t>
            </w:r>
          </w:p>
        </w:tc>
        <w:tc>
          <w:tcPr>
            <w:tcW w:w="880" w:type="dxa"/>
            <w:vAlign w:val="bottom"/>
            <w:shd w:val="clear" w:color="auto" w:fill="EBEBEB"/>
          </w:tcPr>
          <w:p>
            <w:pPr>
              <w:jc w:val="right"/>
              <w:spacing w:after="0"/>
              <w:rPr>
                <w:sz w:val="20"/>
                <w:szCs w:val="20"/>
                <w:color w:val="auto"/>
              </w:rPr>
            </w:pPr>
            <w:r>
              <w:rPr>
                <w:rFonts w:ascii="Arial" w:cs="Arial" w:eastAsia="Arial" w:hAnsi="Arial"/>
                <w:sz w:val="14"/>
                <w:szCs w:val="14"/>
                <w:color w:val="auto"/>
              </w:rPr>
              <w:t>96,528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-239395</wp:posOffset>
            </wp:positionV>
            <wp:extent cx="596646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966460"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-453390</wp:posOffset>
            </wp:positionV>
            <wp:extent cx="596646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-668020</wp:posOffset>
            </wp:positionV>
            <wp:extent cx="596646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-882015</wp:posOffset>
            </wp:positionV>
            <wp:extent cx="596646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-1096645</wp:posOffset>
            </wp:positionV>
            <wp:extent cx="596646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-1310640</wp:posOffset>
            </wp:positionV>
            <wp:extent cx="596646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-1525270</wp:posOffset>
            </wp:positionV>
            <wp:extent cx="596646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33" w:lineRule="exact"/>
        <w:rPr>
          <w:sz w:val="20"/>
          <w:szCs w:val="20"/>
          <w:color w:val="auto"/>
        </w:rPr>
      </w:pPr>
    </w:p>
    <w:p>
      <w:pPr>
        <w:ind w:left="320" w:right="80" w:hanging="224"/>
        <w:spacing w:after="0" w:line="256" w:lineRule="auto"/>
        <w:tabs>
          <w:tab w:leader="none" w:pos="320" w:val="left"/>
        </w:tabs>
        <w:numPr>
          <w:ilvl w:val="0"/>
          <w:numId w:val="18"/>
        </w:numPr>
        <w:rPr>
          <w:rFonts w:ascii="Arial" w:cs="Arial" w:eastAsia="Arial" w:hAnsi="Arial"/>
          <w:sz w:val="14"/>
          <w:szCs w:val="14"/>
          <w:color w:val="255993"/>
        </w:rPr>
      </w:pPr>
      <w:r>
        <w:rPr>
          <w:rFonts w:ascii="Arial" w:cs="Arial" w:eastAsia="Arial" w:hAnsi="Arial"/>
          <w:sz w:val="14"/>
          <w:szCs w:val="14"/>
          <w:color w:val="255993"/>
        </w:rPr>
        <w:t>In accordance with SEC rules, the amount in this column reflects the aggregate grant date fair value of stock options granted during 2023 computed in accordance with Accounting Standards Codification (ASC) Topic 718, rather than the amount paid or realized by the director. For a discussion of valuation assumptions, see the Note 9 to our financial statements included in our Annual Report on Form 10-K for the year ended December 31, 2023, filed with the SEC on February 22, 2024.</w:t>
      </w:r>
    </w:p>
    <w:p>
      <w:pPr>
        <w:spacing w:after="0" w:line="55" w:lineRule="exact"/>
        <w:rPr>
          <w:rFonts w:ascii="Arial" w:cs="Arial" w:eastAsia="Arial" w:hAnsi="Arial"/>
          <w:sz w:val="14"/>
          <w:szCs w:val="14"/>
          <w:color w:val="255993"/>
        </w:rPr>
      </w:pPr>
    </w:p>
    <w:p>
      <w:pPr>
        <w:ind w:left="320" w:right="560" w:hanging="224"/>
        <w:spacing w:after="0" w:line="285" w:lineRule="auto"/>
        <w:tabs>
          <w:tab w:leader="none" w:pos="320" w:val="left"/>
        </w:tabs>
        <w:numPr>
          <w:ilvl w:val="0"/>
          <w:numId w:val="18"/>
        </w:numPr>
        <w:rPr>
          <w:rFonts w:ascii="Arial" w:cs="Arial" w:eastAsia="Arial" w:hAnsi="Arial"/>
          <w:sz w:val="14"/>
          <w:szCs w:val="14"/>
          <w:color w:val="255993"/>
        </w:rPr>
      </w:pPr>
      <w:r>
        <w:rPr>
          <w:rFonts w:ascii="Arial" w:cs="Arial" w:eastAsia="Arial" w:hAnsi="Arial"/>
          <w:sz w:val="14"/>
          <w:szCs w:val="14"/>
          <w:color w:val="255993"/>
        </w:rPr>
        <w:t>Ms. Romano was appointed to our board of directors in December 2020. As of December 31, 2023, Ms. Romano held stock options to purchase 62,513 shares of our common stock.</w:t>
      </w:r>
    </w:p>
    <w:p>
      <w:pPr>
        <w:spacing w:after="0" w:line="158" w:lineRule="exact"/>
        <w:rPr>
          <w:sz w:val="20"/>
          <w:szCs w:val="20"/>
          <w:color w:val="auto"/>
        </w:rPr>
      </w:pPr>
    </w:p>
    <w:p>
      <w:pPr>
        <w:spacing w:after="0"/>
        <w:tabs>
          <w:tab w:leader="none" w:pos="4600" w:val="left"/>
          <w:tab w:leader="none" w:pos="7960" w:val="left"/>
        </w:tabs>
        <w:rPr>
          <w:sz w:val="20"/>
          <w:szCs w:val="20"/>
          <w:color w:val="auto"/>
        </w:rPr>
      </w:pPr>
      <w:r>
        <w:rPr>
          <w:rFonts w:ascii="Arial" w:cs="Arial" w:eastAsia="Arial" w:hAnsi="Arial"/>
          <w:sz w:val="14"/>
          <w:szCs w:val="14"/>
          <w:color w:val="255993"/>
        </w:rPr>
        <w:t>Athira Pharma, Inc.</w:t>
      </w:r>
      <w:r>
        <w:rPr>
          <w:sz w:val="20"/>
          <w:szCs w:val="20"/>
          <w:color w:val="auto"/>
        </w:rPr>
        <w:tab/>
      </w:r>
      <w:r>
        <w:rPr>
          <w:rFonts w:ascii="Arial" w:cs="Arial" w:eastAsia="Arial" w:hAnsi="Arial"/>
          <w:sz w:val="14"/>
          <w:szCs w:val="14"/>
          <w:b w:val="1"/>
          <w:bCs w:val="1"/>
          <w:color w:val="255993"/>
        </w:rPr>
        <w:t>22</w:t>
      </w:r>
      <w:r>
        <w:rPr>
          <w:sz w:val="20"/>
          <w:szCs w:val="20"/>
          <w:color w:val="auto"/>
        </w:rPr>
        <w:tab/>
      </w:r>
      <w:r>
        <w:rPr>
          <w:rFonts w:ascii="Arial" w:cs="Arial" w:eastAsia="Arial" w:hAnsi="Arial"/>
          <w:sz w:val="14"/>
          <w:szCs w:val="14"/>
          <w:color w:val="255993"/>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118110</wp:posOffset>
            </wp:positionV>
            <wp:extent cx="699516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263" w:right="12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jc w:val="right"/>
        <w:spacing w:after="0"/>
        <w:rPr>
          <w:sz w:val="20"/>
          <w:szCs w:val="20"/>
          <w:color w:val="auto"/>
        </w:rPr>
      </w:pPr>
      <w:r>
        <w:rPr>
          <w:rFonts w:ascii="Arial" w:cs="Arial" w:eastAsia="Arial" w:hAnsi="Arial"/>
          <w:sz w:val="14"/>
          <w:szCs w:val="14"/>
          <w:color w:val="255993"/>
        </w:rPr>
        <w:t>Board of Directors and Corporate Governance</w:t>
      </w:r>
    </w:p>
    <w:p>
      <w:pPr>
        <w:spacing w:after="0" w:line="96" w:lineRule="exact"/>
        <w:rPr>
          <w:sz w:val="20"/>
          <w:szCs w:val="20"/>
          <w:color w:val="auto"/>
        </w:rPr>
      </w:pPr>
    </w:p>
    <w:p>
      <w:pPr>
        <w:ind w:left="320" w:right="60" w:hanging="224"/>
        <w:spacing w:after="0" w:line="285" w:lineRule="auto"/>
        <w:tabs>
          <w:tab w:leader="none" w:pos="320" w:val="left"/>
        </w:tabs>
        <w:numPr>
          <w:ilvl w:val="0"/>
          <w:numId w:val="19"/>
        </w:numPr>
        <w:rPr>
          <w:rFonts w:ascii="Arial" w:cs="Arial" w:eastAsia="Arial" w:hAnsi="Arial"/>
          <w:sz w:val="14"/>
          <w:szCs w:val="14"/>
          <w:color w:val="255993"/>
        </w:rPr>
      </w:pPr>
      <w:r>
        <w:rPr>
          <w:rFonts w:ascii="Arial" w:cs="Arial" w:eastAsia="Arial" w:hAnsi="Arial"/>
          <w:sz w:val="14"/>
          <w:szCs w:val="14"/>
          <w:color w:val="255993"/>
        </w:rPr>
        <w:t>Mr. Edelman became a member of our board of directors in May 2020. As of December 31, 2023, Mr. Edelman held stock options to purchase 76,384 shares of our common stock.</w:t>
      </w:r>
    </w:p>
    <w:p>
      <w:pPr>
        <w:spacing w:after="0" w:line="36" w:lineRule="exact"/>
        <w:rPr>
          <w:rFonts w:ascii="Arial" w:cs="Arial" w:eastAsia="Arial" w:hAnsi="Arial"/>
          <w:sz w:val="14"/>
          <w:szCs w:val="14"/>
          <w:color w:val="255993"/>
        </w:rPr>
      </w:pPr>
    </w:p>
    <w:p>
      <w:pPr>
        <w:ind w:left="320" w:right="100" w:hanging="224"/>
        <w:spacing w:after="0" w:line="285" w:lineRule="auto"/>
        <w:tabs>
          <w:tab w:leader="none" w:pos="320" w:val="left"/>
        </w:tabs>
        <w:numPr>
          <w:ilvl w:val="0"/>
          <w:numId w:val="19"/>
        </w:numPr>
        <w:rPr>
          <w:rFonts w:ascii="Arial" w:cs="Arial" w:eastAsia="Arial" w:hAnsi="Arial"/>
          <w:sz w:val="14"/>
          <w:szCs w:val="14"/>
          <w:color w:val="255993"/>
        </w:rPr>
      </w:pPr>
      <w:r>
        <w:rPr>
          <w:rFonts w:ascii="Arial" w:cs="Arial" w:eastAsia="Arial" w:hAnsi="Arial"/>
          <w:sz w:val="14"/>
          <w:szCs w:val="14"/>
          <w:color w:val="255993"/>
        </w:rPr>
        <w:t>Mr. Fluke became a member of our board of directors in December 2014. As of December 31, 2023, Mr. Fluke held stock options to purchase 76,384 shares of our common stock.</w:t>
      </w:r>
    </w:p>
    <w:p>
      <w:pPr>
        <w:spacing w:after="0" w:line="36" w:lineRule="exact"/>
        <w:rPr>
          <w:rFonts w:ascii="Arial" w:cs="Arial" w:eastAsia="Arial" w:hAnsi="Arial"/>
          <w:sz w:val="14"/>
          <w:szCs w:val="14"/>
          <w:color w:val="255993"/>
        </w:rPr>
      </w:pPr>
    </w:p>
    <w:p>
      <w:pPr>
        <w:ind w:left="320" w:right="560" w:hanging="224"/>
        <w:spacing w:after="0" w:line="285" w:lineRule="auto"/>
        <w:tabs>
          <w:tab w:leader="none" w:pos="320" w:val="left"/>
        </w:tabs>
        <w:numPr>
          <w:ilvl w:val="0"/>
          <w:numId w:val="19"/>
        </w:numPr>
        <w:rPr>
          <w:rFonts w:ascii="Arial" w:cs="Arial" w:eastAsia="Arial" w:hAnsi="Arial"/>
          <w:sz w:val="14"/>
          <w:szCs w:val="14"/>
          <w:color w:val="255993"/>
        </w:rPr>
      </w:pPr>
      <w:r>
        <w:rPr>
          <w:rFonts w:ascii="Arial" w:cs="Arial" w:eastAsia="Arial" w:hAnsi="Arial"/>
          <w:sz w:val="14"/>
          <w:szCs w:val="14"/>
          <w:color w:val="255993"/>
        </w:rPr>
        <w:t>Mr. Johnson became a member of our board of directors in August 2020. As of December 31, 2023, Mr. Johnson held stock options to purchase 76,384 shares of our common stock.</w:t>
      </w:r>
    </w:p>
    <w:p>
      <w:pPr>
        <w:spacing w:after="0" w:line="22" w:lineRule="exact"/>
        <w:rPr>
          <w:rFonts w:ascii="Arial" w:cs="Arial" w:eastAsia="Arial" w:hAnsi="Arial"/>
          <w:sz w:val="14"/>
          <w:szCs w:val="14"/>
          <w:color w:val="255993"/>
        </w:rPr>
      </w:pPr>
    </w:p>
    <w:p>
      <w:pPr>
        <w:ind w:left="320" w:right="60" w:hanging="224"/>
        <w:spacing w:after="0" w:line="285" w:lineRule="auto"/>
        <w:tabs>
          <w:tab w:leader="none" w:pos="320" w:val="left"/>
        </w:tabs>
        <w:numPr>
          <w:ilvl w:val="0"/>
          <w:numId w:val="19"/>
        </w:numPr>
        <w:rPr>
          <w:rFonts w:ascii="Arial" w:cs="Arial" w:eastAsia="Arial" w:hAnsi="Arial"/>
          <w:sz w:val="14"/>
          <w:szCs w:val="14"/>
          <w:color w:val="255993"/>
        </w:rPr>
      </w:pPr>
      <w:r>
        <w:rPr>
          <w:rFonts w:ascii="Arial" w:cs="Arial" w:eastAsia="Arial" w:hAnsi="Arial"/>
          <w:sz w:val="14"/>
          <w:szCs w:val="14"/>
          <w:color w:val="255993"/>
        </w:rPr>
        <w:t>Ms. Kosacz became a member of our board of directors in March 2021. As of December 31, 2023, Ms. Kosacz held stock options to purchase 62,513 shares of our common stock.</w:t>
      </w:r>
    </w:p>
    <w:p>
      <w:pPr>
        <w:spacing w:after="0" w:line="36" w:lineRule="exact"/>
        <w:rPr>
          <w:rFonts w:ascii="Arial" w:cs="Arial" w:eastAsia="Arial" w:hAnsi="Arial"/>
          <w:sz w:val="14"/>
          <w:szCs w:val="14"/>
          <w:color w:val="255993"/>
        </w:rPr>
      </w:pPr>
    </w:p>
    <w:p>
      <w:pPr>
        <w:ind w:left="320" w:right="300" w:hanging="224"/>
        <w:spacing w:after="0" w:line="285" w:lineRule="auto"/>
        <w:tabs>
          <w:tab w:leader="none" w:pos="320" w:val="left"/>
        </w:tabs>
        <w:numPr>
          <w:ilvl w:val="0"/>
          <w:numId w:val="19"/>
        </w:numPr>
        <w:rPr>
          <w:rFonts w:ascii="Arial" w:cs="Arial" w:eastAsia="Arial" w:hAnsi="Arial"/>
          <w:sz w:val="14"/>
          <w:szCs w:val="14"/>
          <w:color w:val="255993"/>
        </w:rPr>
      </w:pPr>
      <w:r>
        <w:rPr>
          <w:rFonts w:ascii="Arial" w:cs="Arial" w:eastAsia="Arial" w:hAnsi="Arial"/>
          <w:sz w:val="14"/>
          <w:szCs w:val="14"/>
          <w:color w:val="255993"/>
        </w:rPr>
        <w:t>Dr. Panzara was appointed to our board of directors in March 2022. As of December 31, 2023, Dr. Panzara held stock options to purchase 50,953 shares of our common stock.</w:t>
      </w:r>
    </w:p>
    <w:p>
      <w:pPr>
        <w:spacing w:after="0" w:line="36" w:lineRule="exact"/>
        <w:rPr>
          <w:rFonts w:ascii="Arial" w:cs="Arial" w:eastAsia="Arial" w:hAnsi="Arial"/>
          <w:sz w:val="14"/>
          <w:szCs w:val="14"/>
          <w:color w:val="255993"/>
        </w:rPr>
      </w:pPr>
    </w:p>
    <w:p>
      <w:pPr>
        <w:ind w:left="320" w:right="40" w:hanging="224"/>
        <w:spacing w:after="0" w:line="285" w:lineRule="auto"/>
        <w:tabs>
          <w:tab w:leader="none" w:pos="320" w:val="left"/>
        </w:tabs>
        <w:numPr>
          <w:ilvl w:val="0"/>
          <w:numId w:val="19"/>
        </w:numPr>
        <w:rPr>
          <w:rFonts w:ascii="Arial" w:cs="Arial" w:eastAsia="Arial" w:hAnsi="Arial"/>
          <w:sz w:val="14"/>
          <w:szCs w:val="14"/>
          <w:color w:val="255993"/>
        </w:rPr>
      </w:pPr>
      <w:r>
        <w:rPr>
          <w:rFonts w:ascii="Arial" w:cs="Arial" w:eastAsia="Arial" w:hAnsi="Arial"/>
          <w:sz w:val="14"/>
          <w:szCs w:val="14"/>
          <w:color w:val="255993"/>
        </w:rPr>
        <w:t>Mr. Pickering was appointed to our board of directors in January 2022. As of December 31, 2023, Mr. Pickering held stock options to purchase 52,109 shares of our common stock.</w:t>
      </w:r>
    </w:p>
    <w:p>
      <w:pPr>
        <w:spacing w:after="0" w:line="72" w:lineRule="exact"/>
        <w:rPr>
          <w:sz w:val="20"/>
          <w:szCs w:val="20"/>
          <w:color w:val="auto"/>
        </w:rPr>
      </w:pPr>
    </w:p>
    <w:p>
      <w:pPr>
        <w:ind w:right="120"/>
        <w:spacing w:after="0" w:line="254" w:lineRule="auto"/>
        <w:rPr>
          <w:sz w:val="20"/>
          <w:szCs w:val="20"/>
          <w:color w:val="auto"/>
        </w:rPr>
      </w:pPr>
      <w:r>
        <w:rPr>
          <w:rFonts w:ascii="Arial" w:cs="Arial" w:eastAsia="Arial" w:hAnsi="Arial"/>
          <w:sz w:val="16"/>
          <w:szCs w:val="16"/>
          <w:color w:val="auto"/>
        </w:rPr>
        <w:t>In September 2020, based on discussions with and assistance from AON Radford, a third-party compensation consultant retained by our compensation committee to provide our board of directors and our compensation committee with an analysis of publicly available market data and assistance in determining compensation to be provided to our non-employee directors, our board of directors adopted, and our stockholders approved, an outside director compensation policy providing for certain compensation to our non-employee directors. The outside director compensation policy was subsequently amended and restated in January 2022 and again in January 2023.</w:t>
      </w: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CASH COMPENSATION</w:t>
      </w:r>
    </w:p>
    <w:p>
      <w:pPr>
        <w:spacing w:after="0" w:line="113"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color w:val="auto"/>
        </w:rPr>
        <w:t>The amended and restated outside director compensation policy provides for the following cash compensation program for our non-employee directors:</w:t>
      </w:r>
    </w:p>
    <w:p>
      <w:pPr>
        <w:spacing w:after="0" w:line="102" w:lineRule="exact"/>
        <w:rPr>
          <w:sz w:val="20"/>
          <w:szCs w:val="20"/>
          <w:color w:val="auto"/>
        </w:rPr>
      </w:pPr>
    </w:p>
    <w:p>
      <w:pPr>
        <w:ind w:left="140" w:hanging="134"/>
        <w:spacing w:after="0"/>
        <w:tabs>
          <w:tab w:leader="none" w:pos="140" w:val="left"/>
        </w:tabs>
        <w:numPr>
          <w:ilvl w:val="0"/>
          <w:numId w:val="20"/>
        </w:numPr>
        <w:rPr>
          <w:rFonts w:ascii="Arial" w:cs="Arial" w:eastAsia="Arial" w:hAnsi="Arial"/>
          <w:sz w:val="16"/>
          <w:szCs w:val="16"/>
          <w:color w:val="255993"/>
        </w:rPr>
      </w:pPr>
      <w:r>
        <w:rPr>
          <w:rFonts w:ascii="Arial" w:cs="Arial" w:eastAsia="Arial" w:hAnsi="Arial"/>
          <w:sz w:val="16"/>
          <w:szCs w:val="16"/>
          <w:color w:val="auto"/>
        </w:rPr>
        <w:t>$40,000 per year for service as a non-employee director;</w:t>
      </w:r>
    </w:p>
    <w:p>
      <w:pPr>
        <w:spacing w:after="0" w:line="59" w:lineRule="exact"/>
        <w:rPr>
          <w:rFonts w:ascii="Arial" w:cs="Arial" w:eastAsia="Arial" w:hAnsi="Arial"/>
          <w:sz w:val="16"/>
          <w:szCs w:val="16"/>
          <w:color w:val="255993"/>
        </w:rPr>
      </w:pPr>
    </w:p>
    <w:p>
      <w:pPr>
        <w:ind w:left="140" w:hanging="134"/>
        <w:spacing w:after="0"/>
        <w:tabs>
          <w:tab w:leader="none" w:pos="140" w:val="left"/>
        </w:tabs>
        <w:numPr>
          <w:ilvl w:val="0"/>
          <w:numId w:val="20"/>
        </w:numPr>
        <w:rPr>
          <w:rFonts w:ascii="Arial" w:cs="Arial" w:eastAsia="Arial" w:hAnsi="Arial"/>
          <w:sz w:val="16"/>
          <w:szCs w:val="16"/>
          <w:color w:val="255993"/>
        </w:rPr>
      </w:pPr>
      <w:r>
        <w:rPr>
          <w:rFonts w:ascii="Arial" w:cs="Arial" w:eastAsia="Arial" w:hAnsi="Arial"/>
          <w:sz w:val="16"/>
          <w:szCs w:val="16"/>
          <w:color w:val="auto"/>
        </w:rPr>
        <w:t>$30,000 per year for service as chairperson of our board of directors;</w:t>
      </w:r>
    </w:p>
    <w:p>
      <w:pPr>
        <w:spacing w:after="0" w:line="59" w:lineRule="exact"/>
        <w:rPr>
          <w:rFonts w:ascii="Arial" w:cs="Arial" w:eastAsia="Arial" w:hAnsi="Arial"/>
          <w:sz w:val="16"/>
          <w:szCs w:val="16"/>
          <w:color w:val="255993"/>
        </w:rPr>
      </w:pPr>
    </w:p>
    <w:p>
      <w:pPr>
        <w:ind w:left="140" w:hanging="134"/>
        <w:spacing w:after="0"/>
        <w:tabs>
          <w:tab w:leader="none" w:pos="140" w:val="left"/>
        </w:tabs>
        <w:numPr>
          <w:ilvl w:val="0"/>
          <w:numId w:val="20"/>
        </w:numPr>
        <w:rPr>
          <w:rFonts w:ascii="Arial" w:cs="Arial" w:eastAsia="Arial" w:hAnsi="Arial"/>
          <w:sz w:val="16"/>
          <w:szCs w:val="16"/>
          <w:color w:val="255993"/>
        </w:rPr>
      </w:pPr>
      <w:r>
        <w:rPr>
          <w:rFonts w:ascii="Arial" w:cs="Arial" w:eastAsia="Arial" w:hAnsi="Arial"/>
          <w:sz w:val="16"/>
          <w:szCs w:val="16"/>
          <w:color w:val="auto"/>
        </w:rPr>
        <w:t>$15,000 per year for service as chairperson of our audit committee;</w:t>
      </w:r>
    </w:p>
    <w:p>
      <w:pPr>
        <w:spacing w:after="0" w:line="59" w:lineRule="exact"/>
        <w:rPr>
          <w:rFonts w:ascii="Arial" w:cs="Arial" w:eastAsia="Arial" w:hAnsi="Arial"/>
          <w:sz w:val="16"/>
          <w:szCs w:val="16"/>
          <w:color w:val="255993"/>
        </w:rPr>
      </w:pPr>
    </w:p>
    <w:p>
      <w:pPr>
        <w:ind w:left="140" w:hanging="134"/>
        <w:spacing w:after="0"/>
        <w:tabs>
          <w:tab w:leader="none" w:pos="140" w:val="left"/>
        </w:tabs>
        <w:numPr>
          <w:ilvl w:val="0"/>
          <w:numId w:val="20"/>
        </w:numPr>
        <w:rPr>
          <w:rFonts w:ascii="Arial" w:cs="Arial" w:eastAsia="Arial" w:hAnsi="Arial"/>
          <w:sz w:val="16"/>
          <w:szCs w:val="16"/>
          <w:color w:val="255993"/>
        </w:rPr>
      </w:pPr>
      <w:r>
        <w:rPr>
          <w:rFonts w:ascii="Arial" w:cs="Arial" w:eastAsia="Arial" w:hAnsi="Arial"/>
          <w:sz w:val="16"/>
          <w:szCs w:val="16"/>
          <w:color w:val="auto"/>
        </w:rPr>
        <w:t>$7,500 per year for service as a member of our audit committee;</w:t>
      </w:r>
    </w:p>
    <w:p>
      <w:pPr>
        <w:spacing w:after="0" w:line="59" w:lineRule="exact"/>
        <w:rPr>
          <w:rFonts w:ascii="Arial" w:cs="Arial" w:eastAsia="Arial" w:hAnsi="Arial"/>
          <w:sz w:val="16"/>
          <w:szCs w:val="16"/>
          <w:color w:val="255993"/>
        </w:rPr>
      </w:pPr>
    </w:p>
    <w:p>
      <w:pPr>
        <w:ind w:left="140" w:hanging="134"/>
        <w:spacing w:after="0"/>
        <w:tabs>
          <w:tab w:leader="none" w:pos="140" w:val="left"/>
        </w:tabs>
        <w:numPr>
          <w:ilvl w:val="0"/>
          <w:numId w:val="20"/>
        </w:numPr>
        <w:rPr>
          <w:rFonts w:ascii="Arial" w:cs="Arial" w:eastAsia="Arial" w:hAnsi="Arial"/>
          <w:sz w:val="16"/>
          <w:szCs w:val="16"/>
          <w:color w:val="255993"/>
        </w:rPr>
      </w:pPr>
      <w:r>
        <w:rPr>
          <w:rFonts w:ascii="Arial" w:cs="Arial" w:eastAsia="Arial" w:hAnsi="Arial"/>
          <w:sz w:val="16"/>
          <w:szCs w:val="16"/>
          <w:color w:val="auto"/>
        </w:rPr>
        <w:t>$10,000 per year for service as chairperson of our compensation committee;</w:t>
      </w:r>
    </w:p>
    <w:p>
      <w:pPr>
        <w:spacing w:after="0" w:line="59" w:lineRule="exact"/>
        <w:rPr>
          <w:rFonts w:ascii="Arial" w:cs="Arial" w:eastAsia="Arial" w:hAnsi="Arial"/>
          <w:sz w:val="16"/>
          <w:szCs w:val="16"/>
          <w:color w:val="255993"/>
        </w:rPr>
      </w:pPr>
    </w:p>
    <w:p>
      <w:pPr>
        <w:ind w:left="140" w:hanging="134"/>
        <w:spacing w:after="0"/>
        <w:tabs>
          <w:tab w:leader="none" w:pos="140" w:val="left"/>
        </w:tabs>
        <w:numPr>
          <w:ilvl w:val="0"/>
          <w:numId w:val="20"/>
        </w:numPr>
        <w:rPr>
          <w:rFonts w:ascii="Arial" w:cs="Arial" w:eastAsia="Arial" w:hAnsi="Arial"/>
          <w:sz w:val="16"/>
          <w:szCs w:val="16"/>
          <w:color w:val="255993"/>
        </w:rPr>
      </w:pPr>
      <w:r>
        <w:rPr>
          <w:rFonts w:ascii="Arial" w:cs="Arial" w:eastAsia="Arial" w:hAnsi="Arial"/>
          <w:sz w:val="16"/>
          <w:szCs w:val="16"/>
          <w:color w:val="auto"/>
        </w:rPr>
        <w:t>$5,000 per year for service as a member of our compensation committee;</w:t>
      </w:r>
    </w:p>
    <w:p>
      <w:pPr>
        <w:spacing w:after="0" w:line="59" w:lineRule="exact"/>
        <w:rPr>
          <w:rFonts w:ascii="Arial" w:cs="Arial" w:eastAsia="Arial" w:hAnsi="Arial"/>
          <w:sz w:val="16"/>
          <w:szCs w:val="16"/>
          <w:color w:val="255993"/>
        </w:rPr>
      </w:pPr>
    </w:p>
    <w:p>
      <w:pPr>
        <w:ind w:left="140" w:hanging="134"/>
        <w:spacing w:after="0"/>
        <w:tabs>
          <w:tab w:leader="none" w:pos="140" w:val="left"/>
        </w:tabs>
        <w:numPr>
          <w:ilvl w:val="0"/>
          <w:numId w:val="20"/>
        </w:numPr>
        <w:rPr>
          <w:rFonts w:ascii="Arial" w:cs="Arial" w:eastAsia="Arial" w:hAnsi="Arial"/>
          <w:sz w:val="16"/>
          <w:szCs w:val="16"/>
          <w:color w:val="255993"/>
        </w:rPr>
      </w:pPr>
      <w:r>
        <w:rPr>
          <w:rFonts w:ascii="Arial" w:cs="Arial" w:eastAsia="Arial" w:hAnsi="Arial"/>
          <w:sz w:val="16"/>
          <w:szCs w:val="16"/>
          <w:color w:val="auto"/>
        </w:rPr>
        <w:t>$8,000 per year for service as chairperson of our nominating and corporate governance committee; and</w:t>
      </w:r>
    </w:p>
    <w:p>
      <w:pPr>
        <w:spacing w:after="0" w:line="59" w:lineRule="exact"/>
        <w:rPr>
          <w:rFonts w:ascii="Arial" w:cs="Arial" w:eastAsia="Arial" w:hAnsi="Arial"/>
          <w:sz w:val="16"/>
          <w:szCs w:val="16"/>
          <w:color w:val="255993"/>
        </w:rPr>
      </w:pPr>
    </w:p>
    <w:p>
      <w:pPr>
        <w:ind w:left="140" w:hanging="134"/>
        <w:spacing w:after="0"/>
        <w:tabs>
          <w:tab w:leader="none" w:pos="140" w:val="left"/>
        </w:tabs>
        <w:numPr>
          <w:ilvl w:val="0"/>
          <w:numId w:val="20"/>
        </w:numPr>
        <w:rPr>
          <w:rFonts w:ascii="Arial" w:cs="Arial" w:eastAsia="Arial" w:hAnsi="Arial"/>
          <w:sz w:val="16"/>
          <w:szCs w:val="16"/>
          <w:color w:val="255993"/>
        </w:rPr>
      </w:pPr>
      <w:r>
        <w:rPr>
          <w:rFonts w:ascii="Arial" w:cs="Arial" w:eastAsia="Arial" w:hAnsi="Arial"/>
          <w:sz w:val="16"/>
          <w:szCs w:val="16"/>
          <w:color w:val="auto"/>
        </w:rPr>
        <w:t>$4,000 per year for service as a member of our nominating and corporate governance committee.</w:t>
      </w:r>
    </w:p>
    <w:p>
      <w:pPr>
        <w:spacing w:after="0" w:line="154"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Each non-employee director who serves as a committee chairperson receives only the cash retainer fee as the chairperson of the committee but not the cash retainer fee as a member of that committee. These fees to our non-employee directors are paid quarterly in arrears on a prorated basis. Under our amended and restated outside director compensation policy, we also reimburse our non-employee directors for reasonable travel expenses to attend meetings of our board of directors and its committees. The above-listed fees for service as chairperson or members of committees are payable in addition to the non-employee director retainer specified above.</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EQUITY COMPENSATION</w:t>
      </w:r>
    </w:p>
    <w:p>
      <w:pPr>
        <w:spacing w:after="0" w:line="113" w:lineRule="exact"/>
        <w:rPr>
          <w:sz w:val="20"/>
          <w:szCs w:val="20"/>
          <w:color w:val="auto"/>
        </w:rPr>
      </w:pPr>
    </w:p>
    <w:p>
      <w:pPr>
        <w:ind w:right="200"/>
        <w:spacing w:after="0" w:line="252" w:lineRule="auto"/>
        <w:rPr>
          <w:sz w:val="20"/>
          <w:szCs w:val="20"/>
          <w:color w:val="auto"/>
        </w:rPr>
      </w:pPr>
      <w:r>
        <w:rPr>
          <w:rFonts w:ascii="Arial" w:cs="Arial" w:eastAsia="Arial" w:hAnsi="Arial"/>
          <w:sz w:val="16"/>
          <w:szCs w:val="16"/>
          <w:i w:val="1"/>
          <w:iCs w:val="1"/>
          <w:color w:val="auto"/>
        </w:rPr>
        <w:t>Initial Award</w:t>
      </w:r>
      <w:r>
        <w:rPr>
          <w:rFonts w:ascii="Arial" w:cs="Arial" w:eastAsia="Arial" w:hAnsi="Arial"/>
          <w:sz w:val="16"/>
          <w:szCs w:val="16"/>
          <w:color w:val="auto"/>
        </w:rPr>
        <w:t>. Pursuant to our Amended and Restated Outside Director Compensation Policy, each person who becomes a non-employee director will receive, on the first trading day on or after the date that the person first becomes a non-employee director, an initial award. or the Initial Award, of stock options to purchase 41,800 shares of our common stock. The Initial Award vests in</w:t>
      </w:r>
    </w:p>
    <w:p>
      <w:pPr>
        <w:spacing w:after="0" w:line="1" w:lineRule="exact"/>
        <w:rPr>
          <w:sz w:val="20"/>
          <w:szCs w:val="20"/>
          <w:color w:val="auto"/>
        </w:rPr>
      </w:pPr>
    </w:p>
    <w:p>
      <w:pPr>
        <w:spacing w:after="0" w:line="228" w:lineRule="auto"/>
        <w:rPr>
          <w:sz w:val="20"/>
          <w:szCs w:val="20"/>
          <w:color w:val="auto"/>
        </w:rPr>
      </w:pPr>
      <w:r>
        <w:rPr>
          <w:rFonts w:ascii="Arial" w:cs="Arial" w:eastAsia="Arial" w:hAnsi="Arial"/>
          <w:sz w:val="16"/>
          <w:szCs w:val="16"/>
          <w:color w:val="auto"/>
        </w:rPr>
        <w:t>equal installments as to 1/36</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of the shares of our common stock subject to the Initial Award on a monthly basis following the Initial Award’s grant date, on the same day of the month as the grant date, subject to continued services to us through the applicable vesting dates. If the person was a member of our board of directors and also an employee, then becoming a non-employee director due to termination of employment will not entitle the person to an Initial Award.</w:t>
      </w:r>
    </w:p>
    <w:p>
      <w:pPr>
        <w:spacing w:after="0" w:line="123" w:lineRule="exact"/>
        <w:rPr>
          <w:sz w:val="20"/>
          <w:szCs w:val="20"/>
          <w:color w:val="auto"/>
        </w:rPr>
      </w:pPr>
    </w:p>
    <w:p>
      <w:pPr>
        <w:ind w:right="260"/>
        <w:spacing w:after="0" w:line="266" w:lineRule="auto"/>
        <w:rPr>
          <w:sz w:val="20"/>
          <w:szCs w:val="20"/>
          <w:color w:val="auto"/>
        </w:rPr>
      </w:pPr>
      <w:r>
        <w:rPr>
          <w:rFonts w:ascii="Arial" w:cs="Arial" w:eastAsia="Arial" w:hAnsi="Arial"/>
          <w:sz w:val="16"/>
          <w:szCs w:val="16"/>
          <w:i w:val="1"/>
          <w:iCs w:val="1"/>
          <w:color w:val="auto"/>
        </w:rPr>
        <w:t>Annual Award</w:t>
      </w:r>
      <w:r>
        <w:rPr>
          <w:rFonts w:ascii="Arial" w:cs="Arial" w:eastAsia="Arial" w:hAnsi="Arial"/>
          <w:sz w:val="16"/>
          <w:szCs w:val="16"/>
          <w:color w:val="auto"/>
        </w:rPr>
        <w:t>. Pursuant to our amended and restated outside director compensation policy, each non-employee director</w:t>
      </w:r>
      <w:r>
        <w:rPr>
          <w:rFonts w:ascii="Arial" w:cs="Arial" w:eastAsia="Arial" w:hAnsi="Arial"/>
          <w:sz w:val="16"/>
          <w:szCs w:val="16"/>
          <w:i w:val="1"/>
          <w:iCs w:val="1"/>
          <w:color w:val="auto"/>
        </w:rPr>
        <w:t xml:space="preserve"> </w:t>
      </w:r>
      <w:r>
        <w:rPr>
          <w:rFonts w:ascii="Arial" w:cs="Arial" w:eastAsia="Arial" w:hAnsi="Arial"/>
          <w:sz w:val="16"/>
          <w:szCs w:val="16"/>
          <w:color w:val="auto"/>
        </w:rPr>
        <w:t>automatically receives, on the first trading day immediately after the date of each annual meeting of our stockholders, an annual award, or the</w:t>
      </w:r>
    </w:p>
    <w:p>
      <w:pPr>
        <w:spacing w:after="0" w:line="176" w:lineRule="exact"/>
        <w:rPr>
          <w:sz w:val="20"/>
          <w:szCs w:val="20"/>
          <w:color w:val="auto"/>
        </w:rPr>
      </w:pPr>
    </w:p>
    <w:p>
      <w:pPr>
        <w:spacing w:after="0"/>
        <w:tabs>
          <w:tab w:leader="none" w:pos="4600" w:val="left"/>
          <w:tab w:leader="none" w:pos="7960" w:val="left"/>
        </w:tabs>
        <w:rPr>
          <w:sz w:val="20"/>
          <w:szCs w:val="20"/>
          <w:color w:val="auto"/>
        </w:rPr>
      </w:pPr>
      <w:r>
        <w:rPr>
          <w:rFonts w:ascii="Arial" w:cs="Arial" w:eastAsia="Arial" w:hAnsi="Arial"/>
          <w:sz w:val="14"/>
          <w:szCs w:val="14"/>
          <w:color w:val="255993"/>
        </w:rPr>
        <w:t>Athira Pharma, Inc.</w:t>
      </w:r>
      <w:r>
        <w:rPr>
          <w:sz w:val="20"/>
          <w:szCs w:val="20"/>
          <w:color w:val="auto"/>
        </w:rPr>
        <w:tab/>
      </w:r>
      <w:r>
        <w:rPr>
          <w:rFonts w:ascii="Arial" w:cs="Arial" w:eastAsia="Arial" w:hAnsi="Arial"/>
          <w:sz w:val="14"/>
          <w:szCs w:val="14"/>
          <w:b w:val="1"/>
          <w:bCs w:val="1"/>
          <w:color w:val="255993"/>
        </w:rPr>
        <w:t>23</w:t>
      </w:r>
      <w:r>
        <w:rPr>
          <w:sz w:val="20"/>
          <w:szCs w:val="20"/>
          <w:color w:val="auto"/>
        </w:rPr>
        <w:tab/>
      </w:r>
      <w:r>
        <w:rPr>
          <w:rFonts w:ascii="Arial" w:cs="Arial" w:eastAsia="Arial" w:hAnsi="Arial"/>
          <w:sz w:val="14"/>
          <w:szCs w:val="14"/>
          <w:color w:val="255993"/>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118110</wp:posOffset>
            </wp:positionV>
            <wp:extent cx="699516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263" w:right="12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255993"/>
        </w:rPr>
        <w:t>Board of Directors and Corporate Governance</w:t>
      </w:r>
    </w:p>
    <w:p>
      <w:pPr>
        <w:spacing w:after="0" w:line="104"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Annual Award, of stock options to purchase 20,900 shares of our common stock. If, as of the date of the annual meeting, such director has not been in continuous service as a non-employee director since the date of the most recently preceding annual meeting, their first annual award will be prorated and equal to the product of 20,900 multiplied by the quotient of (1) the number of whole months of continuous service as a non-employee director completed as of the date of such annual meeting divided by (2) 12, rounded down to the nearest whole share (up to a maximum of 20,900 shares). Each Annual Award vests on the earlier of the one-year anniversary of the grant date, or the day immediately before the day of the next annual meeting of our stockholders that occurs after the grant date of the Annual Award, subject to continued service to us through the applicable vesting date.</w:t>
      </w:r>
    </w:p>
    <w:p>
      <w:pPr>
        <w:spacing w:after="0" w:line="114" w:lineRule="exact"/>
        <w:rPr>
          <w:sz w:val="20"/>
          <w:szCs w:val="20"/>
          <w:color w:val="auto"/>
        </w:rPr>
      </w:pPr>
    </w:p>
    <w:p>
      <w:pPr>
        <w:ind w:right="220"/>
        <w:spacing w:after="0" w:line="266" w:lineRule="auto"/>
        <w:rPr>
          <w:sz w:val="20"/>
          <w:szCs w:val="20"/>
          <w:color w:val="auto"/>
        </w:rPr>
      </w:pPr>
      <w:r>
        <w:rPr>
          <w:rFonts w:ascii="Arial" w:cs="Arial" w:eastAsia="Arial" w:hAnsi="Arial"/>
          <w:sz w:val="16"/>
          <w:szCs w:val="16"/>
          <w:i w:val="1"/>
          <w:iCs w:val="1"/>
          <w:color w:val="auto"/>
        </w:rPr>
        <w:t>Change in Control</w:t>
      </w:r>
      <w:r>
        <w:rPr>
          <w:rFonts w:ascii="Arial" w:cs="Arial" w:eastAsia="Arial" w:hAnsi="Arial"/>
          <w:sz w:val="16"/>
          <w:szCs w:val="16"/>
          <w:color w:val="auto"/>
        </w:rPr>
        <w:t>. In the event of a “Change in Control” (as defined in our 2020 Equity Incentive Plan), each non-employee</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then outstanding equity awards covering shares of our common stock will accelerate vesting in full, provided that he or she remains a non-employee director through the date of the Change in Control.</w:t>
      </w:r>
    </w:p>
    <w:p>
      <w:pPr>
        <w:spacing w:after="0" w:line="104"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i w:val="1"/>
          <w:iCs w:val="1"/>
          <w:color w:val="auto"/>
        </w:rPr>
        <w:t>Other Award Terms</w:t>
      </w:r>
      <w:r>
        <w:rPr>
          <w:rFonts w:ascii="Arial" w:cs="Arial" w:eastAsia="Arial" w:hAnsi="Arial"/>
          <w:sz w:val="16"/>
          <w:szCs w:val="16"/>
          <w:color w:val="auto"/>
        </w:rPr>
        <w:t>. Each Initial Award and Annual Award will be granted under our 2020 Equity Incentive Plan (or its successor</w:t>
      </w:r>
      <w:r>
        <w:rPr>
          <w:rFonts w:ascii="Arial" w:cs="Arial" w:eastAsia="Arial" w:hAnsi="Arial"/>
          <w:sz w:val="16"/>
          <w:szCs w:val="16"/>
          <w:i w:val="1"/>
          <w:iCs w:val="1"/>
          <w:color w:val="auto"/>
        </w:rPr>
        <w:t xml:space="preserve"> </w:t>
      </w:r>
      <w:r>
        <w:rPr>
          <w:rFonts w:ascii="Arial" w:cs="Arial" w:eastAsia="Arial" w:hAnsi="Arial"/>
          <w:sz w:val="16"/>
          <w:szCs w:val="16"/>
          <w:color w:val="auto"/>
        </w:rPr>
        <w:t>plan, as applicable) and form of award agreement under such plan. These awards will have a maximum term to expiration of 10 years from their grant and a per share exercise price equal to 100% of the fair market value of a share of our common stock on the award’s grant date.</w:t>
      </w:r>
    </w:p>
    <w:p>
      <w:pPr>
        <w:spacing w:after="0" w:line="97" w:lineRule="exact"/>
        <w:rPr>
          <w:sz w:val="20"/>
          <w:szCs w:val="20"/>
          <w:color w:val="auto"/>
        </w:rPr>
      </w:pPr>
    </w:p>
    <w:p>
      <w:pPr>
        <w:spacing w:after="0" w:line="252" w:lineRule="auto"/>
        <w:rPr>
          <w:sz w:val="20"/>
          <w:szCs w:val="20"/>
          <w:color w:val="auto"/>
        </w:rPr>
      </w:pPr>
      <w:r>
        <w:rPr>
          <w:rFonts w:ascii="Arial" w:cs="Arial" w:eastAsia="Arial" w:hAnsi="Arial"/>
          <w:sz w:val="16"/>
          <w:szCs w:val="16"/>
          <w:i w:val="1"/>
          <w:iCs w:val="1"/>
          <w:color w:val="auto"/>
        </w:rPr>
        <w:t>Director Compensation Limits</w:t>
      </w:r>
      <w:r>
        <w:rPr>
          <w:rFonts w:ascii="Arial" w:cs="Arial" w:eastAsia="Arial" w:hAnsi="Arial"/>
          <w:sz w:val="16"/>
          <w:szCs w:val="16"/>
          <w:color w:val="auto"/>
        </w:rPr>
        <w:t>. Our amended and restated outside director compensation policy provides that in any fiscal year, a</w:t>
      </w:r>
      <w:r>
        <w:rPr>
          <w:rFonts w:ascii="Arial" w:cs="Arial" w:eastAsia="Arial" w:hAnsi="Arial"/>
          <w:sz w:val="16"/>
          <w:szCs w:val="16"/>
          <w:i w:val="1"/>
          <w:iCs w:val="1"/>
          <w:color w:val="auto"/>
        </w:rPr>
        <w:t xml:space="preserve"> </w:t>
      </w:r>
      <w:r>
        <w:rPr>
          <w:rFonts w:ascii="Arial" w:cs="Arial" w:eastAsia="Arial" w:hAnsi="Arial"/>
          <w:sz w:val="16"/>
          <w:szCs w:val="16"/>
          <w:color w:val="auto"/>
        </w:rPr>
        <w:t>non-employee director may be paid cash compensation and other compensation and granted equity awards with an aggregate value of no more than $500,000 (with the value of equity awards based on their grant date fair value determined in accordance with U.S. Generally Accepted Accounting Principles for purposes of this limit), with such limit increased to $750,000 for the fiscal year of his or her initial service as a non-employee director. Equity awards granted or other compensation provided to a non-employee director while he or she was an employee or consultant of the Company (other than a non-employee director), or granted or provided prior to the effective date of the registration statement relating to our initial public offering, do not count toward this annual limit.</w:t>
      </w:r>
    </w:p>
    <w:p>
      <w:pPr>
        <w:spacing w:after="0" w:line="381" w:lineRule="exact"/>
        <w:rPr>
          <w:sz w:val="20"/>
          <w:szCs w:val="20"/>
          <w:color w:val="auto"/>
        </w:rPr>
      </w:pPr>
    </w:p>
    <w:p>
      <w:pPr>
        <w:spacing w:after="0"/>
        <w:tabs>
          <w:tab w:leader="none" w:pos="4600" w:val="left"/>
          <w:tab w:leader="none" w:pos="7960" w:val="left"/>
        </w:tabs>
        <w:rPr>
          <w:sz w:val="20"/>
          <w:szCs w:val="20"/>
          <w:color w:val="auto"/>
        </w:rPr>
      </w:pPr>
      <w:r>
        <w:rPr>
          <w:rFonts w:ascii="Arial" w:cs="Arial" w:eastAsia="Arial" w:hAnsi="Arial"/>
          <w:sz w:val="14"/>
          <w:szCs w:val="14"/>
          <w:color w:val="255993"/>
        </w:rPr>
        <w:t>Athira Pharma, Inc.</w:t>
      </w:r>
      <w:r>
        <w:rPr>
          <w:sz w:val="20"/>
          <w:szCs w:val="20"/>
          <w:color w:val="auto"/>
        </w:rPr>
        <w:tab/>
      </w:r>
      <w:r>
        <w:rPr>
          <w:rFonts w:ascii="Arial" w:cs="Arial" w:eastAsia="Arial" w:hAnsi="Arial"/>
          <w:sz w:val="14"/>
          <w:szCs w:val="14"/>
          <w:b w:val="1"/>
          <w:bCs w:val="1"/>
          <w:color w:val="255993"/>
        </w:rPr>
        <w:t>24</w:t>
      </w:r>
      <w:r>
        <w:rPr>
          <w:sz w:val="20"/>
          <w:szCs w:val="20"/>
          <w:color w:val="auto"/>
        </w:rPr>
        <w:tab/>
      </w:r>
      <w:r>
        <w:rPr>
          <w:rFonts w:ascii="Arial" w:cs="Arial" w:eastAsia="Arial" w:hAnsi="Arial"/>
          <w:sz w:val="14"/>
          <w:szCs w:val="14"/>
          <w:color w:val="255993"/>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126365</wp:posOffset>
            </wp:positionV>
            <wp:extent cx="699516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263" w:right="12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F8991D"/>
        </w:rPr>
        <w:t>ELECTION OF CLASS I DIRECTORS</w:t>
      </w:r>
    </w:p>
    <w:p>
      <w:pPr>
        <w:spacing w:after="0" w:line="47" w:lineRule="exact"/>
        <w:rPr>
          <w:sz w:val="20"/>
          <w:szCs w:val="20"/>
          <w:color w:val="auto"/>
        </w:rPr>
      </w:pPr>
    </w:p>
    <w:p>
      <w:pPr>
        <w:spacing w:after="0"/>
        <w:rPr>
          <w:sz w:val="20"/>
          <w:szCs w:val="20"/>
          <w:color w:val="auto"/>
        </w:rPr>
      </w:pPr>
      <w:r>
        <w:rPr>
          <w:rFonts w:ascii="Arial" w:cs="Arial" w:eastAsia="Arial" w:hAnsi="Arial"/>
          <w:sz w:val="58"/>
          <w:szCs w:val="58"/>
          <w:color w:val="255993"/>
        </w:rPr>
        <w:t>Proposal One</w:t>
      </w:r>
    </w:p>
    <w:p>
      <w:pPr>
        <w:spacing w:after="0" w:line="357"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Our board of directors currently consists of eight directors and is divided into three classes with staggered three-year terms. At the Annual Meeting, three Class I directors of the Company will be elected for a three-year term to succeed the same class whose term is then expiring, each to continue until his or her respective successor is elected and qualified, or until his or her earlier death, resignation or removal.</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NOMINEES</w:t>
      </w:r>
    </w:p>
    <w:p>
      <w:pPr>
        <w:spacing w:after="0" w:line="149" w:lineRule="exact"/>
        <w:rPr>
          <w:sz w:val="20"/>
          <w:szCs w:val="20"/>
          <w:color w:val="auto"/>
        </w:rPr>
      </w:pPr>
    </w:p>
    <w:p>
      <w:pPr>
        <w:ind w:right="280"/>
        <w:spacing w:after="0" w:line="259" w:lineRule="auto"/>
        <w:rPr>
          <w:sz w:val="20"/>
          <w:szCs w:val="20"/>
          <w:color w:val="auto"/>
        </w:rPr>
      </w:pPr>
      <w:r>
        <w:rPr>
          <w:rFonts w:ascii="Arial" w:cs="Arial" w:eastAsia="Arial" w:hAnsi="Arial"/>
          <w:sz w:val="16"/>
          <w:szCs w:val="16"/>
          <w:color w:val="auto"/>
        </w:rPr>
        <w:t>Our nominating and corporate governance committee has recommended, and our board of directors has approved, Barbara Kosacz, Mark Litton, and Michael Panzara as nominees for election as Class I directors of the Company at the Annual Meeting. We believe that the nominees bring valuable experience and perspective to our board of directors. For more information concerning the nominees, please see the section titled “</w:t>
      </w:r>
      <w:r>
        <w:rPr>
          <w:rFonts w:ascii="Arial" w:cs="Arial" w:eastAsia="Arial" w:hAnsi="Arial"/>
          <w:sz w:val="16"/>
          <w:szCs w:val="16"/>
          <w:i w:val="1"/>
          <w:iCs w:val="1"/>
          <w:color w:val="auto"/>
        </w:rPr>
        <w:t>Board of Directors and Corporate Governance.</w:t>
      </w:r>
      <w:r>
        <w:rPr>
          <w:rFonts w:ascii="Arial" w:cs="Arial" w:eastAsia="Arial" w:hAnsi="Arial"/>
          <w:sz w:val="16"/>
          <w:szCs w:val="16"/>
          <w:color w:val="auto"/>
        </w:rPr>
        <w:t>”</w:t>
      </w:r>
    </w:p>
    <w:p>
      <w:pPr>
        <w:spacing w:after="0" w:line="110"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b w:val="1"/>
          <w:bCs w:val="1"/>
          <w:color w:val="255993"/>
        </w:rPr>
        <w:t xml:space="preserve">Ms. Kosacz, Dr. Litton </w:t>
      </w:r>
      <w:r>
        <w:rPr>
          <w:rFonts w:ascii="Arial" w:cs="Arial" w:eastAsia="Arial" w:hAnsi="Arial"/>
          <w:sz w:val="16"/>
          <w:szCs w:val="16"/>
          <w:color w:val="000000"/>
        </w:rPr>
        <w:t>and</w:t>
      </w:r>
      <w:r>
        <w:rPr>
          <w:rFonts w:ascii="Arial" w:cs="Arial" w:eastAsia="Arial" w:hAnsi="Arial"/>
          <w:sz w:val="16"/>
          <w:szCs w:val="16"/>
          <w:b w:val="1"/>
          <w:bCs w:val="1"/>
          <w:color w:val="255993"/>
        </w:rPr>
        <w:t xml:space="preserve"> Dr. Panzara </w:t>
      </w:r>
      <w:r>
        <w:rPr>
          <w:rFonts w:ascii="Arial" w:cs="Arial" w:eastAsia="Arial" w:hAnsi="Arial"/>
          <w:sz w:val="16"/>
          <w:szCs w:val="16"/>
          <w:color w:val="000000"/>
        </w:rPr>
        <w:t>have agreed to serve as directors if elected, and management has no reason to believe</w:t>
      </w:r>
      <w:r>
        <w:rPr>
          <w:rFonts w:ascii="Arial" w:cs="Arial" w:eastAsia="Arial" w:hAnsi="Arial"/>
          <w:sz w:val="16"/>
          <w:szCs w:val="16"/>
          <w:b w:val="1"/>
          <w:bCs w:val="1"/>
          <w:color w:val="255993"/>
        </w:rPr>
        <w:t xml:space="preserve"> </w:t>
      </w:r>
      <w:r>
        <w:rPr>
          <w:rFonts w:ascii="Arial" w:cs="Arial" w:eastAsia="Arial" w:hAnsi="Arial"/>
          <w:sz w:val="16"/>
          <w:szCs w:val="16"/>
          <w:color w:val="000000"/>
        </w:rPr>
        <w:t>that they will be unavailable to serve. In the event that a nominee is unable or declines to serve as a director at the time of the Annual Meeting, proxies will be voted for any nominee designated by the board of directors to fill the vacancy.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VOTE REQUIRED</w:t>
      </w:r>
    </w:p>
    <w:p>
      <w:pPr>
        <w:spacing w:after="0" w:line="149" w:lineRule="exact"/>
        <w:rPr>
          <w:sz w:val="20"/>
          <w:szCs w:val="20"/>
          <w:color w:val="auto"/>
        </w:rPr>
      </w:pPr>
    </w:p>
    <w:p>
      <w:pPr>
        <w:ind w:right="80"/>
        <w:spacing w:after="0" w:line="263" w:lineRule="auto"/>
        <w:rPr>
          <w:sz w:val="20"/>
          <w:szCs w:val="20"/>
          <w:color w:val="auto"/>
        </w:rPr>
      </w:pPr>
      <w:r>
        <w:rPr>
          <w:rFonts w:ascii="Arial" w:cs="Arial" w:eastAsia="Arial" w:hAnsi="Arial"/>
          <w:sz w:val="16"/>
          <w:szCs w:val="16"/>
          <w:color w:val="auto"/>
        </w:rPr>
        <w:t xml:space="preserve">Each director is elected by a plurality of the voting power of the shares present or represented by proxy at the Annual Meeting and entitled to vote on the election of directors. A plurality means that the nominees with the largest number of </w:t>
      </w:r>
      <w:r>
        <w:rPr>
          <w:rFonts w:ascii="Arial" w:cs="Arial" w:eastAsia="Arial" w:hAnsi="Arial"/>
          <w:sz w:val="16"/>
          <w:szCs w:val="16"/>
          <w:b w:val="1"/>
          <w:bCs w:val="1"/>
          <w:color w:val="255993"/>
        </w:rPr>
        <w:t>FOR</w:t>
      </w:r>
      <w:r>
        <w:rPr>
          <w:rFonts w:ascii="Arial" w:cs="Arial" w:eastAsia="Arial" w:hAnsi="Arial"/>
          <w:sz w:val="16"/>
          <w:szCs w:val="16"/>
          <w:color w:val="auto"/>
        </w:rPr>
        <w:t xml:space="preserve"> votes are elected as directors. Because the outcome of this proposal will be determined by a plurality vote, any shares not voted </w:t>
      </w:r>
      <w:r>
        <w:rPr>
          <w:rFonts w:ascii="Arial" w:cs="Arial" w:eastAsia="Arial" w:hAnsi="Arial"/>
          <w:sz w:val="16"/>
          <w:szCs w:val="16"/>
          <w:b w:val="1"/>
          <w:bCs w:val="1"/>
          <w:color w:val="255993"/>
        </w:rPr>
        <w:t>FOR</w:t>
      </w:r>
      <w:r>
        <w:rPr>
          <w:rFonts w:ascii="Arial" w:cs="Arial" w:eastAsia="Arial" w:hAnsi="Arial"/>
          <w:sz w:val="16"/>
          <w:szCs w:val="16"/>
          <w:color w:val="auto"/>
        </w:rPr>
        <w:t xml:space="preserve"> a particular nominee, whether as a result of a </w:t>
      </w:r>
      <w:r>
        <w:rPr>
          <w:rFonts w:ascii="Arial" w:cs="Arial" w:eastAsia="Arial" w:hAnsi="Arial"/>
          <w:sz w:val="16"/>
          <w:szCs w:val="16"/>
          <w:b w:val="1"/>
          <w:bCs w:val="1"/>
          <w:color w:val="255993"/>
        </w:rPr>
        <w:t>WITHHOLD</w:t>
      </w:r>
      <w:r>
        <w:rPr>
          <w:rFonts w:ascii="Arial" w:cs="Arial" w:eastAsia="Arial" w:hAnsi="Arial"/>
          <w:sz w:val="16"/>
          <w:szCs w:val="16"/>
          <w:color w:val="auto"/>
        </w:rPr>
        <w:t xml:space="preserve"> vote or a broker non-vote, will have no effect on the outcome of the 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869315</wp:posOffset>
            </wp:positionH>
            <wp:positionV relativeFrom="paragraph">
              <wp:posOffset>19685</wp:posOffset>
            </wp:positionV>
            <wp:extent cx="17145" cy="8401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7145" cy="840105"/>
                    </a:xfrm>
                    <a:prstGeom prst="rect">
                      <a:avLst/>
                    </a:prstGeom>
                    <a:noFill/>
                  </pic:spPr>
                </pic:pic>
              </a:graphicData>
            </a:graphic>
          </wp:anchor>
        </w:drawing>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539"/>
        </w:trPr>
        <w:tc>
          <w:tcPr>
            <w:tcW w:w="1380" w:type="dxa"/>
            <w:vAlign w:val="bottom"/>
            <w:tcBorders>
              <w:bottom w:val="single" w:sz="8" w:color="255993"/>
            </w:tcBorders>
            <w:shd w:val="clear" w:color="auto" w:fill="255993"/>
          </w:tcPr>
          <w:p>
            <w:pPr>
              <w:spacing w:after="0"/>
              <w:rPr>
                <w:sz w:val="24"/>
                <w:szCs w:val="24"/>
                <w:color w:val="auto"/>
              </w:rPr>
            </w:pPr>
          </w:p>
        </w:tc>
        <w:tc>
          <w:tcPr>
            <w:tcW w:w="240" w:type="dxa"/>
            <w:vAlign w:val="bottom"/>
            <w:tcBorders>
              <w:bottom w:val="single" w:sz="8" w:color="EBEBEB"/>
            </w:tcBorders>
            <w:shd w:val="clear" w:color="auto" w:fill="EBEBEB"/>
          </w:tcPr>
          <w:p>
            <w:pPr>
              <w:spacing w:after="0"/>
              <w:rPr>
                <w:sz w:val="24"/>
                <w:szCs w:val="24"/>
                <w:color w:val="auto"/>
              </w:rPr>
            </w:pPr>
          </w:p>
        </w:tc>
        <w:tc>
          <w:tcPr>
            <w:tcW w:w="1740" w:type="dxa"/>
            <w:vAlign w:val="bottom"/>
            <w:tcBorders>
              <w:bottom w:val="single" w:sz="8" w:color="F8991D"/>
            </w:tcBorders>
            <w:shd w:val="clear" w:color="auto" w:fill="EBEBEB"/>
          </w:tcPr>
          <w:p>
            <w:pPr>
              <w:spacing w:after="0"/>
              <w:rPr>
                <w:sz w:val="20"/>
                <w:szCs w:val="20"/>
                <w:color w:val="auto"/>
              </w:rPr>
            </w:pPr>
            <w:r>
              <w:rPr>
                <w:rFonts w:ascii="Arial" w:cs="Arial" w:eastAsia="Arial" w:hAnsi="Arial"/>
                <w:sz w:val="16"/>
                <w:szCs w:val="16"/>
                <w:color w:val="auto"/>
                <w:w w:val="99"/>
              </w:rPr>
              <w:t>Board Recommendation</w:t>
            </w:r>
          </w:p>
        </w:tc>
        <w:tc>
          <w:tcPr>
            <w:tcW w:w="6040" w:type="dxa"/>
            <w:vAlign w:val="bottom"/>
            <w:tcBorders>
              <w:bottom w:val="single" w:sz="8" w:color="EBEBEB"/>
            </w:tcBorders>
            <w:shd w:val="clear" w:color="auto" w:fill="EBEBEB"/>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1380" w:type="dxa"/>
            <w:vAlign w:val="bottom"/>
            <w:vMerge w:val="restart"/>
            <w:shd w:val="clear" w:color="auto" w:fill="255993"/>
          </w:tcPr>
          <w:p>
            <w:pPr>
              <w:spacing w:after="0"/>
              <w:rPr>
                <w:sz w:val="20"/>
                <w:szCs w:val="20"/>
                <w:color w:val="auto"/>
              </w:rPr>
            </w:pPr>
            <w:r>
              <w:rPr>
                <w:rFonts w:ascii="Arial" w:cs="Arial" w:eastAsia="Arial" w:hAnsi="Arial"/>
                <w:sz w:val="16"/>
                <w:szCs w:val="16"/>
                <w:b w:val="1"/>
                <w:bCs w:val="1"/>
                <w:color w:val="auto"/>
              </w:rPr>
              <w:t xml:space="preserve">  </w:t>
            </w:r>
          </w:p>
        </w:tc>
        <w:tc>
          <w:tcPr>
            <w:tcW w:w="240" w:type="dxa"/>
            <w:vAlign w:val="bottom"/>
            <w:shd w:val="clear" w:color="auto" w:fill="EBEBEB"/>
          </w:tcPr>
          <w:p>
            <w:pPr>
              <w:spacing w:after="0"/>
              <w:rPr>
                <w:sz w:val="24"/>
                <w:szCs w:val="24"/>
                <w:color w:val="auto"/>
              </w:rPr>
            </w:pPr>
          </w:p>
        </w:tc>
        <w:tc>
          <w:tcPr>
            <w:tcW w:w="7780" w:type="dxa"/>
            <w:vAlign w:val="bottom"/>
            <w:gridSpan w:val="2"/>
            <w:shd w:val="clear" w:color="auto" w:fill="EBEBEB"/>
          </w:tcPr>
          <w:p>
            <w:pPr>
              <w:spacing w:after="0"/>
              <w:rPr>
                <w:sz w:val="20"/>
                <w:szCs w:val="20"/>
                <w:color w:val="auto"/>
              </w:rPr>
            </w:pPr>
            <w:r>
              <w:rPr>
                <w:rFonts w:ascii="Arial" w:cs="Arial" w:eastAsia="Arial" w:hAnsi="Arial"/>
                <w:sz w:val="14"/>
                <w:szCs w:val="14"/>
                <w:color w:val="255993"/>
              </w:rPr>
              <w:t xml:space="preserve">The Board of Directors unanimously recommends that stockholders vote </w:t>
            </w:r>
            <w:r>
              <w:rPr>
                <w:rFonts w:ascii="Arial" w:cs="Arial" w:eastAsia="Arial" w:hAnsi="Arial"/>
                <w:sz w:val="14"/>
                <w:szCs w:val="14"/>
                <w:b w:val="1"/>
                <w:bCs w:val="1"/>
                <w:color w:val="255993"/>
              </w:rPr>
              <w:t>“FOR”</w:t>
            </w:r>
            <w:r>
              <w:rPr>
                <w:rFonts w:ascii="Arial" w:cs="Arial" w:eastAsia="Arial" w:hAnsi="Arial"/>
                <w:sz w:val="14"/>
                <w:szCs w:val="14"/>
                <w:color w:val="255993"/>
              </w:rPr>
              <w:t xml:space="preserve"> each of the nominees listed above.</w:t>
            </w:r>
          </w:p>
        </w:tc>
        <w:tc>
          <w:tcPr>
            <w:tcW w:w="0" w:type="dxa"/>
            <w:vAlign w:val="bottom"/>
          </w:tcPr>
          <w:p>
            <w:pPr>
              <w:spacing w:after="0"/>
              <w:rPr>
                <w:sz w:val="1"/>
                <w:szCs w:val="1"/>
                <w:color w:val="auto"/>
              </w:rPr>
            </w:pPr>
          </w:p>
        </w:tc>
      </w:tr>
      <w:tr>
        <w:trPr>
          <w:trHeight w:val="89"/>
        </w:trPr>
        <w:tc>
          <w:tcPr>
            <w:tcW w:w="1380" w:type="dxa"/>
            <w:vAlign w:val="bottom"/>
            <w:vMerge w:val="continue"/>
            <w:shd w:val="clear" w:color="auto" w:fill="255993"/>
          </w:tcPr>
          <w:p>
            <w:pPr>
              <w:spacing w:after="0"/>
              <w:rPr>
                <w:sz w:val="7"/>
                <w:szCs w:val="7"/>
                <w:color w:val="auto"/>
              </w:rPr>
            </w:pPr>
          </w:p>
        </w:tc>
        <w:tc>
          <w:tcPr>
            <w:tcW w:w="240" w:type="dxa"/>
            <w:vAlign w:val="bottom"/>
            <w:shd w:val="clear" w:color="auto" w:fill="EBEBEB"/>
          </w:tcPr>
          <w:p>
            <w:pPr>
              <w:spacing w:after="0"/>
              <w:rPr>
                <w:sz w:val="7"/>
                <w:szCs w:val="7"/>
                <w:color w:val="auto"/>
              </w:rPr>
            </w:pPr>
          </w:p>
        </w:tc>
        <w:tc>
          <w:tcPr>
            <w:tcW w:w="1740" w:type="dxa"/>
            <w:vAlign w:val="bottom"/>
            <w:shd w:val="clear" w:color="auto" w:fill="EBEBEB"/>
          </w:tcPr>
          <w:p>
            <w:pPr>
              <w:spacing w:after="0"/>
              <w:rPr>
                <w:sz w:val="7"/>
                <w:szCs w:val="7"/>
                <w:color w:val="auto"/>
              </w:rPr>
            </w:pPr>
          </w:p>
        </w:tc>
        <w:tc>
          <w:tcPr>
            <w:tcW w:w="6040" w:type="dxa"/>
            <w:vAlign w:val="bottom"/>
            <w:shd w:val="clear" w:color="auto" w:fill="EBEBEB"/>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1380" w:type="dxa"/>
            <w:vAlign w:val="bottom"/>
            <w:shd w:val="clear" w:color="auto" w:fill="255993"/>
          </w:tcPr>
          <w:p>
            <w:pPr>
              <w:spacing w:after="0"/>
              <w:rPr>
                <w:sz w:val="19"/>
                <w:szCs w:val="19"/>
                <w:color w:val="auto"/>
              </w:rPr>
            </w:pPr>
          </w:p>
        </w:tc>
        <w:tc>
          <w:tcPr>
            <w:tcW w:w="240" w:type="dxa"/>
            <w:vAlign w:val="bottom"/>
            <w:shd w:val="clear" w:color="auto" w:fill="EBEBEB"/>
          </w:tcPr>
          <w:p>
            <w:pPr>
              <w:spacing w:after="0"/>
              <w:rPr>
                <w:sz w:val="19"/>
                <w:szCs w:val="19"/>
                <w:color w:val="auto"/>
              </w:rPr>
            </w:pPr>
          </w:p>
        </w:tc>
        <w:tc>
          <w:tcPr>
            <w:tcW w:w="1740" w:type="dxa"/>
            <w:vAlign w:val="bottom"/>
            <w:shd w:val="clear" w:color="auto" w:fill="EBEBEB"/>
          </w:tcPr>
          <w:p>
            <w:pPr>
              <w:spacing w:after="0"/>
              <w:rPr>
                <w:sz w:val="19"/>
                <w:szCs w:val="19"/>
                <w:color w:val="auto"/>
              </w:rPr>
            </w:pPr>
          </w:p>
        </w:tc>
        <w:tc>
          <w:tcPr>
            <w:tcW w:w="6040" w:type="dxa"/>
            <w:vAlign w:val="bottom"/>
            <w:shd w:val="clear" w:color="auto" w:fill="EBEBEB"/>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-573405</wp:posOffset>
            </wp:positionV>
            <wp:extent cx="308610" cy="3003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08610" cy="300355"/>
                    </a:xfrm>
                    <a:prstGeom prst="rect">
                      <a:avLst/>
                    </a:prstGeom>
                    <a:noFill/>
                  </pic:spPr>
                </pic:pic>
              </a:graphicData>
            </a:graphic>
          </wp:anchor>
        </w:drawing>
      </w:r>
    </w:p>
    <w:p>
      <w:pPr>
        <w:spacing w:after="0" w:line="187" w:lineRule="exact"/>
        <w:rPr>
          <w:sz w:val="20"/>
          <w:szCs w:val="20"/>
          <w:color w:val="auto"/>
        </w:rPr>
      </w:pPr>
    </w:p>
    <w:p>
      <w:pPr>
        <w:spacing w:after="0"/>
        <w:tabs>
          <w:tab w:leader="none" w:pos="4600" w:val="left"/>
          <w:tab w:leader="none" w:pos="7960" w:val="left"/>
        </w:tabs>
        <w:rPr>
          <w:sz w:val="20"/>
          <w:szCs w:val="20"/>
          <w:color w:val="auto"/>
        </w:rPr>
      </w:pPr>
      <w:r>
        <w:rPr>
          <w:rFonts w:ascii="Arial" w:cs="Arial" w:eastAsia="Arial" w:hAnsi="Arial"/>
          <w:sz w:val="14"/>
          <w:szCs w:val="14"/>
          <w:color w:val="255993"/>
        </w:rPr>
        <w:t>Athira Pharma, Inc.</w:t>
      </w:r>
      <w:r>
        <w:rPr>
          <w:sz w:val="20"/>
          <w:szCs w:val="20"/>
          <w:color w:val="auto"/>
        </w:rPr>
        <w:tab/>
      </w:r>
      <w:r>
        <w:rPr>
          <w:rFonts w:ascii="Arial" w:cs="Arial" w:eastAsia="Arial" w:hAnsi="Arial"/>
          <w:sz w:val="14"/>
          <w:szCs w:val="14"/>
          <w:b w:val="1"/>
          <w:bCs w:val="1"/>
          <w:color w:val="255993"/>
        </w:rPr>
        <w:t>25</w:t>
      </w:r>
      <w:r>
        <w:rPr>
          <w:sz w:val="20"/>
          <w:szCs w:val="20"/>
          <w:color w:val="auto"/>
        </w:rPr>
        <w:tab/>
      </w:r>
      <w:r>
        <w:rPr>
          <w:rFonts w:ascii="Arial" w:cs="Arial" w:eastAsia="Arial" w:hAnsi="Arial"/>
          <w:sz w:val="14"/>
          <w:szCs w:val="14"/>
          <w:color w:val="255993"/>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126365</wp:posOffset>
            </wp:positionV>
            <wp:extent cx="699516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263" w:right="12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9" w:lineRule="exact"/>
        <w:rPr>
          <w:sz w:val="20"/>
          <w:szCs w:val="20"/>
          <w:color w:val="auto"/>
        </w:rPr>
      </w:pPr>
    </w:p>
    <w:p>
      <w:pPr>
        <w:ind w:right="1640"/>
        <w:spacing w:after="0" w:line="270" w:lineRule="auto"/>
        <w:rPr>
          <w:sz w:val="20"/>
          <w:szCs w:val="20"/>
          <w:color w:val="auto"/>
        </w:rPr>
      </w:pPr>
      <w:r>
        <w:rPr>
          <w:rFonts w:ascii="Arial" w:cs="Arial" w:eastAsia="Arial" w:hAnsi="Arial"/>
          <w:sz w:val="22"/>
          <w:szCs w:val="22"/>
          <w:b w:val="1"/>
          <w:bCs w:val="1"/>
          <w:color w:val="F8991D"/>
        </w:rPr>
        <w:t>RATIFICATION OF APPOINTMENT OF INDEPENDENT REGISTERED PUBLIC ACCOUNTING FIRM</w:t>
      </w:r>
    </w:p>
    <w:p>
      <w:pPr>
        <w:spacing w:after="0" w:line="1" w:lineRule="exact"/>
        <w:rPr>
          <w:sz w:val="20"/>
          <w:szCs w:val="20"/>
          <w:color w:val="auto"/>
        </w:rPr>
      </w:pPr>
    </w:p>
    <w:p>
      <w:pPr>
        <w:spacing w:after="0"/>
        <w:rPr>
          <w:sz w:val="20"/>
          <w:szCs w:val="20"/>
          <w:color w:val="auto"/>
        </w:rPr>
      </w:pPr>
      <w:r>
        <w:rPr>
          <w:rFonts w:ascii="Arial" w:cs="Arial" w:eastAsia="Arial" w:hAnsi="Arial"/>
          <w:sz w:val="58"/>
          <w:szCs w:val="58"/>
          <w:color w:val="255993"/>
        </w:rPr>
        <w:t>Proposal Two</w:t>
      </w:r>
    </w:p>
    <w:p>
      <w:pPr>
        <w:spacing w:after="0" w:line="357" w:lineRule="exact"/>
        <w:rPr>
          <w:sz w:val="20"/>
          <w:szCs w:val="20"/>
          <w:color w:val="auto"/>
        </w:rPr>
      </w:pPr>
    </w:p>
    <w:p>
      <w:pPr>
        <w:ind w:right="320"/>
        <w:spacing w:after="0" w:line="266" w:lineRule="auto"/>
        <w:rPr>
          <w:sz w:val="20"/>
          <w:szCs w:val="20"/>
          <w:color w:val="auto"/>
        </w:rPr>
      </w:pPr>
      <w:r>
        <w:rPr>
          <w:rFonts w:ascii="Arial" w:cs="Arial" w:eastAsia="Arial" w:hAnsi="Arial"/>
          <w:sz w:val="16"/>
          <w:szCs w:val="16"/>
          <w:color w:val="auto"/>
        </w:rPr>
        <w:t>Our audit committee has appointed Ernst &amp; Young LLP as our independent registered public accounting firm to audit our consolidated financial statements for our fiscal year ending December 31, 2024. Ernst &amp; Young LLP served as our independent registered public accounting firm for the fiscal year ended December 31, 2023.</w:t>
      </w:r>
    </w:p>
    <w:p>
      <w:pPr>
        <w:spacing w:after="0" w:line="104"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At the Annual Meeting, we are asking our stockholders to ratify the appointment of Ernst &amp; Young LLP as our independent registered public accounting firm for our fiscal year ending December 31, 2024. Our audit committee is submitting the appointment of Ernst &amp; Young LLP to our stockholders because we value our stockholders’ views on our independent registered public accounting firm and as a matter of good corporate governance. Notwithstanding the appointment of Ernst &amp; Young LLP, and even if our stockholders ratify the appointment, our audit committee, in its discretion, may appoint another independent registered public accounting firm at any time during our fiscal year if our audit committee believes that such a change would be in the best interests of the Company and our stockholders. If our stockholders do not ratify the appointment of Ernst &amp; Young LLP, then our audit committee may reconsider the appointment. One or more representatives of Ernst &amp; Young LLP are expected to be present at the Annual Meeting, and they will have an opportunity to make a statement and are expected to be available to respond to appropriate questions from our stockholders.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FEES PAID TO THE INDEPENDENT REGISTERED PUBLIC ACCOUNTING FIRM</w:t>
      </w:r>
    </w:p>
    <w:p>
      <w:pPr>
        <w:spacing w:after="0" w:line="135"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The following table presents fees for professional audit services and other services rendered to us by Ernst &amp; Young LLP for our fiscal years ended December 31, 2023 and 2022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371"/>
        </w:trPr>
        <w:tc>
          <w:tcPr>
            <w:tcW w:w="7260" w:type="dxa"/>
            <w:vAlign w:val="bottom"/>
            <w:shd w:val="clear" w:color="auto" w:fill="255993"/>
          </w:tcPr>
          <w:p>
            <w:pPr>
              <w:spacing w:after="0"/>
              <w:rPr>
                <w:sz w:val="24"/>
                <w:szCs w:val="24"/>
                <w:color w:val="auto"/>
              </w:rPr>
            </w:pPr>
          </w:p>
        </w:tc>
        <w:tc>
          <w:tcPr>
            <w:tcW w:w="2140" w:type="dxa"/>
            <w:vAlign w:val="bottom"/>
            <w:gridSpan w:val="2"/>
            <w:shd w:val="clear" w:color="auto" w:fill="255993"/>
          </w:tcPr>
          <w:p>
            <w:pPr>
              <w:jc w:val="right"/>
              <w:spacing w:after="0"/>
              <w:rPr>
                <w:sz w:val="20"/>
                <w:szCs w:val="20"/>
                <w:color w:val="auto"/>
              </w:rPr>
            </w:pPr>
            <w:r>
              <w:rPr>
                <w:rFonts w:ascii="Arial" w:cs="Arial" w:eastAsia="Arial" w:hAnsi="Arial"/>
                <w:sz w:val="16"/>
                <w:szCs w:val="16"/>
                <w:b w:val="1"/>
                <w:bCs w:val="1"/>
                <w:color w:val="FFFFFF"/>
              </w:rPr>
              <w:t>Year Ended December 31,</w:t>
            </w:r>
          </w:p>
        </w:tc>
        <w:tc>
          <w:tcPr>
            <w:tcW w:w="20" w:type="dxa"/>
            <w:vAlign w:val="bottom"/>
          </w:tcPr>
          <w:p>
            <w:pPr>
              <w:spacing w:after="0"/>
              <w:rPr>
                <w:sz w:val="24"/>
                <w:szCs w:val="24"/>
                <w:color w:val="auto"/>
              </w:rPr>
            </w:pPr>
          </w:p>
        </w:tc>
      </w:tr>
      <w:tr>
        <w:trPr>
          <w:trHeight w:val="364"/>
        </w:trPr>
        <w:tc>
          <w:tcPr>
            <w:tcW w:w="7260" w:type="dxa"/>
            <w:vAlign w:val="bottom"/>
            <w:shd w:val="clear" w:color="auto" w:fill="255993"/>
          </w:tcPr>
          <w:p>
            <w:pPr>
              <w:spacing w:after="0"/>
              <w:rPr>
                <w:sz w:val="24"/>
                <w:szCs w:val="24"/>
                <w:color w:val="auto"/>
              </w:rPr>
            </w:pPr>
          </w:p>
        </w:tc>
        <w:tc>
          <w:tcPr>
            <w:tcW w:w="1220" w:type="dxa"/>
            <w:vAlign w:val="bottom"/>
            <w:shd w:val="clear" w:color="auto" w:fill="255993"/>
          </w:tcPr>
          <w:p>
            <w:pPr>
              <w:jc w:val="right"/>
              <w:ind w:right="425"/>
              <w:spacing w:after="0"/>
              <w:rPr>
                <w:sz w:val="20"/>
                <w:szCs w:val="20"/>
                <w:color w:val="auto"/>
              </w:rPr>
            </w:pPr>
            <w:r>
              <w:rPr>
                <w:rFonts w:ascii="Arial" w:cs="Arial" w:eastAsia="Arial" w:hAnsi="Arial"/>
                <w:sz w:val="16"/>
                <w:szCs w:val="16"/>
                <w:b w:val="1"/>
                <w:bCs w:val="1"/>
                <w:color w:val="FFFFFF"/>
              </w:rPr>
              <w:t>2023</w:t>
            </w:r>
          </w:p>
        </w:tc>
        <w:tc>
          <w:tcPr>
            <w:tcW w:w="920" w:type="dxa"/>
            <w:vAlign w:val="bottom"/>
            <w:shd w:val="clear" w:color="auto" w:fill="255993"/>
          </w:tcPr>
          <w:p>
            <w:pPr>
              <w:jc w:val="right"/>
              <w:spacing w:after="0"/>
              <w:rPr>
                <w:sz w:val="20"/>
                <w:szCs w:val="20"/>
                <w:color w:val="auto"/>
              </w:rPr>
            </w:pPr>
            <w:r>
              <w:rPr>
                <w:rFonts w:ascii="Arial" w:cs="Arial" w:eastAsia="Arial" w:hAnsi="Arial"/>
                <w:sz w:val="16"/>
                <w:szCs w:val="16"/>
                <w:b w:val="1"/>
                <w:bCs w:val="1"/>
                <w:color w:val="FFFFFF"/>
              </w:rPr>
              <w:t>2022  </w:t>
            </w:r>
          </w:p>
        </w:tc>
        <w:tc>
          <w:tcPr>
            <w:tcW w:w="20" w:type="dxa"/>
            <w:vAlign w:val="bottom"/>
          </w:tcPr>
          <w:p>
            <w:pPr>
              <w:spacing w:after="0"/>
              <w:rPr>
                <w:sz w:val="24"/>
                <w:szCs w:val="24"/>
                <w:color w:val="auto"/>
              </w:rPr>
            </w:pPr>
          </w:p>
        </w:tc>
      </w:tr>
      <w:tr>
        <w:trPr>
          <w:trHeight w:val="89"/>
        </w:trPr>
        <w:tc>
          <w:tcPr>
            <w:tcW w:w="7260" w:type="dxa"/>
            <w:vAlign w:val="bottom"/>
            <w:shd w:val="clear" w:color="auto" w:fill="255993"/>
          </w:tcPr>
          <w:p>
            <w:pPr>
              <w:spacing w:after="0"/>
              <w:rPr>
                <w:sz w:val="7"/>
                <w:szCs w:val="7"/>
                <w:color w:val="auto"/>
              </w:rPr>
            </w:pPr>
          </w:p>
        </w:tc>
        <w:tc>
          <w:tcPr>
            <w:tcW w:w="1220" w:type="dxa"/>
            <w:vAlign w:val="bottom"/>
            <w:shd w:val="clear" w:color="auto" w:fill="255993"/>
          </w:tcPr>
          <w:p>
            <w:pPr>
              <w:spacing w:after="0"/>
              <w:rPr>
                <w:sz w:val="7"/>
                <w:szCs w:val="7"/>
                <w:color w:val="auto"/>
              </w:rPr>
            </w:pPr>
          </w:p>
        </w:tc>
        <w:tc>
          <w:tcPr>
            <w:tcW w:w="920" w:type="dxa"/>
            <w:vAlign w:val="bottom"/>
            <w:shd w:val="clear" w:color="auto" w:fill="255993"/>
          </w:tcPr>
          <w:p>
            <w:pPr>
              <w:spacing w:after="0"/>
              <w:rPr>
                <w:sz w:val="7"/>
                <w:szCs w:val="7"/>
                <w:color w:val="auto"/>
              </w:rPr>
            </w:pPr>
          </w:p>
        </w:tc>
        <w:tc>
          <w:tcPr>
            <w:tcW w:w="20" w:type="dxa"/>
            <w:vAlign w:val="bottom"/>
          </w:tcPr>
          <w:p>
            <w:pPr>
              <w:spacing w:after="0"/>
              <w:rPr>
                <w:sz w:val="7"/>
                <w:szCs w:val="7"/>
                <w:color w:val="auto"/>
              </w:rPr>
            </w:pPr>
          </w:p>
        </w:tc>
      </w:tr>
      <w:tr>
        <w:trPr>
          <w:trHeight w:val="418"/>
        </w:trPr>
        <w:tc>
          <w:tcPr>
            <w:tcW w:w="7260" w:type="dxa"/>
            <w:vAlign w:val="bottom"/>
            <w:shd w:val="clear" w:color="auto" w:fill="EBEBEB"/>
          </w:tcPr>
          <w:p>
            <w:pPr>
              <w:ind w:left="60"/>
              <w:spacing w:after="0"/>
              <w:rPr>
                <w:sz w:val="20"/>
                <w:szCs w:val="20"/>
                <w:color w:val="auto"/>
              </w:rPr>
            </w:pPr>
            <w:r>
              <w:rPr>
                <w:rFonts w:ascii="Arial" w:cs="Arial" w:eastAsia="Arial" w:hAnsi="Arial"/>
                <w:sz w:val="14"/>
                <w:szCs w:val="14"/>
                <w:color w:val="auto"/>
              </w:rPr>
              <w:t>Audit fees</w:t>
            </w:r>
            <w:r>
              <w:rPr>
                <w:rFonts w:ascii="Arial" w:cs="Arial" w:eastAsia="Arial" w:hAnsi="Arial"/>
                <w:sz w:val="23"/>
                <w:szCs w:val="23"/>
                <w:color w:val="auto"/>
                <w:vertAlign w:val="superscript"/>
              </w:rPr>
              <w:t>(1)</w:t>
            </w:r>
          </w:p>
        </w:tc>
        <w:tc>
          <w:tcPr>
            <w:tcW w:w="1220" w:type="dxa"/>
            <w:vAlign w:val="bottom"/>
            <w:shd w:val="clear" w:color="auto" w:fill="EBEBEB"/>
          </w:tcPr>
          <w:p>
            <w:pPr>
              <w:jc w:val="right"/>
              <w:ind w:right="425"/>
              <w:spacing w:after="0"/>
              <w:rPr>
                <w:sz w:val="20"/>
                <w:szCs w:val="20"/>
                <w:color w:val="auto"/>
              </w:rPr>
            </w:pPr>
            <w:r>
              <w:rPr>
                <w:rFonts w:ascii="Arial" w:cs="Arial" w:eastAsia="Arial" w:hAnsi="Arial"/>
                <w:sz w:val="14"/>
                <w:szCs w:val="14"/>
                <w:color w:val="auto"/>
              </w:rPr>
              <w:t>$632</w:t>
            </w:r>
          </w:p>
        </w:tc>
        <w:tc>
          <w:tcPr>
            <w:tcW w:w="920" w:type="dxa"/>
            <w:vAlign w:val="bottom"/>
            <w:shd w:val="clear" w:color="auto" w:fill="EBEBEB"/>
          </w:tcPr>
          <w:p>
            <w:pPr>
              <w:jc w:val="right"/>
              <w:spacing w:after="0"/>
              <w:rPr>
                <w:sz w:val="20"/>
                <w:szCs w:val="20"/>
                <w:color w:val="auto"/>
              </w:rPr>
            </w:pPr>
            <w:r>
              <w:rPr>
                <w:rFonts w:ascii="Arial" w:cs="Arial" w:eastAsia="Arial" w:hAnsi="Arial"/>
                <w:sz w:val="14"/>
                <w:szCs w:val="14"/>
                <w:color w:val="auto"/>
              </w:rPr>
              <w:t>$736  </w:t>
            </w:r>
          </w:p>
        </w:tc>
        <w:tc>
          <w:tcPr>
            <w:tcW w:w="20" w:type="dxa"/>
            <w:vAlign w:val="bottom"/>
          </w:tcPr>
          <w:p>
            <w:pPr>
              <w:spacing w:after="0"/>
              <w:rPr>
                <w:sz w:val="24"/>
                <w:szCs w:val="24"/>
                <w:color w:val="auto"/>
              </w:rPr>
            </w:pPr>
          </w:p>
        </w:tc>
      </w:tr>
      <w:tr>
        <w:trPr>
          <w:trHeight w:val="418"/>
        </w:trPr>
        <w:tc>
          <w:tcPr>
            <w:tcW w:w="7260" w:type="dxa"/>
            <w:vAlign w:val="bottom"/>
            <w:shd w:val="clear" w:color="auto" w:fill="FAFAFA"/>
          </w:tcPr>
          <w:p>
            <w:pPr>
              <w:ind w:left="60"/>
              <w:spacing w:after="0"/>
              <w:rPr>
                <w:sz w:val="20"/>
                <w:szCs w:val="20"/>
                <w:color w:val="auto"/>
              </w:rPr>
            </w:pPr>
            <w:r>
              <w:rPr>
                <w:rFonts w:ascii="Arial" w:cs="Arial" w:eastAsia="Arial" w:hAnsi="Arial"/>
                <w:sz w:val="14"/>
                <w:szCs w:val="14"/>
                <w:color w:val="auto"/>
              </w:rPr>
              <w:t>Audit-related fees</w:t>
            </w:r>
            <w:r>
              <w:rPr>
                <w:rFonts w:ascii="Arial" w:cs="Arial" w:eastAsia="Arial" w:hAnsi="Arial"/>
                <w:sz w:val="23"/>
                <w:szCs w:val="23"/>
                <w:color w:val="auto"/>
                <w:vertAlign w:val="superscript"/>
              </w:rPr>
              <w:t>(2)</w:t>
            </w:r>
          </w:p>
        </w:tc>
        <w:tc>
          <w:tcPr>
            <w:tcW w:w="1220" w:type="dxa"/>
            <w:vAlign w:val="bottom"/>
            <w:shd w:val="clear" w:color="auto" w:fill="FAFAFA"/>
          </w:tcPr>
          <w:p>
            <w:pPr>
              <w:jc w:val="right"/>
              <w:ind w:right="425"/>
              <w:spacing w:after="0"/>
              <w:rPr>
                <w:sz w:val="20"/>
                <w:szCs w:val="20"/>
                <w:color w:val="auto"/>
              </w:rPr>
            </w:pPr>
            <w:r>
              <w:rPr>
                <w:rFonts w:ascii="Arial" w:cs="Arial" w:eastAsia="Arial" w:hAnsi="Arial"/>
                <w:sz w:val="14"/>
                <w:szCs w:val="14"/>
                <w:color w:val="auto"/>
              </w:rPr>
              <w:t>—</w:t>
            </w:r>
          </w:p>
        </w:tc>
        <w:tc>
          <w:tcPr>
            <w:tcW w:w="920" w:type="dxa"/>
            <w:vAlign w:val="bottom"/>
            <w:shd w:val="clear" w:color="auto" w:fill="FAFAFA"/>
          </w:tcPr>
          <w:p>
            <w:pPr>
              <w:jc w:val="right"/>
              <w:spacing w:after="0"/>
              <w:rPr>
                <w:sz w:val="20"/>
                <w:szCs w:val="20"/>
                <w:color w:val="auto"/>
              </w:rPr>
            </w:pPr>
            <w:r>
              <w:rPr>
                <w:rFonts w:ascii="Arial" w:cs="Arial" w:eastAsia="Arial" w:hAnsi="Arial"/>
                <w:sz w:val="14"/>
                <w:szCs w:val="14"/>
                <w:color w:val="auto"/>
              </w:rPr>
              <w:t>—  </w:t>
            </w:r>
          </w:p>
        </w:tc>
        <w:tc>
          <w:tcPr>
            <w:tcW w:w="20" w:type="dxa"/>
            <w:vAlign w:val="bottom"/>
          </w:tcPr>
          <w:p>
            <w:pPr>
              <w:spacing w:after="0"/>
              <w:rPr>
                <w:sz w:val="24"/>
                <w:szCs w:val="24"/>
                <w:color w:val="auto"/>
              </w:rPr>
            </w:pPr>
          </w:p>
        </w:tc>
      </w:tr>
      <w:tr>
        <w:trPr>
          <w:trHeight w:val="419"/>
        </w:trPr>
        <w:tc>
          <w:tcPr>
            <w:tcW w:w="7260" w:type="dxa"/>
            <w:vAlign w:val="bottom"/>
            <w:shd w:val="clear" w:color="auto" w:fill="EBEBEB"/>
          </w:tcPr>
          <w:p>
            <w:pPr>
              <w:ind w:left="60"/>
              <w:spacing w:after="0"/>
              <w:rPr>
                <w:sz w:val="20"/>
                <w:szCs w:val="20"/>
                <w:color w:val="auto"/>
              </w:rPr>
            </w:pPr>
            <w:r>
              <w:rPr>
                <w:rFonts w:ascii="Arial" w:cs="Arial" w:eastAsia="Arial" w:hAnsi="Arial"/>
                <w:sz w:val="14"/>
                <w:szCs w:val="14"/>
                <w:color w:val="auto"/>
              </w:rPr>
              <w:t>Tax fees</w:t>
            </w:r>
            <w:r>
              <w:rPr>
                <w:rFonts w:ascii="Arial" w:cs="Arial" w:eastAsia="Arial" w:hAnsi="Arial"/>
                <w:sz w:val="23"/>
                <w:szCs w:val="23"/>
                <w:color w:val="auto"/>
                <w:vertAlign w:val="superscript"/>
              </w:rPr>
              <w:t>(3)</w:t>
            </w:r>
          </w:p>
        </w:tc>
        <w:tc>
          <w:tcPr>
            <w:tcW w:w="1220" w:type="dxa"/>
            <w:vAlign w:val="bottom"/>
            <w:shd w:val="clear" w:color="auto" w:fill="EBEBEB"/>
          </w:tcPr>
          <w:p>
            <w:pPr>
              <w:jc w:val="right"/>
              <w:ind w:right="425"/>
              <w:spacing w:after="0"/>
              <w:rPr>
                <w:sz w:val="20"/>
                <w:szCs w:val="20"/>
                <w:color w:val="auto"/>
              </w:rPr>
            </w:pPr>
            <w:r>
              <w:rPr>
                <w:rFonts w:ascii="Arial" w:cs="Arial" w:eastAsia="Arial" w:hAnsi="Arial"/>
                <w:sz w:val="14"/>
                <w:szCs w:val="14"/>
                <w:color w:val="auto"/>
              </w:rPr>
              <w:t>—</w:t>
            </w:r>
          </w:p>
        </w:tc>
        <w:tc>
          <w:tcPr>
            <w:tcW w:w="920" w:type="dxa"/>
            <w:vAlign w:val="bottom"/>
            <w:shd w:val="clear" w:color="auto" w:fill="EBEBEB"/>
          </w:tcPr>
          <w:p>
            <w:pPr>
              <w:jc w:val="right"/>
              <w:spacing w:after="0"/>
              <w:rPr>
                <w:sz w:val="20"/>
                <w:szCs w:val="20"/>
                <w:color w:val="auto"/>
              </w:rPr>
            </w:pPr>
            <w:r>
              <w:rPr>
                <w:rFonts w:ascii="Arial" w:cs="Arial" w:eastAsia="Arial" w:hAnsi="Arial"/>
                <w:sz w:val="14"/>
                <w:szCs w:val="14"/>
                <w:color w:val="auto"/>
              </w:rPr>
              <w:t>—  </w:t>
            </w:r>
          </w:p>
        </w:tc>
        <w:tc>
          <w:tcPr>
            <w:tcW w:w="20" w:type="dxa"/>
            <w:vAlign w:val="bottom"/>
          </w:tcPr>
          <w:p>
            <w:pPr>
              <w:spacing w:after="0"/>
              <w:rPr>
                <w:sz w:val="24"/>
                <w:szCs w:val="24"/>
                <w:color w:val="auto"/>
              </w:rPr>
            </w:pPr>
          </w:p>
        </w:tc>
      </w:tr>
      <w:tr>
        <w:trPr>
          <w:trHeight w:val="418"/>
        </w:trPr>
        <w:tc>
          <w:tcPr>
            <w:tcW w:w="7260" w:type="dxa"/>
            <w:vAlign w:val="bottom"/>
            <w:shd w:val="clear" w:color="auto" w:fill="FAFAFA"/>
          </w:tcPr>
          <w:p>
            <w:pPr>
              <w:ind w:left="60"/>
              <w:spacing w:after="0"/>
              <w:rPr>
                <w:sz w:val="20"/>
                <w:szCs w:val="20"/>
                <w:color w:val="auto"/>
              </w:rPr>
            </w:pPr>
            <w:r>
              <w:rPr>
                <w:rFonts w:ascii="Arial" w:cs="Arial" w:eastAsia="Arial" w:hAnsi="Arial"/>
                <w:sz w:val="14"/>
                <w:szCs w:val="14"/>
                <w:color w:val="auto"/>
              </w:rPr>
              <w:t>All other fees</w:t>
            </w:r>
            <w:r>
              <w:rPr>
                <w:rFonts w:ascii="Arial" w:cs="Arial" w:eastAsia="Arial" w:hAnsi="Arial"/>
                <w:sz w:val="23"/>
                <w:szCs w:val="23"/>
                <w:color w:val="auto"/>
                <w:vertAlign w:val="superscript"/>
              </w:rPr>
              <w:t>(4)</w:t>
            </w:r>
          </w:p>
        </w:tc>
        <w:tc>
          <w:tcPr>
            <w:tcW w:w="1220" w:type="dxa"/>
            <w:vAlign w:val="bottom"/>
            <w:shd w:val="clear" w:color="auto" w:fill="FAFAFA"/>
          </w:tcPr>
          <w:p>
            <w:pPr>
              <w:jc w:val="right"/>
              <w:ind w:right="425"/>
              <w:spacing w:after="0"/>
              <w:rPr>
                <w:sz w:val="20"/>
                <w:szCs w:val="20"/>
                <w:color w:val="auto"/>
              </w:rPr>
            </w:pPr>
            <w:r>
              <w:rPr>
                <w:rFonts w:ascii="Arial" w:cs="Arial" w:eastAsia="Arial" w:hAnsi="Arial"/>
                <w:sz w:val="14"/>
                <w:szCs w:val="14"/>
                <w:color w:val="auto"/>
              </w:rPr>
              <w:t>—</w:t>
            </w:r>
          </w:p>
        </w:tc>
        <w:tc>
          <w:tcPr>
            <w:tcW w:w="920" w:type="dxa"/>
            <w:vAlign w:val="bottom"/>
            <w:shd w:val="clear" w:color="auto" w:fill="FAFAFA"/>
          </w:tcPr>
          <w:p>
            <w:pPr>
              <w:jc w:val="right"/>
              <w:spacing w:after="0"/>
              <w:rPr>
                <w:sz w:val="20"/>
                <w:szCs w:val="20"/>
                <w:color w:val="auto"/>
              </w:rPr>
            </w:pPr>
            <w:r>
              <w:rPr>
                <w:rFonts w:ascii="Arial" w:cs="Arial" w:eastAsia="Arial" w:hAnsi="Arial"/>
                <w:sz w:val="14"/>
                <w:szCs w:val="14"/>
                <w:color w:val="auto"/>
              </w:rPr>
              <w:t>—  </w:t>
            </w:r>
          </w:p>
        </w:tc>
        <w:tc>
          <w:tcPr>
            <w:tcW w:w="20" w:type="dxa"/>
            <w:vAlign w:val="bottom"/>
          </w:tcPr>
          <w:p>
            <w:pPr>
              <w:spacing w:after="0"/>
              <w:rPr>
                <w:sz w:val="24"/>
                <w:szCs w:val="24"/>
                <w:color w:val="auto"/>
              </w:rPr>
            </w:pPr>
          </w:p>
        </w:tc>
      </w:tr>
      <w:tr>
        <w:trPr>
          <w:trHeight w:val="303"/>
        </w:trPr>
        <w:tc>
          <w:tcPr>
            <w:tcW w:w="7260" w:type="dxa"/>
            <w:vAlign w:val="bottom"/>
            <w:shd w:val="clear" w:color="auto" w:fill="EBEBEB"/>
          </w:tcPr>
          <w:p>
            <w:pPr>
              <w:ind w:left="60"/>
              <w:spacing w:after="0"/>
              <w:rPr>
                <w:sz w:val="20"/>
                <w:szCs w:val="20"/>
                <w:color w:val="auto"/>
              </w:rPr>
            </w:pPr>
            <w:r>
              <w:rPr>
                <w:rFonts w:ascii="Arial" w:cs="Arial" w:eastAsia="Arial" w:hAnsi="Arial"/>
                <w:sz w:val="14"/>
                <w:szCs w:val="14"/>
                <w:color w:val="auto"/>
              </w:rPr>
              <w:t>Total fees</w:t>
            </w:r>
          </w:p>
        </w:tc>
        <w:tc>
          <w:tcPr>
            <w:tcW w:w="1220" w:type="dxa"/>
            <w:vAlign w:val="bottom"/>
            <w:shd w:val="clear" w:color="auto" w:fill="EBEBEB"/>
          </w:tcPr>
          <w:p>
            <w:pPr>
              <w:jc w:val="right"/>
              <w:ind w:right="425"/>
              <w:spacing w:after="0"/>
              <w:rPr>
                <w:sz w:val="20"/>
                <w:szCs w:val="20"/>
                <w:color w:val="auto"/>
              </w:rPr>
            </w:pPr>
            <w:r>
              <w:rPr>
                <w:rFonts w:ascii="Arial" w:cs="Arial" w:eastAsia="Arial" w:hAnsi="Arial"/>
                <w:sz w:val="14"/>
                <w:szCs w:val="14"/>
                <w:color w:val="auto"/>
              </w:rPr>
              <w:t>$632</w:t>
            </w:r>
          </w:p>
        </w:tc>
        <w:tc>
          <w:tcPr>
            <w:tcW w:w="920" w:type="dxa"/>
            <w:vAlign w:val="bottom"/>
            <w:shd w:val="clear" w:color="auto" w:fill="EBEBEB"/>
          </w:tcPr>
          <w:p>
            <w:pPr>
              <w:jc w:val="right"/>
              <w:spacing w:after="0"/>
              <w:rPr>
                <w:sz w:val="20"/>
                <w:szCs w:val="20"/>
                <w:color w:val="auto"/>
              </w:rPr>
            </w:pPr>
            <w:r>
              <w:rPr>
                <w:rFonts w:ascii="Arial" w:cs="Arial" w:eastAsia="Arial" w:hAnsi="Arial"/>
                <w:sz w:val="14"/>
                <w:szCs w:val="14"/>
                <w:color w:val="auto"/>
              </w:rPr>
              <w:t>$736  </w:t>
            </w:r>
          </w:p>
        </w:tc>
        <w:tc>
          <w:tcPr>
            <w:tcW w:w="20" w:type="dxa"/>
            <w:vAlign w:val="bottom"/>
          </w:tcPr>
          <w:p>
            <w:pPr>
              <w:spacing w:after="0"/>
              <w:rPr>
                <w:sz w:val="24"/>
                <w:szCs w:val="24"/>
                <w:color w:val="auto"/>
              </w:rPr>
            </w:pPr>
          </w:p>
        </w:tc>
      </w:tr>
      <w:tr>
        <w:trPr>
          <w:trHeight w:val="89"/>
        </w:trPr>
        <w:tc>
          <w:tcPr>
            <w:tcW w:w="7260" w:type="dxa"/>
            <w:vAlign w:val="bottom"/>
            <w:shd w:val="clear" w:color="auto" w:fill="EBEBEB"/>
          </w:tcPr>
          <w:p>
            <w:pPr>
              <w:spacing w:after="0"/>
              <w:rPr>
                <w:sz w:val="7"/>
                <w:szCs w:val="7"/>
                <w:color w:val="auto"/>
              </w:rPr>
            </w:pPr>
          </w:p>
        </w:tc>
        <w:tc>
          <w:tcPr>
            <w:tcW w:w="1220" w:type="dxa"/>
            <w:vAlign w:val="bottom"/>
            <w:shd w:val="clear" w:color="auto" w:fill="EBEBEB"/>
          </w:tcPr>
          <w:p>
            <w:pPr>
              <w:spacing w:after="0"/>
              <w:rPr>
                <w:sz w:val="7"/>
                <w:szCs w:val="7"/>
                <w:color w:val="auto"/>
              </w:rPr>
            </w:pPr>
          </w:p>
        </w:tc>
        <w:tc>
          <w:tcPr>
            <w:tcW w:w="920" w:type="dxa"/>
            <w:vAlign w:val="bottom"/>
            <w:shd w:val="clear" w:color="auto" w:fill="EBEBEB"/>
          </w:tcPr>
          <w:p>
            <w:pPr>
              <w:spacing w:after="0"/>
              <w:rPr>
                <w:sz w:val="7"/>
                <w:szCs w:val="7"/>
                <w:color w:val="auto"/>
              </w:rPr>
            </w:pPr>
          </w:p>
        </w:tc>
        <w:tc>
          <w:tcPr>
            <w:tcW w:w="2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-248285</wp:posOffset>
            </wp:positionV>
            <wp:extent cx="596646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-513715</wp:posOffset>
            </wp:positionV>
            <wp:extent cx="596646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-779780</wp:posOffset>
            </wp:positionV>
            <wp:extent cx="596646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966460"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-1045210</wp:posOffset>
            </wp:positionV>
            <wp:extent cx="596646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4632960</wp:posOffset>
            </wp:positionH>
            <wp:positionV relativeFrom="paragraph">
              <wp:posOffset>-1559560</wp:posOffset>
            </wp:positionV>
            <wp:extent cx="133731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33731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-1310640</wp:posOffset>
            </wp:positionV>
            <wp:extent cx="596646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33" w:lineRule="exact"/>
        <w:rPr>
          <w:sz w:val="20"/>
          <w:szCs w:val="20"/>
          <w:color w:val="auto"/>
        </w:rPr>
      </w:pPr>
    </w:p>
    <w:p>
      <w:pPr>
        <w:ind w:left="320" w:right="420" w:hanging="224"/>
        <w:spacing w:after="0" w:line="285" w:lineRule="auto"/>
        <w:tabs>
          <w:tab w:leader="none" w:pos="320" w:val="left"/>
        </w:tabs>
        <w:numPr>
          <w:ilvl w:val="0"/>
          <w:numId w:val="21"/>
        </w:numPr>
        <w:rPr>
          <w:rFonts w:ascii="Arial" w:cs="Arial" w:eastAsia="Arial" w:hAnsi="Arial"/>
          <w:sz w:val="14"/>
          <w:szCs w:val="14"/>
          <w:color w:val="255993"/>
        </w:rPr>
      </w:pPr>
      <w:r>
        <w:rPr>
          <w:rFonts w:ascii="Arial" w:cs="Arial" w:eastAsia="Arial" w:hAnsi="Arial"/>
          <w:sz w:val="14"/>
          <w:szCs w:val="14"/>
          <w:color w:val="255993"/>
        </w:rPr>
        <w:t>Audit fees include fees incurred associated with the annual audit, the reviews of the Company’s interim financial information, consents to documents filed with the SEC, and services provided in connection with our at-the-market offering program incurred in 2022.</w:t>
      </w:r>
    </w:p>
    <w:p>
      <w:pPr>
        <w:spacing w:after="0" w:line="22" w:lineRule="exact"/>
        <w:rPr>
          <w:rFonts w:ascii="Arial" w:cs="Arial" w:eastAsia="Arial" w:hAnsi="Arial"/>
          <w:sz w:val="14"/>
          <w:szCs w:val="14"/>
          <w:color w:val="255993"/>
        </w:rPr>
      </w:pPr>
    </w:p>
    <w:p>
      <w:pPr>
        <w:ind w:left="320" w:right="140" w:hanging="224"/>
        <w:spacing w:after="0" w:line="285" w:lineRule="auto"/>
        <w:tabs>
          <w:tab w:leader="none" w:pos="320" w:val="left"/>
        </w:tabs>
        <w:numPr>
          <w:ilvl w:val="0"/>
          <w:numId w:val="21"/>
        </w:numPr>
        <w:rPr>
          <w:rFonts w:ascii="Arial" w:cs="Arial" w:eastAsia="Arial" w:hAnsi="Arial"/>
          <w:sz w:val="14"/>
          <w:szCs w:val="14"/>
          <w:color w:val="255993"/>
        </w:rPr>
      </w:pPr>
      <w:r>
        <w:rPr>
          <w:rFonts w:ascii="Arial" w:cs="Arial" w:eastAsia="Arial" w:hAnsi="Arial"/>
          <w:sz w:val="14"/>
          <w:szCs w:val="14"/>
          <w:color w:val="255993"/>
        </w:rPr>
        <w:t>Audit-related fees include fees for assurance and related services that are reasonably related to the performance of the audit or review of our financial statements. There were no such fees incurred in 2023 or 2022.</w:t>
      </w:r>
    </w:p>
    <w:p>
      <w:pPr>
        <w:spacing w:after="0" w:line="36" w:lineRule="exact"/>
        <w:rPr>
          <w:rFonts w:ascii="Arial" w:cs="Arial" w:eastAsia="Arial" w:hAnsi="Arial"/>
          <w:sz w:val="14"/>
          <w:szCs w:val="14"/>
          <w:color w:val="255993"/>
        </w:rPr>
      </w:pPr>
    </w:p>
    <w:p>
      <w:pPr>
        <w:ind w:left="320" w:right="480" w:hanging="224"/>
        <w:spacing w:after="0" w:line="285" w:lineRule="auto"/>
        <w:tabs>
          <w:tab w:leader="none" w:pos="320" w:val="left"/>
        </w:tabs>
        <w:numPr>
          <w:ilvl w:val="0"/>
          <w:numId w:val="21"/>
        </w:numPr>
        <w:rPr>
          <w:rFonts w:ascii="Arial" w:cs="Arial" w:eastAsia="Arial" w:hAnsi="Arial"/>
          <w:sz w:val="14"/>
          <w:szCs w:val="14"/>
          <w:color w:val="255993"/>
        </w:rPr>
      </w:pPr>
      <w:r>
        <w:rPr>
          <w:rFonts w:ascii="Arial" w:cs="Arial" w:eastAsia="Arial" w:hAnsi="Arial"/>
          <w:sz w:val="14"/>
          <w:szCs w:val="14"/>
          <w:color w:val="255993"/>
        </w:rPr>
        <w:t>Tax fees consist of fees for professional services, including tax compliance services and tax advisory services. There were no such fees incurred in 2023 or 2022.</w:t>
      </w:r>
    </w:p>
    <w:p>
      <w:pPr>
        <w:spacing w:after="0" w:line="36" w:lineRule="exact"/>
        <w:rPr>
          <w:rFonts w:ascii="Arial" w:cs="Arial" w:eastAsia="Arial" w:hAnsi="Arial"/>
          <w:sz w:val="14"/>
          <w:szCs w:val="14"/>
          <w:color w:val="255993"/>
        </w:rPr>
      </w:pPr>
    </w:p>
    <w:p>
      <w:pPr>
        <w:ind w:left="320" w:hanging="224"/>
        <w:spacing w:after="0"/>
        <w:tabs>
          <w:tab w:leader="none" w:pos="320" w:val="left"/>
        </w:tabs>
        <w:numPr>
          <w:ilvl w:val="0"/>
          <w:numId w:val="21"/>
        </w:numPr>
        <w:rPr>
          <w:rFonts w:ascii="Arial" w:cs="Arial" w:eastAsia="Arial" w:hAnsi="Arial"/>
          <w:sz w:val="14"/>
          <w:szCs w:val="14"/>
          <w:color w:val="255993"/>
        </w:rPr>
      </w:pPr>
      <w:r>
        <w:rPr>
          <w:rFonts w:ascii="Arial" w:cs="Arial" w:eastAsia="Arial" w:hAnsi="Arial"/>
          <w:sz w:val="14"/>
          <w:szCs w:val="14"/>
          <w:color w:val="255993"/>
        </w:rPr>
        <w:t>All other fees include any fees billed that are not audit fees, audit-related fees or tax fees. There were no such fees incurred in 2023 or 2022.</w:t>
      </w:r>
    </w:p>
    <w:p>
      <w:pPr>
        <w:spacing w:after="0" w:line="217" w:lineRule="exact"/>
        <w:rPr>
          <w:sz w:val="20"/>
          <w:szCs w:val="20"/>
          <w:color w:val="auto"/>
        </w:rPr>
      </w:pPr>
    </w:p>
    <w:p>
      <w:pPr>
        <w:spacing w:after="0"/>
        <w:tabs>
          <w:tab w:leader="none" w:pos="4600" w:val="left"/>
          <w:tab w:leader="none" w:pos="7960" w:val="left"/>
        </w:tabs>
        <w:rPr>
          <w:sz w:val="20"/>
          <w:szCs w:val="20"/>
          <w:color w:val="auto"/>
        </w:rPr>
      </w:pPr>
      <w:r>
        <w:rPr>
          <w:rFonts w:ascii="Arial" w:cs="Arial" w:eastAsia="Arial" w:hAnsi="Arial"/>
          <w:sz w:val="14"/>
          <w:szCs w:val="14"/>
          <w:color w:val="255993"/>
        </w:rPr>
        <w:t>Athira Pharma, Inc.</w:t>
      </w:r>
      <w:r>
        <w:rPr>
          <w:sz w:val="20"/>
          <w:szCs w:val="20"/>
          <w:color w:val="auto"/>
        </w:rPr>
        <w:tab/>
      </w:r>
      <w:r>
        <w:rPr>
          <w:rFonts w:ascii="Arial" w:cs="Arial" w:eastAsia="Arial" w:hAnsi="Arial"/>
          <w:sz w:val="14"/>
          <w:szCs w:val="14"/>
          <w:b w:val="1"/>
          <w:bCs w:val="1"/>
          <w:color w:val="255993"/>
        </w:rPr>
        <w:t>26</w:t>
      </w:r>
      <w:r>
        <w:rPr>
          <w:sz w:val="20"/>
          <w:szCs w:val="20"/>
          <w:color w:val="auto"/>
        </w:rPr>
        <w:tab/>
      </w:r>
      <w:r>
        <w:rPr>
          <w:rFonts w:ascii="Arial" w:cs="Arial" w:eastAsia="Arial" w:hAnsi="Arial"/>
          <w:sz w:val="14"/>
          <w:szCs w:val="14"/>
          <w:color w:val="255993"/>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118110</wp:posOffset>
            </wp:positionV>
            <wp:extent cx="699516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20"/>
          </w:cols>
          <w:pgMar w:left="1240" w:top="263" w:right="12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jc w:val="right"/>
        <w:spacing w:after="0"/>
        <w:rPr>
          <w:sz w:val="20"/>
          <w:szCs w:val="20"/>
          <w:color w:val="auto"/>
        </w:rPr>
      </w:pPr>
      <w:r>
        <w:rPr>
          <w:rFonts w:ascii="Arial" w:cs="Arial" w:eastAsia="Arial" w:hAnsi="Arial"/>
          <w:sz w:val="14"/>
          <w:szCs w:val="14"/>
          <w:color w:val="255993"/>
        </w:rPr>
        <w:t>Proposal Two</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AUDITOR INDEPENDENCE</w:t>
      </w:r>
    </w:p>
    <w:p>
      <w:pPr>
        <w:spacing w:after="0" w:line="149"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In 2023, there were no other professional services provided by Ernst &amp; Young LLP, other than those listed above, that would have required our audit committee to consider their compatibility with maintaining the independence of Ernst &amp; Young LLP.</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AUDIT COMMITTEE POLICY ON PRE-APPROVAL OF AUDIT AND PERMISSIBLE NON-AUDIT SERVICES</w:t>
      </w:r>
    </w:p>
    <w:p>
      <w:pPr>
        <w:spacing w:after="0" w:line="135"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Our audit committee’s policy is to pre-approve all audit and permissible non-audit services provided by our independent registered public accounting firm, the scope of services provided by our independent registered public accounting firm and the fees for the services to be performed. These services may include audit services, audit-related services, tax services and other services. Pre-approval is detailed as to the particular service or category of services and is generally subject to a specific budget. Our independent registered public accounting firm and management are required to periodically report to the audit committee regarding the extent of services provided by our independent registered public accounting firm in accordance with this pre- approval, and the fees for the services performed to date. The audit committee may delegate to the chairperson of the audit committee authority to approve in advance permitted services to be performed by the independent auditor or other registered public accounting firms along with any associated fees.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All services related to the fees described in the table above were pre-approved by our audit committee.</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VOTE REQUIRED</w:t>
      </w:r>
    </w:p>
    <w:p>
      <w:pPr>
        <w:spacing w:after="0" w:line="149" w:lineRule="exact"/>
        <w:rPr>
          <w:sz w:val="20"/>
          <w:szCs w:val="20"/>
          <w:color w:val="auto"/>
        </w:rPr>
      </w:pPr>
    </w:p>
    <w:p>
      <w:pPr>
        <w:ind w:right="240"/>
        <w:spacing w:after="0" w:line="256" w:lineRule="auto"/>
        <w:rPr>
          <w:sz w:val="20"/>
          <w:szCs w:val="20"/>
          <w:color w:val="auto"/>
        </w:rPr>
      </w:pPr>
      <w:r>
        <w:rPr>
          <w:rFonts w:ascii="Arial" w:cs="Arial" w:eastAsia="Arial" w:hAnsi="Arial"/>
          <w:sz w:val="16"/>
          <w:szCs w:val="16"/>
          <w:color w:val="auto"/>
        </w:rPr>
        <w:t>The ratification of the appointment of Ernst &amp; Young LLP as our independent registered public accounting firm for our fiscal year ending December 31, 2024 requires the affirmative vote of a majority of the voting power of the shares cast, affirmatively or negatively. Broker non-votes and abstentions will be counted for purposes of determining the presence or absence of a quorum. However, neither broker non-votes nor abstentions will be considered votes cast for or against this proposal. Accordingly, broker non-votes and abstentions will have no impact on the outcome of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869315</wp:posOffset>
            </wp:positionH>
            <wp:positionV relativeFrom="paragraph">
              <wp:posOffset>28575</wp:posOffset>
            </wp:positionV>
            <wp:extent cx="17145" cy="8401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7145" cy="840105"/>
                    </a:xfrm>
                    <a:prstGeom prst="rect">
                      <a:avLst/>
                    </a:prstGeom>
                    <a:noFill/>
                  </pic:spPr>
                </pic:pic>
              </a:graphicData>
            </a:graphic>
          </wp:anchor>
        </w:drawing>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527"/>
        </w:trPr>
        <w:tc>
          <w:tcPr>
            <w:tcW w:w="1380" w:type="dxa"/>
            <w:vAlign w:val="bottom"/>
            <w:tcBorders>
              <w:bottom w:val="single" w:sz="8" w:color="255993"/>
            </w:tcBorders>
            <w:shd w:val="clear" w:color="auto" w:fill="255993"/>
          </w:tcPr>
          <w:p>
            <w:pPr>
              <w:spacing w:after="0"/>
              <w:rPr>
                <w:sz w:val="24"/>
                <w:szCs w:val="24"/>
                <w:color w:val="auto"/>
              </w:rPr>
            </w:pPr>
          </w:p>
        </w:tc>
        <w:tc>
          <w:tcPr>
            <w:tcW w:w="240" w:type="dxa"/>
            <w:vAlign w:val="bottom"/>
            <w:tcBorders>
              <w:bottom w:val="single" w:sz="8" w:color="EBEBEB"/>
            </w:tcBorders>
            <w:shd w:val="clear" w:color="auto" w:fill="EBEBEB"/>
          </w:tcPr>
          <w:p>
            <w:pPr>
              <w:spacing w:after="0"/>
              <w:rPr>
                <w:sz w:val="24"/>
                <w:szCs w:val="24"/>
                <w:color w:val="auto"/>
              </w:rPr>
            </w:pPr>
          </w:p>
        </w:tc>
        <w:tc>
          <w:tcPr>
            <w:tcW w:w="1740" w:type="dxa"/>
            <w:vAlign w:val="bottom"/>
            <w:tcBorders>
              <w:bottom w:val="single" w:sz="8" w:color="F8991D"/>
            </w:tcBorders>
            <w:shd w:val="clear" w:color="auto" w:fill="EBEBEB"/>
          </w:tcPr>
          <w:p>
            <w:pPr>
              <w:spacing w:after="0"/>
              <w:rPr>
                <w:sz w:val="20"/>
                <w:szCs w:val="20"/>
                <w:color w:val="auto"/>
              </w:rPr>
            </w:pPr>
            <w:r>
              <w:rPr>
                <w:rFonts w:ascii="Arial" w:cs="Arial" w:eastAsia="Arial" w:hAnsi="Arial"/>
                <w:sz w:val="16"/>
                <w:szCs w:val="16"/>
                <w:color w:val="auto"/>
                <w:w w:val="99"/>
              </w:rPr>
              <w:t>Board Recommendation</w:t>
            </w:r>
          </w:p>
        </w:tc>
        <w:tc>
          <w:tcPr>
            <w:tcW w:w="6040" w:type="dxa"/>
            <w:vAlign w:val="bottom"/>
            <w:tcBorders>
              <w:bottom w:val="single" w:sz="8" w:color="EBEBEB"/>
            </w:tcBorders>
            <w:shd w:val="clear" w:color="auto" w:fill="EBEBEB"/>
          </w:tcPr>
          <w:p>
            <w:pPr>
              <w:spacing w:after="0"/>
              <w:rPr>
                <w:sz w:val="24"/>
                <w:szCs w:val="24"/>
                <w:color w:val="auto"/>
              </w:rPr>
            </w:pPr>
          </w:p>
        </w:tc>
        <w:tc>
          <w:tcPr>
            <w:tcW w:w="0" w:type="dxa"/>
            <w:vAlign w:val="bottom"/>
          </w:tcPr>
          <w:p>
            <w:pPr>
              <w:spacing w:after="0"/>
              <w:rPr>
                <w:sz w:val="1"/>
                <w:szCs w:val="1"/>
                <w:color w:val="auto"/>
              </w:rPr>
            </w:pPr>
          </w:p>
        </w:tc>
      </w:tr>
      <w:tr>
        <w:trPr>
          <w:trHeight w:val="464"/>
        </w:trPr>
        <w:tc>
          <w:tcPr>
            <w:tcW w:w="1380" w:type="dxa"/>
            <w:vAlign w:val="bottom"/>
            <w:vMerge w:val="restart"/>
            <w:shd w:val="clear" w:color="auto" w:fill="255993"/>
          </w:tcPr>
          <w:p>
            <w:pPr>
              <w:spacing w:after="0"/>
              <w:rPr>
                <w:sz w:val="20"/>
                <w:szCs w:val="20"/>
                <w:color w:val="auto"/>
              </w:rPr>
            </w:pPr>
            <w:r>
              <w:rPr>
                <w:rFonts w:ascii="Arial" w:cs="Arial" w:eastAsia="Arial" w:hAnsi="Arial"/>
                <w:sz w:val="16"/>
                <w:szCs w:val="16"/>
                <w:b w:val="1"/>
                <w:bCs w:val="1"/>
                <w:color w:val="auto"/>
              </w:rPr>
              <w:t xml:space="preserve">  </w:t>
            </w:r>
          </w:p>
        </w:tc>
        <w:tc>
          <w:tcPr>
            <w:tcW w:w="240" w:type="dxa"/>
            <w:vAlign w:val="bottom"/>
            <w:shd w:val="clear" w:color="auto" w:fill="EBEBEB"/>
          </w:tcPr>
          <w:p>
            <w:pPr>
              <w:spacing w:after="0"/>
              <w:rPr>
                <w:sz w:val="24"/>
                <w:szCs w:val="24"/>
                <w:color w:val="auto"/>
              </w:rPr>
            </w:pPr>
          </w:p>
        </w:tc>
        <w:tc>
          <w:tcPr>
            <w:tcW w:w="7780" w:type="dxa"/>
            <w:vAlign w:val="bottom"/>
            <w:gridSpan w:val="2"/>
            <w:shd w:val="clear" w:color="auto" w:fill="EBEBEB"/>
          </w:tcPr>
          <w:p>
            <w:pPr>
              <w:spacing w:after="0"/>
              <w:rPr>
                <w:sz w:val="20"/>
                <w:szCs w:val="20"/>
                <w:color w:val="auto"/>
              </w:rPr>
            </w:pPr>
            <w:r>
              <w:rPr>
                <w:rFonts w:ascii="Arial" w:cs="Arial" w:eastAsia="Arial" w:hAnsi="Arial"/>
                <w:sz w:val="14"/>
                <w:szCs w:val="14"/>
                <w:color w:val="255993"/>
              </w:rPr>
              <w:t xml:space="preserve">Our Board of Directors recommends a vote </w:t>
            </w:r>
            <w:r>
              <w:rPr>
                <w:rFonts w:ascii="Arial" w:cs="Arial" w:eastAsia="Arial" w:hAnsi="Arial"/>
                <w:sz w:val="14"/>
                <w:szCs w:val="14"/>
                <w:b w:val="1"/>
                <w:bCs w:val="1"/>
                <w:color w:val="255993"/>
              </w:rPr>
              <w:t>“FOR”</w:t>
            </w:r>
            <w:r>
              <w:rPr>
                <w:rFonts w:ascii="Arial" w:cs="Arial" w:eastAsia="Arial" w:hAnsi="Arial"/>
                <w:sz w:val="14"/>
                <w:szCs w:val="14"/>
                <w:color w:val="255993"/>
              </w:rPr>
              <w:t xml:space="preserve"> this proposal.</w:t>
            </w:r>
          </w:p>
        </w:tc>
        <w:tc>
          <w:tcPr>
            <w:tcW w:w="0" w:type="dxa"/>
            <w:vAlign w:val="bottom"/>
          </w:tcPr>
          <w:p>
            <w:pPr>
              <w:spacing w:after="0"/>
              <w:rPr>
                <w:sz w:val="1"/>
                <w:szCs w:val="1"/>
                <w:color w:val="auto"/>
              </w:rPr>
            </w:pPr>
          </w:p>
        </w:tc>
      </w:tr>
      <w:tr>
        <w:trPr>
          <w:trHeight w:val="89"/>
        </w:trPr>
        <w:tc>
          <w:tcPr>
            <w:tcW w:w="1380" w:type="dxa"/>
            <w:vAlign w:val="bottom"/>
            <w:vMerge w:val="continue"/>
            <w:shd w:val="clear" w:color="auto" w:fill="255993"/>
          </w:tcPr>
          <w:p>
            <w:pPr>
              <w:spacing w:after="0"/>
              <w:rPr>
                <w:sz w:val="7"/>
                <w:szCs w:val="7"/>
                <w:color w:val="auto"/>
              </w:rPr>
            </w:pPr>
          </w:p>
        </w:tc>
        <w:tc>
          <w:tcPr>
            <w:tcW w:w="240" w:type="dxa"/>
            <w:vAlign w:val="bottom"/>
            <w:shd w:val="clear" w:color="auto" w:fill="EBEBEB"/>
          </w:tcPr>
          <w:p>
            <w:pPr>
              <w:spacing w:after="0"/>
              <w:rPr>
                <w:sz w:val="7"/>
                <w:szCs w:val="7"/>
                <w:color w:val="auto"/>
              </w:rPr>
            </w:pPr>
          </w:p>
        </w:tc>
        <w:tc>
          <w:tcPr>
            <w:tcW w:w="1740" w:type="dxa"/>
            <w:vAlign w:val="bottom"/>
            <w:shd w:val="clear" w:color="auto" w:fill="EBEBEB"/>
          </w:tcPr>
          <w:p>
            <w:pPr>
              <w:spacing w:after="0"/>
              <w:rPr>
                <w:sz w:val="7"/>
                <w:szCs w:val="7"/>
                <w:color w:val="auto"/>
              </w:rPr>
            </w:pPr>
          </w:p>
        </w:tc>
        <w:tc>
          <w:tcPr>
            <w:tcW w:w="6040" w:type="dxa"/>
            <w:vAlign w:val="bottom"/>
            <w:shd w:val="clear" w:color="auto" w:fill="EBEBEB"/>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1380" w:type="dxa"/>
            <w:vAlign w:val="bottom"/>
            <w:shd w:val="clear" w:color="auto" w:fill="255993"/>
          </w:tcPr>
          <w:p>
            <w:pPr>
              <w:spacing w:after="0"/>
              <w:rPr>
                <w:sz w:val="19"/>
                <w:szCs w:val="19"/>
                <w:color w:val="auto"/>
              </w:rPr>
            </w:pPr>
          </w:p>
        </w:tc>
        <w:tc>
          <w:tcPr>
            <w:tcW w:w="240" w:type="dxa"/>
            <w:vAlign w:val="bottom"/>
            <w:shd w:val="clear" w:color="auto" w:fill="EBEBEB"/>
          </w:tcPr>
          <w:p>
            <w:pPr>
              <w:spacing w:after="0"/>
              <w:rPr>
                <w:sz w:val="19"/>
                <w:szCs w:val="19"/>
                <w:color w:val="auto"/>
              </w:rPr>
            </w:pPr>
          </w:p>
        </w:tc>
        <w:tc>
          <w:tcPr>
            <w:tcW w:w="1740" w:type="dxa"/>
            <w:vAlign w:val="bottom"/>
            <w:shd w:val="clear" w:color="auto" w:fill="EBEBEB"/>
          </w:tcPr>
          <w:p>
            <w:pPr>
              <w:spacing w:after="0"/>
              <w:rPr>
                <w:sz w:val="19"/>
                <w:szCs w:val="19"/>
                <w:color w:val="auto"/>
              </w:rPr>
            </w:pPr>
          </w:p>
        </w:tc>
        <w:tc>
          <w:tcPr>
            <w:tcW w:w="6040" w:type="dxa"/>
            <w:vAlign w:val="bottom"/>
            <w:shd w:val="clear" w:color="auto" w:fill="EBEBEB"/>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-573405</wp:posOffset>
            </wp:positionV>
            <wp:extent cx="308610" cy="3003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08610" cy="300355"/>
                    </a:xfrm>
                    <a:prstGeom prst="rect">
                      <a:avLst/>
                    </a:prstGeom>
                    <a:noFill/>
                  </pic:spPr>
                </pic:pic>
              </a:graphicData>
            </a:graphic>
          </wp:anchor>
        </w:drawing>
      </w:r>
    </w:p>
    <w:p>
      <w:pPr>
        <w:spacing w:after="0" w:line="187" w:lineRule="exact"/>
        <w:rPr>
          <w:sz w:val="20"/>
          <w:szCs w:val="20"/>
          <w:color w:val="auto"/>
        </w:rPr>
      </w:pPr>
    </w:p>
    <w:p>
      <w:pPr>
        <w:spacing w:after="0"/>
        <w:tabs>
          <w:tab w:leader="none" w:pos="4600" w:val="left"/>
          <w:tab w:leader="none" w:pos="7960" w:val="left"/>
        </w:tabs>
        <w:rPr>
          <w:sz w:val="20"/>
          <w:szCs w:val="20"/>
          <w:color w:val="auto"/>
        </w:rPr>
      </w:pPr>
      <w:r>
        <w:rPr>
          <w:rFonts w:ascii="Arial" w:cs="Arial" w:eastAsia="Arial" w:hAnsi="Arial"/>
          <w:sz w:val="14"/>
          <w:szCs w:val="14"/>
          <w:color w:val="255993"/>
        </w:rPr>
        <w:t>Athira Pharma, Inc.</w:t>
      </w:r>
      <w:r>
        <w:rPr>
          <w:sz w:val="20"/>
          <w:szCs w:val="20"/>
          <w:color w:val="auto"/>
        </w:rPr>
        <w:tab/>
      </w:r>
      <w:r>
        <w:rPr>
          <w:rFonts w:ascii="Arial" w:cs="Arial" w:eastAsia="Arial" w:hAnsi="Arial"/>
          <w:sz w:val="14"/>
          <w:szCs w:val="14"/>
          <w:b w:val="1"/>
          <w:bCs w:val="1"/>
          <w:color w:val="255993"/>
        </w:rPr>
        <w:t>27</w:t>
      </w:r>
      <w:r>
        <w:rPr>
          <w:sz w:val="20"/>
          <w:szCs w:val="20"/>
          <w:color w:val="auto"/>
        </w:rPr>
        <w:tab/>
      </w:r>
      <w:r>
        <w:rPr>
          <w:rFonts w:ascii="Arial" w:cs="Arial" w:eastAsia="Arial" w:hAnsi="Arial"/>
          <w:sz w:val="14"/>
          <w:szCs w:val="14"/>
          <w:color w:val="255993"/>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118110</wp:posOffset>
            </wp:positionV>
            <wp:extent cx="699516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263" w:right="12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38" w:lineRule="exact"/>
        <w:rPr>
          <w:sz w:val="20"/>
          <w:szCs w:val="20"/>
          <w:color w:val="auto"/>
        </w:rPr>
      </w:pPr>
    </w:p>
    <w:p>
      <w:pPr>
        <w:spacing w:after="0"/>
        <w:rPr>
          <w:sz w:val="20"/>
          <w:szCs w:val="20"/>
          <w:color w:val="auto"/>
        </w:rPr>
      </w:pPr>
      <w:r>
        <w:rPr>
          <w:rFonts w:ascii="Arial" w:cs="Arial" w:eastAsia="Arial" w:hAnsi="Arial"/>
          <w:sz w:val="58"/>
          <w:szCs w:val="58"/>
          <w:color w:val="255993"/>
        </w:rPr>
        <w:t>Report of the Audit Committee</w:t>
      </w:r>
    </w:p>
    <w:p>
      <w:pPr>
        <w:spacing w:after="0" w:line="357"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The audit committee is a committee of our board of directors comprised solely of independent directors as required by Nasdaq listing rules and the rules and regulations of the SEC. The audit committee operates under a written charter adopted by the board of directors, which is available on our website at https://investors.athira.com/corporate-governance/governance-overview. This written charter is reviewed annually for changes, as appropriate. With respect to our financial reporting process, our management is responsible for (1) establishing and maintaining internal controls and (2) preparing our consolidated financial statements. Our independent registered public accounting firm, Ernst &amp; Young LLP, is responsible for performing an independent audit of our consolidated financial statements. It is the responsibility of the audit committee to oversee these activities. It is not the responsibility of the audit committee to prepare our financial statements. These are the fundamental responsibilities of management. In the performance of its oversight function, the audit committee has:</w:t>
      </w:r>
    </w:p>
    <w:p>
      <w:pPr>
        <w:spacing w:after="0" w:line="131" w:lineRule="exact"/>
        <w:rPr>
          <w:sz w:val="20"/>
          <w:szCs w:val="20"/>
          <w:color w:val="auto"/>
        </w:rPr>
      </w:pPr>
    </w:p>
    <w:p>
      <w:pPr>
        <w:ind w:left="140" w:hanging="134"/>
        <w:spacing w:after="0"/>
        <w:tabs>
          <w:tab w:leader="none" w:pos="140" w:val="left"/>
        </w:tabs>
        <w:numPr>
          <w:ilvl w:val="0"/>
          <w:numId w:val="22"/>
        </w:numPr>
        <w:rPr>
          <w:rFonts w:ascii="Arial" w:cs="Arial" w:eastAsia="Arial" w:hAnsi="Arial"/>
          <w:sz w:val="16"/>
          <w:szCs w:val="16"/>
          <w:color w:val="255993"/>
        </w:rPr>
      </w:pPr>
      <w:r>
        <w:rPr>
          <w:rFonts w:ascii="Arial" w:cs="Arial" w:eastAsia="Arial" w:hAnsi="Arial"/>
          <w:sz w:val="16"/>
          <w:szCs w:val="16"/>
          <w:color w:val="auto"/>
        </w:rPr>
        <w:t>reviewed and discussed the audited consolidated financial statements with management and Ernst &amp; Young LLP;</w:t>
      </w:r>
    </w:p>
    <w:p>
      <w:pPr>
        <w:spacing w:after="0" w:line="59" w:lineRule="exact"/>
        <w:rPr>
          <w:rFonts w:ascii="Arial" w:cs="Arial" w:eastAsia="Arial" w:hAnsi="Arial"/>
          <w:sz w:val="16"/>
          <w:szCs w:val="16"/>
          <w:color w:val="255993"/>
        </w:rPr>
      </w:pPr>
    </w:p>
    <w:p>
      <w:pPr>
        <w:ind w:left="140" w:right="200" w:hanging="134"/>
        <w:spacing w:after="0" w:line="281" w:lineRule="auto"/>
        <w:tabs>
          <w:tab w:leader="none" w:pos="140" w:val="left"/>
        </w:tabs>
        <w:numPr>
          <w:ilvl w:val="0"/>
          <w:numId w:val="22"/>
        </w:numPr>
        <w:rPr>
          <w:rFonts w:ascii="Arial" w:cs="Arial" w:eastAsia="Arial" w:hAnsi="Arial"/>
          <w:sz w:val="16"/>
          <w:szCs w:val="16"/>
          <w:color w:val="255993"/>
        </w:rPr>
      </w:pPr>
      <w:r>
        <w:rPr>
          <w:rFonts w:ascii="Arial" w:cs="Arial" w:eastAsia="Arial" w:hAnsi="Arial"/>
          <w:sz w:val="16"/>
          <w:szCs w:val="16"/>
          <w:color w:val="auto"/>
        </w:rPr>
        <w:t>discussed with Ernst &amp; Young LLP the matters required to be discussed by the applicable requirements of the Public Company Accounting Oversight Board, or PCAOB, and the SEC; and</w:t>
      </w:r>
    </w:p>
    <w:p>
      <w:pPr>
        <w:spacing w:after="0" w:line="1" w:lineRule="exact"/>
        <w:rPr>
          <w:rFonts w:ascii="Arial" w:cs="Arial" w:eastAsia="Arial" w:hAnsi="Arial"/>
          <w:sz w:val="16"/>
          <w:szCs w:val="16"/>
          <w:color w:val="255993"/>
        </w:rPr>
      </w:pPr>
    </w:p>
    <w:p>
      <w:pPr>
        <w:ind w:left="140" w:right="80" w:hanging="134"/>
        <w:spacing w:after="0" w:line="266" w:lineRule="auto"/>
        <w:tabs>
          <w:tab w:leader="none" w:pos="140" w:val="left"/>
        </w:tabs>
        <w:numPr>
          <w:ilvl w:val="0"/>
          <w:numId w:val="22"/>
        </w:numPr>
        <w:rPr>
          <w:rFonts w:ascii="Arial" w:cs="Arial" w:eastAsia="Arial" w:hAnsi="Arial"/>
          <w:sz w:val="16"/>
          <w:szCs w:val="16"/>
          <w:color w:val="255993"/>
        </w:rPr>
      </w:pPr>
      <w:r>
        <w:rPr>
          <w:rFonts w:ascii="Arial" w:cs="Arial" w:eastAsia="Arial" w:hAnsi="Arial"/>
          <w:sz w:val="16"/>
          <w:szCs w:val="16"/>
          <w:color w:val="auto"/>
        </w:rPr>
        <w:t>received the written disclosures and the letter from Ernst &amp; Young LLP required by the applicable requirements of the PCAOB regarding the independent accountant’s communications with the audit committee concerning independence, and has discussed with Ernst &amp; Young LLP its independence.</w:t>
      </w:r>
    </w:p>
    <w:p>
      <w:pPr>
        <w:spacing w:after="0" w:line="104" w:lineRule="exact"/>
        <w:rPr>
          <w:sz w:val="20"/>
          <w:szCs w:val="20"/>
          <w:color w:val="auto"/>
        </w:rPr>
      </w:pPr>
    </w:p>
    <w:p>
      <w:pPr>
        <w:ind w:right="360"/>
        <w:spacing w:after="0" w:line="266" w:lineRule="auto"/>
        <w:rPr>
          <w:sz w:val="20"/>
          <w:szCs w:val="20"/>
          <w:color w:val="auto"/>
        </w:rPr>
      </w:pPr>
      <w:r>
        <w:rPr>
          <w:rFonts w:ascii="Arial" w:cs="Arial" w:eastAsia="Arial" w:hAnsi="Arial"/>
          <w:sz w:val="16"/>
          <w:szCs w:val="16"/>
          <w:color w:val="auto"/>
        </w:rPr>
        <w:t>Based on the audit committee’s review and discussions with management and Ernst &amp; Young LLP noted above, the audit committee recommended to the board of directors that the audited consolidated financial statements be included in the Annual Report on Form 10-K for the fiscal year ended December 31, 2023, filed with the SEC on February 22, 2024.</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Respectfully submitted by the members of the audit committee of the board of directors: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JAMES A. JOHNSON (CHAIR), JOHN M. FLUKE, JR., GRANT PICKERING.</w:t>
      </w:r>
    </w:p>
    <w:p>
      <w:pPr>
        <w:spacing w:after="0" w:line="156"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i w:val="1"/>
          <w:iCs w:val="1"/>
          <w:color w:val="auto"/>
        </w:rPr>
        <w:t>This audit committee report shall not be deemed to be “soliciting material” or to be “filed” with the SEC or subject to Regulation 14A promulgated by the SEC or to the liabilities of Section 18 of the Exchange Act, and shall not be deemed incorporated by reference into any prior or subsequent filing by the Company under the Securities Act of 1933, as amended, or the Securities Act, or the Exchange Act, except to the extent the Company specifically requests that the information be treated as “soliciting material” or specifically incorporates it by reference.</w:t>
      </w:r>
    </w:p>
    <w:p>
      <w:pPr>
        <w:spacing w:after="0" w:line="186" w:lineRule="exact"/>
        <w:rPr>
          <w:sz w:val="20"/>
          <w:szCs w:val="20"/>
          <w:color w:val="auto"/>
        </w:rPr>
      </w:pPr>
    </w:p>
    <w:p>
      <w:pPr>
        <w:spacing w:after="0"/>
        <w:tabs>
          <w:tab w:leader="none" w:pos="4600" w:val="left"/>
          <w:tab w:leader="none" w:pos="7960" w:val="left"/>
        </w:tabs>
        <w:rPr>
          <w:sz w:val="20"/>
          <w:szCs w:val="20"/>
          <w:color w:val="auto"/>
        </w:rPr>
      </w:pPr>
      <w:r>
        <w:rPr>
          <w:rFonts w:ascii="Arial" w:cs="Arial" w:eastAsia="Arial" w:hAnsi="Arial"/>
          <w:sz w:val="14"/>
          <w:szCs w:val="14"/>
          <w:color w:val="255993"/>
        </w:rPr>
        <w:t>Athira Pharma, Inc.</w:t>
      </w:r>
      <w:r>
        <w:rPr>
          <w:sz w:val="20"/>
          <w:szCs w:val="20"/>
          <w:color w:val="auto"/>
        </w:rPr>
        <w:tab/>
      </w:r>
      <w:r>
        <w:rPr>
          <w:rFonts w:ascii="Arial" w:cs="Arial" w:eastAsia="Arial" w:hAnsi="Arial"/>
          <w:sz w:val="14"/>
          <w:szCs w:val="14"/>
          <w:b w:val="1"/>
          <w:bCs w:val="1"/>
          <w:color w:val="255993"/>
        </w:rPr>
        <w:t>28</w:t>
      </w:r>
      <w:r>
        <w:rPr>
          <w:sz w:val="20"/>
          <w:szCs w:val="20"/>
          <w:color w:val="auto"/>
        </w:rPr>
        <w:tab/>
      </w:r>
      <w:r>
        <w:rPr>
          <w:rFonts w:ascii="Arial" w:cs="Arial" w:eastAsia="Arial" w:hAnsi="Arial"/>
          <w:sz w:val="14"/>
          <w:szCs w:val="14"/>
          <w:color w:val="255993"/>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118110</wp:posOffset>
            </wp:positionV>
            <wp:extent cx="699516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263" w:right="12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9" w:lineRule="exact"/>
        <w:rPr>
          <w:sz w:val="20"/>
          <w:szCs w:val="20"/>
          <w:color w:val="auto"/>
        </w:rPr>
      </w:pPr>
    </w:p>
    <w:p>
      <w:pPr>
        <w:ind w:right="2620"/>
        <w:spacing w:after="0" w:line="272" w:lineRule="auto"/>
        <w:rPr>
          <w:sz w:val="20"/>
          <w:szCs w:val="20"/>
          <w:color w:val="auto"/>
        </w:rPr>
      </w:pPr>
      <w:r>
        <w:rPr>
          <w:rFonts w:ascii="Arial" w:cs="Arial" w:eastAsia="Arial" w:hAnsi="Arial"/>
          <w:sz w:val="22"/>
          <w:szCs w:val="22"/>
          <w:b w:val="1"/>
          <w:bCs w:val="1"/>
          <w:color w:val="F8991D"/>
        </w:rPr>
        <w:t>APPROVAL OF AMENDMENT TO OUR AMENDED AND RESTATED CERTIFICATE OF INCORPORATION</w:t>
      </w:r>
    </w:p>
    <w:p>
      <w:pPr>
        <w:spacing w:after="0" w:line="10" w:lineRule="exact"/>
        <w:rPr>
          <w:sz w:val="20"/>
          <w:szCs w:val="20"/>
          <w:color w:val="auto"/>
        </w:rPr>
      </w:pPr>
    </w:p>
    <w:p>
      <w:pPr>
        <w:spacing w:after="0"/>
        <w:rPr>
          <w:sz w:val="20"/>
          <w:szCs w:val="20"/>
          <w:color w:val="auto"/>
        </w:rPr>
      </w:pPr>
      <w:r>
        <w:rPr>
          <w:rFonts w:ascii="Arial" w:cs="Arial" w:eastAsia="Arial" w:hAnsi="Arial"/>
          <w:sz w:val="58"/>
          <w:szCs w:val="58"/>
          <w:color w:val="255993"/>
        </w:rPr>
        <w:t>Proposal Three</w:t>
      </w:r>
    </w:p>
    <w:p>
      <w:pPr>
        <w:spacing w:after="0" w:line="357"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auto"/>
        </w:rPr>
        <w:t>At the Annual Meeting, we are asking our stockholders to approve an amendment to our amended and restated certificate of incorporation, or the existing charter, to provide for exculpation from liability for our officers for certain breaches of fiduciary duties, similar to the protections currently available for our directors, as permitted under Delaware law (the “Exculpation Amendment”). The board of directors has unanimously adopted and declared advisable, and resolved to recommend to the Company’s stockholders that they approve and adopt, the Exculpation Amendment.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PROPOSED AMENDMENT TO THE AMENDED AND RESTATED CERTIFICATE OF INCORPORATION</w:t>
      </w:r>
    </w:p>
    <w:p>
      <w:pPr>
        <w:spacing w:after="0" w:line="149"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proposed Exculpation Amendment, marked to show the proposed changes, would amend Section 1 of Article IX of the existing charter to read in its entirety as follows (insertions are shown in underlined italics):</w:t>
      </w:r>
    </w:p>
    <w:p>
      <w:pPr>
        <w:spacing w:after="0" w:line="88" w:lineRule="exact"/>
        <w:rPr>
          <w:sz w:val="20"/>
          <w:szCs w:val="20"/>
          <w:color w:val="auto"/>
        </w:rPr>
      </w:pPr>
    </w:p>
    <w:p>
      <w:pPr>
        <w:ind w:left="360" w:right="40"/>
        <w:spacing w:after="0" w:line="256" w:lineRule="auto"/>
        <w:rPr>
          <w:sz w:val="20"/>
          <w:szCs w:val="20"/>
          <w:color w:val="auto"/>
        </w:rPr>
      </w:pPr>
      <w:r>
        <w:rPr>
          <w:rFonts w:ascii="Arial" w:cs="Arial" w:eastAsia="Arial" w:hAnsi="Arial"/>
          <w:sz w:val="16"/>
          <w:szCs w:val="16"/>
          <w:color w:val="auto"/>
        </w:rPr>
        <w:t xml:space="preserve">Section 1. To the fullest extent permitted by the DGCL as the same exists or as may hereafter be amended from time to time, a director </w:t>
      </w:r>
      <w:r>
        <w:rPr>
          <w:rFonts w:ascii="Arial" w:cs="Arial" w:eastAsia="Arial" w:hAnsi="Arial"/>
          <w:sz w:val="16"/>
          <w:szCs w:val="16"/>
          <w:i w:val="1"/>
          <w:iCs w:val="1"/>
          <w:u w:val="single" w:color="auto"/>
          <w:color w:val="auto"/>
        </w:rPr>
        <w:t>or officer</w:t>
      </w:r>
      <w:r>
        <w:rPr>
          <w:rFonts w:ascii="Arial" w:cs="Arial" w:eastAsia="Arial" w:hAnsi="Arial"/>
          <w:sz w:val="16"/>
          <w:szCs w:val="16"/>
          <w:color w:val="auto"/>
        </w:rPr>
        <w:t xml:space="preserve"> of the Company shall not be personally liable to the Company or its stockholders for monetary damages for breach of fiduciary duty as a director </w:t>
      </w:r>
      <w:r>
        <w:rPr>
          <w:rFonts w:ascii="Arial" w:cs="Arial" w:eastAsia="Arial" w:hAnsi="Arial"/>
          <w:sz w:val="16"/>
          <w:szCs w:val="16"/>
          <w:i w:val="1"/>
          <w:iCs w:val="1"/>
          <w:u w:val="single" w:color="auto"/>
          <w:color w:val="auto"/>
        </w:rPr>
        <w:t>or officer, as applicable</w:t>
      </w:r>
      <w:r>
        <w:rPr>
          <w:rFonts w:ascii="Arial" w:cs="Arial" w:eastAsia="Arial" w:hAnsi="Arial"/>
          <w:sz w:val="16"/>
          <w:szCs w:val="16"/>
          <w:color w:val="auto"/>
        </w:rPr>
        <w:t xml:space="preserve">. If the DGCL is amended to authorize corporate action further eliminating or limiting the personal liability of directors </w:t>
      </w:r>
      <w:r>
        <w:rPr>
          <w:rFonts w:ascii="Arial" w:cs="Arial" w:eastAsia="Arial" w:hAnsi="Arial"/>
          <w:sz w:val="16"/>
          <w:szCs w:val="16"/>
          <w:i w:val="1"/>
          <w:iCs w:val="1"/>
          <w:u w:val="single" w:color="auto"/>
          <w:color w:val="auto"/>
        </w:rPr>
        <w:t>or officers</w:t>
      </w:r>
      <w:r>
        <w:rPr>
          <w:rFonts w:ascii="Arial" w:cs="Arial" w:eastAsia="Arial" w:hAnsi="Arial"/>
          <w:sz w:val="16"/>
          <w:szCs w:val="16"/>
          <w:i w:val="1"/>
          <w:iCs w:val="1"/>
          <w:color w:val="auto"/>
        </w:rPr>
        <w:t>,</w:t>
      </w:r>
      <w:r>
        <w:rPr>
          <w:rFonts w:ascii="Arial" w:cs="Arial" w:eastAsia="Arial" w:hAnsi="Arial"/>
          <w:sz w:val="16"/>
          <w:szCs w:val="16"/>
          <w:color w:val="auto"/>
        </w:rPr>
        <w:t xml:space="preserve"> then the liability of a director </w:t>
      </w:r>
      <w:r>
        <w:rPr>
          <w:rFonts w:ascii="Arial" w:cs="Arial" w:eastAsia="Arial" w:hAnsi="Arial"/>
          <w:sz w:val="16"/>
          <w:szCs w:val="16"/>
          <w:i w:val="1"/>
          <w:iCs w:val="1"/>
          <w:u w:val="single" w:color="auto"/>
          <w:color w:val="auto"/>
        </w:rPr>
        <w:t>or officer</w:t>
      </w:r>
      <w:r>
        <w:rPr>
          <w:rFonts w:ascii="Arial" w:cs="Arial" w:eastAsia="Arial" w:hAnsi="Arial"/>
          <w:sz w:val="16"/>
          <w:szCs w:val="16"/>
          <w:color w:val="auto"/>
        </w:rPr>
        <w:t xml:space="preserve"> of the Company, </w:t>
      </w:r>
      <w:r>
        <w:rPr>
          <w:rFonts w:ascii="Arial" w:cs="Arial" w:eastAsia="Arial" w:hAnsi="Arial"/>
          <w:sz w:val="16"/>
          <w:szCs w:val="16"/>
          <w:i w:val="1"/>
          <w:iCs w:val="1"/>
          <w:u w:val="single" w:color="auto"/>
          <w:color w:val="auto"/>
        </w:rPr>
        <w:t>as</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applicable</w:t>
      </w:r>
      <w:r>
        <w:rPr>
          <w:rFonts w:ascii="Arial" w:cs="Arial" w:eastAsia="Arial" w:hAnsi="Arial"/>
          <w:sz w:val="16"/>
          <w:szCs w:val="16"/>
          <w:i w:val="1"/>
          <w:iCs w:val="1"/>
          <w:color w:val="auto"/>
        </w:rPr>
        <w:t xml:space="preserve">, </w:t>
      </w:r>
      <w:r>
        <w:rPr>
          <w:rFonts w:ascii="Arial" w:cs="Arial" w:eastAsia="Arial" w:hAnsi="Arial"/>
          <w:sz w:val="16"/>
          <w:szCs w:val="16"/>
          <w:color w:val="auto"/>
        </w:rPr>
        <w:t>shall be eliminated or limited to the fullest extent permitted by the DGCL, as so amended.</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A complete copy of the proposed charter amendment is attached as Annex A to this proxy statement.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PURPOSE OF THE EXCULPATION AMENDMENT</w:t>
      </w:r>
    </w:p>
    <w:p>
      <w:pPr>
        <w:spacing w:after="0" w:line="135"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Effective August 1, 2022, the State of Delaware, where we are incorporated, adopted an amendment to Section 102(b)(7) of the Delaware General Corporation Law, or the DGCL, to allow a Delaware corporation to exculpate its officers from personal liability for monetary damages for certain breaches of fiduciary duty as an officer. Prior to this amendment to the DGCL, Delaware corporations were permitted to exculpate directors from personal liability for monetary damages associated with breaches of the duty of care, but that protection did not extend to a Delaware corporation’s officers. Consequently, stockholder plaintiffs have employed a tactic of bringing certain claims—that would otherwise be exculpated if brought against directors—against individual officers to avoid dismissal of such claims. The DGCL amendment was adopted to address inconsistent treatment between officers and directors and respond to rising litigation and insurance costs for Delaware companies and their stockholders.</w:t>
      </w:r>
    </w:p>
    <w:p>
      <w:pPr>
        <w:spacing w:after="0" w:line="115"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Our board of directors desires to amend the existing charter to add provisions consistent with the amendment to the DGCL, including as it may be further amended, and believes that the proposed Exculpation Amendment is necessary in order to (i) continue to attract and retain experienced and qualified officers and (ii) address rising litigation and insurance costs for Delaware corporations and their stockholders. The proposed Exculpation Amendment would allow for the exculpation of officers only in connection with direct claims brought by stockholders, including class actions, but would not eliminate officers’ monetary liability for breach of fiduciary duty claims brought by the Company itself or for derivative claims brought by stockholders in the name of the Company. As is currently the case with directors under our existing charter, the proposed Exculpation Amendment would not limit the liability of officers for any breach of the duty of loyalty to the Company or its stockholders, any acts or omissions not in good faith or which involve intentional misconduct or a knowing violation of the law, or any transaction from which the officer derived an improper personal benefit.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EFFECTIVENESS OF THE EXCULPATION AMENDMENT</w:t>
      </w:r>
    </w:p>
    <w:p>
      <w:pPr>
        <w:spacing w:after="0" w:line="149"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If the proposed Exculpation Amendment is approved by the stockholders at the Annual Meeting, it will become effective upon the filing of the certificate of amendment to the existing charter with the Secretary of State of the State of Delaware. In accordance with the DGCL, however, our board of directors may elect to abandon the proposed Exculpation Amendment without further action by the stockholders at any time</w:t>
      </w:r>
    </w:p>
    <w:p>
      <w:pPr>
        <w:spacing w:after="0" w:line="183" w:lineRule="exact"/>
        <w:rPr>
          <w:sz w:val="20"/>
          <w:szCs w:val="20"/>
          <w:color w:val="auto"/>
        </w:rPr>
      </w:pPr>
    </w:p>
    <w:p>
      <w:pPr>
        <w:spacing w:after="0"/>
        <w:tabs>
          <w:tab w:leader="none" w:pos="4600" w:val="left"/>
          <w:tab w:leader="none" w:pos="7960" w:val="left"/>
        </w:tabs>
        <w:rPr>
          <w:sz w:val="20"/>
          <w:szCs w:val="20"/>
          <w:color w:val="auto"/>
        </w:rPr>
      </w:pPr>
      <w:r>
        <w:rPr>
          <w:rFonts w:ascii="Arial" w:cs="Arial" w:eastAsia="Arial" w:hAnsi="Arial"/>
          <w:sz w:val="14"/>
          <w:szCs w:val="14"/>
          <w:color w:val="255993"/>
        </w:rPr>
        <w:t>Athira Pharma, Inc.</w:t>
      </w:r>
      <w:r>
        <w:rPr>
          <w:sz w:val="20"/>
          <w:szCs w:val="20"/>
          <w:color w:val="auto"/>
        </w:rPr>
        <w:tab/>
      </w:r>
      <w:r>
        <w:rPr>
          <w:rFonts w:ascii="Arial" w:cs="Arial" w:eastAsia="Arial" w:hAnsi="Arial"/>
          <w:sz w:val="14"/>
          <w:szCs w:val="14"/>
          <w:b w:val="1"/>
          <w:bCs w:val="1"/>
          <w:color w:val="255993"/>
        </w:rPr>
        <w:t>29</w:t>
      </w:r>
      <w:r>
        <w:rPr>
          <w:sz w:val="20"/>
          <w:szCs w:val="20"/>
          <w:color w:val="auto"/>
        </w:rPr>
        <w:tab/>
      </w:r>
      <w:r>
        <w:rPr>
          <w:rFonts w:ascii="Arial" w:cs="Arial" w:eastAsia="Arial" w:hAnsi="Arial"/>
          <w:sz w:val="14"/>
          <w:szCs w:val="14"/>
          <w:color w:val="255993"/>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118110</wp:posOffset>
            </wp:positionV>
            <wp:extent cx="699516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263" w:right="1259" w:bottom="1440" w:gutter="0" w:footer="0" w:header="0"/>
        </w:sectPr>
      </w:pPr>
    </w:p>
    <w:bookmarkStart w:id="38" w:name="page39"/>
    <w:bookmarkEnd w:id="38"/>
    <w:p>
      <w:pPr>
        <w:ind w:left="8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ind w:left="800"/>
        <w:spacing w:after="0"/>
        <w:rPr>
          <w:sz w:val="20"/>
          <w:szCs w:val="20"/>
          <w:color w:val="auto"/>
        </w:rPr>
      </w:pPr>
      <w:r>
        <w:rPr>
          <w:rFonts w:ascii="Arial" w:cs="Arial" w:eastAsia="Arial" w:hAnsi="Arial"/>
          <w:sz w:val="14"/>
          <w:szCs w:val="14"/>
          <w:color w:val="255993"/>
        </w:rPr>
        <w:t>Proposal Three</w:t>
      </w:r>
    </w:p>
    <w:p>
      <w:pPr>
        <w:spacing w:after="0" w:line="104" w:lineRule="exact"/>
        <w:rPr>
          <w:sz w:val="20"/>
          <w:szCs w:val="20"/>
          <w:color w:val="auto"/>
        </w:rPr>
      </w:pPr>
    </w:p>
    <w:p>
      <w:pPr>
        <w:ind w:left="800" w:right="920"/>
        <w:spacing w:after="0" w:line="286" w:lineRule="auto"/>
        <w:rPr>
          <w:sz w:val="20"/>
          <w:szCs w:val="20"/>
          <w:color w:val="auto"/>
        </w:rPr>
      </w:pPr>
      <w:r>
        <w:rPr>
          <w:rFonts w:ascii="Arial" w:cs="Arial" w:eastAsia="Arial" w:hAnsi="Arial"/>
          <w:sz w:val="16"/>
          <w:szCs w:val="16"/>
          <w:color w:val="auto"/>
        </w:rPr>
        <w:t>prior to the effectiveness of the filing of the proposed certificate of amendment to the existing charter with the Secretary of State of the State of Delaware, notwithstanding stockholder approval of the certificate of amendment to the existing charter.</w:t>
      </w:r>
    </w:p>
    <w:p>
      <w:pPr>
        <w:spacing w:after="0" w:line="191"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F8991D"/>
        </w:rPr>
        <w:t>VOTE REQUIRED</w:t>
      </w:r>
    </w:p>
    <w:p>
      <w:pPr>
        <w:spacing w:after="0" w:line="149" w:lineRule="exact"/>
        <w:rPr>
          <w:sz w:val="20"/>
          <w:szCs w:val="20"/>
          <w:color w:val="auto"/>
        </w:rPr>
      </w:pPr>
    </w:p>
    <w:p>
      <w:pPr>
        <w:ind w:left="800" w:right="1060"/>
        <w:spacing w:after="0" w:line="271" w:lineRule="auto"/>
        <w:rPr>
          <w:sz w:val="20"/>
          <w:szCs w:val="20"/>
          <w:color w:val="auto"/>
        </w:rPr>
      </w:pPr>
      <w:r>
        <w:rPr>
          <w:rFonts w:ascii="Arial" w:cs="Arial" w:eastAsia="Arial" w:hAnsi="Arial"/>
          <w:sz w:val="16"/>
          <w:szCs w:val="16"/>
          <w:color w:val="auto"/>
        </w:rPr>
        <w:t>The approval of this proposal requires the affirmative “</w:t>
      </w:r>
      <w:r>
        <w:rPr>
          <w:rFonts w:ascii="Arial" w:cs="Arial" w:eastAsia="Arial" w:hAnsi="Arial"/>
          <w:sz w:val="16"/>
          <w:szCs w:val="16"/>
          <w:b w:val="1"/>
          <w:bCs w:val="1"/>
          <w:color w:val="255993"/>
        </w:rPr>
        <w:t>FOR</w:t>
      </w:r>
      <w:r>
        <w:rPr>
          <w:rFonts w:ascii="Arial" w:cs="Arial" w:eastAsia="Arial" w:hAnsi="Arial"/>
          <w:sz w:val="16"/>
          <w:szCs w:val="16"/>
          <w:color w:val="auto"/>
        </w:rPr>
        <w:t>” vote of the holders of a majority of the voting power of all of the outstanding shares of our common stock entitled to vote thereon. Abstentions and broker non-votes will have the same effect as votes “</w:t>
      </w:r>
      <w:r>
        <w:rPr>
          <w:rFonts w:ascii="Arial" w:cs="Arial" w:eastAsia="Arial" w:hAnsi="Arial"/>
          <w:sz w:val="16"/>
          <w:szCs w:val="16"/>
          <w:b w:val="1"/>
          <w:bCs w:val="1"/>
          <w:color w:val="255993"/>
        </w:rPr>
        <w:t>AGAINST</w:t>
      </w:r>
      <w:r>
        <w:rPr>
          <w:rFonts w:ascii="Arial" w:cs="Arial" w:eastAsia="Arial" w:hAnsi="Arial"/>
          <w:sz w:val="16"/>
          <w:szCs w:val="16"/>
          <w:color w:val="auto"/>
        </w:rPr>
        <w:t>”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1377315</wp:posOffset>
            </wp:positionH>
            <wp:positionV relativeFrom="paragraph">
              <wp:posOffset>84455</wp:posOffset>
            </wp:positionV>
            <wp:extent cx="17145" cy="9429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7145" cy="942975"/>
                    </a:xfrm>
                    <a:prstGeom prst="rect">
                      <a:avLst/>
                    </a:prstGeom>
                    <a:noFill/>
                  </pic:spPr>
                </pic:pic>
              </a:graphicData>
            </a:graphic>
          </wp:anchor>
        </w:drawing>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527"/>
        </w:trPr>
        <w:tc>
          <w:tcPr>
            <w:tcW w:w="800" w:type="dxa"/>
            <w:vAlign w:val="bottom"/>
          </w:tcPr>
          <w:p>
            <w:pPr>
              <w:spacing w:after="0"/>
              <w:rPr>
                <w:sz w:val="24"/>
                <w:szCs w:val="24"/>
                <w:color w:val="auto"/>
              </w:rPr>
            </w:pPr>
          </w:p>
        </w:tc>
        <w:tc>
          <w:tcPr>
            <w:tcW w:w="1380" w:type="dxa"/>
            <w:vAlign w:val="bottom"/>
            <w:tcBorders>
              <w:bottom w:val="single" w:sz="8" w:color="255993"/>
            </w:tcBorders>
            <w:shd w:val="clear" w:color="auto" w:fill="255993"/>
          </w:tcPr>
          <w:p>
            <w:pPr>
              <w:spacing w:after="0"/>
              <w:rPr>
                <w:sz w:val="24"/>
                <w:szCs w:val="24"/>
                <w:color w:val="auto"/>
              </w:rPr>
            </w:pPr>
          </w:p>
        </w:tc>
        <w:tc>
          <w:tcPr>
            <w:tcW w:w="240" w:type="dxa"/>
            <w:vAlign w:val="bottom"/>
            <w:tcBorders>
              <w:bottom w:val="single" w:sz="8" w:color="EBEBEB"/>
            </w:tcBorders>
            <w:shd w:val="clear" w:color="auto" w:fill="EBEBEB"/>
          </w:tcPr>
          <w:p>
            <w:pPr>
              <w:spacing w:after="0"/>
              <w:rPr>
                <w:sz w:val="24"/>
                <w:szCs w:val="24"/>
                <w:color w:val="auto"/>
              </w:rPr>
            </w:pPr>
          </w:p>
        </w:tc>
        <w:tc>
          <w:tcPr>
            <w:tcW w:w="1740" w:type="dxa"/>
            <w:vAlign w:val="bottom"/>
            <w:tcBorders>
              <w:bottom w:val="single" w:sz="8" w:color="F8991D"/>
            </w:tcBorders>
            <w:shd w:val="clear" w:color="auto" w:fill="EBEBEB"/>
          </w:tcPr>
          <w:p>
            <w:pPr>
              <w:spacing w:after="0"/>
              <w:rPr>
                <w:sz w:val="20"/>
                <w:szCs w:val="20"/>
                <w:color w:val="auto"/>
              </w:rPr>
            </w:pPr>
            <w:r>
              <w:rPr>
                <w:rFonts w:ascii="Arial" w:cs="Arial" w:eastAsia="Arial" w:hAnsi="Arial"/>
                <w:sz w:val="16"/>
                <w:szCs w:val="16"/>
                <w:color w:val="auto"/>
                <w:w w:val="99"/>
              </w:rPr>
              <w:t>Board Recommendation</w:t>
            </w:r>
          </w:p>
        </w:tc>
        <w:tc>
          <w:tcPr>
            <w:tcW w:w="3820" w:type="dxa"/>
            <w:vAlign w:val="bottom"/>
            <w:tcBorders>
              <w:bottom w:val="single" w:sz="8" w:color="EBEBEB"/>
            </w:tcBorders>
            <w:shd w:val="clear" w:color="auto" w:fill="EBEBEB"/>
          </w:tcPr>
          <w:p>
            <w:pPr>
              <w:spacing w:after="0"/>
              <w:rPr>
                <w:sz w:val="24"/>
                <w:szCs w:val="24"/>
                <w:color w:val="auto"/>
              </w:rPr>
            </w:pPr>
          </w:p>
        </w:tc>
        <w:tc>
          <w:tcPr>
            <w:tcW w:w="2220" w:type="dxa"/>
            <w:vAlign w:val="bottom"/>
            <w:tcBorders>
              <w:bottom w:val="single" w:sz="8" w:color="EBEBEB"/>
            </w:tcBorders>
            <w:shd w:val="clear" w:color="auto" w:fill="EBEBEB"/>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800" w:type="dxa"/>
            <w:vAlign w:val="bottom"/>
          </w:tcPr>
          <w:p>
            <w:pPr>
              <w:spacing w:after="0"/>
              <w:rPr>
                <w:sz w:val="24"/>
                <w:szCs w:val="24"/>
                <w:color w:val="auto"/>
              </w:rPr>
            </w:pPr>
          </w:p>
        </w:tc>
        <w:tc>
          <w:tcPr>
            <w:tcW w:w="1380" w:type="dxa"/>
            <w:vAlign w:val="bottom"/>
            <w:vMerge w:val="restart"/>
            <w:shd w:val="clear" w:color="auto" w:fill="255993"/>
          </w:tcPr>
          <w:p>
            <w:pPr>
              <w:spacing w:after="0"/>
              <w:rPr>
                <w:sz w:val="20"/>
                <w:szCs w:val="20"/>
                <w:color w:val="auto"/>
              </w:rPr>
            </w:pPr>
            <w:r>
              <w:rPr>
                <w:rFonts w:ascii="Arial" w:cs="Arial" w:eastAsia="Arial" w:hAnsi="Arial"/>
                <w:sz w:val="16"/>
                <w:szCs w:val="16"/>
                <w:b w:val="1"/>
                <w:bCs w:val="1"/>
                <w:color w:val="auto"/>
              </w:rPr>
              <w:t xml:space="preserve">  </w:t>
            </w:r>
          </w:p>
        </w:tc>
        <w:tc>
          <w:tcPr>
            <w:tcW w:w="240" w:type="dxa"/>
            <w:vAlign w:val="bottom"/>
            <w:shd w:val="clear" w:color="auto" w:fill="EBEBEB"/>
          </w:tcPr>
          <w:p>
            <w:pPr>
              <w:spacing w:after="0"/>
              <w:rPr>
                <w:sz w:val="24"/>
                <w:szCs w:val="24"/>
                <w:color w:val="auto"/>
              </w:rPr>
            </w:pPr>
          </w:p>
        </w:tc>
        <w:tc>
          <w:tcPr>
            <w:tcW w:w="7780" w:type="dxa"/>
            <w:vAlign w:val="bottom"/>
            <w:gridSpan w:val="3"/>
            <w:shd w:val="clear" w:color="auto" w:fill="EBEBEB"/>
          </w:tcPr>
          <w:p>
            <w:pPr>
              <w:spacing w:after="0"/>
              <w:rPr>
                <w:sz w:val="20"/>
                <w:szCs w:val="20"/>
                <w:color w:val="auto"/>
              </w:rPr>
            </w:pPr>
            <w:r>
              <w:rPr>
                <w:rFonts w:ascii="Arial" w:cs="Arial" w:eastAsia="Arial" w:hAnsi="Arial"/>
                <w:sz w:val="14"/>
                <w:szCs w:val="14"/>
                <w:color w:val="255993"/>
              </w:rPr>
              <w:t xml:space="preserve">Our Board of Directors recommends a vote </w:t>
            </w:r>
            <w:r>
              <w:rPr>
                <w:rFonts w:ascii="Arial" w:cs="Arial" w:eastAsia="Arial" w:hAnsi="Arial"/>
                <w:sz w:val="14"/>
                <w:szCs w:val="14"/>
                <w:b w:val="1"/>
                <w:bCs w:val="1"/>
                <w:color w:val="255993"/>
              </w:rPr>
              <w:t>“FOR”</w:t>
            </w:r>
            <w:r>
              <w:rPr>
                <w:rFonts w:ascii="Arial" w:cs="Arial" w:eastAsia="Arial" w:hAnsi="Arial"/>
                <w:sz w:val="14"/>
                <w:szCs w:val="14"/>
                <w:color w:val="255993"/>
              </w:rPr>
              <w:t xml:space="preserve"> the approval of an amendment to our amended and restated certificate</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800" w:type="dxa"/>
            <w:vAlign w:val="bottom"/>
          </w:tcPr>
          <w:p>
            <w:pPr>
              <w:spacing w:after="0"/>
              <w:rPr>
                <w:sz w:val="17"/>
                <w:szCs w:val="17"/>
                <w:color w:val="auto"/>
              </w:rPr>
            </w:pPr>
          </w:p>
        </w:tc>
        <w:tc>
          <w:tcPr>
            <w:tcW w:w="1380" w:type="dxa"/>
            <w:vAlign w:val="bottom"/>
            <w:vMerge w:val="continue"/>
            <w:shd w:val="clear" w:color="auto" w:fill="255993"/>
          </w:tcPr>
          <w:p>
            <w:pPr>
              <w:spacing w:after="0"/>
              <w:rPr>
                <w:sz w:val="17"/>
                <w:szCs w:val="17"/>
                <w:color w:val="auto"/>
              </w:rPr>
            </w:pPr>
          </w:p>
        </w:tc>
        <w:tc>
          <w:tcPr>
            <w:tcW w:w="240" w:type="dxa"/>
            <w:vAlign w:val="bottom"/>
            <w:shd w:val="clear" w:color="auto" w:fill="EBEBEB"/>
          </w:tcPr>
          <w:p>
            <w:pPr>
              <w:spacing w:after="0"/>
              <w:rPr>
                <w:sz w:val="17"/>
                <w:szCs w:val="17"/>
                <w:color w:val="auto"/>
              </w:rPr>
            </w:pPr>
          </w:p>
        </w:tc>
        <w:tc>
          <w:tcPr>
            <w:tcW w:w="5560" w:type="dxa"/>
            <w:vAlign w:val="bottom"/>
            <w:gridSpan w:val="2"/>
            <w:shd w:val="clear" w:color="auto" w:fill="EBEBEB"/>
          </w:tcPr>
          <w:p>
            <w:pPr>
              <w:spacing w:after="0"/>
              <w:rPr>
                <w:sz w:val="20"/>
                <w:szCs w:val="20"/>
                <w:color w:val="auto"/>
              </w:rPr>
            </w:pPr>
            <w:r>
              <w:rPr>
                <w:rFonts w:ascii="Arial" w:cs="Arial" w:eastAsia="Arial" w:hAnsi="Arial"/>
                <w:sz w:val="14"/>
                <w:szCs w:val="14"/>
                <w:color w:val="255993"/>
              </w:rPr>
              <w:t>of incorporation to limit the liability of officers as permitted by Delaware law.</w:t>
            </w:r>
          </w:p>
        </w:tc>
        <w:tc>
          <w:tcPr>
            <w:tcW w:w="2220" w:type="dxa"/>
            <w:vAlign w:val="bottom"/>
            <w:shd w:val="clear" w:color="auto" w:fill="EBEBEB"/>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800" w:type="dxa"/>
            <w:vAlign w:val="bottom"/>
          </w:tcPr>
          <w:p>
            <w:pPr>
              <w:spacing w:after="0"/>
              <w:rPr>
                <w:sz w:val="24"/>
                <w:szCs w:val="24"/>
                <w:color w:val="auto"/>
              </w:rPr>
            </w:pPr>
          </w:p>
        </w:tc>
        <w:tc>
          <w:tcPr>
            <w:tcW w:w="1380" w:type="dxa"/>
            <w:vAlign w:val="bottom"/>
            <w:shd w:val="clear" w:color="auto" w:fill="255993"/>
          </w:tcPr>
          <w:p>
            <w:pPr>
              <w:spacing w:after="0"/>
              <w:rPr>
                <w:sz w:val="24"/>
                <w:szCs w:val="24"/>
                <w:color w:val="auto"/>
              </w:rPr>
            </w:pPr>
          </w:p>
        </w:tc>
        <w:tc>
          <w:tcPr>
            <w:tcW w:w="240" w:type="dxa"/>
            <w:vAlign w:val="bottom"/>
            <w:shd w:val="clear" w:color="auto" w:fill="EBEBEB"/>
          </w:tcPr>
          <w:p>
            <w:pPr>
              <w:spacing w:after="0"/>
              <w:rPr>
                <w:sz w:val="24"/>
                <w:szCs w:val="24"/>
                <w:color w:val="auto"/>
              </w:rPr>
            </w:pPr>
          </w:p>
        </w:tc>
        <w:tc>
          <w:tcPr>
            <w:tcW w:w="1740" w:type="dxa"/>
            <w:vAlign w:val="bottom"/>
            <w:shd w:val="clear" w:color="auto" w:fill="EBEBEB"/>
          </w:tcPr>
          <w:p>
            <w:pPr>
              <w:spacing w:after="0"/>
              <w:rPr>
                <w:sz w:val="24"/>
                <w:szCs w:val="24"/>
                <w:color w:val="auto"/>
              </w:rPr>
            </w:pPr>
          </w:p>
        </w:tc>
        <w:tc>
          <w:tcPr>
            <w:tcW w:w="3820" w:type="dxa"/>
            <w:vAlign w:val="bottom"/>
            <w:shd w:val="clear" w:color="auto" w:fill="EBEBEB"/>
          </w:tcPr>
          <w:p>
            <w:pPr>
              <w:spacing w:after="0"/>
              <w:rPr>
                <w:sz w:val="24"/>
                <w:szCs w:val="24"/>
                <w:color w:val="auto"/>
              </w:rPr>
            </w:pPr>
          </w:p>
        </w:tc>
        <w:tc>
          <w:tcPr>
            <w:tcW w:w="2220" w:type="dxa"/>
            <w:vAlign w:val="bottom"/>
            <w:shd w:val="clear" w:color="auto" w:fill="EBEBEB"/>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80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4"/>
                <w:szCs w:val="14"/>
                <w:color w:val="255993"/>
              </w:rPr>
              <w:t>Athira Pharma, Inc.</w:t>
            </w:r>
          </w:p>
        </w:tc>
        <w:tc>
          <w:tcPr>
            <w:tcW w:w="5800" w:type="dxa"/>
            <w:vAlign w:val="bottom"/>
            <w:gridSpan w:val="3"/>
          </w:tcPr>
          <w:p>
            <w:pPr>
              <w:jc w:val="right"/>
              <w:ind w:right="2400"/>
              <w:spacing w:after="0"/>
              <w:rPr>
                <w:sz w:val="20"/>
                <w:szCs w:val="20"/>
                <w:color w:val="auto"/>
              </w:rPr>
            </w:pPr>
            <w:r>
              <w:rPr>
                <w:rFonts w:ascii="Arial" w:cs="Arial" w:eastAsia="Arial" w:hAnsi="Arial"/>
                <w:sz w:val="14"/>
                <w:szCs w:val="14"/>
                <w:b w:val="1"/>
                <w:bCs w:val="1"/>
                <w:color w:val="255993"/>
              </w:rPr>
              <w:t>30</w:t>
            </w:r>
          </w:p>
        </w:tc>
        <w:tc>
          <w:tcPr>
            <w:tcW w:w="3040" w:type="dxa"/>
            <w:vAlign w:val="bottom"/>
            <w:gridSpan w:val="2"/>
          </w:tcPr>
          <w:p>
            <w:pPr>
              <w:ind w:left="800"/>
              <w:spacing w:after="0"/>
              <w:rPr>
                <w:sz w:val="20"/>
                <w:szCs w:val="20"/>
                <w:color w:val="auto"/>
              </w:rPr>
            </w:pPr>
            <w:r>
              <w:rPr>
                <w:rFonts w:ascii="Arial" w:cs="Arial" w:eastAsia="Arial" w:hAnsi="Arial"/>
                <w:sz w:val="14"/>
                <w:szCs w:val="14"/>
                <w:color w:val="255993"/>
              </w:rPr>
              <w:t>2024 Proxy Statement</w:t>
            </w:r>
          </w:p>
        </w:tc>
        <w:tc>
          <w:tcPr>
            <w:tcW w:w="0" w:type="dxa"/>
            <w:vAlign w:val="bottom"/>
          </w:tcPr>
          <w:p>
            <w:pPr>
              <w:spacing w:after="0"/>
              <w:rPr>
                <w:sz w:val="1"/>
                <w:szCs w:val="1"/>
                <w:color w:val="auto"/>
              </w:rPr>
            </w:pPr>
          </w:p>
        </w:tc>
      </w:tr>
      <w:tr>
        <w:trPr>
          <w:trHeight w:val="158"/>
        </w:trPr>
        <w:tc>
          <w:tcPr>
            <w:tcW w:w="8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tcPr>
          <w:p>
            <w:pPr>
              <w:spacing w:after="0"/>
              <w:rPr>
                <w:sz w:val="13"/>
                <w:szCs w:val="13"/>
                <w:color w:val="auto"/>
              </w:rPr>
            </w:pPr>
          </w:p>
        </w:tc>
        <w:tc>
          <w:tcPr>
            <w:tcW w:w="3820" w:type="dxa"/>
            <w:vAlign w:val="bottom"/>
            <w:tcBorders>
              <w:bottom w:val="single" w:sz="8" w:color="auto"/>
            </w:tcBorders>
          </w:tcPr>
          <w:p>
            <w:pPr>
              <w:spacing w:after="0"/>
              <w:rPr>
                <w:sz w:val="13"/>
                <w:szCs w:val="13"/>
                <w:color w:val="auto"/>
              </w:rPr>
            </w:pPr>
          </w:p>
        </w:tc>
        <w:tc>
          <w:tcPr>
            <w:tcW w:w="2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-993775</wp:posOffset>
            </wp:positionV>
            <wp:extent cx="308610" cy="3003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08610" cy="300355"/>
                    </a:xfrm>
                    <a:prstGeom prst="rect">
                      <a:avLst/>
                    </a:prstGeom>
                    <a:noFill/>
                  </pic:spPr>
                </pic:pic>
              </a:graphicData>
            </a:graphic>
          </wp:anchor>
        </w:drawing>
      </w:r>
    </w:p>
    <w:p>
      <w:pPr>
        <w:sectPr>
          <w:pgSz w:w="11900" w:h="16838" w:orient="portrait"/>
          <w:cols w:equalWidth="0" w:num="1">
            <w:col w:w="11020"/>
          </w:cols>
          <w:pgMar w:left="440" w:top="263" w:right="439" w:bottom="1440" w:gutter="0" w:footer="0" w:header="0"/>
        </w:sectPr>
      </w:pPr>
    </w:p>
    <w:bookmarkStart w:id="39" w:name="page40"/>
    <w:bookmarkEnd w:id="39"/>
    <w:p>
      <w:pPr>
        <w:ind w:left="8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38" w:lineRule="exact"/>
        <w:rPr>
          <w:sz w:val="20"/>
          <w:szCs w:val="20"/>
          <w:color w:val="auto"/>
        </w:rPr>
      </w:pPr>
    </w:p>
    <w:p>
      <w:pPr>
        <w:ind w:left="800"/>
        <w:spacing w:after="0"/>
        <w:rPr>
          <w:sz w:val="20"/>
          <w:szCs w:val="20"/>
          <w:color w:val="auto"/>
        </w:rPr>
      </w:pPr>
      <w:r>
        <w:rPr>
          <w:rFonts w:ascii="Arial" w:cs="Arial" w:eastAsia="Arial" w:hAnsi="Arial"/>
          <w:sz w:val="58"/>
          <w:szCs w:val="58"/>
          <w:color w:val="255993"/>
        </w:rPr>
        <w:t>Executive Officers</w:t>
      </w:r>
    </w:p>
    <w:p>
      <w:pPr>
        <w:spacing w:after="0" w:line="357" w:lineRule="exact"/>
        <w:rPr>
          <w:sz w:val="20"/>
          <w:szCs w:val="20"/>
          <w:color w:val="auto"/>
        </w:rPr>
      </w:pPr>
    </w:p>
    <w:p>
      <w:pPr>
        <w:ind w:left="800" w:right="1700"/>
        <w:spacing w:after="0" w:line="286" w:lineRule="auto"/>
        <w:rPr>
          <w:sz w:val="20"/>
          <w:szCs w:val="20"/>
          <w:color w:val="auto"/>
        </w:rPr>
      </w:pPr>
      <w:r>
        <w:rPr>
          <w:rFonts w:ascii="Arial" w:cs="Arial" w:eastAsia="Arial" w:hAnsi="Arial"/>
          <w:sz w:val="16"/>
          <w:szCs w:val="16"/>
          <w:color w:val="auto"/>
        </w:rPr>
        <w:t>The following table sets forth certain information about our executive officers as of March 26, 2024. There are no family relationships among any of our directors or executive officers.</w:t>
      </w:r>
    </w:p>
    <w:p>
      <w:pPr>
        <w:spacing w:after="0" w:line="35" w:lineRule="exact"/>
        <w:rPr>
          <w:sz w:val="20"/>
          <w:szCs w:val="20"/>
          <w:color w:val="auto"/>
        </w:rPr>
      </w:pPr>
    </w:p>
    <w:tbl>
      <w:tblPr>
        <w:tblLayout w:type="fixed"/>
        <w:tblInd w:w="800" w:type="dxa"/>
        <w:tblCellMar>
          <w:top w:w="0" w:type="dxa"/>
          <w:left w:w="0" w:type="dxa"/>
          <w:bottom w:w="0" w:type="dxa"/>
          <w:right w:w="0" w:type="dxa"/>
        </w:tblCellMar>
      </w:tblPr>
      <w:tr>
        <w:trPr>
          <w:trHeight w:val="349"/>
        </w:trPr>
        <w:tc>
          <w:tcPr>
            <w:tcW w:w="3060" w:type="dxa"/>
            <w:vAlign w:val="bottom"/>
            <w:shd w:val="clear" w:color="auto" w:fill="255993"/>
          </w:tcPr>
          <w:p>
            <w:pPr>
              <w:ind w:left="60"/>
              <w:spacing w:after="0"/>
              <w:rPr>
                <w:sz w:val="20"/>
                <w:szCs w:val="20"/>
                <w:color w:val="auto"/>
              </w:rPr>
            </w:pPr>
            <w:r>
              <w:rPr>
                <w:rFonts w:ascii="Arial" w:cs="Arial" w:eastAsia="Arial" w:hAnsi="Arial"/>
                <w:sz w:val="14"/>
                <w:szCs w:val="14"/>
                <w:b w:val="1"/>
                <w:bCs w:val="1"/>
                <w:color w:val="FFFFFF"/>
              </w:rPr>
              <w:t>Executive Officers</w:t>
            </w:r>
          </w:p>
        </w:tc>
        <w:tc>
          <w:tcPr>
            <w:tcW w:w="2300" w:type="dxa"/>
            <w:vAlign w:val="bottom"/>
            <w:shd w:val="clear" w:color="auto" w:fill="255993"/>
          </w:tcPr>
          <w:p>
            <w:pPr>
              <w:jc w:val="center"/>
              <w:ind w:left="1288"/>
              <w:spacing w:after="0"/>
              <w:rPr>
                <w:sz w:val="20"/>
                <w:szCs w:val="20"/>
                <w:color w:val="auto"/>
              </w:rPr>
            </w:pPr>
            <w:r>
              <w:rPr>
                <w:rFonts w:ascii="Arial" w:cs="Arial" w:eastAsia="Arial" w:hAnsi="Arial"/>
                <w:sz w:val="14"/>
                <w:szCs w:val="14"/>
                <w:b w:val="1"/>
                <w:bCs w:val="1"/>
                <w:color w:val="FFFFFF"/>
                <w:w w:val="98"/>
              </w:rPr>
              <w:t>Age</w:t>
            </w:r>
          </w:p>
        </w:tc>
        <w:tc>
          <w:tcPr>
            <w:tcW w:w="4040" w:type="dxa"/>
            <w:vAlign w:val="bottom"/>
            <w:shd w:val="clear" w:color="auto" w:fill="255993"/>
          </w:tcPr>
          <w:p>
            <w:pPr>
              <w:ind w:left="320"/>
              <w:spacing w:after="0"/>
              <w:rPr>
                <w:sz w:val="20"/>
                <w:szCs w:val="20"/>
                <w:color w:val="auto"/>
              </w:rPr>
            </w:pPr>
            <w:r>
              <w:rPr>
                <w:rFonts w:ascii="Arial" w:cs="Arial" w:eastAsia="Arial" w:hAnsi="Arial"/>
                <w:sz w:val="14"/>
                <w:szCs w:val="14"/>
                <w:b w:val="1"/>
                <w:bCs w:val="1"/>
                <w:color w:val="FFFFFF"/>
              </w:rPr>
              <w:t>Position</w:t>
            </w:r>
          </w:p>
        </w:tc>
      </w:tr>
      <w:tr>
        <w:trPr>
          <w:trHeight w:val="83"/>
        </w:trPr>
        <w:tc>
          <w:tcPr>
            <w:tcW w:w="3060" w:type="dxa"/>
            <w:vAlign w:val="bottom"/>
            <w:shd w:val="clear" w:color="auto" w:fill="255993"/>
          </w:tcPr>
          <w:p>
            <w:pPr>
              <w:spacing w:after="0"/>
              <w:rPr>
                <w:sz w:val="7"/>
                <w:szCs w:val="7"/>
                <w:color w:val="auto"/>
              </w:rPr>
            </w:pPr>
          </w:p>
        </w:tc>
        <w:tc>
          <w:tcPr>
            <w:tcW w:w="2300" w:type="dxa"/>
            <w:vAlign w:val="bottom"/>
            <w:shd w:val="clear" w:color="auto" w:fill="255993"/>
          </w:tcPr>
          <w:p>
            <w:pPr>
              <w:spacing w:after="0"/>
              <w:rPr>
                <w:sz w:val="7"/>
                <w:szCs w:val="7"/>
                <w:color w:val="auto"/>
              </w:rPr>
            </w:pPr>
          </w:p>
        </w:tc>
        <w:tc>
          <w:tcPr>
            <w:tcW w:w="4040" w:type="dxa"/>
            <w:vAlign w:val="bottom"/>
            <w:shd w:val="clear" w:color="auto" w:fill="255993"/>
          </w:tcPr>
          <w:p>
            <w:pPr>
              <w:spacing w:after="0"/>
              <w:rPr>
                <w:sz w:val="7"/>
                <w:szCs w:val="7"/>
                <w:color w:val="auto"/>
              </w:rPr>
            </w:pPr>
          </w:p>
        </w:tc>
      </w:tr>
      <w:tr>
        <w:trPr>
          <w:trHeight w:val="303"/>
        </w:trPr>
        <w:tc>
          <w:tcPr>
            <w:tcW w:w="3060" w:type="dxa"/>
            <w:vAlign w:val="bottom"/>
            <w:shd w:val="clear" w:color="auto" w:fill="EBEBEB"/>
          </w:tcPr>
          <w:p>
            <w:pPr>
              <w:ind w:left="60"/>
              <w:spacing w:after="0"/>
              <w:rPr>
                <w:sz w:val="20"/>
                <w:szCs w:val="20"/>
                <w:color w:val="auto"/>
              </w:rPr>
            </w:pPr>
            <w:r>
              <w:rPr>
                <w:rFonts w:ascii="Arial" w:cs="Arial" w:eastAsia="Arial" w:hAnsi="Arial"/>
                <w:sz w:val="14"/>
                <w:szCs w:val="14"/>
                <w:color w:val="auto"/>
              </w:rPr>
              <w:t>Mark Litton, Ph.D.</w:t>
            </w:r>
          </w:p>
        </w:tc>
        <w:tc>
          <w:tcPr>
            <w:tcW w:w="2300" w:type="dxa"/>
            <w:vAlign w:val="bottom"/>
            <w:shd w:val="clear" w:color="auto" w:fill="EBEBEB"/>
          </w:tcPr>
          <w:p>
            <w:pPr>
              <w:jc w:val="center"/>
              <w:ind w:left="1268"/>
              <w:spacing w:after="0"/>
              <w:rPr>
                <w:sz w:val="20"/>
                <w:szCs w:val="20"/>
                <w:color w:val="auto"/>
              </w:rPr>
            </w:pPr>
            <w:r>
              <w:rPr>
                <w:rFonts w:ascii="Arial" w:cs="Arial" w:eastAsia="Arial" w:hAnsi="Arial"/>
                <w:sz w:val="14"/>
                <w:szCs w:val="14"/>
                <w:color w:val="auto"/>
              </w:rPr>
              <w:t>56</w:t>
            </w:r>
          </w:p>
        </w:tc>
        <w:tc>
          <w:tcPr>
            <w:tcW w:w="4040" w:type="dxa"/>
            <w:vAlign w:val="bottom"/>
            <w:shd w:val="clear" w:color="auto" w:fill="EBEBEB"/>
          </w:tcPr>
          <w:p>
            <w:pPr>
              <w:ind w:left="320"/>
              <w:spacing w:after="0"/>
              <w:rPr>
                <w:sz w:val="20"/>
                <w:szCs w:val="20"/>
                <w:color w:val="auto"/>
              </w:rPr>
            </w:pPr>
            <w:r>
              <w:rPr>
                <w:rFonts w:ascii="Arial" w:cs="Arial" w:eastAsia="Arial" w:hAnsi="Arial"/>
                <w:sz w:val="14"/>
                <w:szCs w:val="14"/>
                <w:color w:val="auto"/>
              </w:rPr>
              <w:t>President, Chief Executive Officer and Director</w:t>
            </w:r>
          </w:p>
        </w:tc>
      </w:tr>
      <w:tr>
        <w:trPr>
          <w:trHeight w:val="89"/>
        </w:trPr>
        <w:tc>
          <w:tcPr>
            <w:tcW w:w="3060" w:type="dxa"/>
            <w:vAlign w:val="bottom"/>
            <w:shd w:val="clear" w:color="auto" w:fill="EBEBEB"/>
          </w:tcPr>
          <w:p>
            <w:pPr>
              <w:spacing w:after="0"/>
              <w:rPr>
                <w:sz w:val="7"/>
                <w:szCs w:val="7"/>
                <w:color w:val="auto"/>
              </w:rPr>
            </w:pPr>
          </w:p>
        </w:tc>
        <w:tc>
          <w:tcPr>
            <w:tcW w:w="2300" w:type="dxa"/>
            <w:vAlign w:val="bottom"/>
            <w:shd w:val="clear" w:color="auto" w:fill="EBEBEB"/>
          </w:tcPr>
          <w:p>
            <w:pPr>
              <w:spacing w:after="0"/>
              <w:rPr>
                <w:sz w:val="7"/>
                <w:szCs w:val="7"/>
                <w:color w:val="auto"/>
              </w:rPr>
            </w:pPr>
          </w:p>
        </w:tc>
        <w:tc>
          <w:tcPr>
            <w:tcW w:w="4040" w:type="dxa"/>
            <w:vAlign w:val="bottom"/>
            <w:shd w:val="clear" w:color="auto" w:fill="EBEBEB"/>
          </w:tcPr>
          <w:p>
            <w:pPr>
              <w:spacing w:after="0"/>
              <w:rPr>
                <w:sz w:val="7"/>
                <w:szCs w:val="7"/>
                <w:color w:val="auto"/>
              </w:rPr>
            </w:pPr>
          </w:p>
        </w:tc>
      </w:tr>
      <w:tr>
        <w:trPr>
          <w:trHeight w:val="302"/>
        </w:trPr>
        <w:tc>
          <w:tcPr>
            <w:tcW w:w="3060" w:type="dxa"/>
            <w:vAlign w:val="bottom"/>
            <w:shd w:val="clear" w:color="auto" w:fill="FAFAFA"/>
          </w:tcPr>
          <w:p>
            <w:pPr>
              <w:ind w:left="60"/>
              <w:spacing w:after="0"/>
              <w:rPr>
                <w:sz w:val="20"/>
                <w:szCs w:val="20"/>
                <w:color w:val="auto"/>
              </w:rPr>
            </w:pPr>
            <w:r>
              <w:rPr>
                <w:rFonts w:ascii="Arial" w:cs="Arial" w:eastAsia="Arial" w:hAnsi="Arial"/>
                <w:sz w:val="14"/>
                <w:szCs w:val="14"/>
                <w:color w:val="auto"/>
              </w:rPr>
              <w:t>Rachel Lenington</w:t>
            </w:r>
          </w:p>
        </w:tc>
        <w:tc>
          <w:tcPr>
            <w:tcW w:w="2300" w:type="dxa"/>
            <w:vAlign w:val="bottom"/>
            <w:shd w:val="clear" w:color="auto" w:fill="FAFAFA"/>
          </w:tcPr>
          <w:p>
            <w:pPr>
              <w:jc w:val="center"/>
              <w:ind w:left="1268"/>
              <w:spacing w:after="0"/>
              <w:rPr>
                <w:sz w:val="20"/>
                <w:szCs w:val="20"/>
                <w:color w:val="auto"/>
              </w:rPr>
            </w:pPr>
            <w:r>
              <w:rPr>
                <w:rFonts w:ascii="Arial" w:cs="Arial" w:eastAsia="Arial" w:hAnsi="Arial"/>
                <w:sz w:val="14"/>
                <w:szCs w:val="14"/>
                <w:color w:val="auto"/>
              </w:rPr>
              <w:t>50</w:t>
            </w:r>
          </w:p>
        </w:tc>
        <w:tc>
          <w:tcPr>
            <w:tcW w:w="4040" w:type="dxa"/>
            <w:vAlign w:val="bottom"/>
            <w:shd w:val="clear" w:color="auto" w:fill="FAFAFA"/>
          </w:tcPr>
          <w:p>
            <w:pPr>
              <w:ind w:left="320"/>
              <w:spacing w:after="0"/>
              <w:rPr>
                <w:sz w:val="20"/>
                <w:szCs w:val="20"/>
                <w:color w:val="auto"/>
              </w:rPr>
            </w:pPr>
            <w:r>
              <w:rPr>
                <w:rFonts w:ascii="Arial" w:cs="Arial" w:eastAsia="Arial" w:hAnsi="Arial"/>
                <w:sz w:val="14"/>
                <w:szCs w:val="14"/>
                <w:color w:val="auto"/>
              </w:rPr>
              <w:t>Chief Operating Officer and Chief Development Officer</w:t>
            </w:r>
          </w:p>
        </w:tc>
      </w:tr>
      <w:tr>
        <w:trPr>
          <w:trHeight w:val="89"/>
        </w:trPr>
        <w:tc>
          <w:tcPr>
            <w:tcW w:w="3060" w:type="dxa"/>
            <w:vAlign w:val="bottom"/>
            <w:shd w:val="clear" w:color="auto" w:fill="FAFAFA"/>
          </w:tcPr>
          <w:p>
            <w:pPr>
              <w:spacing w:after="0"/>
              <w:rPr>
                <w:sz w:val="7"/>
                <w:szCs w:val="7"/>
                <w:color w:val="auto"/>
              </w:rPr>
            </w:pPr>
          </w:p>
        </w:tc>
        <w:tc>
          <w:tcPr>
            <w:tcW w:w="2300" w:type="dxa"/>
            <w:vAlign w:val="bottom"/>
            <w:shd w:val="clear" w:color="auto" w:fill="FAFAFA"/>
          </w:tcPr>
          <w:p>
            <w:pPr>
              <w:spacing w:after="0"/>
              <w:rPr>
                <w:sz w:val="7"/>
                <w:szCs w:val="7"/>
                <w:color w:val="auto"/>
              </w:rPr>
            </w:pPr>
          </w:p>
        </w:tc>
        <w:tc>
          <w:tcPr>
            <w:tcW w:w="4040" w:type="dxa"/>
            <w:vAlign w:val="bottom"/>
            <w:shd w:val="clear" w:color="auto" w:fill="FAFAFA"/>
          </w:tcPr>
          <w:p>
            <w:pPr>
              <w:spacing w:after="0"/>
              <w:rPr>
                <w:sz w:val="7"/>
                <w:szCs w:val="7"/>
                <w:color w:val="auto"/>
              </w:rPr>
            </w:pPr>
          </w:p>
        </w:tc>
      </w:tr>
      <w:tr>
        <w:trPr>
          <w:trHeight w:val="303"/>
        </w:trPr>
        <w:tc>
          <w:tcPr>
            <w:tcW w:w="3060" w:type="dxa"/>
            <w:vAlign w:val="bottom"/>
            <w:shd w:val="clear" w:color="auto" w:fill="EBEBEB"/>
          </w:tcPr>
          <w:p>
            <w:pPr>
              <w:ind w:left="60"/>
              <w:spacing w:after="0"/>
              <w:rPr>
                <w:sz w:val="20"/>
                <w:szCs w:val="20"/>
                <w:color w:val="auto"/>
              </w:rPr>
            </w:pPr>
            <w:r>
              <w:rPr>
                <w:rFonts w:ascii="Arial" w:cs="Arial" w:eastAsia="Arial" w:hAnsi="Arial"/>
                <w:sz w:val="14"/>
                <w:szCs w:val="14"/>
                <w:color w:val="auto"/>
              </w:rPr>
              <w:t>Andrew Gengos</w:t>
            </w:r>
          </w:p>
        </w:tc>
        <w:tc>
          <w:tcPr>
            <w:tcW w:w="2300" w:type="dxa"/>
            <w:vAlign w:val="bottom"/>
            <w:shd w:val="clear" w:color="auto" w:fill="EBEBEB"/>
          </w:tcPr>
          <w:p>
            <w:pPr>
              <w:jc w:val="center"/>
              <w:ind w:left="1268"/>
              <w:spacing w:after="0"/>
              <w:rPr>
                <w:sz w:val="20"/>
                <w:szCs w:val="20"/>
                <w:color w:val="auto"/>
              </w:rPr>
            </w:pPr>
            <w:r>
              <w:rPr>
                <w:rFonts w:ascii="Arial" w:cs="Arial" w:eastAsia="Arial" w:hAnsi="Arial"/>
                <w:sz w:val="14"/>
                <w:szCs w:val="14"/>
                <w:color w:val="auto"/>
              </w:rPr>
              <w:t>59</w:t>
            </w:r>
          </w:p>
        </w:tc>
        <w:tc>
          <w:tcPr>
            <w:tcW w:w="4040" w:type="dxa"/>
            <w:vAlign w:val="bottom"/>
            <w:shd w:val="clear" w:color="auto" w:fill="EBEBEB"/>
          </w:tcPr>
          <w:p>
            <w:pPr>
              <w:ind w:left="320"/>
              <w:spacing w:after="0"/>
              <w:rPr>
                <w:sz w:val="20"/>
                <w:szCs w:val="20"/>
                <w:color w:val="auto"/>
              </w:rPr>
            </w:pPr>
            <w:r>
              <w:rPr>
                <w:rFonts w:ascii="Arial" w:cs="Arial" w:eastAsia="Arial" w:hAnsi="Arial"/>
                <w:sz w:val="14"/>
                <w:szCs w:val="14"/>
                <w:color w:val="auto"/>
              </w:rPr>
              <w:t>Chief Financial Officer and Chief Business Officer</w:t>
            </w:r>
          </w:p>
        </w:tc>
      </w:tr>
      <w:tr>
        <w:trPr>
          <w:trHeight w:val="89"/>
        </w:trPr>
        <w:tc>
          <w:tcPr>
            <w:tcW w:w="3060" w:type="dxa"/>
            <w:vAlign w:val="bottom"/>
            <w:shd w:val="clear" w:color="auto" w:fill="EBEBEB"/>
          </w:tcPr>
          <w:p>
            <w:pPr>
              <w:spacing w:after="0"/>
              <w:rPr>
                <w:sz w:val="7"/>
                <w:szCs w:val="7"/>
                <w:color w:val="auto"/>
              </w:rPr>
            </w:pPr>
          </w:p>
        </w:tc>
        <w:tc>
          <w:tcPr>
            <w:tcW w:w="2300" w:type="dxa"/>
            <w:vAlign w:val="bottom"/>
            <w:shd w:val="clear" w:color="auto" w:fill="EBEBEB"/>
          </w:tcPr>
          <w:p>
            <w:pPr>
              <w:spacing w:after="0"/>
              <w:rPr>
                <w:sz w:val="7"/>
                <w:szCs w:val="7"/>
                <w:color w:val="auto"/>
              </w:rPr>
            </w:pPr>
          </w:p>
        </w:tc>
        <w:tc>
          <w:tcPr>
            <w:tcW w:w="4040" w:type="dxa"/>
            <w:vAlign w:val="bottom"/>
            <w:shd w:val="clear" w:color="auto" w:fill="EBEBEB"/>
          </w:tcPr>
          <w:p>
            <w:pPr>
              <w:spacing w:after="0"/>
              <w:rPr>
                <w:sz w:val="7"/>
                <w:szCs w:val="7"/>
                <w:color w:val="auto"/>
              </w:rPr>
            </w:pPr>
          </w:p>
        </w:tc>
      </w:tr>
      <w:tr>
        <w:trPr>
          <w:trHeight w:val="303"/>
        </w:trPr>
        <w:tc>
          <w:tcPr>
            <w:tcW w:w="3060" w:type="dxa"/>
            <w:vAlign w:val="bottom"/>
            <w:shd w:val="clear" w:color="auto" w:fill="FAFAFA"/>
          </w:tcPr>
          <w:p>
            <w:pPr>
              <w:ind w:left="60"/>
              <w:spacing w:after="0"/>
              <w:rPr>
                <w:sz w:val="20"/>
                <w:szCs w:val="20"/>
                <w:color w:val="auto"/>
              </w:rPr>
            </w:pPr>
            <w:r>
              <w:rPr>
                <w:rFonts w:ascii="Arial" w:cs="Arial" w:eastAsia="Arial" w:hAnsi="Arial"/>
                <w:sz w:val="14"/>
                <w:szCs w:val="14"/>
                <w:color w:val="auto"/>
              </w:rPr>
              <w:t>Kevin Church, Ph.D.</w:t>
            </w:r>
          </w:p>
        </w:tc>
        <w:tc>
          <w:tcPr>
            <w:tcW w:w="2300" w:type="dxa"/>
            <w:vAlign w:val="bottom"/>
            <w:shd w:val="clear" w:color="auto" w:fill="FAFAFA"/>
          </w:tcPr>
          <w:p>
            <w:pPr>
              <w:jc w:val="center"/>
              <w:ind w:left="1268"/>
              <w:spacing w:after="0"/>
              <w:rPr>
                <w:sz w:val="20"/>
                <w:szCs w:val="20"/>
                <w:color w:val="auto"/>
              </w:rPr>
            </w:pPr>
            <w:r>
              <w:rPr>
                <w:rFonts w:ascii="Arial" w:cs="Arial" w:eastAsia="Arial" w:hAnsi="Arial"/>
                <w:sz w:val="14"/>
                <w:szCs w:val="14"/>
                <w:color w:val="auto"/>
              </w:rPr>
              <w:t>39</w:t>
            </w:r>
          </w:p>
        </w:tc>
        <w:tc>
          <w:tcPr>
            <w:tcW w:w="4040" w:type="dxa"/>
            <w:vAlign w:val="bottom"/>
            <w:shd w:val="clear" w:color="auto" w:fill="FAFAFA"/>
          </w:tcPr>
          <w:p>
            <w:pPr>
              <w:ind w:left="320"/>
              <w:spacing w:after="0"/>
              <w:rPr>
                <w:sz w:val="20"/>
                <w:szCs w:val="20"/>
                <w:color w:val="auto"/>
              </w:rPr>
            </w:pPr>
            <w:r>
              <w:rPr>
                <w:rFonts w:ascii="Arial" w:cs="Arial" w:eastAsia="Arial" w:hAnsi="Arial"/>
                <w:sz w:val="14"/>
                <w:szCs w:val="14"/>
                <w:color w:val="auto"/>
              </w:rPr>
              <w:t>Chief Scientific Officer</w:t>
            </w:r>
          </w:p>
        </w:tc>
      </w:tr>
      <w:tr>
        <w:trPr>
          <w:trHeight w:val="89"/>
        </w:trPr>
        <w:tc>
          <w:tcPr>
            <w:tcW w:w="3060" w:type="dxa"/>
            <w:vAlign w:val="bottom"/>
            <w:shd w:val="clear" w:color="auto" w:fill="FAFAFA"/>
          </w:tcPr>
          <w:p>
            <w:pPr>
              <w:spacing w:after="0"/>
              <w:rPr>
                <w:sz w:val="7"/>
                <w:szCs w:val="7"/>
                <w:color w:val="auto"/>
              </w:rPr>
            </w:pPr>
          </w:p>
        </w:tc>
        <w:tc>
          <w:tcPr>
            <w:tcW w:w="2300" w:type="dxa"/>
            <w:vAlign w:val="bottom"/>
            <w:shd w:val="clear" w:color="auto" w:fill="FAFAFA"/>
          </w:tcPr>
          <w:p>
            <w:pPr>
              <w:spacing w:after="0"/>
              <w:rPr>
                <w:sz w:val="7"/>
                <w:szCs w:val="7"/>
                <w:color w:val="auto"/>
              </w:rPr>
            </w:pPr>
          </w:p>
        </w:tc>
        <w:tc>
          <w:tcPr>
            <w:tcW w:w="4040" w:type="dxa"/>
            <w:vAlign w:val="bottom"/>
            <w:shd w:val="clear" w:color="auto" w:fill="FAFAFA"/>
          </w:tcPr>
          <w:p>
            <w:pPr>
              <w:spacing w:after="0"/>
              <w:rPr>
                <w:sz w:val="7"/>
                <w:szCs w:val="7"/>
                <w:color w:val="auto"/>
              </w:rPr>
            </w:pPr>
          </w:p>
        </w:tc>
      </w:tr>
      <w:tr>
        <w:trPr>
          <w:trHeight w:val="303"/>
        </w:trPr>
        <w:tc>
          <w:tcPr>
            <w:tcW w:w="3060" w:type="dxa"/>
            <w:vAlign w:val="bottom"/>
            <w:shd w:val="clear" w:color="auto" w:fill="EBEBEB"/>
          </w:tcPr>
          <w:p>
            <w:pPr>
              <w:ind w:left="60"/>
              <w:spacing w:after="0"/>
              <w:rPr>
                <w:sz w:val="20"/>
                <w:szCs w:val="20"/>
                <w:color w:val="auto"/>
              </w:rPr>
            </w:pPr>
            <w:r>
              <w:rPr>
                <w:rFonts w:ascii="Arial" w:cs="Arial" w:eastAsia="Arial" w:hAnsi="Arial"/>
                <w:sz w:val="14"/>
                <w:szCs w:val="14"/>
                <w:color w:val="auto"/>
              </w:rPr>
              <w:t>Mark Worthington</w:t>
            </w:r>
          </w:p>
        </w:tc>
        <w:tc>
          <w:tcPr>
            <w:tcW w:w="2300" w:type="dxa"/>
            <w:vAlign w:val="bottom"/>
            <w:shd w:val="clear" w:color="auto" w:fill="EBEBEB"/>
          </w:tcPr>
          <w:p>
            <w:pPr>
              <w:jc w:val="center"/>
              <w:ind w:left="1268"/>
              <w:spacing w:after="0"/>
              <w:rPr>
                <w:sz w:val="20"/>
                <w:szCs w:val="20"/>
                <w:color w:val="auto"/>
              </w:rPr>
            </w:pPr>
            <w:r>
              <w:rPr>
                <w:rFonts w:ascii="Arial" w:cs="Arial" w:eastAsia="Arial" w:hAnsi="Arial"/>
                <w:sz w:val="14"/>
                <w:szCs w:val="14"/>
                <w:color w:val="auto"/>
              </w:rPr>
              <w:t>57</w:t>
            </w:r>
          </w:p>
        </w:tc>
        <w:tc>
          <w:tcPr>
            <w:tcW w:w="4040" w:type="dxa"/>
            <w:vAlign w:val="bottom"/>
            <w:shd w:val="clear" w:color="auto" w:fill="EBEBEB"/>
          </w:tcPr>
          <w:p>
            <w:pPr>
              <w:ind w:left="320"/>
              <w:spacing w:after="0"/>
              <w:rPr>
                <w:sz w:val="20"/>
                <w:szCs w:val="20"/>
                <w:color w:val="auto"/>
              </w:rPr>
            </w:pPr>
            <w:r>
              <w:rPr>
                <w:rFonts w:ascii="Arial" w:cs="Arial" w:eastAsia="Arial" w:hAnsi="Arial"/>
                <w:sz w:val="14"/>
                <w:szCs w:val="14"/>
                <w:color w:val="auto"/>
              </w:rPr>
              <w:t>General Counsel and Corporate Secretary</w:t>
            </w:r>
          </w:p>
        </w:tc>
      </w:tr>
      <w:tr>
        <w:trPr>
          <w:trHeight w:val="116"/>
        </w:trPr>
        <w:tc>
          <w:tcPr>
            <w:tcW w:w="3060" w:type="dxa"/>
            <w:vAlign w:val="bottom"/>
            <w:shd w:val="clear" w:color="auto" w:fill="EBEBEB"/>
          </w:tcPr>
          <w:p>
            <w:pPr>
              <w:spacing w:after="0"/>
              <w:rPr>
                <w:sz w:val="10"/>
                <w:szCs w:val="10"/>
                <w:color w:val="auto"/>
              </w:rPr>
            </w:pPr>
          </w:p>
        </w:tc>
        <w:tc>
          <w:tcPr>
            <w:tcW w:w="2300" w:type="dxa"/>
            <w:vAlign w:val="bottom"/>
            <w:shd w:val="clear" w:color="auto" w:fill="EBEBEB"/>
          </w:tcPr>
          <w:p>
            <w:pPr>
              <w:spacing w:after="0"/>
              <w:rPr>
                <w:sz w:val="10"/>
                <w:szCs w:val="10"/>
                <w:color w:val="auto"/>
              </w:rPr>
            </w:pPr>
          </w:p>
        </w:tc>
        <w:tc>
          <w:tcPr>
            <w:tcW w:w="4040" w:type="dxa"/>
            <w:vAlign w:val="bottom"/>
            <w:shd w:val="clear" w:color="auto" w:fill="EBEBEB"/>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-264795</wp:posOffset>
            </wp:positionV>
            <wp:extent cx="596646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511810</wp:posOffset>
            </wp:positionH>
            <wp:positionV relativeFrom="paragraph">
              <wp:posOffset>-513715</wp:posOffset>
            </wp:positionV>
            <wp:extent cx="596646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511810</wp:posOffset>
            </wp:positionH>
            <wp:positionV relativeFrom="paragraph">
              <wp:posOffset>-762635</wp:posOffset>
            </wp:positionV>
            <wp:extent cx="596646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966460" cy="8890"/>
                    </a:xfrm>
                    <a:prstGeom prst="rect">
                      <a:avLst/>
                    </a:prstGeom>
                    <a:noFill/>
                  </pic:spPr>
                </pic:pic>
              </a:graphicData>
            </a:graphic>
          </wp:anchor>
        </w:drawing>
        <w:drawing>
          <wp:anchor simplePos="0" relativeHeight="251657728" behindDoc="1" locked="0" layoutInCell="0" allowOverlap="1">
            <wp:simplePos x="0" y="0"/>
            <wp:positionH relativeFrom="column">
              <wp:posOffset>511810</wp:posOffset>
            </wp:positionH>
            <wp:positionV relativeFrom="paragraph">
              <wp:posOffset>-1010920</wp:posOffset>
            </wp:positionV>
            <wp:extent cx="596646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511810</wp:posOffset>
            </wp:positionH>
            <wp:positionV relativeFrom="paragraph">
              <wp:posOffset>-1259205</wp:posOffset>
            </wp:positionV>
            <wp:extent cx="596646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45"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F8991D"/>
        </w:rPr>
        <w:t>EXECUTIVE OFFICERS</w:t>
      </w:r>
    </w:p>
    <w:p>
      <w:pPr>
        <w:spacing w:after="0" w:line="122" w:lineRule="exact"/>
        <w:rPr>
          <w:sz w:val="20"/>
          <w:szCs w:val="20"/>
          <w:color w:val="auto"/>
        </w:rPr>
      </w:pPr>
    </w:p>
    <w:p>
      <w:pPr>
        <w:ind w:left="800"/>
        <w:spacing w:after="0"/>
        <w:rPr>
          <w:sz w:val="20"/>
          <w:szCs w:val="20"/>
          <w:color w:val="auto"/>
        </w:rPr>
      </w:pPr>
      <w:r>
        <w:rPr>
          <w:rFonts w:ascii="Arial" w:cs="Arial" w:eastAsia="Arial" w:hAnsi="Arial"/>
          <w:sz w:val="16"/>
          <w:szCs w:val="16"/>
          <w:color w:val="auto"/>
        </w:rPr>
        <w:t>Dr. Litton’s biography is listed in the section titled “</w:t>
      </w:r>
      <w:r>
        <w:rPr>
          <w:rFonts w:ascii="Arial" w:cs="Arial" w:eastAsia="Arial" w:hAnsi="Arial"/>
          <w:sz w:val="16"/>
          <w:szCs w:val="16"/>
          <w:i w:val="1"/>
          <w:iCs w:val="1"/>
          <w:color w:val="auto"/>
        </w:rPr>
        <w:t>Board of Directors and Corporate Governance – Nominees for Director</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132080</wp:posOffset>
            </wp:positionV>
            <wp:extent cx="882650" cy="8826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82650" cy="882650"/>
                    </a:xfrm>
                    <a:prstGeom prst="rect">
                      <a:avLst/>
                    </a:prstGeom>
                    <a:noFill/>
                  </pic:spPr>
                </pic:pic>
              </a:graphicData>
            </a:graphic>
          </wp:anchor>
        </w:drawing>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495"/>
        </w:trPr>
        <w:tc>
          <w:tcPr>
            <w:tcW w:w="2420" w:type="dxa"/>
            <w:vAlign w:val="bottom"/>
          </w:tcPr>
          <w:p>
            <w:pPr>
              <w:spacing w:after="0"/>
              <w:rPr>
                <w:sz w:val="24"/>
                <w:szCs w:val="24"/>
                <w:color w:val="auto"/>
              </w:rPr>
            </w:pPr>
          </w:p>
        </w:tc>
        <w:tc>
          <w:tcPr>
            <w:tcW w:w="4940" w:type="dxa"/>
            <w:vAlign w:val="bottom"/>
            <w:gridSpan w:val="2"/>
          </w:tcPr>
          <w:p>
            <w:pPr>
              <w:spacing w:after="0"/>
              <w:rPr>
                <w:sz w:val="20"/>
                <w:szCs w:val="20"/>
                <w:color w:val="auto"/>
              </w:rPr>
            </w:pPr>
            <w:r>
              <w:rPr>
                <w:rFonts w:ascii="Arial" w:cs="Arial" w:eastAsia="Arial" w:hAnsi="Arial"/>
                <w:sz w:val="40"/>
                <w:szCs w:val="40"/>
                <w:color w:val="255993"/>
              </w:rPr>
              <w:t>Rachel Lenington</w:t>
            </w:r>
          </w:p>
        </w:tc>
        <w:tc>
          <w:tcPr>
            <w:tcW w:w="3660" w:type="dxa"/>
            <w:vAlign w:val="bottom"/>
          </w:tcPr>
          <w:p>
            <w:pPr>
              <w:spacing w:after="0"/>
              <w:rPr>
                <w:sz w:val="24"/>
                <w:szCs w:val="24"/>
                <w:color w:val="auto"/>
              </w:rPr>
            </w:pPr>
          </w:p>
        </w:tc>
      </w:tr>
      <w:tr>
        <w:trPr>
          <w:trHeight w:val="196"/>
        </w:trPr>
        <w:tc>
          <w:tcPr>
            <w:tcW w:w="2420" w:type="dxa"/>
            <w:vAlign w:val="bottom"/>
          </w:tcPr>
          <w:p>
            <w:pPr>
              <w:spacing w:after="0"/>
              <w:rPr>
                <w:sz w:val="17"/>
                <w:szCs w:val="17"/>
                <w:color w:val="auto"/>
              </w:rPr>
            </w:pPr>
          </w:p>
        </w:tc>
        <w:tc>
          <w:tcPr>
            <w:tcW w:w="4940" w:type="dxa"/>
            <w:vAlign w:val="bottom"/>
            <w:gridSpan w:val="2"/>
          </w:tcPr>
          <w:p>
            <w:pPr>
              <w:spacing w:after="0"/>
              <w:rPr>
                <w:sz w:val="20"/>
                <w:szCs w:val="20"/>
                <w:color w:val="auto"/>
              </w:rPr>
            </w:pPr>
            <w:r>
              <w:rPr>
                <w:rFonts w:ascii="Arial" w:cs="Arial" w:eastAsia="Arial" w:hAnsi="Arial"/>
                <w:sz w:val="14"/>
                <w:szCs w:val="14"/>
                <w:b w:val="1"/>
                <w:bCs w:val="1"/>
                <w:color w:val="auto"/>
              </w:rPr>
              <w:t>AGE: 50   EXECUTIVE OFFICER SINCE: JUNE 2021</w:t>
            </w:r>
          </w:p>
        </w:tc>
        <w:tc>
          <w:tcPr>
            <w:tcW w:w="3660" w:type="dxa"/>
            <w:vAlign w:val="bottom"/>
          </w:tcPr>
          <w:p>
            <w:pPr>
              <w:spacing w:after="0"/>
              <w:rPr>
                <w:sz w:val="17"/>
                <w:szCs w:val="17"/>
                <w:color w:val="auto"/>
              </w:rPr>
            </w:pPr>
          </w:p>
        </w:tc>
      </w:tr>
      <w:tr>
        <w:trPr>
          <w:trHeight w:val="225"/>
        </w:trPr>
        <w:tc>
          <w:tcPr>
            <w:tcW w:w="2420" w:type="dxa"/>
            <w:vAlign w:val="bottom"/>
          </w:tcPr>
          <w:p>
            <w:pPr>
              <w:spacing w:after="0"/>
              <w:rPr>
                <w:sz w:val="19"/>
                <w:szCs w:val="19"/>
                <w:color w:val="auto"/>
              </w:rPr>
            </w:pPr>
          </w:p>
        </w:tc>
        <w:tc>
          <w:tcPr>
            <w:tcW w:w="1400" w:type="dxa"/>
            <w:vAlign w:val="bottom"/>
            <w:tcBorders>
              <w:bottom w:val="single" w:sz="8" w:color="F8991D"/>
            </w:tcBorders>
          </w:tcPr>
          <w:p>
            <w:pPr>
              <w:spacing w:after="0"/>
              <w:rPr>
                <w:sz w:val="19"/>
                <w:szCs w:val="19"/>
                <w:color w:val="auto"/>
              </w:rPr>
            </w:pPr>
          </w:p>
        </w:tc>
        <w:tc>
          <w:tcPr>
            <w:tcW w:w="7200" w:type="dxa"/>
            <w:vAlign w:val="bottom"/>
            <w:gridSpan w:val="2"/>
          </w:tcPr>
          <w:p>
            <w:pPr>
              <w:spacing w:after="0"/>
              <w:rPr>
                <w:sz w:val="19"/>
                <w:szCs w:val="19"/>
                <w:color w:val="auto"/>
              </w:rPr>
            </w:pPr>
          </w:p>
        </w:tc>
      </w:tr>
      <w:tr>
        <w:trPr>
          <w:trHeight w:val="431"/>
        </w:trPr>
        <w:tc>
          <w:tcPr>
            <w:tcW w:w="2420" w:type="dxa"/>
            <w:vAlign w:val="bottom"/>
          </w:tcPr>
          <w:p>
            <w:pPr>
              <w:ind w:left="800"/>
              <w:spacing w:after="0"/>
              <w:rPr>
                <w:sz w:val="20"/>
                <w:szCs w:val="20"/>
                <w:color w:val="auto"/>
              </w:rPr>
            </w:pPr>
            <w:r>
              <w:rPr>
                <w:rFonts w:ascii="Arial" w:cs="Arial" w:eastAsia="Arial" w:hAnsi="Arial"/>
                <w:sz w:val="16"/>
                <w:szCs w:val="16"/>
                <w:color w:val="auto"/>
              </w:rPr>
              <w:t> </w:t>
            </w:r>
          </w:p>
        </w:tc>
        <w:tc>
          <w:tcPr>
            <w:tcW w:w="8600" w:type="dxa"/>
            <w:vAlign w:val="bottom"/>
            <w:gridSpan w:val="3"/>
          </w:tcPr>
          <w:p>
            <w:pPr>
              <w:spacing w:after="0"/>
              <w:rPr>
                <w:sz w:val="20"/>
                <w:szCs w:val="20"/>
                <w:color w:val="auto"/>
              </w:rPr>
            </w:pPr>
            <w:r>
              <w:rPr>
                <w:rFonts w:ascii="Arial" w:cs="Arial" w:eastAsia="Arial" w:hAnsi="Arial"/>
                <w:sz w:val="16"/>
                <w:szCs w:val="16"/>
                <w:color w:val="auto"/>
              </w:rPr>
              <w:t>Rachel Lenington has served as our chief operating officer since October 2021 and as our chief</w:t>
            </w: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development officer since February 2024. Prior to that, Ms. Lenington served as our chief technology officer,</w:t>
            </w: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head of product development strategy, from June 2021 to October 2021. From February 2021 to May 2021,</w:t>
            </w: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Ms. Lenington served as a consultant for Lenington Strategic Advisors, LLC, a company that provided</w:t>
            </w: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biotechnology consulting services of which she was the founder. Prior to that, from 2015 to 2020,</w:t>
            </w: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Ms. Lenington served as senior vice president of program and portfolio management at Seagen Inc., a</w:t>
            </w: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publicly traded biotechnology company, where she led a team responsible for strategic business operations,</w:t>
            </w: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program, portfolio, and alliance management, and played an instrumental role in scaling the organization as</w:t>
            </w: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it transformed into a global, multi-product oncology company. From 2010 to 2015, Ms. Lenington was deputy</w:t>
            </w: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director, strategy, planning and management at the Bill &amp; Melinda Gates Foundation, where she managed</w:t>
            </w: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strategy, business operations, and grant budgets for select global health programs. From 2000 to 2010, Ms.</w:t>
            </w: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Lenington held roles of increasing responsibility at Amgen and at Immunex prior to its 2002 acquisition by</w:t>
            </w: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Amgen, including director, global program manager. From 1995 to 1996 and from 1996 to 2000,</w:t>
            </w: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Ms. Lenington was a management consultant first for Accenture and then at Deloitte Consulting,</w:t>
            </w: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respectively, focused on change management and ERP software implementation at Fortune 100 companies.</w:t>
            </w: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She has served on the board of directors of Global Health Labs, Inc., a non-profit organization focused on</w:t>
            </w: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developing health technology solutions for underserved populations, since July 2023. Ms. Lenington earned</w:t>
            </w: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an M.B.A. from Pepperdine University in 2005 and a B.A. in business administration degree from the</w:t>
            </w:r>
          </w:p>
        </w:tc>
      </w:tr>
      <w:tr>
        <w:trPr>
          <w:trHeight w:val="215"/>
        </w:trPr>
        <w:tc>
          <w:tcPr>
            <w:tcW w:w="24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6"/>
                <w:szCs w:val="16"/>
                <w:color w:val="auto"/>
              </w:rPr>
              <w:t>University of Washington in 1995.</w:t>
            </w:r>
          </w:p>
        </w:tc>
        <w:tc>
          <w:tcPr>
            <w:tcW w:w="3660" w:type="dxa"/>
            <w:vAlign w:val="bottom"/>
          </w:tcPr>
          <w:p>
            <w:pPr>
              <w:spacing w:after="0"/>
              <w:rPr>
                <w:sz w:val="18"/>
                <w:szCs w:val="18"/>
                <w:color w:val="auto"/>
              </w:rPr>
            </w:pPr>
          </w:p>
        </w:tc>
      </w:tr>
      <w:tr>
        <w:trPr>
          <w:trHeight w:val="500"/>
        </w:trPr>
        <w:tc>
          <w:tcPr>
            <w:tcW w:w="2420" w:type="dxa"/>
            <w:vAlign w:val="bottom"/>
          </w:tcPr>
          <w:p>
            <w:pPr>
              <w:ind w:left="800"/>
              <w:spacing w:after="0"/>
              <w:rPr>
                <w:sz w:val="20"/>
                <w:szCs w:val="20"/>
                <w:color w:val="auto"/>
              </w:rPr>
            </w:pPr>
            <w:r>
              <w:rPr>
                <w:rFonts w:ascii="Arial" w:cs="Arial" w:eastAsia="Arial" w:hAnsi="Arial"/>
                <w:sz w:val="14"/>
                <w:szCs w:val="14"/>
                <w:color w:val="255993"/>
              </w:rPr>
              <w:t>Athira Pharma, Inc.</w:t>
            </w:r>
          </w:p>
        </w:tc>
        <w:tc>
          <w:tcPr>
            <w:tcW w:w="4940" w:type="dxa"/>
            <w:vAlign w:val="bottom"/>
            <w:gridSpan w:val="2"/>
          </w:tcPr>
          <w:p>
            <w:pPr>
              <w:ind w:left="3000"/>
              <w:spacing w:after="0"/>
              <w:rPr>
                <w:sz w:val="20"/>
                <w:szCs w:val="20"/>
                <w:color w:val="auto"/>
              </w:rPr>
            </w:pPr>
            <w:r>
              <w:rPr>
                <w:rFonts w:ascii="Arial" w:cs="Arial" w:eastAsia="Arial" w:hAnsi="Arial"/>
                <w:sz w:val="14"/>
                <w:szCs w:val="14"/>
                <w:b w:val="1"/>
                <w:bCs w:val="1"/>
                <w:color w:val="255993"/>
              </w:rPr>
              <w:t>31</w:t>
            </w:r>
          </w:p>
        </w:tc>
        <w:tc>
          <w:tcPr>
            <w:tcW w:w="3660" w:type="dxa"/>
            <w:vAlign w:val="bottom"/>
          </w:tcPr>
          <w:p>
            <w:pPr>
              <w:ind w:left="1420"/>
              <w:spacing w:after="0"/>
              <w:rPr>
                <w:sz w:val="20"/>
                <w:szCs w:val="20"/>
                <w:color w:val="auto"/>
              </w:rPr>
            </w:pPr>
            <w:r>
              <w:rPr>
                <w:rFonts w:ascii="Arial" w:cs="Arial" w:eastAsia="Arial" w:hAnsi="Arial"/>
                <w:sz w:val="14"/>
                <w:szCs w:val="14"/>
                <w:color w:val="255993"/>
              </w:rPr>
              <w:t>2024 Proxy Statement</w:t>
            </w:r>
          </w:p>
        </w:tc>
      </w:tr>
      <w:tr>
        <w:trPr>
          <w:trHeight w:val="158"/>
        </w:trPr>
        <w:tc>
          <w:tcPr>
            <w:tcW w:w="24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3540" w:type="dxa"/>
            <w:vAlign w:val="bottom"/>
            <w:tcBorders>
              <w:bottom w:val="single" w:sz="8" w:color="auto"/>
            </w:tcBorders>
          </w:tcPr>
          <w:p>
            <w:pPr>
              <w:spacing w:after="0"/>
              <w:rPr>
                <w:sz w:val="13"/>
                <w:szCs w:val="13"/>
                <w:color w:val="auto"/>
              </w:rPr>
            </w:pPr>
          </w:p>
        </w:tc>
        <w:tc>
          <w:tcPr>
            <w:tcW w:w="3660" w:type="dxa"/>
            <w:vAlign w:val="bottom"/>
            <w:tcBorders>
              <w:bottom w:val="single" w:sz="8" w:color="auto"/>
            </w:tcBorders>
          </w:tcPr>
          <w:p>
            <w:pPr>
              <w:spacing w:after="0"/>
              <w:rPr>
                <w:sz w:val="13"/>
                <w:szCs w:val="13"/>
                <w:color w:val="auto"/>
              </w:rPr>
            </w:pPr>
          </w:p>
        </w:tc>
      </w:tr>
    </w:tbl>
    <w:p>
      <w:pPr>
        <w:sectPr>
          <w:pgSz w:w="11900" w:h="16838" w:orient="portrait"/>
          <w:cols w:equalWidth="0" w:num="1">
            <w:col w:w="11020"/>
          </w:cols>
          <w:pgMar w:left="440" w:top="263" w:right="439" w:bottom="1440" w:gutter="0" w:footer="0" w:header="0"/>
        </w:sectPr>
      </w:pPr>
    </w:p>
    <w:bookmarkStart w:id="40" w:name="page41"/>
    <w:bookmarkEnd w:id="40"/>
    <w:p>
      <w:pPr>
        <w:ind w:left="8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ind w:left="800"/>
        <w:spacing w:after="0"/>
        <w:rPr>
          <w:sz w:val="20"/>
          <w:szCs w:val="20"/>
          <w:color w:val="auto"/>
        </w:rPr>
      </w:pPr>
      <w:r>
        <w:rPr>
          <w:rFonts w:ascii="Arial" w:cs="Arial" w:eastAsia="Arial" w:hAnsi="Arial"/>
          <w:sz w:val="14"/>
          <w:szCs w:val="14"/>
          <w:color w:val="255993"/>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126365</wp:posOffset>
            </wp:positionV>
            <wp:extent cx="882650" cy="8832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82650" cy="883285"/>
                    </a:xfrm>
                    <a:prstGeom prst="rect">
                      <a:avLst/>
                    </a:prstGeom>
                    <a:noFill/>
                  </pic:spPr>
                </pic:pic>
              </a:graphicData>
            </a:graphic>
          </wp:anchor>
        </w:drawing>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509"/>
        </w:trPr>
        <w:tc>
          <w:tcPr>
            <w:tcW w:w="2420" w:type="dxa"/>
            <w:vAlign w:val="bottom"/>
          </w:tcPr>
          <w:p>
            <w:pPr>
              <w:spacing w:after="0"/>
              <w:rPr>
                <w:sz w:val="24"/>
                <w:szCs w:val="24"/>
                <w:color w:val="auto"/>
              </w:rPr>
            </w:pPr>
          </w:p>
        </w:tc>
        <w:tc>
          <w:tcPr>
            <w:tcW w:w="6220" w:type="dxa"/>
            <w:vAlign w:val="bottom"/>
            <w:gridSpan w:val="2"/>
          </w:tcPr>
          <w:p>
            <w:pPr>
              <w:spacing w:after="0"/>
              <w:rPr>
                <w:sz w:val="20"/>
                <w:szCs w:val="20"/>
                <w:color w:val="auto"/>
              </w:rPr>
            </w:pPr>
            <w:r>
              <w:rPr>
                <w:rFonts w:ascii="Arial" w:cs="Arial" w:eastAsia="Arial" w:hAnsi="Arial"/>
                <w:sz w:val="40"/>
                <w:szCs w:val="40"/>
                <w:color w:val="255993"/>
              </w:rPr>
              <w:t>Andrew Gengos</w:t>
            </w: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420" w:type="dxa"/>
            <w:vAlign w:val="bottom"/>
          </w:tcPr>
          <w:p>
            <w:pPr>
              <w:spacing w:after="0"/>
              <w:rPr>
                <w:sz w:val="17"/>
                <w:szCs w:val="17"/>
                <w:color w:val="auto"/>
              </w:rPr>
            </w:pPr>
          </w:p>
        </w:tc>
        <w:tc>
          <w:tcPr>
            <w:tcW w:w="6220" w:type="dxa"/>
            <w:vAlign w:val="bottom"/>
            <w:gridSpan w:val="2"/>
          </w:tcPr>
          <w:p>
            <w:pPr>
              <w:spacing w:after="0"/>
              <w:rPr>
                <w:sz w:val="20"/>
                <w:szCs w:val="20"/>
                <w:color w:val="auto"/>
              </w:rPr>
            </w:pPr>
            <w:r>
              <w:rPr>
                <w:rFonts w:ascii="Arial" w:cs="Arial" w:eastAsia="Arial" w:hAnsi="Arial"/>
                <w:sz w:val="14"/>
                <w:szCs w:val="14"/>
                <w:b w:val="1"/>
                <w:bCs w:val="1"/>
                <w:color w:val="auto"/>
              </w:rPr>
              <w:t>AGE: 59   EXECUTIVE OFFICER SINCE: MAY 2023</w:t>
            </w:r>
          </w:p>
        </w:tc>
        <w:tc>
          <w:tcPr>
            <w:tcW w:w="2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420" w:type="dxa"/>
            <w:vAlign w:val="bottom"/>
            <w:vMerge w:val="restart"/>
          </w:tcPr>
          <w:p>
            <w:pPr>
              <w:ind w:left="800"/>
              <w:spacing w:after="0"/>
              <w:rPr>
                <w:sz w:val="20"/>
                <w:szCs w:val="20"/>
                <w:color w:val="auto"/>
              </w:rPr>
            </w:pPr>
            <w:r>
              <w:rPr>
                <w:rFonts w:ascii="Arial" w:cs="Arial" w:eastAsia="Arial" w:hAnsi="Arial"/>
                <w:sz w:val="16"/>
                <w:szCs w:val="16"/>
                <w:color w:val="auto"/>
              </w:rPr>
              <w:t> </w:t>
            </w:r>
          </w:p>
        </w:tc>
        <w:tc>
          <w:tcPr>
            <w:tcW w:w="1400" w:type="dxa"/>
            <w:vAlign w:val="bottom"/>
            <w:tcBorders>
              <w:bottom w:val="single" w:sz="8" w:color="F8991D"/>
            </w:tcBorders>
          </w:tcPr>
          <w:p>
            <w:pPr>
              <w:spacing w:after="0"/>
              <w:rPr>
                <w:sz w:val="20"/>
                <w:szCs w:val="20"/>
                <w:color w:val="auto"/>
              </w:rPr>
            </w:pPr>
          </w:p>
        </w:tc>
        <w:tc>
          <w:tcPr>
            <w:tcW w:w="72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2420" w:type="dxa"/>
            <w:vAlign w:val="bottom"/>
            <w:vMerge w:val="continue"/>
          </w:tcPr>
          <w:p>
            <w:pPr>
              <w:spacing w:after="0"/>
              <w:rPr>
                <w:sz w:val="24"/>
                <w:szCs w:val="24"/>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Andrew Gengos has served as our chief financial officer and chief business officer since May 2023. He</w:t>
            </w:r>
          </w:p>
        </w:tc>
        <w:tc>
          <w:tcPr>
            <w:tcW w:w="0" w:type="dxa"/>
            <w:vAlign w:val="bottom"/>
          </w:tcPr>
          <w:p>
            <w:pPr>
              <w:spacing w:after="0"/>
              <w:rPr>
                <w:sz w:val="1"/>
                <w:szCs w:val="1"/>
                <w:color w:val="auto"/>
              </w:rPr>
            </w:pP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served as the chief business officer of Cyteir Therapeutics, Inc., a clinical-stage biopharmaceutical company,</w:t>
            </w:r>
          </w:p>
        </w:tc>
        <w:tc>
          <w:tcPr>
            <w:tcW w:w="0" w:type="dxa"/>
            <w:vAlign w:val="bottom"/>
          </w:tcPr>
          <w:p>
            <w:pPr>
              <w:spacing w:after="0"/>
              <w:rPr>
                <w:sz w:val="1"/>
                <w:szCs w:val="1"/>
                <w:color w:val="auto"/>
              </w:rPr>
            </w:pP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from February 2020 until February 2023, and served in various roles at AOBiome Therapeutics, a</w:t>
            </w:r>
          </w:p>
        </w:tc>
        <w:tc>
          <w:tcPr>
            <w:tcW w:w="0" w:type="dxa"/>
            <w:vAlign w:val="bottom"/>
          </w:tcPr>
          <w:p>
            <w:pPr>
              <w:spacing w:after="0"/>
              <w:rPr>
                <w:sz w:val="1"/>
                <w:szCs w:val="1"/>
                <w:color w:val="auto"/>
              </w:rPr>
            </w:pP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biotechnology company, from January 2019 to December 2019, including most recently as chief business</w:t>
            </w:r>
          </w:p>
        </w:tc>
        <w:tc>
          <w:tcPr>
            <w:tcW w:w="0" w:type="dxa"/>
            <w:vAlign w:val="bottom"/>
          </w:tcPr>
          <w:p>
            <w:pPr>
              <w:spacing w:after="0"/>
              <w:rPr>
                <w:sz w:val="1"/>
                <w:szCs w:val="1"/>
                <w:color w:val="auto"/>
              </w:rPr>
            </w:pP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officer and chief financial officer from March 2019 to December 2019. Mr. Gengos also served as the chief</w:t>
            </w:r>
          </w:p>
        </w:tc>
        <w:tc>
          <w:tcPr>
            <w:tcW w:w="0" w:type="dxa"/>
            <w:vAlign w:val="bottom"/>
          </w:tcPr>
          <w:p>
            <w:pPr>
              <w:spacing w:after="0"/>
              <w:rPr>
                <w:sz w:val="1"/>
                <w:szCs w:val="1"/>
                <w:color w:val="auto"/>
              </w:rPr>
            </w:pP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operating officer and head of corporate development of Synlogic, Inc., a biotechnology company, from</w:t>
            </w:r>
          </w:p>
        </w:tc>
        <w:tc>
          <w:tcPr>
            <w:tcW w:w="0" w:type="dxa"/>
            <w:vAlign w:val="bottom"/>
          </w:tcPr>
          <w:p>
            <w:pPr>
              <w:spacing w:after="0"/>
              <w:rPr>
                <w:sz w:val="1"/>
                <w:szCs w:val="1"/>
                <w:color w:val="auto"/>
              </w:rPr>
            </w:pP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October 2017 to January 2019, and previously served as president and chief executive officer at</w:t>
            </w:r>
          </w:p>
        </w:tc>
        <w:tc>
          <w:tcPr>
            <w:tcW w:w="0" w:type="dxa"/>
            <w:vAlign w:val="bottom"/>
          </w:tcPr>
          <w:p>
            <w:pPr>
              <w:spacing w:after="0"/>
              <w:rPr>
                <w:sz w:val="1"/>
                <w:szCs w:val="1"/>
                <w:color w:val="auto"/>
              </w:rPr>
            </w:pP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ImmunoCellular Therapeutics and Neuraltus Pharmaceuticals and as vice president of strategy and</w:t>
            </w:r>
          </w:p>
        </w:tc>
        <w:tc>
          <w:tcPr>
            <w:tcW w:w="0" w:type="dxa"/>
            <w:vAlign w:val="bottom"/>
          </w:tcPr>
          <w:p>
            <w:pPr>
              <w:spacing w:after="0"/>
              <w:rPr>
                <w:sz w:val="1"/>
                <w:szCs w:val="1"/>
                <w:color w:val="auto"/>
              </w:rPr>
            </w:pP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corporate development at Amgen. From August 2019 to January 2020 he also served as an advisor to Turn</w:t>
            </w:r>
          </w:p>
        </w:tc>
        <w:tc>
          <w:tcPr>
            <w:tcW w:w="0" w:type="dxa"/>
            <w:vAlign w:val="bottom"/>
          </w:tcPr>
          <w:p>
            <w:pPr>
              <w:spacing w:after="0"/>
              <w:rPr>
                <w:sz w:val="1"/>
                <w:szCs w:val="1"/>
                <w:color w:val="auto"/>
              </w:rPr>
            </w:pP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Therapeutics, a biotechnology company, where he has served on the board of directors since January 2020.</w:t>
            </w:r>
          </w:p>
        </w:tc>
        <w:tc>
          <w:tcPr>
            <w:tcW w:w="0" w:type="dxa"/>
            <w:vAlign w:val="bottom"/>
          </w:tcPr>
          <w:p>
            <w:pPr>
              <w:spacing w:after="0"/>
              <w:rPr>
                <w:sz w:val="1"/>
                <w:szCs w:val="1"/>
                <w:color w:val="auto"/>
              </w:rPr>
            </w:pP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He started his career as a technology associate at Morgan Stanley before moving on to McKinsey &amp; Co.,</w:t>
            </w:r>
          </w:p>
        </w:tc>
        <w:tc>
          <w:tcPr>
            <w:tcW w:w="0" w:type="dxa"/>
            <w:vAlign w:val="bottom"/>
          </w:tcPr>
          <w:p>
            <w:pPr>
              <w:spacing w:after="0"/>
              <w:rPr>
                <w:sz w:val="1"/>
                <w:szCs w:val="1"/>
                <w:color w:val="auto"/>
              </w:rPr>
            </w:pP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where he advanced from associate to senior engagement manager, focusing in the healthcare and strategy</w:t>
            </w:r>
          </w:p>
        </w:tc>
        <w:tc>
          <w:tcPr>
            <w:tcW w:w="0" w:type="dxa"/>
            <w:vAlign w:val="bottom"/>
          </w:tcPr>
          <w:p>
            <w:pPr>
              <w:spacing w:after="0"/>
              <w:rPr>
                <w:sz w:val="1"/>
                <w:szCs w:val="1"/>
                <w:color w:val="auto"/>
              </w:rPr>
            </w:pP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practices. Mr. Gengos earned an M.B.A. from the UCLA Anderson School of Management in 1991 and a</w:t>
            </w:r>
          </w:p>
        </w:tc>
        <w:tc>
          <w:tcPr>
            <w:tcW w:w="0" w:type="dxa"/>
            <w:vAlign w:val="bottom"/>
          </w:tcPr>
          <w:p>
            <w:pPr>
              <w:spacing w:after="0"/>
              <w:rPr>
                <w:sz w:val="1"/>
                <w:szCs w:val="1"/>
                <w:color w:val="auto"/>
              </w:rPr>
            </w:pPr>
          </w:p>
        </w:tc>
      </w:tr>
      <w:tr>
        <w:trPr>
          <w:trHeight w:val="215"/>
        </w:trPr>
        <w:tc>
          <w:tcPr>
            <w:tcW w:w="2420" w:type="dxa"/>
            <w:vAlign w:val="bottom"/>
          </w:tcPr>
          <w:p>
            <w:pPr>
              <w:spacing w:after="0"/>
              <w:rPr>
                <w:sz w:val="18"/>
                <w:szCs w:val="18"/>
                <w:color w:val="auto"/>
              </w:rPr>
            </w:pPr>
          </w:p>
        </w:tc>
        <w:tc>
          <w:tcPr>
            <w:tcW w:w="6220" w:type="dxa"/>
            <w:vAlign w:val="bottom"/>
            <w:gridSpan w:val="2"/>
          </w:tcPr>
          <w:p>
            <w:pPr>
              <w:spacing w:after="0"/>
              <w:rPr>
                <w:sz w:val="20"/>
                <w:szCs w:val="20"/>
                <w:color w:val="auto"/>
              </w:rPr>
            </w:pPr>
            <w:r>
              <w:rPr>
                <w:rFonts w:ascii="Arial" w:cs="Arial" w:eastAsia="Arial" w:hAnsi="Arial"/>
                <w:sz w:val="16"/>
                <w:szCs w:val="16"/>
                <w:color w:val="auto"/>
              </w:rPr>
              <w:t>B.S. in chemical engineering from the Massachusetts Institute of Technology in 1986.</w:t>
            </w: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65"/>
        </w:trPr>
        <w:tc>
          <w:tcPr>
            <w:tcW w:w="2420" w:type="dxa"/>
            <w:vAlign w:val="bottom"/>
          </w:tcPr>
          <w:p>
            <w:pPr>
              <w:spacing w:after="0"/>
              <w:rPr>
                <w:sz w:val="24"/>
                <w:szCs w:val="24"/>
                <w:color w:val="auto"/>
              </w:rPr>
            </w:pPr>
          </w:p>
        </w:tc>
        <w:tc>
          <w:tcPr>
            <w:tcW w:w="6220" w:type="dxa"/>
            <w:vAlign w:val="bottom"/>
            <w:gridSpan w:val="2"/>
          </w:tcPr>
          <w:p>
            <w:pPr>
              <w:spacing w:after="0"/>
              <w:rPr>
                <w:sz w:val="20"/>
                <w:szCs w:val="20"/>
                <w:color w:val="auto"/>
              </w:rPr>
            </w:pPr>
            <w:r>
              <w:rPr>
                <w:rFonts w:ascii="Arial" w:cs="Arial" w:eastAsia="Arial" w:hAnsi="Arial"/>
                <w:sz w:val="40"/>
                <w:szCs w:val="40"/>
                <w:color w:val="255993"/>
              </w:rPr>
              <w:t>Kevin Church, Ph.D.</w:t>
            </w: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420" w:type="dxa"/>
            <w:vAlign w:val="bottom"/>
          </w:tcPr>
          <w:p>
            <w:pPr>
              <w:spacing w:after="0"/>
              <w:rPr>
                <w:sz w:val="17"/>
                <w:szCs w:val="17"/>
                <w:color w:val="auto"/>
              </w:rPr>
            </w:pPr>
          </w:p>
        </w:tc>
        <w:tc>
          <w:tcPr>
            <w:tcW w:w="6220" w:type="dxa"/>
            <w:vAlign w:val="bottom"/>
            <w:gridSpan w:val="2"/>
          </w:tcPr>
          <w:p>
            <w:pPr>
              <w:spacing w:after="0"/>
              <w:rPr>
                <w:sz w:val="20"/>
                <w:szCs w:val="20"/>
                <w:color w:val="auto"/>
              </w:rPr>
            </w:pPr>
            <w:r>
              <w:rPr>
                <w:rFonts w:ascii="Arial" w:cs="Arial" w:eastAsia="Arial" w:hAnsi="Arial"/>
                <w:sz w:val="14"/>
                <w:szCs w:val="14"/>
                <w:b w:val="1"/>
                <w:bCs w:val="1"/>
                <w:color w:val="auto"/>
              </w:rPr>
              <w:t>AGE: 39   EXECUTIVE OFFICER SINCE: JULY 2020</w:t>
            </w:r>
          </w:p>
        </w:tc>
        <w:tc>
          <w:tcPr>
            <w:tcW w:w="2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420" w:type="dxa"/>
            <w:vAlign w:val="bottom"/>
            <w:vMerge w:val="restart"/>
          </w:tcPr>
          <w:p>
            <w:pPr>
              <w:ind w:left="800"/>
              <w:spacing w:after="0"/>
              <w:rPr>
                <w:sz w:val="20"/>
                <w:szCs w:val="20"/>
                <w:color w:val="auto"/>
              </w:rPr>
            </w:pPr>
            <w:r>
              <w:rPr>
                <w:rFonts w:ascii="Arial" w:cs="Arial" w:eastAsia="Arial" w:hAnsi="Arial"/>
                <w:sz w:val="16"/>
                <w:szCs w:val="16"/>
                <w:color w:val="auto"/>
              </w:rPr>
              <w:t> </w:t>
            </w:r>
          </w:p>
        </w:tc>
        <w:tc>
          <w:tcPr>
            <w:tcW w:w="1400" w:type="dxa"/>
            <w:vAlign w:val="bottom"/>
            <w:tcBorders>
              <w:bottom w:val="single" w:sz="8" w:color="F8991D"/>
            </w:tcBorders>
          </w:tcPr>
          <w:p>
            <w:pPr>
              <w:spacing w:after="0"/>
              <w:rPr>
                <w:sz w:val="20"/>
                <w:szCs w:val="20"/>
                <w:color w:val="auto"/>
              </w:rPr>
            </w:pPr>
          </w:p>
        </w:tc>
        <w:tc>
          <w:tcPr>
            <w:tcW w:w="72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2420" w:type="dxa"/>
            <w:vAlign w:val="bottom"/>
            <w:vMerge w:val="continue"/>
          </w:tcPr>
          <w:p>
            <w:pPr>
              <w:spacing w:after="0"/>
              <w:rPr>
                <w:sz w:val="24"/>
                <w:szCs w:val="24"/>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Kevin Church, Ph.D., has served as our chief scientific officer since January 2023. Prior to this, Dr. Church</w:t>
            </w:r>
          </w:p>
        </w:tc>
        <w:tc>
          <w:tcPr>
            <w:tcW w:w="0" w:type="dxa"/>
            <w:vAlign w:val="bottom"/>
          </w:tcPr>
          <w:p>
            <w:pPr>
              <w:spacing w:after="0"/>
              <w:rPr>
                <w:sz w:val="1"/>
                <w:szCs w:val="1"/>
                <w:color w:val="auto"/>
              </w:rPr>
            </w:pP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held various roles at the Company, including executive vice president of research from October 2021 to</w:t>
            </w:r>
          </w:p>
        </w:tc>
        <w:tc>
          <w:tcPr>
            <w:tcW w:w="0" w:type="dxa"/>
            <w:vAlign w:val="bottom"/>
          </w:tcPr>
          <w:p>
            <w:pPr>
              <w:spacing w:after="0"/>
              <w:rPr>
                <w:sz w:val="1"/>
                <w:szCs w:val="1"/>
                <w:color w:val="auto"/>
              </w:rPr>
            </w:pP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January 2023, vice president of discovery from July 2020 to October 2021, director of discovery from</w:t>
            </w:r>
          </w:p>
        </w:tc>
        <w:tc>
          <w:tcPr>
            <w:tcW w:w="0" w:type="dxa"/>
            <w:vAlign w:val="bottom"/>
          </w:tcPr>
          <w:p>
            <w:pPr>
              <w:spacing w:after="0"/>
              <w:rPr>
                <w:sz w:val="1"/>
                <w:szCs w:val="1"/>
                <w:color w:val="auto"/>
              </w:rPr>
            </w:pP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July 2018 to July 2020, senior research scientist from February 2018 to July 2018, and research scientist</w:t>
            </w:r>
          </w:p>
        </w:tc>
        <w:tc>
          <w:tcPr>
            <w:tcW w:w="0" w:type="dxa"/>
            <w:vAlign w:val="bottom"/>
          </w:tcPr>
          <w:p>
            <w:pPr>
              <w:spacing w:after="0"/>
              <w:rPr>
                <w:sz w:val="1"/>
                <w:szCs w:val="1"/>
                <w:color w:val="auto"/>
              </w:rPr>
            </w:pP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from July 2016 to February 2018. Dr. Church has research experience in diverse fields of study including</w:t>
            </w:r>
          </w:p>
        </w:tc>
        <w:tc>
          <w:tcPr>
            <w:tcW w:w="0" w:type="dxa"/>
            <w:vAlign w:val="bottom"/>
          </w:tcPr>
          <w:p>
            <w:pPr>
              <w:spacing w:after="0"/>
              <w:rPr>
                <w:sz w:val="1"/>
                <w:szCs w:val="1"/>
                <w:color w:val="auto"/>
              </w:rPr>
            </w:pP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neurodegenerative diseases, wound healing, and cancer. Dr. Church earned his Ph.D. in molecular</w:t>
            </w:r>
          </w:p>
        </w:tc>
        <w:tc>
          <w:tcPr>
            <w:tcW w:w="0" w:type="dxa"/>
            <w:vAlign w:val="bottom"/>
          </w:tcPr>
          <w:p>
            <w:pPr>
              <w:spacing w:after="0"/>
              <w:rPr>
                <w:sz w:val="1"/>
                <w:szCs w:val="1"/>
                <w:color w:val="auto"/>
              </w:rPr>
            </w:pP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biosciences from Washington State University in 2016, and prior to that earned his B.S. in microbiology from</w:t>
            </w:r>
          </w:p>
        </w:tc>
        <w:tc>
          <w:tcPr>
            <w:tcW w:w="0" w:type="dxa"/>
            <w:vAlign w:val="bottom"/>
          </w:tcPr>
          <w:p>
            <w:pPr>
              <w:spacing w:after="0"/>
              <w:rPr>
                <w:sz w:val="1"/>
                <w:szCs w:val="1"/>
                <w:color w:val="auto"/>
              </w:rPr>
            </w:pP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the University of Idaho in 2006. While in graduate school, Dr. Church was recognized for excellence in his</w:t>
            </w:r>
          </w:p>
        </w:tc>
        <w:tc>
          <w:tcPr>
            <w:tcW w:w="0" w:type="dxa"/>
            <w:vAlign w:val="bottom"/>
          </w:tcPr>
          <w:p>
            <w:pPr>
              <w:spacing w:after="0"/>
              <w:rPr>
                <w:sz w:val="1"/>
                <w:szCs w:val="1"/>
                <w:color w:val="auto"/>
              </w:rPr>
            </w:pP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graduate teaching assistantships. Dr. Church’s graduate work primarily focused on the development of novel</w:t>
            </w:r>
          </w:p>
        </w:tc>
        <w:tc>
          <w:tcPr>
            <w:tcW w:w="0" w:type="dxa"/>
            <w:vAlign w:val="bottom"/>
          </w:tcPr>
          <w:p>
            <w:pPr>
              <w:spacing w:after="0"/>
              <w:rPr>
                <w:sz w:val="1"/>
                <w:szCs w:val="1"/>
                <w:color w:val="auto"/>
              </w:rPr>
            </w:pP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therapeutics for the treatment of pancreatic cancer, but also included research relating to the treatment of</w:t>
            </w:r>
          </w:p>
        </w:tc>
        <w:tc>
          <w:tcPr>
            <w:tcW w:w="0" w:type="dxa"/>
            <w:vAlign w:val="bottom"/>
          </w:tcPr>
          <w:p>
            <w:pPr>
              <w:spacing w:after="0"/>
              <w:rPr>
                <w:sz w:val="1"/>
                <w:szCs w:val="1"/>
                <w:color w:val="auto"/>
              </w:rPr>
            </w:pP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diabetic ulcers and neurodegenerative diseases such as Parkinson’s disease dementia and Alzheimer’s</w:t>
            </w:r>
          </w:p>
        </w:tc>
        <w:tc>
          <w:tcPr>
            <w:tcW w:w="0" w:type="dxa"/>
            <w:vAlign w:val="bottom"/>
          </w:tcPr>
          <w:p>
            <w:pPr>
              <w:spacing w:after="0"/>
              <w:rPr>
                <w:sz w:val="1"/>
                <w:szCs w:val="1"/>
                <w:color w:val="auto"/>
              </w:rPr>
            </w:pPr>
          </w:p>
        </w:tc>
      </w:tr>
      <w:tr>
        <w:trPr>
          <w:trHeight w:val="215"/>
        </w:trPr>
        <w:tc>
          <w:tcPr>
            <w:tcW w:w="2420" w:type="dxa"/>
            <w:vAlign w:val="bottom"/>
          </w:tcPr>
          <w:p>
            <w:pPr>
              <w:spacing w:after="0"/>
              <w:rPr>
                <w:sz w:val="18"/>
                <w:szCs w:val="18"/>
                <w:color w:val="auto"/>
              </w:rPr>
            </w:pPr>
          </w:p>
        </w:tc>
        <w:tc>
          <w:tcPr>
            <w:tcW w:w="6220" w:type="dxa"/>
            <w:vAlign w:val="bottom"/>
            <w:gridSpan w:val="2"/>
          </w:tcPr>
          <w:p>
            <w:pPr>
              <w:spacing w:after="0"/>
              <w:rPr>
                <w:sz w:val="20"/>
                <w:szCs w:val="20"/>
                <w:color w:val="auto"/>
              </w:rPr>
            </w:pPr>
            <w:r>
              <w:rPr>
                <w:rFonts w:ascii="Arial" w:cs="Arial" w:eastAsia="Arial" w:hAnsi="Arial"/>
                <w:sz w:val="16"/>
                <w:szCs w:val="16"/>
                <w:color w:val="auto"/>
              </w:rPr>
              <w:t>disease.</w:t>
            </w: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0"/>
        </w:trPr>
        <w:tc>
          <w:tcPr>
            <w:tcW w:w="2420" w:type="dxa"/>
            <w:vAlign w:val="bottom"/>
          </w:tcPr>
          <w:p>
            <w:pPr>
              <w:ind w:left="800"/>
              <w:spacing w:after="0"/>
              <w:rPr>
                <w:sz w:val="20"/>
                <w:szCs w:val="20"/>
                <w:color w:val="auto"/>
              </w:rPr>
            </w:pPr>
            <w:r>
              <w:rPr>
                <w:rFonts w:ascii="Arial" w:cs="Arial" w:eastAsia="Arial" w:hAnsi="Arial"/>
                <w:sz w:val="14"/>
                <w:szCs w:val="14"/>
                <w:color w:val="255993"/>
              </w:rPr>
              <w:t>Athira Pharma, Inc.</w:t>
            </w:r>
          </w:p>
        </w:tc>
        <w:tc>
          <w:tcPr>
            <w:tcW w:w="6220" w:type="dxa"/>
            <w:vAlign w:val="bottom"/>
            <w:gridSpan w:val="2"/>
          </w:tcPr>
          <w:p>
            <w:pPr>
              <w:ind w:left="3000"/>
              <w:spacing w:after="0"/>
              <w:rPr>
                <w:sz w:val="20"/>
                <w:szCs w:val="20"/>
                <w:color w:val="auto"/>
              </w:rPr>
            </w:pPr>
            <w:r>
              <w:rPr>
                <w:rFonts w:ascii="Arial" w:cs="Arial" w:eastAsia="Arial" w:hAnsi="Arial"/>
                <w:sz w:val="14"/>
                <w:szCs w:val="14"/>
                <w:b w:val="1"/>
                <w:bCs w:val="1"/>
                <w:color w:val="255993"/>
              </w:rPr>
              <w:t>32</w:t>
            </w:r>
          </w:p>
        </w:tc>
        <w:tc>
          <w:tcPr>
            <w:tcW w:w="2380" w:type="dxa"/>
            <w:vAlign w:val="bottom"/>
          </w:tcPr>
          <w:p>
            <w:pPr>
              <w:ind w:left="140"/>
              <w:spacing w:after="0"/>
              <w:rPr>
                <w:sz w:val="20"/>
                <w:szCs w:val="20"/>
                <w:color w:val="auto"/>
              </w:rPr>
            </w:pPr>
            <w:r>
              <w:rPr>
                <w:rFonts w:ascii="Arial" w:cs="Arial" w:eastAsia="Arial" w:hAnsi="Arial"/>
                <w:sz w:val="14"/>
                <w:szCs w:val="14"/>
                <w:color w:val="255993"/>
              </w:rPr>
              <w:t>2024 Proxy Statement</w:t>
            </w:r>
          </w:p>
        </w:tc>
        <w:tc>
          <w:tcPr>
            <w:tcW w:w="0" w:type="dxa"/>
            <w:vAlign w:val="bottom"/>
          </w:tcPr>
          <w:p>
            <w:pPr>
              <w:spacing w:after="0"/>
              <w:rPr>
                <w:sz w:val="1"/>
                <w:szCs w:val="1"/>
                <w:color w:val="auto"/>
              </w:rPr>
            </w:pPr>
          </w:p>
        </w:tc>
      </w:tr>
      <w:tr>
        <w:trPr>
          <w:trHeight w:val="158"/>
        </w:trPr>
        <w:tc>
          <w:tcPr>
            <w:tcW w:w="24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4820" w:type="dxa"/>
            <w:vAlign w:val="bottom"/>
            <w:tcBorders>
              <w:bottom w:val="single" w:sz="8" w:color="auto"/>
            </w:tcBorders>
          </w:tcPr>
          <w:p>
            <w:pPr>
              <w:spacing w:after="0"/>
              <w:rPr>
                <w:sz w:val="13"/>
                <w:szCs w:val="13"/>
                <w:color w:val="auto"/>
              </w:rPr>
            </w:pPr>
          </w:p>
        </w:tc>
        <w:tc>
          <w:tcPr>
            <w:tcW w:w="23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-2768600</wp:posOffset>
            </wp:positionV>
            <wp:extent cx="882650" cy="8826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82650" cy="882650"/>
                    </a:xfrm>
                    <a:prstGeom prst="rect">
                      <a:avLst/>
                    </a:prstGeom>
                    <a:noFill/>
                  </pic:spPr>
                </pic:pic>
              </a:graphicData>
            </a:graphic>
          </wp:anchor>
        </w:drawing>
      </w:r>
    </w:p>
    <w:p>
      <w:pPr>
        <w:sectPr>
          <w:pgSz w:w="11900" w:h="16838" w:orient="portrait"/>
          <w:cols w:equalWidth="0" w:num="1">
            <w:col w:w="11020"/>
          </w:cols>
          <w:pgMar w:left="440" w:top="263" w:right="439" w:bottom="1440" w:gutter="0" w:footer="0" w:header="0"/>
        </w:sectPr>
      </w:pPr>
    </w:p>
    <w:bookmarkStart w:id="41" w:name="page42"/>
    <w:bookmarkEnd w:id="41"/>
    <w:p>
      <w:pPr>
        <w:ind w:left="8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2480" w:type="dxa"/>
            <w:vAlign w:val="bottom"/>
          </w:tcPr>
          <w:p>
            <w:pPr>
              <w:jc w:val="right"/>
              <w:ind w:right="748"/>
              <w:spacing w:after="0"/>
              <w:rPr>
                <w:sz w:val="20"/>
                <w:szCs w:val="20"/>
                <w:color w:val="auto"/>
              </w:rPr>
            </w:pPr>
            <w:r>
              <w:rPr>
                <w:rFonts w:ascii="Arial" w:cs="Arial" w:eastAsia="Arial" w:hAnsi="Arial"/>
                <w:sz w:val="14"/>
                <w:szCs w:val="14"/>
                <w:color w:val="255993"/>
              </w:rPr>
              <w:t>Executive Officers</w:t>
            </w:r>
          </w:p>
        </w:tc>
        <w:tc>
          <w:tcPr>
            <w:tcW w:w="0" w:type="dxa"/>
            <w:vAlign w:val="bottom"/>
          </w:tcPr>
          <w:p>
            <w:pPr>
              <w:spacing w:after="0"/>
              <w:rPr>
                <w:sz w:val="1"/>
                <w:szCs w:val="1"/>
                <w:color w:val="auto"/>
              </w:rPr>
            </w:pPr>
          </w:p>
        </w:tc>
      </w:tr>
      <w:tr>
        <w:trPr>
          <w:trHeight w:val="863"/>
        </w:trPr>
        <w:tc>
          <w:tcPr>
            <w:tcW w:w="2420" w:type="dxa"/>
            <w:vAlign w:val="bottom"/>
          </w:tcPr>
          <w:p>
            <w:pPr>
              <w:spacing w:after="0"/>
              <w:rPr>
                <w:sz w:val="24"/>
                <w:szCs w:val="24"/>
                <w:color w:val="auto"/>
              </w:rPr>
            </w:pPr>
          </w:p>
        </w:tc>
        <w:tc>
          <w:tcPr>
            <w:tcW w:w="6120" w:type="dxa"/>
            <w:vAlign w:val="bottom"/>
            <w:gridSpan w:val="2"/>
          </w:tcPr>
          <w:p>
            <w:pPr>
              <w:spacing w:after="0"/>
              <w:rPr>
                <w:sz w:val="20"/>
                <w:szCs w:val="20"/>
                <w:color w:val="auto"/>
              </w:rPr>
            </w:pPr>
            <w:r>
              <w:rPr>
                <w:rFonts w:ascii="Arial" w:cs="Arial" w:eastAsia="Arial" w:hAnsi="Arial"/>
                <w:sz w:val="40"/>
                <w:szCs w:val="40"/>
                <w:color w:val="255993"/>
              </w:rPr>
              <w:t>Mark Worthington</w:t>
            </w:r>
          </w:p>
        </w:tc>
        <w:tc>
          <w:tcPr>
            <w:tcW w:w="2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420" w:type="dxa"/>
            <w:vAlign w:val="bottom"/>
          </w:tcPr>
          <w:p>
            <w:pPr>
              <w:spacing w:after="0"/>
              <w:rPr>
                <w:sz w:val="17"/>
                <w:szCs w:val="17"/>
                <w:color w:val="auto"/>
              </w:rPr>
            </w:pPr>
          </w:p>
        </w:tc>
        <w:tc>
          <w:tcPr>
            <w:tcW w:w="6120" w:type="dxa"/>
            <w:vAlign w:val="bottom"/>
            <w:gridSpan w:val="2"/>
          </w:tcPr>
          <w:p>
            <w:pPr>
              <w:spacing w:after="0"/>
              <w:rPr>
                <w:sz w:val="20"/>
                <w:szCs w:val="20"/>
                <w:color w:val="auto"/>
              </w:rPr>
            </w:pPr>
            <w:r>
              <w:rPr>
                <w:rFonts w:ascii="Arial" w:cs="Arial" w:eastAsia="Arial" w:hAnsi="Arial"/>
                <w:sz w:val="14"/>
                <w:szCs w:val="14"/>
                <w:b w:val="1"/>
                <w:bCs w:val="1"/>
                <w:color w:val="auto"/>
              </w:rPr>
              <w:t>AGE: 57   EXECUTIVE OFFICER SINCE: JUNE 2021</w:t>
            </w:r>
          </w:p>
        </w:tc>
        <w:tc>
          <w:tcPr>
            <w:tcW w:w="2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420" w:type="dxa"/>
            <w:vAlign w:val="bottom"/>
            <w:vMerge w:val="restart"/>
          </w:tcPr>
          <w:p>
            <w:pPr>
              <w:ind w:left="800"/>
              <w:spacing w:after="0"/>
              <w:rPr>
                <w:sz w:val="20"/>
                <w:szCs w:val="20"/>
                <w:color w:val="auto"/>
              </w:rPr>
            </w:pPr>
            <w:r>
              <w:rPr>
                <w:rFonts w:ascii="Arial" w:cs="Arial" w:eastAsia="Arial" w:hAnsi="Arial"/>
                <w:sz w:val="16"/>
                <w:szCs w:val="16"/>
                <w:color w:val="auto"/>
              </w:rPr>
              <w:t> </w:t>
            </w:r>
          </w:p>
        </w:tc>
        <w:tc>
          <w:tcPr>
            <w:tcW w:w="1400" w:type="dxa"/>
            <w:vAlign w:val="bottom"/>
            <w:tcBorders>
              <w:bottom w:val="single" w:sz="8" w:color="F8991D"/>
            </w:tcBorders>
          </w:tcPr>
          <w:p>
            <w:pPr>
              <w:spacing w:after="0"/>
              <w:rPr>
                <w:sz w:val="20"/>
                <w:szCs w:val="20"/>
                <w:color w:val="auto"/>
              </w:rPr>
            </w:pPr>
          </w:p>
        </w:tc>
        <w:tc>
          <w:tcPr>
            <w:tcW w:w="72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2420" w:type="dxa"/>
            <w:vAlign w:val="bottom"/>
            <w:vMerge w:val="continue"/>
          </w:tcPr>
          <w:p>
            <w:pPr>
              <w:spacing w:after="0"/>
              <w:rPr>
                <w:sz w:val="24"/>
                <w:szCs w:val="24"/>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Mark Worthington has served as our general counsel since June 2021, after working with us as outside</w:t>
            </w:r>
          </w:p>
        </w:tc>
        <w:tc>
          <w:tcPr>
            <w:tcW w:w="0" w:type="dxa"/>
            <w:vAlign w:val="bottom"/>
          </w:tcPr>
          <w:p>
            <w:pPr>
              <w:spacing w:after="0"/>
              <w:rPr>
                <w:sz w:val="1"/>
                <w:szCs w:val="1"/>
                <w:color w:val="auto"/>
              </w:rPr>
            </w:pP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corporate counsel for several years. Prior to joining the Company, Mr. Worthington served as a partner with</w:t>
            </w:r>
          </w:p>
        </w:tc>
        <w:tc>
          <w:tcPr>
            <w:tcW w:w="0" w:type="dxa"/>
            <w:vAlign w:val="bottom"/>
          </w:tcPr>
          <w:p>
            <w:pPr>
              <w:spacing w:after="0"/>
              <w:rPr>
                <w:sz w:val="1"/>
                <w:szCs w:val="1"/>
                <w:color w:val="auto"/>
              </w:rPr>
            </w:pP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Summit Law Group in Seattle, Washington from September 1997 to May 2021, where he practiced corporate</w:t>
            </w:r>
          </w:p>
        </w:tc>
        <w:tc>
          <w:tcPr>
            <w:tcW w:w="0" w:type="dxa"/>
            <w:vAlign w:val="bottom"/>
          </w:tcPr>
          <w:p>
            <w:pPr>
              <w:spacing w:after="0"/>
              <w:rPr>
                <w:sz w:val="1"/>
                <w:szCs w:val="1"/>
                <w:color w:val="auto"/>
              </w:rPr>
            </w:pP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and securities law, chaired the corporate/securities practice and served as the co-managing partner.</w:t>
            </w:r>
          </w:p>
        </w:tc>
        <w:tc>
          <w:tcPr>
            <w:tcW w:w="0" w:type="dxa"/>
            <w:vAlign w:val="bottom"/>
          </w:tcPr>
          <w:p>
            <w:pPr>
              <w:spacing w:after="0"/>
              <w:rPr>
                <w:sz w:val="1"/>
                <w:szCs w:val="1"/>
                <w:color w:val="auto"/>
              </w:rPr>
            </w:pP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Mr. Worthington has advised private and public life sciences and other companies on a wide range of</w:t>
            </w:r>
          </w:p>
        </w:tc>
        <w:tc>
          <w:tcPr>
            <w:tcW w:w="0" w:type="dxa"/>
            <w:vAlign w:val="bottom"/>
          </w:tcPr>
          <w:p>
            <w:pPr>
              <w:spacing w:after="0"/>
              <w:rPr>
                <w:sz w:val="1"/>
                <w:szCs w:val="1"/>
                <w:color w:val="auto"/>
              </w:rPr>
            </w:pP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corporate governance, compliance and transactional matters, including public offerings, mergers and</w:t>
            </w:r>
          </w:p>
        </w:tc>
        <w:tc>
          <w:tcPr>
            <w:tcW w:w="0" w:type="dxa"/>
            <w:vAlign w:val="bottom"/>
          </w:tcPr>
          <w:p>
            <w:pPr>
              <w:spacing w:after="0"/>
              <w:rPr>
                <w:sz w:val="1"/>
                <w:szCs w:val="1"/>
                <w:color w:val="auto"/>
              </w:rPr>
            </w:pP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acquisitions, and joint ventures, and worked closely with executive management teams on strategic business</w:t>
            </w:r>
          </w:p>
        </w:tc>
        <w:tc>
          <w:tcPr>
            <w:tcW w:w="0" w:type="dxa"/>
            <w:vAlign w:val="bottom"/>
          </w:tcPr>
          <w:p>
            <w:pPr>
              <w:spacing w:after="0"/>
              <w:rPr>
                <w:sz w:val="1"/>
                <w:szCs w:val="1"/>
                <w:color w:val="auto"/>
              </w:rPr>
            </w:pP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and legal matters. Mr. Worthington received his J.D. from University of California College of the Law, San</w:t>
            </w:r>
          </w:p>
        </w:tc>
        <w:tc>
          <w:tcPr>
            <w:tcW w:w="0" w:type="dxa"/>
            <w:vAlign w:val="bottom"/>
          </w:tcPr>
          <w:p>
            <w:pPr>
              <w:spacing w:after="0"/>
              <w:rPr>
                <w:sz w:val="1"/>
                <w:szCs w:val="1"/>
                <w:color w:val="auto"/>
              </w:rPr>
            </w:pPr>
          </w:p>
        </w:tc>
      </w:tr>
      <w:tr>
        <w:trPr>
          <w:trHeight w:val="215"/>
        </w:trPr>
        <w:tc>
          <w:tcPr>
            <w:tcW w:w="2420" w:type="dxa"/>
            <w:vAlign w:val="bottom"/>
          </w:tcPr>
          <w:p>
            <w:pPr>
              <w:spacing w:after="0"/>
              <w:rPr>
                <w:sz w:val="18"/>
                <w:szCs w:val="18"/>
                <w:color w:val="auto"/>
              </w:rPr>
            </w:pPr>
          </w:p>
        </w:tc>
        <w:tc>
          <w:tcPr>
            <w:tcW w:w="6120" w:type="dxa"/>
            <w:vAlign w:val="bottom"/>
            <w:gridSpan w:val="2"/>
          </w:tcPr>
          <w:p>
            <w:pPr>
              <w:spacing w:after="0"/>
              <w:rPr>
                <w:sz w:val="20"/>
                <w:szCs w:val="20"/>
                <w:color w:val="auto"/>
              </w:rPr>
            </w:pPr>
            <w:r>
              <w:rPr>
                <w:rFonts w:ascii="Arial" w:cs="Arial" w:eastAsia="Arial" w:hAnsi="Arial"/>
                <w:sz w:val="16"/>
                <w:szCs w:val="16"/>
                <w:color w:val="auto"/>
              </w:rPr>
              <w:t>Francisco, in 1993 and B.A. in American Studies from Stanford University in 1988.</w:t>
            </w:r>
          </w:p>
        </w:tc>
        <w:tc>
          <w:tcPr>
            <w:tcW w:w="2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99"/>
        </w:trPr>
        <w:tc>
          <w:tcPr>
            <w:tcW w:w="2420" w:type="dxa"/>
            <w:vAlign w:val="bottom"/>
          </w:tcPr>
          <w:p>
            <w:pPr>
              <w:ind w:left="800"/>
              <w:spacing w:after="0"/>
              <w:rPr>
                <w:sz w:val="20"/>
                <w:szCs w:val="20"/>
                <w:color w:val="auto"/>
              </w:rPr>
            </w:pPr>
            <w:r>
              <w:rPr>
                <w:rFonts w:ascii="Arial" w:cs="Arial" w:eastAsia="Arial" w:hAnsi="Arial"/>
                <w:sz w:val="14"/>
                <w:szCs w:val="14"/>
                <w:color w:val="255993"/>
              </w:rPr>
              <w:t>Athira Pharma, Inc.</w:t>
            </w:r>
          </w:p>
        </w:tc>
        <w:tc>
          <w:tcPr>
            <w:tcW w:w="6120" w:type="dxa"/>
            <w:vAlign w:val="bottom"/>
            <w:gridSpan w:val="2"/>
          </w:tcPr>
          <w:p>
            <w:pPr>
              <w:ind w:left="3000"/>
              <w:spacing w:after="0"/>
              <w:rPr>
                <w:sz w:val="20"/>
                <w:szCs w:val="20"/>
                <w:color w:val="auto"/>
              </w:rPr>
            </w:pPr>
            <w:r>
              <w:rPr>
                <w:rFonts w:ascii="Arial" w:cs="Arial" w:eastAsia="Arial" w:hAnsi="Arial"/>
                <w:sz w:val="14"/>
                <w:szCs w:val="14"/>
                <w:b w:val="1"/>
                <w:bCs w:val="1"/>
                <w:color w:val="255993"/>
              </w:rPr>
              <w:t>33</w:t>
            </w:r>
          </w:p>
        </w:tc>
        <w:tc>
          <w:tcPr>
            <w:tcW w:w="2480" w:type="dxa"/>
            <w:vAlign w:val="bottom"/>
          </w:tcPr>
          <w:p>
            <w:pPr>
              <w:jc w:val="right"/>
              <w:ind w:right="748"/>
              <w:spacing w:after="0"/>
              <w:rPr>
                <w:sz w:val="20"/>
                <w:szCs w:val="20"/>
                <w:color w:val="auto"/>
              </w:rPr>
            </w:pPr>
            <w:r>
              <w:rPr>
                <w:rFonts w:ascii="Arial" w:cs="Arial" w:eastAsia="Arial" w:hAnsi="Arial"/>
                <w:sz w:val="14"/>
                <w:szCs w:val="14"/>
                <w:color w:val="255993"/>
              </w:rPr>
              <w:t>2024 Proxy Statement</w:t>
            </w:r>
          </w:p>
        </w:tc>
        <w:tc>
          <w:tcPr>
            <w:tcW w:w="0" w:type="dxa"/>
            <w:vAlign w:val="bottom"/>
          </w:tcPr>
          <w:p>
            <w:pPr>
              <w:spacing w:after="0"/>
              <w:rPr>
                <w:sz w:val="1"/>
                <w:szCs w:val="1"/>
                <w:color w:val="auto"/>
              </w:rPr>
            </w:pPr>
          </w:p>
        </w:tc>
      </w:tr>
      <w:tr>
        <w:trPr>
          <w:trHeight w:val="158"/>
        </w:trPr>
        <w:tc>
          <w:tcPr>
            <w:tcW w:w="24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4720" w:type="dxa"/>
            <w:vAlign w:val="bottom"/>
            <w:tcBorders>
              <w:bottom w:val="single" w:sz="8" w:color="auto"/>
            </w:tcBorders>
          </w:tcPr>
          <w:p>
            <w:pPr>
              <w:spacing w:after="0"/>
              <w:rPr>
                <w:sz w:val="13"/>
                <w:szCs w:val="13"/>
                <w:color w:val="auto"/>
              </w:rPr>
            </w:pPr>
          </w:p>
        </w:tc>
        <w:tc>
          <w:tcPr>
            <w:tcW w:w="24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-2408555</wp:posOffset>
            </wp:positionV>
            <wp:extent cx="882650" cy="8832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82650" cy="883285"/>
                    </a:xfrm>
                    <a:prstGeom prst="rect">
                      <a:avLst/>
                    </a:prstGeom>
                    <a:noFill/>
                  </pic:spPr>
                </pic:pic>
              </a:graphicData>
            </a:graphic>
          </wp:anchor>
        </w:drawing>
      </w:r>
    </w:p>
    <w:p>
      <w:pPr>
        <w:sectPr>
          <w:pgSz w:w="11900" w:h="16838" w:orient="portrait"/>
          <w:cols w:equalWidth="0" w:num="1">
            <w:col w:w="11020"/>
          </w:cols>
          <w:pgMar w:left="440" w:top="263" w:right="4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38" w:lineRule="exact"/>
        <w:rPr>
          <w:sz w:val="20"/>
          <w:szCs w:val="20"/>
          <w:color w:val="auto"/>
        </w:rPr>
      </w:pPr>
    </w:p>
    <w:p>
      <w:pPr>
        <w:spacing w:after="0"/>
        <w:rPr>
          <w:sz w:val="20"/>
          <w:szCs w:val="20"/>
          <w:color w:val="auto"/>
        </w:rPr>
      </w:pPr>
      <w:r>
        <w:rPr>
          <w:rFonts w:ascii="Arial" w:cs="Arial" w:eastAsia="Arial" w:hAnsi="Arial"/>
          <w:sz w:val="58"/>
          <w:szCs w:val="58"/>
          <w:color w:val="255993"/>
        </w:rPr>
        <w:t>Executive Compensation</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PROCESSES AND PROCEDURES FOR COMPENSATION DECISIONS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color w:val="auto"/>
        </w:rPr>
        <w:t>Our executive compensation programs are designed to:</w:t>
      </w:r>
    </w:p>
    <w:p>
      <w:pPr>
        <w:spacing w:after="0" w:line="167" w:lineRule="exact"/>
        <w:rPr>
          <w:sz w:val="20"/>
          <w:szCs w:val="20"/>
          <w:color w:val="auto"/>
        </w:rPr>
      </w:pPr>
    </w:p>
    <w:p>
      <w:pPr>
        <w:ind w:left="140" w:hanging="134"/>
        <w:spacing w:after="0"/>
        <w:tabs>
          <w:tab w:leader="none" w:pos="140" w:val="left"/>
        </w:tabs>
        <w:numPr>
          <w:ilvl w:val="0"/>
          <w:numId w:val="23"/>
        </w:numPr>
        <w:rPr>
          <w:rFonts w:ascii="Arial" w:cs="Arial" w:eastAsia="Arial" w:hAnsi="Arial"/>
          <w:sz w:val="16"/>
          <w:szCs w:val="16"/>
          <w:color w:val="255993"/>
        </w:rPr>
      </w:pPr>
      <w:r>
        <w:rPr>
          <w:rFonts w:ascii="Arial" w:cs="Arial" w:eastAsia="Arial" w:hAnsi="Arial"/>
          <w:sz w:val="16"/>
          <w:szCs w:val="16"/>
          <w:color w:val="auto"/>
        </w:rPr>
        <w:t>attract, motivate, incentivize and retain employees at the executive level who contribute to our long-term success;</w:t>
      </w:r>
    </w:p>
    <w:p>
      <w:pPr>
        <w:spacing w:after="0" w:line="59" w:lineRule="exact"/>
        <w:rPr>
          <w:rFonts w:ascii="Arial" w:cs="Arial" w:eastAsia="Arial" w:hAnsi="Arial"/>
          <w:sz w:val="16"/>
          <w:szCs w:val="16"/>
          <w:color w:val="255993"/>
        </w:rPr>
      </w:pPr>
    </w:p>
    <w:p>
      <w:pPr>
        <w:ind w:left="140" w:right="240" w:hanging="134"/>
        <w:spacing w:after="0" w:line="281" w:lineRule="auto"/>
        <w:tabs>
          <w:tab w:leader="none" w:pos="140" w:val="left"/>
        </w:tabs>
        <w:numPr>
          <w:ilvl w:val="0"/>
          <w:numId w:val="23"/>
        </w:numPr>
        <w:rPr>
          <w:rFonts w:ascii="Arial" w:cs="Arial" w:eastAsia="Arial" w:hAnsi="Arial"/>
          <w:sz w:val="16"/>
          <w:szCs w:val="16"/>
          <w:color w:val="255993"/>
        </w:rPr>
      </w:pPr>
      <w:r>
        <w:rPr>
          <w:rFonts w:ascii="Arial" w:cs="Arial" w:eastAsia="Arial" w:hAnsi="Arial"/>
          <w:sz w:val="16"/>
          <w:szCs w:val="16"/>
          <w:color w:val="auto"/>
        </w:rPr>
        <w:t>provide compensation packages to our executives that are fair and competitive and reward high levels of performance and the achievement of our business objectives; and</w:t>
      </w:r>
    </w:p>
    <w:p>
      <w:pPr>
        <w:spacing w:after="0" w:line="1" w:lineRule="exact"/>
        <w:rPr>
          <w:rFonts w:ascii="Arial" w:cs="Arial" w:eastAsia="Arial" w:hAnsi="Arial"/>
          <w:sz w:val="16"/>
          <w:szCs w:val="16"/>
          <w:color w:val="255993"/>
        </w:rPr>
      </w:pPr>
    </w:p>
    <w:p>
      <w:pPr>
        <w:ind w:left="140" w:right="620" w:hanging="134"/>
        <w:spacing w:after="0" w:line="286" w:lineRule="auto"/>
        <w:tabs>
          <w:tab w:leader="none" w:pos="140" w:val="left"/>
        </w:tabs>
        <w:numPr>
          <w:ilvl w:val="0"/>
          <w:numId w:val="23"/>
        </w:numPr>
        <w:rPr>
          <w:rFonts w:ascii="Arial" w:cs="Arial" w:eastAsia="Arial" w:hAnsi="Arial"/>
          <w:sz w:val="16"/>
          <w:szCs w:val="16"/>
          <w:color w:val="255993"/>
        </w:rPr>
      </w:pPr>
      <w:r>
        <w:rPr>
          <w:rFonts w:ascii="Arial" w:cs="Arial" w:eastAsia="Arial" w:hAnsi="Arial"/>
          <w:sz w:val="16"/>
          <w:szCs w:val="16"/>
          <w:color w:val="auto"/>
        </w:rPr>
        <w:t>more closely align our executives’ interests with those of our stockholders by focusing on long-term equity incentives that correlate with the growth of sustainable long-term value for our stockholders.</w:t>
      </w:r>
    </w:p>
    <w:p>
      <w:pPr>
        <w:spacing w:after="0" w:line="88" w:lineRule="exact"/>
        <w:rPr>
          <w:sz w:val="20"/>
          <w:szCs w:val="20"/>
          <w:color w:val="auto"/>
        </w:rPr>
      </w:pPr>
    </w:p>
    <w:p>
      <w:pPr>
        <w:jc w:val="both"/>
        <w:ind w:right="700"/>
        <w:spacing w:after="0" w:line="286" w:lineRule="auto"/>
        <w:rPr>
          <w:sz w:val="20"/>
          <w:szCs w:val="20"/>
          <w:color w:val="auto"/>
        </w:rPr>
      </w:pPr>
      <w:r>
        <w:rPr>
          <w:rFonts w:ascii="Arial" w:cs="Arial" w:eastAsia="Arial" w:hAnsi="Arial"/>
          <w:sz w:val="16"/>
          <w:szCs w:val="16"/>
          <w:color w:val="auto"/>
        </w:rPr>
        <w:t>Our compensation committee is responsible for making compensation decisions for executive officers other than our chief executive officer, but may, in its discretion, choose to make compensation recommendations to the full board of directors.</w:t>
      </w:r>
    </w:p>
    <w:p>
      <w:pPr>
        <w:spacing w:after="0" w:line="75"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Our board of directors has retained Pearl Meyer &amp; Partners, LLC, a compensation consulting firm, to provide recommendations based on research and analysis of executive compensation in companies in similar industries at a similar size and stage of corporate development, with the goal of ensuring that the compensation we offer to our executives is competitive and fair. Typically, our chief executive officer and chief financial officer will prepare and present recommendations at compensation committee meetings based on the compensation consultant recommendations, our chief executive officer’s own assessment of Company and individual performance and incentive and retention needs, and a representative from the compensation consultant will usually be present in the meetings to respond to committee questions. Our compensation committee considers the recommendations for cash and stock-based compensation and approves such compensation for the executive team, excluding the chief executive officer, and recommends such compensation to the board of directors for the chief executive officer. With regard to incentive compensation, our compensation committee evaluates the achievement of defined goals by the executive team, excluding the chief executive officer, and recommends to the board of directors with respect to the achievement of defined goals for the chief executive officer.</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EXECUTIVE COMPENSATION</w:t>
      </w:r>
    </w:p>
    <w:p>
      <w:pPr>
        <w:spacing w:after="0" w:line="108"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This section discusses the material components of the executive compensation program for our named executive officers who are named in the subsection titled “—2022 – 2023 Summary Compensation Table” below. For 2023, our “named executive officers” and their positions were as follows:</w:t>
      </w:r>
    </w:p>
    <w:p>
      <w:pPr>
        <w:spacing w:after="0" w:line="117" w:lineRule="exact"/>
        <w:rPr>
          <w:sz w:val="20"/>
          <w:szCs w:val="20"/>
          <w:color w:val="auto"/>
        </w:rPr>
      </w:pPr>
    </w:p>
    <w:p>
      <w:pPr>
        <w:ind w:left="140" w:hanging="134"/>
        <w:spacing w:after="0"/>
        <w:tabs>
          <w:tab w:leader="none" w:pos="140" w:val="left"/>
        </w:tabs>
        <w:numPr>
          <w:ilvl w:val="0"/>
          <w:numId w:val="24"/>
        </w:numPr>
        <w:rPr>
          <w:rFonts w:ascii="Arial" w:cs="Arial" w:eastAsia="Arial" w:hAnsi="Arial"/>
          <w:sz w:val="16"/>
          <w:szCs w:val="16"/>
          <w:color w:val="255993"/>
        </w:rPr>
      </w:pPr>
      <w:r>
        <w:rPr>
          <w:rFonts w:ascii="Arial" w:cs="Arial" w:eastAsia="Arial" w:hAnsi="Arial"/>
          <w:sz w:val="16"/>
          <w:szCs w:val="16"/>
          <w:color w:val="auto"/>
        </w:rPr>
        <w:t>Mark Litton, Ph.D., our president and chief executive officer;</w:t>
      </w:r>
    </w:p>
    <w:p>
      <w:pPr>
        <w:spacing w:after="0" w:line="59" w:lineRule="exact"/>
        <w:rPr>
          <w:rFonts w:ascii="Arial" w:cs="Arial" w:eastAsia="Arial" w:hAnsi="Arial"/>
          <w:sz w:val="16"/>
          <w:szCs w:val="16"/>
          <w:color w:val="255993"/>
        </w:rPr>
      </w:pPr>
    </w:p>
    <w:p>
      <w:pPr>
        <w:ind w:left="140" w:hanging="134"/>
        <w:spacing w:after="0"/>
        <w:tabs>
          <w:tab w:leader="none" w:pos="140" w:val="left"/>
        </w:tabs>
        <w:numPr>
          <w:ilvl w:val="0"/>
          <w:numId w:val="24"/>
        </w:numPr>
        <w:rPr>
          <w:rFonts w:ascii="Arial" w:cs="Arial" w:eastAsia="Arial" w:hAnsi="Arial"/>
          <w:sz w:val="16"/>
          <w:szCs w:val="16"/>
          <w:color w:val="255993"/>
        </w:rPr>
      </w:pPr>
      <w:r>
        <w:rPr>
          <w:rFonts w:ascii="Arial" w:cs="Arial" w:eastAsia="Arial" w:hAnsi="Arial"/>
          <w:sz w:val="16"/>
          <w:szCs w:val="16"/>
          <w:color w:val="auto"/>
        </w:rPr>
        <w:t>Andrew Gengos, our chief financial officer and chief business officer; and</w:t>
      </w:r>
    </w:p>
    <w:p>
      <w:pPr>
        <w:spacing w:after="0" w:line="59" w:lineRule="exact"/>
        <w:rPr>
          <w:rFonts w:ascii="Arial" w:cs="Arial" w:eastAsia="Arial" w:hAnsi="Arial"/>
          <w:sz w:val="16"/>
          <w:szCs w:val="16"/>
          <w:color w:val="255993"/>
        </w:rPr>
      </w:pPr>
    </w:p>
    <w:p>
      <w:pPr>
        <w:ind w:left="140" w:hanging="134"/>
        <w:spacing w:after="0"/>
        <w:tabs>
          <w:tab w:leader="none" w:pos="140" w:val="left"/>
        </w:tabs>
        <w:numPr>
          <w:ilvl w:val="0"/>
          <w:numId w:val="24"/>
        </w:numPr>
        <w:rPr>
          <w:rFonts w:ascii="Arial" w:cs="Arial" w:eastAsia="Arial" w:hAnsi="Arial"/>
          <w:sz w:val="16"/>
          <w:szCs w:val="16"/>
          <w:color w:val="255993"/>
        </w:rPr>
      </w:pPr>
      <w:r>
        <w:rPr>
          <w:rFonts w:ascii="Arial" w:cs="Arial" w:eastAsia="Arial" w:hAnsi="Arial"/>
          <w:sz w:val="16"/>
          <w:szCs w:val="16"/>
          <w:color w:val="auto"/>
        </w:rPr>
        <w:t>Hans Moebius, M.D., Ph.D., our former chief medical officer.</w:t>
      </w:r>
    </w:p>
    <w:p>
      <w:pPr>
        <w:spacing w:after="0" w:line="226" w:lineRule="exact"/>
        <w:rPr>
          <w:sz w:val="20"/>
          <w:szCs w:val="20"/>
          <w:color w:val="auto"/>
        </w:rPr>
      </w:pPr>
    </w:p>
    <w:p>
      <w:pPr>
        <w:spacing w:after="0"/>
        <w:tabs>
          <w:tab w:leader="none" w:pos="4600" w:val="left"/>
          <w:tab w:leader="none" w:pos="7960" w:val="left"/>
        </w:tabs>
        <w:rPr>
          <w:sz w:val="20"/>
          <w:szCs w:val="20"/>
          <w:color w:val="auto"/>
        </w:rPr>
      </w:pPr>
      <w:r>
        <w:rPr>
          <w:rFonts w:ascii="Arial" w:cs="Arial" w:eastAsia="Arial" w:hAnsi="Arial"/>
          <w:sz w:val="14"/>
          <w:szCs w:val="14"/>
          <w:color w:val="255993"/>
        </w:rPr>
        <w:t>Athira Pharma, Inc.</w:t>
      </w:r>
      <w:r>
        <w:rPr>
          <w:sz w:val="20"/>
          <w:szCs w:val="20"/>
          <w:color w:val="auto"/>
        </w:rPr>
        <w:tab/>
      </w:r>
      <w:r>
        <w:rPr>
          <w:rFonts w:ascii="Arial" w:cs="Arial" w:eastAsia="Arial" w:hAnsi="Arial"/>
          <w:sz w:val="14"/>
          <w:szCs w:val="14"/>
          <w:b w:val="1"/>
          <w:bCs w:val="1"/>
          <w:color w:val="255993"/>
        </w:rPr>
        <w:t>34</w:t>
      </w:r>
      <w:r>
        <w:rPr>
          <w:sz w:val="20"/>
          <w:szCs w:val="20"/>
          <w:color w:val="auto"/>
        </w:rPr>
        <w:tab/>
      </w:r>
      <w:r>
        <w:rPr>
          <w:rFonts w:ascii="Arial" w:cs="Arial" w:eastAsia="Arial" w:hAnsi="Arial"/>
          <w:sz w:val="14"/>
          <w:szCs w:val="14"/>
          <w:color w:val="255993"/>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118110</wp:posOffset>
            </wp:positionV>
            <wp:extent cx="699516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263" w:right="12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ind w:left="7820"/>
        <w:spacing w:after="0"/>
        <w:rPr>
          <w:sz w:val="20"/>
          <w:szCs w:val="20"/>
          <w:color w:val="auto"/>
        </w:rPr>
      </w:pPr>
      <w:r>
        <w:rPr>
          <w:rFonts w:ascii="Arial" w:cs="Arial" w:eastAsia="Arial" w:hAnsi="Arial"/>
          <w:sz w:val="14"/>
          <w:szCs w:val="14"/>
          <w:color w:val="255993"/>
        </w:rPr>
        <w:t>Executive Compensation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2022 – 2023 SUMMARY COMPENSATION TABLE</w:t>
      </w:r>
    </w:p>
    <w:p>
      <w:pPr>
        <w:spacing w:after="0" w:line="108"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The following table represents information regarding the total compensation awarded to, earned by or paid to our named executive officers for the years ended December 31, 2023 and December 31, 2022.</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337"/>
        </w:trPr>
        <w:tc>
          <w:tcPr>
            <w:tcW w:w="1720" w:type="dxa"/>
            <w:vAlign w:val="bottom"/>
            <w:shd w:val="clear" w:color="auto" w:fill="255993"/>
          </w:tcPr>
          <w:p>
            <w:pPr>
              <w:spacing w:after="0"/>
              <w:rPr>
                <w:sz w:val="24"/>
                <w:szCs w:val="24"/>
                <w:color w:val="auto"/>
              </w:rPr>
            </w:pPr>
          </w:p>
        </w:tc>
        <w:tc>
          <w:tcPr>
            <w:tcW w:w="120" w:type="dxa"/>
            <w:vAlign w:val="bottom"/>
            <w:shd w:val="clear" w:color="auto" w:fill="255993"/>
          </w:tcPr>
          <w:p>
            <w:pPr>
              <w:spacing w:after="0"/>
              <w:rPr>
                <w:sz w:val="24"/>
                <w:szCs w:val="24"/>
                <w:color w:val="auto"/>
              </w:rPr>
            </w:pPr>
          </w:p>
        </w:tc>
        <w:tc>
          <w:tcPr>
            <w:tcW w:w="500" w:type="dxa"/>
            <w:vAlign w:val="bottom"/>
            <w:shd w:val="clear" w:color="auto" w:fill="255993"/>
          </w:tcPr>
          <w:p>
            <w:pPr>
              <w:spacing w:after="0"/>
              <w:rPr>
                <w:sz w:val="24"/>
                <w:szCs w:val="24"/>
                <w:color w:val="auto"/>
              </w:rPr>
            </w:pPr>
          </w:p>
        </w:tc>
        <w:tc>
          <w:tcPr>
            <w:tcW w:w="820" w:type="dxa"/>
            <w:vAlign w:val="bottom"/>
            <w:shd w:val="clear" w:color="auto" w:fill="255993"/>
          </w:tcPr>
          <w:p>
            <w:pPr>
              <w:spacing w:after="0"/>
              <w:rPr>
                <w:sz w:val="24"/>
                <w:szCs w:val="24"/>
                <w:color w:val="auto"/>
              </w:rPr>
            </w:pPr>
          </w:p>
        </w:tc>
        <w:tc>
          <w:tcPr>
            <w:tcW w:w="760" w:type="dxa"/>
            <w:vAlign w:val="bottom"/>
            <w:shd w:val="clear" w:color="auto" w:fill="255993"/>
          </w:tcPr>
          <w:p>
            <w:pPr>
              <w:spacing w:after="0"/>
              <w:rPr>
                <w:sz w:val="24"/>
                <w:szCs w:val="24"/>
                <w:color w:val="auto"/>
              </w:rPr>
            </w:pPr>
          </w:p>
        </w:tc>
        <w:tc>
          <w:tcPr>
            <w:tcW w:w="880" w:type="dxa"/>
            <w:vAlign w:val="bottom"/>
            <w:shd w:val="clear" w:color="auto" w:fill="255993"/>
          </w:tcPr>
          <w:p>
            <w:pPr>
              <w:spacing w:after="0"/>
              <w:rPr>
                <w:sz w:val="24"/>
                <w:szCs w:val="24"/>
                <w:color w:val="auto"/>
              </w:rPr>
            </w:pPr>
          </w:p>
        </w:tc>
        <w:tc>
          <w:tcPr>
            <w:tcW w:w="940" w:type="dxa"/>
            <w:vAlign w:val="bottom"/>
            <w:shd w:val="clear" w:color="auto" w:fill="255993"/>
          </w:tcPr>
          <w:p>
            <w:pPr>
              <w:spacing w:after="0"/>
              <w:rPr>
                <w:sz w:val="24"/>
                <w:szCs w:val="24"/>
                <w:color w:val="auto"/>
              </w:rPr>
            </w:pPr>
          </w:p>
        </w:tc>
        <w:tc>
          <w:tcPr>
            <w:tcW w:w="1380" w:type="dxa"/>
            <w:vAlign w:val="bottom"/>
            <w:shd w:val="clear" w:color="auto" w:fill="255993"/>
          </w:tcPr>
          <w:p>
            <w:pPr>
              <w:jc w:val="right"/>
              <w:ind w:right="104"/>
              <w:spacing w:after="0"/>
              <w:rPr>
                <w:sz w:val="20"/>
                <w:szCs w:val="20"/>
                <w:color w:val="auto"/>
              </w:rPr>
            </w:pPr>
            <w:r>
              <w:rPr>
                <w:rFonts w:ascii="Arial" w:cs="Arial" w:eastAsia="Arial" w:hAnsi="Arial"/>
                <w:sz w:val="16"/>
                <w:szCs w:val="16"/>
                <w:b w:val="1"/>
                <w:bCs w:val="1"/>
                <w:color w:val="FFFFFF"/>
              </w:rPr>
              <w:t>Non-equity</w:t>
            </w:r>
          </w:p>
        </w:tc>
        <w:tc>
          <w:tcPr>
            <w:tcW w:w="1440" w:type="dxa"/>
            <w:vAlign w:val="bottom"/>
            <w:shd w:val="clear" w:color="auto" w:fill="255993"/>
          </w:tcPr>
          <w:p>
            <w:pPr>
              <w:spacing w:after="0"/>
              <w:rPr>
                <w:sz w:val="24"/>
                <w:szCs w:val="24"/>
                <w:color w:val="auto"/>
              </w:rPr>
            </w:pPr>
          </w:p>
        </w:tc>
        <w:tc>
          <w:tcPr>
            <w:tcW w:w="840" w:type="dxa"/>
            <w:vAlign w:val="bottom"/>
            <w:shd w:val="clear" w:color="auto" w:fill="255993"/>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720" w:type="dxa"/>
            <w:vAlign w:val="bottom"/>
            <w:shd w:val="clear" w:color="auto" w:fill="255993"/>
          </w:tcPr>
          <w:p>
            <w:pPr>
              <w:spacing w:after="0"/>
              <w:rPr>
                <w:sz w:val="17"/>
                <w:szCs w:val="17"/>
                <w:color w:val="auto"/>
              </w:rPr>
            </w:pPr>
          </w:p>
        </w:tc>
        <w:tc>
          <w:tcPr>
            <w:tcW w:w="120" w:type="dxa"/>
            <w:vAlign w:val="bottom"/>
            <w:shd w:val="clear" w:color="auto" w:fill="255993"/>
          </w:tcPr>
          <w:p>
            <w:pPr>
              <w:spacing w:after="0"/>
              <w:rPr>
                <w:sz w:val="17"/>
                <w:szCs w:val="17"/>
                <w:color w:val="auto"/>
              </w:rPr>
            </w:pPr>
          </w:p>
        </w:tc>
        <w:tc>
          <w:tcPr>
            <w:tcW w:w="500" w:type="dxa"/>
            <w:vAlign w:val="bottom"/>
            <w:shd w:val="clear" w:color="auto" w:fill="255993"/>
          </w:tcPr>
          <w:p>
            <w:pPr>
              <w:spacing w:after="0"/>
              <w:rPr>
                <w:sz w:val="17"/>
                <w:szCs w:val="17"/>
                <w:color w:val="auto"/>
              </w:rPr>
            </w:pPr>
          </w:p>
        </w:tc>
        <w:tc>
          <w:tcPr>
            <w:tcW w:w="820" w:type="dxa"/>
            <w:vAlign w:val="bottom"/>
            <w:shd w:val="clear" w:color="auto" w:fill="255993"/>
          </w:tcPr>
          <w:p>
            <w:pPr>
              <w:spacing w:after="0"/>
              <w:rPr>
                <w:sz w:val="17"/>
                <w:szCs w:val="17"/>
                <w:color w:val="auto"/>
              </w:rPr>
            </w:pPr>
          </w:p>
        </w:tc>
        <w:tc>
          <w:tcPr>
            <w:tcW w:w="760" w:type="dxa"/>
            <w:vAlign w:val="bottom"/>
            <w:shd w:val="clear" w:color="auto" w:fill="255993"/>
          </w:tcPr>
          <w:p>
            <w:pPr>
              <w:spacing w:after="0"/>
              <w:rPr>
                <w:sz w:val="17"/>
                <w:szCs w:val="17"/>
                <w:color w:val="auto"/>
              </w:rPr>
            </w:pPr>
          </w:p>
        </w:tc>
        <w:tc>
          <w:tcPr>
            <w:tcW w:w="880" w:type="dxa"/>
            <w:vAlign w:val="bottom"/>
            <w:shd w:val="clear" w:color="auto" w:fill="255993"/>
          </w:tcPr>
          <w:p>
            <w:pPr>
              <w:jc w:val="right"/>
              <w:ind w:right="145"/>
              <w:spacing w:after="0"/>
              <w:rPr>
                <w:sz w:val="20"/>
                <w:szCs w:val="20"/>
                <w:color w:val="auto"/>
              </w:rPr>
            </w:pPr>
            <w:r>
              <w:rPr>
                <w:rFonts w:ascii="Arial" w:cs="Arial" w:eastAsia="Arial" w:hAnsi="Arial"/>
                <w:sz w:val="16"/>
                <w:szCs w:val="16"/>
                <w:b w:val="1"/>
                <w:bCs w:val="1"/>
                <w:color w:val="FFFFFF"/>
              </w:rPr>
              <w:t>Stock</w:t>
            </w:r>
          </w:p>
        </w:tc>
        <w:tc>
          <w:tcPr>
            <w:tcW w:w="940" w:type="dxa"/>
            <w:vAlign w:val="bottom"/>
            <w:shd w:val="clear" w:color="auto" w:fill="255993"/>
          </w:tcPr>
          <w:p>
            <w:pPr>
              <w:jc w:val="right"/>
              <w:ind w:right="105"/>
              <w:spacing w:after="0"/>
              <w:rPr>
                <w:sz w:val="20"/>
                <w:szCs w:val="20"/>
                <w:color w:val="auto"/>
              </w:rPr>
            </w:pPr>
            <w:r>
              <w:rPr>
                <w:rFonts w:ascii="Arial" w:cs="Arial" w:eastAsia="Arial" w:hAnsi="Arial"/>
                <w:sz w:val="16"/>
                <w:szCs w:val="16"/>
                <w:b w:val="1"/>
                <w:bCs w:val="1"/>
                <w:color w:val="FFFFFF"/>
              </w:rPr>
              <w:t>Option</w:t>
            </w:r>
          </w:p>
        </w:tc>
        <w:tc>
          <w:tcPr>
            <w:tcW w:w="1380" w:type="dxa"/>
            <w:vAlign w:val="bottom"/>
            <w:shd w:val="clear" w:color="auto" w:fill="255993"/>
          </w:tcPr>
          <w:p>
            <w:pPr>
              <w:jc w:val="right"/>
              <w:ind w:right="64"/>
              <w:spacing w:after="0"/>
              <w:rPr>
                <w:sz w:val="20"/>
                <w:szCs w:val="20"/>
                <w:color w:val="auto"/>
              </w:rPr>
            </w:pPr>
            <w:r>
              <w:rPr>
                <w:rFonts w:ascii="Arial" w:cs="Arial" w:eastAsia="Arial" w:hAnsi="Arial"/>
                <w:sz w:val="16"/>
                <w:szCs w:val="16"/>
                <w:b w:val="1"/>
                <w:bCs w:val="1"/>
                <w:color w:val="FFFFFF"/>
              </w:rPr>
              <w:t>Incentive Plan</w:t>
            </w:r>
          </w:p>
        </w:tc>
        <w:tc>
          <w:tcPr>
            <w:tcW w:w="1440" w:type="dxa"/>
            <w:vAlign w:val="bottom"/>
            <w:shd w:val="clear" w:color="auto" w:fill="255993"/>
          </w:tcPr>
          <w:p>
            <w:pPr>
              <w:jc w:val="right"/>
              <w:ind w:right="169"/>
              <w:spacing w:after="0"/>
              <w:rPr>
                <w:sz w:val="20"/>
                <w:szCs w:val="20"/>
                <w:color w:val="auto"/>
              </w:rPr>
            </w:pPr>
            <w:r>
              <w:rPr>
                <w:rFonts w:ascii="Arial" w:cs="Arial" w:eastAsia="Arial" w:hAnsi="Arial"/>
                <w:sz w:val="16"/>
                <w:szCs w:val="16"/>
                <w:b w:val="1"/>
                <w:bCs w:val="1"/>
                <w:color w:val="FFFFFF"/>
              </w:rPr>
              <w:t>All Other</w:t>
            </w:r>
          </w:p>
        </w:tc>
        <w:tc>
          <w:tcPr>
            <w:tcW w:w="840" w:type="dxa"/>
            <w:vAlign w:val="bottom"/>
            <w:shd w:val="clear" w:color="auto" w:fill="255993"/>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720" w:type="dxa"/>
            <w:vAlign w:val="bottom"/>
            <w:shd w:val="clear" w:color="auto" w:fill="255993"/>
          </w:tcPr>
          <w:p>
            <w:pPr>
              <w:ind w:left="60"/>
              <w:spacing w:after="0"/>
              <w:rPr>
                <w:sz w:val="20"/>
                <w:szCs w:val="20"/>
                <w:color w:val="auto"/>
              </w:rPr>
            </w:pPr>
            <w:r>
              <w:rPr>
                <w:rFonts w:ascii="Arial" w:cs="Arial" w:eastAsia="Arial" w:hAnsi="Arial"/>
                <w:sz w:val="16"/>
                <w:szCs w:val="16"/>
                <w:b w:val="1"/>
                <w:bCs w:val="1"/>
                <w:color w:val="FFFFFF"/>
              </w:rPr>
              <w:t>Name and</w:t>
            </w:r>
          </w:p>
        </w:tc>
        <w:tc>
          <w:tcPr>
            <w:tcW w:w="120" w:type="dxa"/>
            <w:vAlign w:val="bottom"/>
            <w:shd w:val="clear" w:color="auto" w:fill="255993"/>
          </w:tcPr>
          <w:p>
            <w:pPr>
              <w:spacing w:after="0"/>
              <w:rPr>
                <w:sz w:val="16"/>
                <w:szCs w:val="16"/>
                <w:color w:val="auto"/>
              </w:rPr>
            </w:pPr>
          </w:p>
        </w:tc>
        <w:tc>
          <w:tcPr>
            <w:tcW w:w="500" w:type="dxa"/>
            <w:vAlign w:val="bottom"/>
            <w:shd w:val="clear" w:color="auto" w:fill="255993"/>
          </w:tcPr>
          <w:p>
            <w:pPr>
              <w:spacing w:after="0"/>
              <w:rPr>
                <w:sz w:val="16"/>
                <w:szCs w:val="16"/>
                <w:color w:val="auto"/>
              </w:rPr>
            </w:pPr>
          </w:p>
        </w:tc>
        <w:tc>
          <w:tcPr>
            <w:tcW w:w="820" w:type="dxa"/>
            <w:vAlign w:val="bottom"/>
            <w:shd w:val="clear" w:color="auto" w:fill="255993"/>
          </w:tcPr>
          <w:p>
            <w:pPr>
              <w:jc w:val="right"/>
              <w:ind w:right="105"/>
              <w:spacing w:after="0"/>
              <w:rPr>
                <w:sz w:val="20"/>
                <w:szCs w:val="20"/>
                <w:color w:val="auto"/>
              </w:rPr>
            </w:pPr>
            <w:r>
              <w:rPr>
                <w:rFonts w:ascii="Arial" w:cs="Arial" w:eastAsia="Arial" w:hAnsi="Arial"/>
                <w:sz w:val="16"/>
                <w:szCs w:val="16"/>
                <w:b w:val="1"/>
                <w:bCs w:val="1"/>
                <w:color w:val="FFFFFF"/>
              </w:rPr>
              <w:t>Salary</w:t>
            </w:r>
          </w:p>
        </w:tc>
        <w:tc>
          <w:tcPr>
            <w:tcW w:w="760" w:type="dxa"/>
            <w:vAlign w:val="bottom"/>
            <w:shd w:val="clear" w:color="auto" w:fill="255993"/>
          </w:tcPr>
          <w:p>
            <w:pPr>
              <w:jc w:val="right"/>
              <w:ind w:right="65"/>
              <w:spacing w:after="0"/>
              <w:rPr>
                <w:sz w:val="20"/>
                <w:szCs w:val="20"/>
                <w:color w:val="auto"/>
              </w:rPr>
            </w:pPr>
            <w:r>
              <w:rPr>
                <w:rFonts w:ascii="Arial" w:cs="Arial" w:eastAsia="Arial" w:hAnsi="Arial"/>
                <w:sz w:val="16"/>
                <w:szCs w:val="16"/>
                <w:b w:val="1"/>
                <w:bCs w:val="1"/>
                <w:color w:val="FFFFFF"/>
              </w:rPr>
              <w:t>Bonus</w:t>
            </w:r>
          </w:p>
        </w:tc>
        <w:tc>
          <w:tcPr>
            <w:tcW w:w="880" w:type="dxa"/>
            <w:vAlign w:val="bottom"/>
            <w:shd w:val="clear" w:color="auto" w:fill="255993"/>
          </w:tcPr>
          <w:p>
            <w:pPr>
              <w:jc w:val="right"/>
              <w:ind w:right="105"/>
              <w:spacing w:after="0"/>
              <w:rPr>
                <w:sz w:val="20"/>
                <w:szCs w:val="20"/>
                <w:color w:val="auto"/>
              </w:rPr>
            </w:pPr>
            <w:r>
              <w:rPr>
                <w:rFonts w:ascii="Arial" w:cs="Arial" w:eastAsia="Arial" w:hAnsi="Arial"/>
                <w:sz w:val="16"/>
                <w:szCs w:val="16"/>
                <w:b w:val="1"/>
                <w:bCs w:val="1"/>
                <w:color w:val="FFFFFF"/>
              </w:rPr>
              <w:t>Awards</w:t>
            </w:r>
          </w:p>
        </w:tc>
        <w:tc>
          <w:tcPr>
            <w:tcW w:w="940" w:type="dxa"/>
            <w:vAlign w:val="bottom"/>
            <w:shd w:val="clear" w:color="auto" w:fill="255993"/>
          </w:tcPr>
          <w:p>
            <w:pPr>
              <w:jc w:val="right"/>
              <w:ind w:right="105"/>
              <w:spacing w:after="0"/>
              <w:rPr>
                <w:sz w:val="20"/>
                <w:szCs w:val="20"/>
                <w:color w:val="auto"/>
              </w:rPr>
            </w:pPr>
            <w:r>
              <w:rPr>
                <w:rFonts w:ascii="Arial" w:cs="Arial" w:eastAsia="Arial" w:hAnsi="Arial"/>
                <w:sz w:val="16"/>
                <w:szCs w:val="16"/>
                <w:b w:val="1"/>
                <w:bCs w:val="1"/>
                <w:color w:val="FFFFFF"/>
              </w:rPr>
              <w:t>Awards</w:t>
            </w:r>
          </w:p>
        </w:tc>
        <w:tc>
          <w:tcPr>
            <w:tcW w:w="1380" w:type="dxa"/>
            <w:vAlign w:val="bottom"/>
            <w:shd w:val="clear" w:color="auto" w:fill="255993"/>
          </w:tcPr>
          <w:p>
            <w:pPr>
              <w:jc w:val="right"/>
              <w:ind w:right="64"/>
              <w:spacing w:after="0"/>
              <w:rPr>
                <w:sz w:val="20"/>
                <w:szCs w:val="20"/>
                <w:color w:val="auto"/>
              </w:rPr>
            </w:pPr>
            <w:r>
              <w:rPr>
                <w:rFonts w:ascii="Arial" w:cs="Arial" w:eastAsia="Arial" w:hAnsi="Arial"/>
                <w:sz w:val="16"/>
                <w:szCs w:val="16"/>
                <w:b w:val="1"/>
                <w:bCs w:val="1"/>
                <w:color w:val="FFFFFF"/>
              </w:rPr>
              <w:t>Compensation</w:t>
            </w:r>
          </w:p>
        </w:tc>
        <w:tc>
          <w:tcPr>
            <w:tcW w:w="1440" w:type="dxa"/>
            <w:vAlign w:val="bottom"/>
            <w:shd w:val="clear" w:color="auto" w:fill="255993"/>
          </w:tcPr>
          <w:p>
            <w:pPr>
              <w:jc w:val="right"/>
              <w:ind w:right="129"/>
              <w:spacing w:after="0"/>
              <w:rPr>
                <w:sz w:val="20"/>
                <w:szCs w:val="20"/>
                <w:color w:val="auto"/>
              </w:rPr>
            </w:pPr>
            <w:r>
              <w:rPr>
                <w:rFonts w:ascii="Arial" w:cs="Arial" w:eastAsia="Arial" w:hAnsi="Arial"/>
                <w:sz w:val="16"/>
                <w:szCs w:val="16"/>
                <w:b w:val="1"/>
                <w:bCs w:val="1"/>
                <w:color w:val="FFFFFF"/>
              </w:rPr>
              <w:t>Compensation</w:t>
            </w:r>
          </w:p>
        </w:tc>
        <w:tc>
          <w:tcPr>
            <w:tcW w:w="840" w:type="dxa"/>
            <w:vAlign w:val="bottom"/>
            <w:shd w:val="clear" w:color="auto" w:fill="255993"/>
          </w:tcPr>
          <w:p>
            <w:pPr>
              <w:jc w:val="right"/>
              <w:spacing w:after="0"/>
              <w:rPr>
                <w:sz w:val="20"/>
                <w:szCs w:val="20"/>
                <w:color w:val="auto"/>
              </w:rPr>
            </w:pPr>
            <w:r>
              <w:rPr>
                <w:rFonts w:ascii="Arial" w:cs="Arial" w:eastAsia="Arial" w:hAnsi="Arial"/>
                <w:sz w:val="16"/>
                <w:szCs w:val="16"/>
                <w:b w:val="1"/>
                <w:bCs w:val="1"/>
                <w:color w:val="FFFFFF"/>
              </w:rPr>
              <w:t>Total</w:t>
            </w:r>
          </w:p>
        </w:tc>
        <w:tc>
          <w:tcPr>
            <w:tcW w:w="0" w:type="dxa"/>
            <w:vAlign w:val="bottom"/>
          </w:tcPr>
          <w:p>
            <w:pPr>
              <w:spacing w:after="0"/>
              <w:rPr>
                <w:sz w:val="1"/>
                <w:szCs w:val="1"/>
                <w:color w:val="auto"/>
              </w:rPr>
            </w:pPr>
          </w:p>
        </w:tc>
      </w:tr>
      <w:tr>
        <w:trPr>
          <w:trHeight w:val="338"/>
        </w:trPr>
        <w:tc>
          <w:tcPr>
            <w:tcW w:w="1720" w:type="dxa"/>
            <w:vAlign w:val="bottom"/>
            <w:shd w:val="clear" w:color="auto" w:fill="255993"/>
          </w:tcPr>
          <w:p>
            <w:pPr>
              <w:ind w:left="60"/>
              <w:spacing w:after="0"/>
              <w:rPr>
                <w:sz w:val="20"/>
                <w:szCs w:val="20"/>
                <w:color w:val="auto"/>
              </w:rPr>
            </w:pPr>
            <w:r>
              <w:rPr>
                <w:rFonts w:ascii="Arial" w:cs="Arial" w:eastAsia="Arial" w:hAnsi="Arial"/>
                <w:sz w:val="16"/>
                <w:szCs w:val="16"/>
                <w:b w:val="1"/>
                <w:bCs w:val="1"/>
                <w:color w:val="FFFFFF"/>
              </w:rPr>
              <w:t>Principal Position</w:t>
            </w:r>
          </w:p>
        </w:tc>
        <w:tc>
          <w:tcPr>
            <w:tcW w:w="120" w:type="dxa"/>
            <w:vAlign w:val="bottom"/>
            <w:shd w:val="clear" w:color="auto" w:fill="255993"/>
          </w:tcPr>
          <w:p>
            <w:pPr>
              <w:spacing w:after="0"/>
              <w:rPr>
                <w:sz w:val="24"/>
                <w:szCs w:val="24"/>
                <w:color w:val="auto"/>
              </w:rPr>
            </w:pPr>
          </w:p>
        </w:tc>
        <w:tc>
          <w:tcPr>
            <w:tcW w:w="500" w:type="dxa"/>
            <w:vAlign w:val="bottom"/>
            <w:shd w:val="clear" w:color="auto" w:fill="255993"/>
          </w:tcPr>
          <w:p>
            <w:pPr>
              <w:jc w:val="right"/>
              <w:ind w:right="66"/>
              <w:spacing w:after="0"/>
              <w:rPr>
                <w:sz w:val="20"/>
                <w:szCs w:val="20"/>
                <w:color w:val="auto"/>
              </w:rPr>
            </w:pPr>
            <w:r>
              <w:rPr>
                <w:rFonts w:ascii="Arial" w:cs="Arial" w:eastAsia="Arial" w:hAnsi="Arial"/>
                <w:sz w:val="16"/>
                <w:szCs w:val="16"/>
                <w:b w:val="1"/>
                <w:bCs w:val="1"/>
                <w:color w:val="FFFFFF"/>
                <w:w w:val="97"/>
              </w:rPr>
              <w:t>Year</w:t>
            </w:r>
          </w:p>
        </w:tc>
        <w:tc>
          <w:tcPr>
            <w:tcW w:w="820" w:type="dxa"/>
            <w:vAlign w:val="bottom"/>
            <w:shd w:val="clear" w:color="auto" w:fill="255993"/>
          </w:tcPr>
          <w:p>
            <w:pPr>
              <w:jc w:val="right"/>
              <w:ind w:right="45"/>
              <w:spacing w:after="0"/>
              <w:rPr>
                <w:sz w:val="20"/>
                <w:szCs w:val="20"/>
                <w:color w:val="auto"/>
              </w:rPr>
            </w:pPr>
            <w:r>
              <w:rPr>
                <w:rFonts w:ascii="Arial" w:cs="Arial" w:eastAsia="Arial" w:hAnsi="Arial"/>
                <w:sz w:val="16"/>
                <w:szCs w:val="16"/>
                <w:b w:val="1"/>
                <w:bCs w:val="1"/>
                <w:color w:val="FFFFFF"/>
              </w:rPr>
              <w:t>($)</w:t>
            </w:r>
          </w:p>
        </w:tc>
        <w:tc>
          <w:tcPr>
            <w:tcW w:w="760" w:type="dxa"/>
            <w:vAlign w:val="bottom"/>
            <w:shd w:val="clear" w:color="auto" w:fill="255993"/>
          </w:tcPr>
          <w:p>
            <w:pPr>
              <w:jc w:val="right"/>
              <w:ind w:right="65"/>
              <w:spacing w:after="0"/>
              <w:rPr>
                <w:sz w:val="20"/>
                <w:szCs w:val="20"/>
                <w:color w:val="auto"/>
              </w:rPr>
            </w:pPr>
            <w:r>
              <w:rPr>
                <w:rFonts w:ascii="Arial" w:cs="Arial" w:eastAsia="Arial" w:hAnsi="Arial"/>
                <w:sz w:val="16"/>
                <w:szCs w:val="16"/>
                <w:b w:val="1"/>
                <w:bCs w:val="1"/>
                <w:color w:val="FFFFFF"/>
              </w:rPr>
              <w:t>($)</w:t>
            </w:r>
          </w:p>
        </w:tc>
        <w:tc>
          <w:tcPr>
            <w:tcW w:w="880" w:type="dxa"/>
            <w:vAlign w:val="bottom"/>
            <w:shd w:val="clear" w:color="auto" w:fill="255993"/>
          </w:tcPr>
          <w:p>
            <w:pPr>
              <w:jc w:val="right"/>
              <w:ind w:right="105"/>
              <w:spacing w:after="0"/>
              <w:rPr>
                <w:sz w:val="20"/>
                <w:szCs w:val="20"/>
                <w:color w:val="auto"/>
              </w:rPr>
            </w:pPr>
            <w:r>
              <w:rPr>
                <w:rFonts w:ascii="Arial" w:cs="Arial" w:eastAsia="Arial" w:hAnsi="Arial"/>
                <w:sz w:val="16"/>
                <w:szCs w:val="16"/>
                <w:b w:val="1"/>
                <w:bCs w:val="1"/>
                <w:color w:val="FFFFFF"/>
              </w:rPr>
              <w:t>($)</w:t>
            </w:r>
            <w:r>
              <w:rPr>
                <w:rFonts w:ascii="Arial" w:cs="Arial" w:eastAsia="Arial" w:hAnsi="Arial"/>
                <w:sz w:val="26"/>
                <w:szCs w:val="26"/>
                <w:b w:val="1"/>
                <w:bCs w:val="1"/>
                <w:color w:val="FFFFFF"/>
                <w:vertAlign w:val="superscript"/>
              </w:rPr>
              <w:t>(1)</w:t>
            </w:r>
          </w:p>
        </w:tc>
        <w:tc>
          <w:tcPr>
            <w:tcW w:w="940" w:type="dxa"/>
            <w:vAlign w:val="bottom"/>
            <w:shd w:val="clear" w:color="auto" w:fill="255993"/>
          </w:tcPr>
          <w:p>
            <w:pPr>
              <w:jc w:val="right"/>
              <w:ind w:right="65"/>
              <w:spacing w:after="0"/>
              <w:rPr>
                <w:sz w:val="20"/>
                <w:szCs w:val="20"/>
                <w:color w:val="auto"/>
              </w:rPr>
            </w:pPr>
            <w:r>
              <w:rPr>
                <w:rFonts w:ascii="Arial" w:cs="Arial" w:eastAsia="Arial" w:hAnsi="Arial"/>
                <w:sz w:val="16"/>
                <w:szCs w:val="16"/>
                <w:b w:val="1"/>
                <w:bCs w:val="1"/>
                <w:color w:val="FFFFFF"/>
              </w:rPr>
              <w:t>($)</w:t>
            </w:r>
            <w:r>
              <w:rPr>
                <w:rFonts w:ascii="Arial" w:cs="Arial" w:eastAsia="Arial" w:hAnsi="Arial"/>
                <w:sz w:val="26"/>
                <w:szCs w:val="26"/>
                <w:b w:val="1"/>
                <w:bCs w:val="1"/>
                <w:color w:val="FFFFFF"/>
                <w:vertAlign w:val="superscript"/>
              </w:rPr>
              <w:t>(2)</w:t>
            </w:r>
          </w:p>
        </w:tc>
        <w:tc>
          <w:tcPr>
            <w:tcW w:w="1380" w:type="dxa"/>
            <w:vAlign w:val="bottom"/>
            <w:shd w:val="clear" w:color="auto" w:fill="255993"/>
          </w:tcPr>
          <w:p>
            <w:pPr>
              <w:jc w:val="right"/>
              <w:ind w:right="64"/>
              <w:spacing w:after="0"/>
              <w:rPr>
                <w:sz w:val="20"/>
                <w:szCs w:val="20"/>
                <w:color w:val="auto"/>
              </w:rPr>
            </w:pPr>
            <w:r>
              <w:rPr>
                <w:rFonts w:ascii="Arial" w:cs="Arial" w:eastAsia="Arial" w:hAnsi="Arial"/>
                <w:sz w:val="16"/>
                <w:szCs w:val="16"/>
                <w:b w:val="1"/>
                <w:bCs w:val="1"/>
                <w:color w:val="FFFFFF"/>
              </w:rPr>
              <w:t>($)</w:t>
            </w:r>
            <w:r>
              <w:rPr>
                <w:rFonts w:ascii="Arial" w:cs="Arial" w:eastAsia="Arial" w:hAnsi="Arial"/>
                <w:sz w:val="26"/>
                <w:szCs w:val="26"/>
                <w:b w:val="1"/>
                <w:bCs w:val="1"/>
                <w:color w:val="FFFFFF"/>
                <w:vertAlign w:val="superscript"/>
              </w:rPr>
              <w:t>(3)</w:t>
            </w:r>
          </w:p>
        </w:tc>
        <w:tc>
          <w:tcPr>
            <w:tcW w:w="1440" w:type="dxa"/>
            <w:vAlign w:val="bottom"/>
            <w:shd w:val="clear" w:color="auto" w:fill="255993"/>
          </w:tcPr>
          <w:p>
            <w:pPr>
              <w:jc w:val="right"/>
              <w:ind w:right="129"/>
              <w:spacing w:after="0"/>
              <w:rPr>
                <w:sz w:val="20"/>
                <w:szCs w:val="20"/>
                <w:color w:val="auto"/>
              </w:rPr>
            </w:pPr>
            <w:r>
              <w:rPr>
                <w:rFonts w:ascii="Arial" w:cs="Arial" w:eastAsia="Arial" w:hAnsi="Arial"/>
                <w:sz w:val="16"/>
                <w:szCs w:val="16"/>
                <w:b w:val="1"/>
                <w:bCs w:val="1"/>
                <w:color w:val="FFFFFF"/>
              </w:rPr>
              <w:t>($)</w:t>
            </w:r>
          </w:p>
        </w:tc>
        <w:tc>
          <w:tcPr>
            <w:tcW w:w="840" w:type="dxa"/>
            <w:vAlign w:val="bottom"/>
            <w:shd w:val="clear" w:color="auto" w:fill="255993"/>
          </w:tcPr>
          <w:p>
            <w:pPr>
              <w:jc w:val="right"/>
              <w:spacing w:after="0"/>
              <w:rPr>
                <w:sz w:val="20"/>
                <w:szCs w:val="20"/>
                <w:color w:val="auto"/>
              </w:rPr>
            </w:pPr>
            <w:r>
              <w:rPr>
                <w:rFonts w:ascii="Arial" w:cs="Arial" w:eastAsia="Arial" w:hAnsi="Arial"/>
                <w:sz w:val="16"/>
                <w:szCs w:val="16"/>
                <w:b w:val="1"/>
                <w:bCs w:val="1"/>
                <w:color w:val="FFFFFF"/>
              </w:rPr>
              <w:t>($)</w:t>
            </w:r>
          </w:p>
        </w:tc>
        <w:tc>
          <w:tcPr>
            <w:tcW w:w="0" w:type="dxa"/>
            <w:vAlign w:val="bottom"/>
          </w:tcPr>
          <w:p>
            <w:pPr>
              <w:spacing w:after="0"/>
              <w:rPr>
                <w:sz w:val="1"/>
                <w:szCs w:val="1"/>
                <w:color w:val="auto"/>
              </w:rPr>
            </w:pPr>
          </w:p>
        </w:tc>
      </w:tr>
      <w:tr>
        <w:trPr>
          <w:trHeight w:val="288"/>
        </w:trPr>
        <w:tc>
          <w:tcPr>
            <w:tcW w:w="1720" w:type="dxa"/>
            <w:vAlign w:val="bottom"/>
            <w:shd w:val="clear" w:color="auto" w:fill="EBEBEB"/>
          </w:tcPr>
          <w:p>
            <w:pPr>
              <w:ind w:left="60"/>
              <w:spacing w:after="0"/>
              <w:rPr>
                <w:sz w:val="20"/>
                <w:szCs w:val="20"/>
                <w:color w:val="auto"/>
              </w:rPr>
            </w:pPr>
            <w:r>
              <w:rPr>
                <w:rFonts w:ascii="Arial" w:cs="Arial" w:eastAsia="Arial" w:hAnsi="Arial"/>
                <w:sz w:val="14"/>
                <w:szCs w:val="14"/>
                <w:b w:val="1"/>
                <w:bCs w:val="1"/>
                <w:color w:val="auto"/>
              </w:rPr>
              <w:t>Mark Litton, Ph.D.,</w:t>
            </w:r>
          </w:p>
        </w:tc>
        <w:tc>
          <w:tcPr>
            <w:tcW w:w="120" w:type="dxa"/>
            <w:vAlign w:val="bottom"/>
            <w:shd w:val="clear" w:color="auto" w:fill="EBEBEB"/>
          </w:tcPr>
          <w:p>
            <w:pPr>
              <w:spacing w:after="0"/>
              <w:rPr>
                <w:sz w:val="24"/>
                <w:szCs w:val="24"/>
                <w:color w:val="auto"/>
              </w:rPr>
            </w:pPr>
          </w:p>
        </w:tc>
        <w:tc>
          <w:tcPr>
            <w:tcW w:w="500" w:type="dxa"/>
            <w:vAlign w:val="bottom"/>
            <w:shd w:val="clear" w:color="auto" w:fill="EBEBEB"/>
          </w:tcPr>
          <w:p>
            <w:pPr>
              <w:jc w:val="right"/>
              <w:ind w:right="66"/>
              <w:spacing w:after="0"/>
              <w:rPr>
                <w:sz w:val="20"/>
                <w:szCs w:val="20"/>
                <w:color w:val="auto"/>
              </w:rPr>
            </w:pPr>
            <w:r>
              <w:rPr>
                <w:rFonts w:ascii="Arial" w:cs="Arial" w:eastAsia="Arial" w:hAnsi="Arial"/>
                <w:sz w:val="14"/>
                <w:szCs w:val="14"/>
                <w:color w:val="auto"/>
              </w:rPr>
              <w:t>2023</w:t>
            </w:r>
          </w:p>
        </w:tc>
        <w:tc>
          <w:tcPr>
            <w:tcW w:w="820" w:type="dxa"/>
            <w:vAlign w:val="bottom"/>
            <w:shd w:val="clear" w:color="auto" w:fill="EBEBEB"/>
          </w:tcPr>
          <w:p>
            <w:pPr>
              <w:jc w:val="right"/>
              <w:ind w:right="45"/>
              <w:spacing w:after="0"/>
              <w:rPr>
                <w:sz w:val="20"/>
                <w:szCs w:val="20"/>
                <w:color w:val="auto"/>
              </w:rPr>
            </w:pPr>
            <w:r>
              <w:rPr>
                <w:rFonts w:ascii="Arial" w:cs="Arial" w:eastAsia="Arial" w:hAnsi="Arial"/>
                <w:sz w:val="14"/>
                <w:szCs w:val="14"/>
                <w:color w:val="auto"/>
              </w:rPr>
              <w:t>585,000</w:t>
            </w:r>
          </w:p>
        </w:tc>
        <w:tc>
          <w:tcPr>
            <w:tcW w:w="760" w:type="dxa"/>
            <w:vAlign w:val="bottom"/>
            <w:shd w:val="clear" w:color="auto" w:fill="EBEBEB"/>
          </w:tcPr>
          <w:p>
            <w:pPr>
              <w:jc w:val="right"/>
              <w:ind w:right="65"/>
              <w:spacing w:after="0"/>
              <w:rPr>
                <w:sz w:val="20"/>
                <w:szCs w:val="20"/>
                <w:color w:val="auto"/>
              </w:rPr>
            </w:pPr>
            <w:r>
              <w:rPr>
                <w:rFonts w:ascii="Arial" w:cs="Arial" w:eastAsia="Arial" w:hAnsi="Arial"/>
                <w:sz w:val="14"/>
                <w:szCs w:val="14"/>
                <w:color w:val="auto"/>
              </w:rPr>
              <w:t>—</w:t>
            </w:r>
          </w:p>
        </w:tc>
        <w:tc>
          <w:tcPr>
            <w:tcW w:w="880" w:type="dxa"/>
            <w:vAlign w:val="bottom"/>
            <w:shd w:val="clear" w:color="auto" w:fill="EBEBEB"/>
          </w:tcPr>
          <w:p>
            <w:pPr>
              <w:jc w:val="right"/>
              <w:ind w:right="105"/>
              <w:spacing w:after="0"/>
              <w:rPr>
                <w:sz w:val="20"/>
                <w:szCs w:val="20"/>
                <w:color w:val="auto"/>
              </w:rPr>
            </w:pPr>
            <w:r>
              <w:rPr>
                <w:rFonts w:ascii="Arial" w:cs="Arial" w:eastAsia="Arial" w:hAnsi="Arial"/>
                <w:sz w:val="14"/>
                <w:szCs w:val="14"/>
                <w:color w:val="auto"/>
              </w:rPr>
              <w:t>—</w:t>
            </w:r>
          </w:p>
        </w:tc>
        <w:tc>
          <w:tcPr>
            <w:tcW w:w="940" w:type="dxa"/>
            <w:vAlign w:val="bottom"/>
            <w:shd w:val="clear" w:color="auto" w:fill="EBEBEB"/>
          </w:tcPr>
          <w:p>
            <w:pPr>
              <w:jc w:val="right"/>
              <w:ind w:right="65"/>
              <w:spacing w:after="0"/>
              <w:rPr>
                <w:sz w:val="20"/>
                <w:szCs w:val="20"/>
                <w:color w:val="auto"/>
              </w:rPr>
            </w:pPr>
            <w:r>
              <w:rPr>
                <w:rFonts w:ascii="Arial" w:cs="Arial" w:eastAsia="Arial" w:hAnsi="Arial"/>
                <w:sz w:val="14"/>
                <w:szCs w:val="14"/>
                <w:color w:val="auto"/>
              </w:rPr>
              <w:t>1,378,860</w:t>
            </w:r>
          </w:p>
        </w:tc>
        <w:tc>
          <w:tcPr>
            <w:tcW w:w="1380" w:type="dxa"/>
            <w:vAlign w:val="bottom"/>
            <w:shd w:val="clear" w:color="auto" w:fill="EBEBEB"/>
          </w:tcPr>
          <w:p>
            <w:pPr>
              <w:jc w:val="right"/>
              <w:ind w:right="64"/>
              <w:spacing w:after="0"/>
              <w:rPr>
                <w:sz w:val="20"/>
                <w:szCs w:val="20"/>
                <w:color w:val="auto"/>
              </w:rPr>
            </w:pPr>
            <w:r>
              <w:rPr>
                <w:rFonts w:ascii="Arial" w:cs="Arial" w:eastAsia="Arial" w:hAnsi="Arial"/>
                <w:sz w:val="14"/>
                <w:szCs w:val="14"/>
                <w:color w:val="auto"/>
              </w:rPr>
              <w:t>297,619</w:t>
            </w:r>
          </w:p>
        </w:tc>
        <w:tc>
          <w:tcPr>
            <w:tcW w:w="1440" w:type="dxa"/>
            <w:vAlign w:val="bottom"/>
            <w:shd w:val="clear" w:color="auto" w:fill="EBEBEB"/>
          </w:tcPr>
          <w:p>
            <w:pPr>
              <w:jc w:val="right"/>
              <w:ind w:right="129"/>
              <w:spacing w:after="0" w:line="288" w:lineRule="exact"/>
              <w:rPr>
                <w:sz w:val="20"/>
                <w:szCs w:val="20"/>
                <w:color w:val="auto"/>
              </w:rPr>
            </w:pPr>
            <w:r>
              <w:rPr>
                <w:rFonts w:ascii="Arial" w:cs="Arial" w:eastAsia="Arial" w:hAnsi="Arial"/>
                <w:sz w:val="28"/>
                <w:szCs w:val="28"/>
                <w:color w:val="auto"/>
                <w:vertAlign w:val="subscript"/>
              </w:rPr>
              <w:t>85</w:t>
            </w:r>
            <w:r>
              <w:rPr>
                <w:rFonts w:ascii="Arial" w:cs="Arial" w:eastAsia="Arial" w:hAnsi="Arial"/>
                <w:sz w:val="12"/>
                <w:szCs w:val="12"/>
                <w:color w:val="auto"/>
              </w:rPr>
              <w:t>(4)</w:t>
            </w:r>
          </w:p>
        </w:tc>
        <w:tc>
          <w:tcPr>
            <w:tcW w:w="840" w:type="dxa"/>
            <w:vAlign w:val="bottom"/>
            <w:shd w:val="clear" w:color="auto" w:fill="EBEBEB"/>
          </w:tcPr>
          <w:p>
            <w:pPr>
              <w:jc w:val="right"/>
              <w:spacing w:after="0"/>
              <w:rPr>
                <w:sz w:val="20"/>
                <w:szCs w:val="20"/>
                <w:color w:val="auto"/>
              </w:rPr>
            </w:pPr>
            <w:r>
              <w:rPr>
                <w:rFonts w:ascii="Arial" w:cs="Arial" w:eastAsia="Arial" w:hAnsi="Arial"/>
                <w:sz w:val="14"/>
                <w:szCs w:val="14"/>
                <w:color w:val="auto"/>
              </w:rPr>
              <w:t>2,261,564</w:t>
            </w:r>
          </w:p>
        </w:tc>
        <w:tc>
          <w:tcPr>
            <w:tcW w:w="0" w:type="dxa"/>
            <w:vAlign w:val="bottom"/>
          </w:tcPr>
          <w:p>
            <w:pPr>
              <w:spacing w:after="0"/>
              <w:rPr>
                <w:sz w:val="1"/>
                <w:szCs w:val="1"/>
                <w:color w:val="auto"/>
              </w:rPr>
            </w:pPr>
          </w:p>
        </w:tc>
      </w:tr>
      <w:tr>
        <w:trPr>
          <w:trHeight w:val="157"/>
        </w:trPr>
        <w:tc>
          <w:tcPr>
            <w:tcW w:w="1720" w:type="dxa"/>
            <w:vAlign w:val="bottom"/>
            <w:shd w:val="clear" w:color="auto" w:fill="EBEBEB"/>
          </w:tcPr>
          <w:p>
            <w:pPr>
              <w:ind w:left="60"/>
              <w:spacing w:after="0" w:line="157" w:lineRule="exact"/>
              <w:rPr>
                <w:sz w:val="20"/>
                <w:szCs w:val="20"/>
                <w:color w:val="auto"/>
              </w:rPr>
            </w:pPr>
            <w:r>
              <w:rPr>
                <w:rFonts w:ascii="Arial" w:cs="Arial" w:eastAsia="Arial" w:hAnsi="Arial"/>
                <w:sz w:val="14"/>
                <w:szCs w:val="14"/>
                <w:color w:val="auto"/>
              </w:rPr>
              <w:t>President and</w:t>
            </w:r>
          </w:p>
        </w:tc>
        <w:tc>
          <w:tcPr>
            <w:tcW w:w="120" w:type="dxa"/>
            <w:vAlign w:val="bottom"/>
            <w:shd w:val="clear" w:color="auto" w:fill="EBEBEB"/>
          </w:tcPr>
          <w:p>
            <w:pPr>
              <w:spacing w:after="0"/>
              <w:rPr>
                <w:sz w:val="13"/>
                <w:szCs w:val="13"/>
                <w:color w:val="auto"/>
              </w:rPr>
            </w:pPr>
          </w:p>
        </w:tc>
        <w:tc>
          <w:tcPr>
            <w:tcW w:w="500" w:type="dxa"/>
            <w:vAlign w:val="bottom"/>
            <w:shd w:val="clear" w:color="auto" w:fill="EBEBEB"/>
          </w:tcPr>
          <w:p>
            <w:pPr>
              <w:spacing w:after="0"/>
              <w:rPr>
                <w:sz w:val="13"/>
                <w:szCs w:val="13"/>
                <w:color w:val="auto"/>
              </w:rPr>
            </w:pPr>
          </w:p>
        </w:tc>
        <w:tc>
          <w:tcPr>
            <w:tcW w:w="820" w:type="dxa"/>
            <w:vAlign w:val="bottom"/>
            <w:shd w:val="clear" w:color="auto" w:fill="EBEBEB"/>
          </w:tcPr>
          <w:p>
            <w:pPr>
              <w:spacing w:after="0"/>
              <w:rPr>
                <w:sz w:val="13"/>
                <w:szCs w:val="13"/>
                <w:color w:val="auto"/>
              </w:rPr>
            </w:pPr>
          </w:p>
        </w:tc>
        <w:tc>
          <w:tcPr>
            <w:tcW w:w="760" w:type="dxa"/>
            <w:vAlign w:val="bottom"/>
            <w:shd w:val="clear" w:color="auto" w:fill="EBEBEB"/>
          </w:tcPr>
          <w:p>
            <w:pPr>
              <w:spacing w:after="0"/>
              <w:rPr>
                <w:sz w:val="13"/>
                <w:szCs w:val="13"/>
                <w:color w:val="auto"/>
              </w:rPr>
            </w:pPr>
          </w:p>
        </w:tc>
        <w:tc>
          <w:tcPr>
            <w:tcW w:w="880" w:type="dxa"/>
            <w:vAlign w:val="bottom"/>
            <w:shd w:val="clear" w:color="auto" w:fill="EBEBEB"/>
          </w:tcPr>
          <w:p>
            <w:pPr>
              <w:spacing w:after="0"/>
              <w:rPr>
                <w:sz w:val="13"/>
                <w:szCs w:val="13"/>
                <w:color w:val="auto"/>
              </w:rPr>
            </w:pPr>
          </w:p>
        </w:tc>
        <w:tc>
          <w:tcPr>
            <w:tcW w:w="940" w:type="dxa"/>
            <w:vAlign w:val="bottom"/>
            <w:shd w:val="clear" w:color="auto" w:fill="EBEBEB"/>
          </w:tcPr>
          <w:p>
            <w:pPr>
              <w:spacing w:after="0"/>
              <w:rPr>
                <w:sz w:val="13"/>
                <w:szCs w:val="13"/>
                <w:color w:val="auto"/>
              </w:rPr>
            </w:pPr>
          </w:p>
        </w:tc>
        <w:tc>
          <w:tcPr>
            <w:tcW w:w="1380" w:type="dxa"/>
            <w:vAlign w:val="bottom"/>
            <w:shd w:val="clear" w:color="auto" w:fill="EBEBEB"/>
          </w:tcPr>
          <w:p>
            <w:pPr>
              <w:spacing w:after="0"/>
              <w:rPr>
                <w:sz w:val="13"/>
                <w:szCs w:val="13"/>
                <w:color w:val="auto"/>
              </w:rPr>
            </w:pPr>
          </w:p>
        </w:tc>
        <w:tc>
          <w:tcPr>
            <w:tcW w:w="1440" w:type="dxa"/>
            <w:vAlign w:val="bottom"/>
            <w:shd w:val="clear" w:color="auto" w:fill="EBEBEB"/>
          </w:tcPr>
          <w:p>
            <w:pPr>
              <w:spacing w:after="0"/>
              <w:rPr>
                <w:sz w:val="13"/>
                <w:szCs w:val="13"/>
                <w:color w:val="auto"/>
              </w:rPr>
            </w:pPr>
          </w:p>
        </w:tc>
        <w:tc>
          <w:tcPr>
            <w:tcW w:w="840" w:type="dxa"/>
            <w:vAlign w:val="bottom"/>
            <w:shd w:val="clear" w:color="auto" w:fill="EBEBEB"/>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720" w:type="dxa"/>
            <w:vAlign w:val="bottom"/>
            <w:shd w:val="clear" w:color="auto" w:fill="EBEBEB"/>
          </w:tcPr>
          <w:p>
            <w:pPr>
              <w:ind w:left="60"/>
              <w:spacing w:after="0" w:line="153" w:lineRule="exact"/>
              <w:rPr>
                <w:sz w:val="20"/>
                <w:szCs w:val="20"/>
                <w:color w:val="auto"/>
              </w:rPr>
            </w:pPr>
            <w:r>
              <w:rPr>
                <w:rFonts w:ascii="Arial" w:cs="Arial" w:eastAsia="Arial" w:hAnsi="Arial"/>
                <w:sz w:val="14"/>
                <w:szCs w:val="14"/>
                <w:color w:val="auto"/>
              </w:rPr>
              <w:t>Chief Executive</w:t>
            </w:r>
          </w:p>
        </w:tc>
        <w:tc>
          <w:tcPr>
            <w:tcW w:w="120" w:type="dxa"/>
            <w:vAlign w:val="bottom"/>
            <w:shd w:val="clear" w:color="auto" w:fill="EBEBEB"/>
          </w:tcPr>
          <w:p>
            <w:pPr>
              <w:spacing w:after="0"/>
              <w:rPr>
                <w:sz w:val="13"/>
                <w:szCs w:val="13"/>
                <w:color w:val="auto"/>
              </w:rPr>
            </w:pPr>
          </w:p>
        </w:tc>
        <w:tc>
          <w:tcPr>
            <w:tcW w:w="500" w:type="dxa"/>
            <w:vAlign w:val="bottom"/>
            <w:vMerge w:val="restart"/>
            <w:shd w:val="clear" w:color="auto" w:fill="EBEBEB"/>
          </w:tcPr>
          <w:p>
            <w:pPr>
              <w:jc w:val="right"/>
              <w:ind w:right="66"/>
              <w:spacing w:after="0"/>
              <w:rPr>
                <w:sz w:val="20"/>
                <w:szCs w:val="20"/>
                <w:color w:val="auto"/>
              </w:rPr>
            </w:pPr>
            <w:r>
              <w:rPr>
                <w:rFonts w:ascii="Arial" w:cs="Arial" w:eastAsia="Arial" w:hAnsi="Arial"/>
                <w:sz w:val="14"/>
                <w:szCs w:val="14"/>
                <w:color w:val="auto"/>
              </w:rPr>
              <w:t>2022</w:t>
            </w:r>
          </w:p>
        </w:tc>
        <w:tc>
          <w:tcPr>
            <w:tcW w:w="820" w:type="dxa"/>
            <w:vAlign w:val="bottom"/>
            <w:vMerge w:val="restart"/>
            <w:shd w:val="clear" w:color="auto" w:fill="EBEBEB"/>
          </w:tcPr>
          <w:p>
            <w:pPr>
              <w:jc w:val="right"/>
              <w:ind w:right="45"/>
              <w:spacing w:after="0"/>
              <w:rPr>
                <w:sz w:val="20"/>
                <w:szCs w:val="20"/>
                <w:color w:val="auto"/>
              </w:rPr>
            </w:pPr>
            <w:r>
              <w:rPr>
                <w:rFonts w:ascii="Arial" w:cs="Arial" w:eastAsia="Arial" w:hAnsi="Arial"/>
                <w:sz w:val="14"/>
                <w:szCs w:val="14"/>
                <w:color w:val="auto"/>
              </w:rPr>
              <w:t>543,400</w:t>
            </w:r>
          </w:p>
        </w:tc>
        <w:tc>
          <w:tcPr>
            <w:tcW w:w="760" w:type="dxa"/>
            <w:vAlign w:val="bottom"/>
            <w:vMerge w:val="restart"/>
            <w:shd w:val="clear" w:color="auto" w:fill="EBEBEB"/>
          </w:tcPr>
          <w:p>
            <w:pPr>
              <w:jc w:val="right"/>
              <w:ind w:right="65"/>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EBEBEB"/>
          </w:tcPr>
          <w:p>
            <w:pPr>
              <w:jc w:val="right"/>
              <w:ind w:right="105"/>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EBEBEB"/>
          </w:tcPr>
          <w:p>
            <w:pPr>
              <w:jc w:val="right"/>
              <w:ind w:right="65"/>
              <w:spacing w:after="0"/>
              <w:rPr>
                <w:sz w:val="20"/>
                <w:szCs w:val="20"/>
                <w:color w:val="auto"/>
              </w:rPr>
            </w:pPr>
            <w:r>
              <w:rPr>
                <w:rFonts w:ascii="Arial" w:cs="Arial" w:eastAsia="Arial" w:hAnsi="Arial"/>
                <w:sz w:val="14"/>
                <w:szCs w:val="14"/>
                <w:color w:val="auto"/>
              </w:rPr>
              <w:t>2,998,052</w:t>
            </w:r>
          </w:p>
        </w:tc>
        <w:tc>
          <w:tcPr>
            <w:tcW w:w="1380" w:type="dxa"/>
            <w:vAlign w:val="bottom"/>
            <w:vMerge w:val="restart"/>
            <w:shd w:val="clear" w:color="auto" w:fill="EBEBEB"/>
          </w:tcPr>
          <w:p>
            <w:pPr>
              <w:jc w:val="right"/>
              <w:ind w:right="64"/>
              <w:spacing w:after="0"/>
              <w:rPr>
                <w:sz w:val="20"/>
                <w:szCs w:val="20"/>
                <w:color w:val="auto"/>
              </w:rPr>
            </w:pPr>
            <w:r>
              <w:rPr>
                <w:rFonts w:ascii="Arial" w:cs="Arial" w:eastAsia="Arial" w:hAnsi="Arial"/>
                <w:sz w:val="14"/>
                <w:szCs w:val="14"/>
                <w:color w:val="auto"/>
              </w:rPr>
              <w:t>233,662</w:t>
            </w:r>
          </w:p>
        </w:tc>
        <w:tc>
          <w:tcPr>
            <w:tcW w:w="1440" w:type="dxa"/>
            <w:vAlign w:val="bottom"/>
            <w:vMerge w:val="restart"/>
            <w:shd w:val="clear" w:color="auto" w:fill="EBEBEB"/>
          </w:tcPr>
          <w:p>
            <w:pPr>
              <w:jc w:val="right"/>
              <w:ind w:right="129"/>
              <w:spacing w:after="0"/>
              <w:rPr>
                <w:sz w:val="20"/>
                <w:szCs w:val="20"/>
                <w:color w:val="auto"/>
              </w:rPr>
            </w:pPr>
            <w:r>
              <w:rPr>
                <w:rFonts w:ascii="Arial" w:cs="Arial" w:eastAsia="Arial" w:hAnsi="Arial"/>
                <w:sz w:val="28"/>
                <w:szCs w:val="28"/>
                <w:color w:val="auto"/>
                <w:vertAlign w:val="subscript"/>
              </w:rPr>
              <w:t>85</w:t>
            </w:r>
            <w:r>
              <w:rPr>
                <w:rFonts w:ascii="Arial" w:cs="Arial" w:eastAsia="Arial" w:hAnsi="Arial"/>
                <w:sz w:val="12"/>
                <w:szCs w:val="12"/>
                <w:color w:val="auto"/>
              </w:rPr>
              <w:t>(4)</w:t>
            </w:r>
          </w:p>
        </w:tc>
        <w:tc>
          <w:tcPr>
            <w:tcW w:w="840" w:type="dxa"/>
            <w:vAlign w:val="bottom"/>
            <w:vMerge w:val="restart"/>
            <w:shd w:val="clear" w:color="auto" w:fill="EBEBEB"/>
          </w:tcPr>
          <w:p>
            <w:pPr>
              <w:jc w:val="right"/>
              <w:spacing w:after="0"/>
              <w:rPr>
                <w:sz w:val="20"/>
                <w:szCs w:val="20"/>
                <w:color w:val="auto"/>
              </w:rPr>
            </w:pPr>
            <w:r>
              <w:rPr>
                <w:rFonts w:ascii="Arial" w:cs="Arial" w:eastAsia="Arial" w:hAnsi="Arial"/>
                <w:sz w:val="14"/>
                <w:szCs w:val="14"/>
                <w:color w:val="auto"/>
              </w:rPr>
              <w:t>3,775,199</w:t>
            </w:r>
          </w:p>
        </w:tc>
        <w:tc>
          <w:tcPr>
            <w:tcW w:w="0" w:type="dxa"/>
            <w:vAlign w:val="bottom"/>
          </w:tcPr>
          <w:p>
            <w:pPr>
              <w:spacing w:after="0"/>
              <w:rPr>
                <w:sz w:val="1"/>
                <w:szCs w:val="1"/>
                <w:color w:val="auto"/>
              </w:rPr>
            </w:pPr>
          </w:p>
        </w:tc>
      </w:tr>
      <w:tr>
        <w:trPr>
          <w:trHeight w:val="259"/>
        </w:trPr>
        <w:tc>
          <w:tcPr>
            <w:tcW w:w="1720" w:type="dxa"/>
            <w:vAlign w:val="bottom"/>
            <w:tcBorders>
              <w:bottom w:val="single" w:sz="8" w:color="EBEBEB"/>
            </w:tcBorders>
            <w:shd w:val="clear" w:color="auto" w:fill="EBEBEB"/>
          </w:tcPr>
          <w:p>
            <w:pPr>
              <w:ind w:left="60"/>
              <w:spacing w:after="0"/>
              <w:rPr>
                <w:sz w:val="20"/>
                <w:szCs w:val="20"/>
                <w:color w:val="auto"/>
              </w:rPr>
            </w:pPr>
            <w:r>
              <w:rPr>
                <w:rFonts w:ascii="Arial" w:cs="Arial" w:eastAsia="Arial" w:hAnsi="Arial"/>
                <w:sz w:val="14"/>
                <w:szCs w:val="14"/>
                <w:color w:val="auto"/>
              </w:rPr>
              <w:t>Officer</w:t>
            </w:r>
          </w:p>
        </w:tc>
        <w:tc>
          <w:tcPr>
            <w:tcW w:w="120" w:type="dxa"/>
            <w:vAlign w:val="bottom"/>
            <w:tcBorders>
              <w:bottom w:val="single" w:sz="8" w:color="EBEBEB"/>
            </w:tcBorders>
            <w:shd w:val="clear" w:color="auto" w:fill="EBEBEB"/>
          </w:tcPr>
          <w:p>
            <w:pPr>
              <w:spacing w:after="0"/>
              <w:rPr>
                <w:sz w:val="22"/>
                <w:szCs w:val="22"/>
                <w:color w:val="auto"/>
              </w:rPr>
            </w:pPr>
          </w:p>
        </w:tc>
        <w:tc>
          <w:tcPr>
            <w:tcW w:w="500" w:type="dxa"/>
            <w:vAlign w:val="bottom"/>
            <w:tcBorders>
              <w:bottom w:val="single" w:sz="8" w:color="EBEBEB"/>
            </w:tcBorders>
            <w:vMerge w:val="continue"/>
            <w:shd w:val="clear" w:color="auto" w:fill="EBEBEB"/>
          </w:tcPr>
          <w:p>
            <w:pPr>
              <w:spacing w:after="0"/>
              <w:rPr>
                <w:sz w:val="22"/>
                <w:szCs w:val="22"/>
                <w:color w:val="auto"/>
              </w:rPr>
            </w:pPr>
          </w:p>
        </w:tc>
        <w:tc>
          <w:tcPr>
            <w:tcW w:w="820" w:type="dxa"/>
            <w:vAlign w:val="bottom"/>
            <w:tcBorders>
              <w:bottom w:val="single" w:sz="8" w:color="EBEBEB"/>
            </w:tcBorders>
            <w:vMerge w:val="continue"/>
            <w:shd w:val="clear" w:color="auto" w:fill="EBEBEB"/>
          </w:tcPr>
          <w:p>
            <w:pPr>
              <w:spacing w:after="0"/>
              <w:rPr>
                <w:sz w:val="22"/>
                <w:szCs w:val="22"/>
                <w:color w:val="auto"/>
              </w:rPr>
            </w:pPr>
          </w:p>
        </w:tc>
        <w:tc>
          <w:tcPr>
            <w:tcW w:w="760" w:type="dxa"/>
            <w:vAlign w:val="bottom"/>
            <w:tcBorders>
              <w:bottom w:val="single" w:sz="8" w:color="EBEBEB"/>
            </w:tcBorders>
            <w:vMerge w:val="continue"/>
            <w:shd w:val="clear" w:color="auto" w:fill="EBEBEB"/>
          </w:tcPr>
          <w:p>
            <w:pPr>
              <w:spacing w:after="0"/>
              <w:rPr>
                <w:sz w:val="22"/>
                <w:szCs w:val="22"/>
                <w:color w:val="auto"/>
              </w:rPr>
            </w:pPr>
          </w:p>
        </w:tc>
        <w:tc>
          <w:tcPr>
            <w:tcW w:w="880" w:type="dxa"/>
            <w:vAlign w:val="bottom"/>
            <w:tcBorders>
              <w:bottom w:val="single" w:sz="8" w:color="EBEBEB"/>
            </w:tcBorders>
            <w:vMerge w:val="continue"/>
            <w:shd w:val="clear" w:color="auto" w:fill="EBEBEB"/>
          </w:tcPr>
          <w:p>
            <w:pPr>
              <w:spacing w:after="0"/>
              <w:rPr>
                <w:sz w:val="22"/>
                <w:szCs w:val="22"/>
                <w:color w:val="auto"/>
              </w:rPr>
            </w:pPr>
          </w:p>
        </w:tc>
        <w:tc>
          <w:tcPr>
            <w:tcW w:w="940" w:type="dxa"/>
            <w:vAlign w:val="bottom"/>
            <w:tcBorders>
              <w:bottom w:val="single" w:sz="8" w:color="EBEBEB"/>
            </w:tcBorders>
            <w:vMerge w:val="continue"/>
            <w:shd w:val="clear" w:color="auto" w:fill="EBEBEB"/>
          </w:tcPr>
          <w:p>
            <w:pPr>
              <w:spacing w:after="0"/>
              <w:rPr>
                <w:sz w:val="22"/>
                <w:szCs w:val="22"/>
                <w:color w:val="auto"/>
              </w:rPr>
            </w:pPr>
          </w:p>
        </w:tc>
        <w:tc>
          <w:tcPr>
            <w:tcW w:w="1380" w:type="dxa"/>
            <w:vAlign w:val="bottom"/>
            <w:tcBorders>
              <w:bottom w:val="single" w:sz="8" w:color="EBEBEB"/>
            </w:tcBorders>
            <w:vMerge w:val="continue"/>
            <w:shd w:val="clear" w:color="auto" w:fill="EBEBEB"/>
          </w:tcPr>
          <w:p>
            <w:pPr>
              <w:spacing w:after="0"/>
              <w:rPr>
                <w:sz w:val="22"/>
                <w:szCs w:val="22"/>
                <w:color w:val="auto"/>
              </w:rPr>
            </w:pPr>
          </w:p>
        </w:tc>
        <w:tc>
          <w:tcPr>
            <w:tcW w:w="1440" w:type="dxa"/>
            <w:vAlign w:val="bottom"/>
            <w:tcBorders>
              <w:bottom w:val="single" w:sz="8" w:color="EBEBEB"/>
            </w:tcBorders>
            <w:vMerge w:val="continue"/>
            <w:shd w:val="clear" w:color="auto" w:fill="EBEBEB"/>
          </w:tcPr>
          <w:p>
            <w:pPr>
              <w:spacing w:after="0"/>
              <w:rPr>
                <w:sz w:val="22"/>
                <w:szCs w:val="22"/>
                <w:color w:val="auto"/>
              </w:rPr>
            </w:pPr>
          </w:p>
        </w:tc>
        <w:tc>
          <w:tcPr>
            <w:tcW w:w="840" w:type="dxa"/>
            <w:vAlign w:val="bottom"/>
            <w:tcBorders>
              <w:bottom w:val="single" w:sz="8" w:color="EBEBEB"/>
            </w:tcBorders>
            <w:vMerge w:val="continue"/>
            <w:shd w:val="clear" w:color="auto" w:fill="EBEBEB"/>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1720" w:type="dxa"/>
            <w:vAlign w:val="bottom"/>
          </w:tcPr>
          <w:p>
            <w:pPr>
              <w:ind w:left="60"/>
              <w:spacing w:after="0"/>
              <w:rPr>
                <w:sz w:val="20"/>
                <w:szCs w:val="20"/>
                <w:color w:val="auto"/>
              </w:rPr>
            </w:pPr>
            <w:r>
              <w:rPr>
                <w:rFonts w:ascii="Arial" w:cs="Arial" w:eastAsia="Arial" w:hAnsi="Arial"/>
                <w:sz w:val="14"/>
                <w:szCs w:val="14"/>
                <w:b w:val="1"/>
                <w:bCs w:val="1"/>
                <w:color w:val="auto"/>
              </w:rPr>
              <w:t>Andrew Gengos,</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1720" w:type="dxa"/>
            <w:vAlign w:val="bottom"/>
          </w:tcPr>
          <w:p>
            <w:pPr>
              <w:ind w:left="60"/>
              <w:spacing w:after="0"/>
              <w:rPr>
                <w:sz w:val="20"/>
                <w:szCs w:val="20"/>
                <w:color w:val="auto"/>
              </w:rPr>
            </w:pPr>
            <w:r>
              <w:rPr>
                <w:rFonts w:ascii="Arial" w:cs="Arial" w:eastAsia="Arial" w:hAnsi="Arial"/>
                <w:sz w:val="14"/>
                <w:szCs w:val="14"/>
                <w:color w:val="auto"/>
              </w:rPr>
              <w:t>Chief Financial Officer</w:t>
            </w:r>
          </w:p>
        </w:tc>
        <w:tc>
          <w:tcPr>
            <w:tcW w:w="620" w:type="dxa"/>
            <w:vAlign w:val="bottom"/>
            <w:gridSpan w:val="2"/>
            <w:vMerge w:val="restart"/>
          </w:tcPr>
          <w:p>
            <w:pPr>
              <w:jc w:val="right"/>
              <w:ind w:right="66"/>
              <w:spacing w:after="0"/>
              <w:rPr>
                <w:sz w:val="20"/>
                <w:szCs w:val="20"/>
                <w:color w:val="auto"/>
              </w:rPr>
            </w:pPr>
            <w:r>
              <w:rPr>
                <w:rFonts w:ascii="Arial" w:cs="Arial" w:eastAsia="Arial" w:hAnsi="Arial"/>
                <w:sz w:val="14"/>
                <w:szCs w:val="14"/>
                <w:color w:val="auto"/>
              </w:rPr>
              <w:t>2023</w:t>
            </w:r>
          </w:p>
        </w:tc>
        <w:tc>
          <w:tcPr>
            <w:tcW w:w="820" w:type="dxa"/>
            <w:vAlign w:val="bottom"/>
            <w:vMerge w:val="restart"/>
          </w:tcPr>
          <w:p>
            <w:pPr>
              <w:jc w:val="right"/>
              <w:ind w:right="45"/>
              <w:spacing w:after="0"/>
              <w:rPr>
                <w:sz w:val="20"/>
                <w:szCs w:val="20"/>
                <w:color w:val="auto"/>
              </w:rPr>
            </w:pPr>
            <w:r>
              <w:rPr>
                <w:rFonts w:ascii="Arial" w:cs="Arial" w:eastAsia="Arial" w:hAnsi="Arial"/>
                <w:sz w:val="14"/>
                <w:szCs w:val="14"/>
                <w:color w:val="auto"/>
              </w:rPr>
              <w:t>289,135</w:t>
            </w:r>
          </w:p>
        </w:tc>
        <w:tc>
          <w:tcPr>
            <w:tcW w:w="760" w:type="dxa"/>
            <w:vAlign w:val="bottom"/>
            <w:vMerge w:val="restart"/>
          </w:tcPr>
          <w:p>
            <w:pPr>
              <w:jc w:val="right"/>
              <w:ind w:right="65"/>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105"/>
              <w:spacing w:after="0"/>
              <w:rPr>
                <w:sz w:val="20"/>
                <w:szCs w:val="20"/>
                <w:color w:val="auto"/>
              </w:rPr>
            </w:pPr>
            <w:r>
              <w:rPr>
                <w:rFonts w:ascii="Arial" w:cs="Arial" w:eastAsia="Arial" w:hAnsi="Arial"/>
                <w:sz w:val="14"/>
                <w:szCs w:val="14"/>
                <w:color w:val="auto"/>
              </w:rPr>
              <w:t>28,400</w:t>
            </w:r>
          </w:p>
        </w:tc>
        <w:tc>
          <w:tcPr>
            <w:tcW w:w="940" w:type="dxa"/>
            <w:vAlign w:val="bottom"/>
            <w:vMerge w:val="restart"/>
          </w:tcPr>
          <w:p>
            <w:pPr>
              <w:jc w:val="right"/>
              <w:ind w:right="65"/>
              <w:spacing w:after="0"/>
              <w:rPr>
                <w:sz w:val="20"/>
                <w:szCs w:val="20"/>
                <w:color w:val="auto"/>
              </w:rPr>
            </w:pPr>
            <w:r>
              <w:rPr>
                <w:rFonts w:ascii="Arial" w:cs="Arial" w:eastAsia="Arial" w:hAnsi="Arial"/>
                <w:sz w:val="14"/>
                <w:szCs w:val="14"/>
                <w:color w:val="auto"/>
              </w:rPr>
              <w:t>901,318</w:t>
            </w:r>
          </w:p>
        </w:tc>
        <w:tc>
          <w:tcPr>
            <w:tcW w:w="1380" w:type="dxa"/>
            <w:vAlign w:val="bottom"/>
            <w:vMerge w:val="restart"/>
          </w:tcPr>
          <w:p>
            <w:pPr>
              <w:jc w:val="right"/>
              <w:ind w:right="64"/>
              <w:spacing w:after="0"/>
              <w:rPr>
                <w:sz w:val="20"/>
                <w:szCs w:val="20"/>
                <w:color w:val="auto"/>
              </w:rPr>
            </w:pPr>
            <w:r>
              <w:rPr>
                <w:rFonts w:ascii="Arial" w:cs="Arial" w:eastAsia="Arial" w:hAnsi="Arial"/>
                <w:sz w:val="14"/>
                <w:szCs w:val="14"/>
                <w:color w:val="auto"/>
              </w:rPr>
              <w:t>106,980</w:t>
            </w:r>
          </w:p>
        </w:tc>
        <w:tc>
          <w:tcPr>
            <w:tcW w:w="1440" w:type="dxa"/>
            <w:vAlign w:val="bottom"/>
            <w:vMerge w:val="restart"/>
          </w:tcPr>
          <w:p>
            <w:pPr>
              <w:jc w:val="right"/>
              <w:ind w:right="129"/>
              <w:spacing w:after="0" w:line="306" w:lineRule="exact"/>
              <w:rPr>
                <w:sz w:val="20"/>
                <w:szCs w:val="20"/>
                <w:color w:val="auto"/>
              </w:rPr>
            </w:pPr>
            <w:r>
              <w:rPr>
                <w:rFonts w:ascii="Arial" w:cs="Arial" w:eastAsia="Arial" w:hAnsi="Arial"/>
                <w:sz w:val="28"/>
                <w:szCs w:val="28"/>
                <w:color w:val="auto"/>
                <w:vertAlign w:val="subscript"/>
              </w:rPr>
              <w:t>49</w:t>
            </w:r>
            <w:r>
              <w:rPr>
                <w:rFonts w:ascii="Arial" w:cs="Arial" w:eastAsia="Arial" w:hAnsi="Arial"/>
                <w:sz w:val="12"/>
                <w:szCs w:val="12"/>
                <w:color w:val="auto"/>
              </w:rPr>
              <w:t>(4)</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1,325,881</w:t>
            </w:r>
          </w:p>
        </w:tc>
        <w:tc>
          <w:tcPr>
            <w:tcW w:w="0" w:type="dxa"/>
            <w:vAlign w:val="bottom"/>
          </w:tcPr>
          <w:p>
            <w:pPr>
              <w:spacing w:after="0"/>
              <w:rPr>
                <w:sz w:val="1"/>
                <w:szCs w:val="1"/>
                <w:color w:val="auto"/>
              </w:rPr>
            </w:pPr>
          </w:p>
        </w:tc>
      </w:tr>
      <w:tr>
        <w:trPr>
          <w:trHeight w:val="162"/>
        </w:trPr>
        <w:tc>
          <w:tcPr>
            <w:tcW w:w="1720" w:type="dxa"/>
            <w:vAlign w:val="bottom"/>
          </w:tcPr>
          <w:p>
            <w:pPr>
              <w:ind w:left="60"/>
              <w:spacing w:after="0"/>
              <w:rPr>
                <w:sz w:val="20"/>
                <w:szCs w:val="20"/>
                <w:color w:val="auto"/>
              </w:rPr>
            </w:pPr>
            <w:r>
              <w:rPr>
                <w:rFonts w:ascii="Arial" w:cs="Arial" w:eastAsia="Arial" w:hAnsi="Arial"/>
                <w:sz w:val="14"/>
                <w:szCs w:val="14"/>
                <w:color w:val="auto"/>
              </w:rPr>
              <w:t>and Chief Business</w:t>
            </w:r>
          </w:p>
        </w:tc>
        <w:tc>
          <w:tcPr>
            <w:tcW w:w="620" w:type="dxa"/>
            <w:vAlign w:val="bottom"/>
            <w:gridSpan w:val="2"/>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720" w:type="dxa"/>
            <w:vAlign w:val="bottom"/>
          </w:tcPr>
          <w:p>
            <w:pPr>
              <w:ind w:left="60"/>
              <w:spacing w:after="0"/>
              <w:rPr>
                <w:sz w:val="20"/>
                <w:szCs w:val="20"/>
                <w:color w:val="auto"/>
              </w:rPr>
            </w:pPr>
            <w:r>
              <w:rPr>
                <w:rFonts w:ascii="Arial" w:cs="Arial" w:eastAsia="Arial" w:hAnsi="Arial"/>
                <w:sz w:val="14"/>
                <w:szCs w:val="14"/>
                <w:color w:val="auto"/>
              </w:rPr>
              <w:t>Officer</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1720" w:type="dxa"/>
            <w:vAlign w:val="bottom"/>
          </w:tcPr>
          <w:p>
            <w:pPr>
              <w:spacing w:after="0"/>
              <w:rPr>
                <w:sz w:val="7"/>
                <w:szCs w:val="7"/>
                <w:color w:val="auto"/>
              </w:rPr>
            </w:pPr>
          </w:p>
        </w:tc>
        <w:tc>
          <w:tcPr>
            <w:tcW w:w="620" w:type="dxa"/>
            <w:vAlign w:val="bottom"/>
            <w:gridSpan w:val="2"/>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1720" w:type="dxa"/>
            <w:vAlign w:val="bottom"/>
            <w:shd w:val="clear" w:color="auto" w:fill="EBEBEB"/>
          </w:tcPr>
          <w:p>
            <w:pPr>
              <w:ind w:left="60"/>
              <w:spacing w:after="0"/>
              <w:rPr>
                <w:sz w:val="20"/>
                <w:szCs w:val="20"/>
                <w:color w:val="auto"/>
              </w:rPr>
            </w:pPr>
            <w:r>
              <w:rPr>
                <w:rFonts w:ascii="Arial" w:cs="Arial" w:eastAsia="Arial" w:hAnsi="Arial"/>
                <w:sz w:val="14"/>
                <w:szCs w:val="14"/>
                <w:b w:val="1"/>
                <w:bCs w:val="1"/>
                <w:color w:val="auto"/>
              </w:rPr>
              <w:t>Hans Moebius, M.D.,</w:t>
            </w:r>
          </w:p>
        </w:tc>
        <w:tc>
          <w:tcPr>
            <w:tcW w:w="120" w:type="dxa"/>
            <w:vAlign w:val="bottom"/>
            <w:shd w:val="clear" w:color="auto" w:fill="EBEBEB"/>
          </w:tcPr>
          <w:p>
            <w:pPr>
              <w:spacing w:after="0"/>
              <w:rPr>
                <w:sz w:val="24"/>
                <w:szCs w:val="24"/>
                <w:color w:val="auto"/>
              </w:rPr>
            </w:pPr>
          </w:p>
        </w:tc>
        <w:tc>
          <w:tcPr>
            <w:tcW w:w="500" w:type="dxa"/>
            <w:vAlign w:val="bottom"/>
            <w:shd w:val="clear" w:color="auto" w:fill="EBEBEB"/>
          </w:tcPr>
          <w:p>
            <w:pPr>
              <w:jc w:val="right"/>
              <w:ind w:right="66"/>
              <w:spacing w:after="0"/>
              <w:rPr>
                <w:sz w:val="20"/>
                <w:szCs w:val="20"/>
                <w:color w:val="auto"/>
              </w:rPr>
            </w:pPr>
            <w:r>
              <w:rPr>
                <w:rFonts w:ascii="Arial" w:cs="Arial" w:eastAsia="Arial" w:hAnsi="Arial"/>
                <w:sz w:val="14"/>
                <w:szCs w:val="14"/>
                <w:color w:val="auto"/>
              </w:rPr>
              <w:t>2023</w:t>
            </w:r>
          </w:p>
        </w:tc>
        <w:tc>
          <w:tcPr>
            <w:tcW w:w="820" w:type="dxa"/>
            <w:vAlign w:val="bottom"/>
            <w:shd w:val="clear" w:color="auto" w:fill="EBEBEB"/>
          </w:tcPr>
          <w:p>
            <w:pPr>
              <w:jc w:val="right"/>
              <w:ind w:right="45"/>
              <w:spacing w:after="0"/>
              <w:rPr>
                <w:sz w:val="20"/>
                <w:szCs w:val="20"/>
                <w:color w:val="auto"/>
              </w:rPr>
            </w:pPr>
            <w:r>
              <w:rPr>
                <w:rFonts w:ascii="Arial" w:cs="Arial" w:eastAsia="Arial" w:hAnsi="Arial"/>
                <w:sz w:val="14"/>
                <w:szCs w:val="14"/>
                <w:color w:val="auto"/>
              </w:rPr>
              <w:t>465,000</w:t>
            </w:r>
          </w:p>
        </w:tc>
        <w:tc>
          <w:tcPr>
            <w:tcW w:w="760" w:type="dxa"/>
            <w:vAlign w:val="bottom"/>
            <w:shd w:val="clear" w:color="auto" w:fill="EBEBEB"/>
          </w:tcPr>
          <w:p>
            <w:pPr>
              <w:jc w:val="right"/>
              <w:ind w:right="65"/>
              <w:spacing w:after="0"/>
              <w:rPr>
                <w:sz w:val="20"/>
                <w:szCs w:val="20"/>
                <w:color w:val="auto"/>
              </w:rPr>
            </w:pPr>
            <w:r>
              <w:rPr>
                <w:rFonts w:ascii="Arial" w:cs="Arial" w:eastAsia="Arial" w:hAnsi="Arial"/>
                <w:sz w:val="14"/>
                <w:szCs w:val="14"/>
                <w:color w:val="auto"/>
              </w:rPr>
              <w:t>—</w:t>
            </w:r>
          </w:p>
        </w:tc>
        <w:tc>
          <w:tcPr>
            <w:tcW w:w="880" w:type="dxa"/>
            <w:vAlign w:val="bottom"/>
            <w:shd w:val="clear" w:color="auto" w:fill="EBEBEB"/>
          </w:tcPr>
          <w:p>
            <w:pPr>
              <w:jc w:val="right"/>
              <w:ind w:right="105"/>
              <w:spacing w:after="0"/>
              <w:rPr>
                <w:sz w:val="20"/>
                <w:szCs w:val="20"/>
                <w:color w:val="auto"/>
              </w:rPr>
            </w:pPr>
            <w:r>
              <w:rPr>
                <w:rFonts w:ascii="Arial" w:cs="Arial" w:eastAsia="Arial" w:hAnsi="Arial"/>
                <w:sz w:val="14"/>
                <w:szCs w:val="14"/>
                <w:color w:val="auto"/>
              </w:rPr>
              <w:t>—</w:t>
            </w:r>
          </w:p>
        </w:tc>
        <w:tc>
          <w:tcPr>
            <w:tcW w:w="940" w:type="dxa"/>
            <w:vAlign w:val="bottom"/>
            <w:shd w:val="clear" w:color="auto" w:fill="EBEBEB"/>
          </w:tcPr>
          <w:p>
            <w:pPr>
              <w:jc w:val="right"/>
              <w:ind w:right="65"/>
              <w:spacing w:after="0"/>
              <w:rPr>
                <w:sz w:val="20"/>
                <w:szCs w:val="20"/>
                <w:color w:val="auto"/>
              </w:rPr>
            </w:pPr>
            <w:r>
              <w:rPr>
                <w:rFonts w:ascii="Arial" w:cs="Arial" w:eastAsia="Arial" w:hAnsi="Arial"/>
                <w:sz w:val="14"/>
                <w:szCs w:val="14"/>
                <w:color w:val="auto"/>
              </w:rPr>
              <w:t>531,999</w:t>
            </w:r>
          </w:p>
        </w:tc>
        <w:tc>
          <w:tcPr>
            <w:tcW w:w="1380" w:type="dxa"/>
            <w:vAlign w:val="bottom"/>
            <w:shd w:val="clear" w:color="auto" w:fill="EBEBEB"/>
          </w:tcPr>
          <w:p>
            <w:pPr>
              <w:jc w:val="right"/>
              <w:ind w:right="64"/>
              <w:spacing w:after="0"/>
              <w:rPr>
                <w:sz w:val="20"/>
                <w:szCs w:val="20"/>
                <w:color w:val="auto"/>
              </w:rPr>
            </w:pPr>
            <w:r>
              <w:rPr>
                <w:rFonts w:ascii="Arial" w:cs="Arial" w:eastAsia="Arial" w:hAnsi="Arial"/>
                <w:sz w:val="14"/>
                <w:szCs w:val="14"/>
                <w:color w:val="auto"/>
              </w:rPr>
              <w:t>172,050</w:t>
            </w:r>
          </w:p>
        </w:tc>
        <w:tc>
          <w:tcPr>
            <w:tcW w:w="1440" w:type="dxa"/>
            <w:vAlign w:val="bottom"/>
            <w:shd w:val="clear" w:color="auto" w:fill="EBEBEB"/>
          </w:tcPr>
          <w:p>
            <w:pPr>
              <w:jc w:val="right"/>
              <w:ind w:right="129"/>
              <w:spacing w:after="0"/>
              <w:rPr>
                <w:sz w:val="20"/>
                <w:szCs w:val="20"/>
                <w:color w:val="auto"/>
              </w:rPr>
            </w:pPr>
            <w:r>
              <w:rPr>
                <w:rFonts w:ascii="Arial" w:cs="Arial" w:eastAsia="Arial" w:hAnsi="Arial"/>
                <w:sz w:val="14"/>
                <w:szCs w:val="14"/>
                <w:color w:val="auto"/>
              </w:rPr>
              <w:t>123,424</w:t>
            </w:r>
            <w:r>
              <w:rPr>
                <w:rFonts w:ascii="Arial" w:cs="Arial" w:eastAsia="Arial" w:hAnsi="Arial"/>
                <w:sz w:val="23"/>
                <w:szCs w:val="23"/>
                <w:color w:val="auto"/>
                <w:vertAlign w:val="superscript"/>
              </w:rPr>
              <w:t>(5)</w:t>
            </w:r>
          </w:p>
        </w:tc>
        <w:tc>
          <w:tcPr>
            <w:tcW w:w="840" w:type="dxa"/>
            <w:vAlign w:val="bottom"/>
            <w:shd w:val="clear" w:color="auto" w:fill="EBEBEB"/>
          </w:tcPr>
          <w:p>
            <w:pPr>
              <w:jc w:val="right"/>
              <w:spacing w:after="0"/>
              <w:rPr>
                <w:sz w:val="20"/>
                <w:szCs w:val="20"/>
                <w:color w:val="auto"/>
              </w:rPr>
            </w:pPr>
            <w:r>
              <w:rPr>
                <w:rFonts w:ascii="Arial" w:cs="Arial" w:eastAsia="Arial" w:hAnsi="Arial"/>
                <w:sz w:val="14"/>
                <w:szCs w:val="14"/>
                <w:color w:val="auto"/>
              </w:rPr>
              <w:t>1,292,474</w:t>
            </w:r>
          </w:p>
        </w:tc>
        <w:tc>
          <w:tcPr>
            <w:tcW w:w="0" w:type="dxa"/>
            <w:vAlign w:val="bottom"/>
          </w:tcPr>
          <w:p>
            <w:pPr>
              <w:spacing w:after="0"/>
              <w:rPr>
                <w:sz w:val="1"/>
                <w:szCs w:val="1"/>
                <w:color w:val="auto"/>
              </w:rPr>
            </w:pPr>
          </w:p>
        </w:tc>
      </w:tr>
      <w:tr>
        <w:trPr>
          <w:trHeight w:val="153"/>
        </w:trPr>
        <w:tc>
          <w:tcPr>
            <w:tcW w:w="1720" w:type="dxa"/>
            <w:vAlign w:val="bottom"/>
            <w:shd w:val="clear" w:color="auto" w:fill="EBEBEB"/>
          </w:tcPr>
          <w:p>
            <w:pPr>
              <w:ind w:left="60"/>
              <w:spacing w:after="0" w:line="153" w:lineRule="exact"/>
              <w:rPr>
                <w:sz w:val="20"/>
                <w:szCs w:val="20"/>
                <w:color w:val="auto"/>
              </w:rPr>
            </w:pPr>
            <w:r>
              <w:rPr>
                <w:rFonts w:ascii="Arial" w:cs="Arial" w:eastAsia="Arial" w:hAnsi="Arial"/>
                <w:sz w:val="14"/>
                <w:szCs w:val="14"/>
                <w:b w:val="1"/>
                <w:bCs w:val="1"/>
                <w:color w:val="auto"/>
              </w:rPr>
              <w:t>Ph.D</w:t>
            </w:r>
          </w:p>
        </w:tc>
        <w:tc>
          <w:tcPr>
            <w:tcW w:w="120" w:type="dxa"/>
            <w:vAlign w:val="bottom"/>
            <w:shd w:val="clear" w:color="auto" w:fill="EBEBEB"/>
          </w:tcPr>
          <w:p>
            <w:pPr>
              <w:spacing w:after="0"/>
              <w:rPr>
                <w:sz w:val="13"/>
                <w:szCs w:val="13"/>
                <w:color w:val="auto"/>
              </w:rPr>
            </w:pPr>
          </w:p>
        </w:tc>
        <w:tc>
          <w:tcPr>
            <w:tcW w:w="500" w:type="dxa"/>
            <w:vAlign w:val="bottom"/>
            <w:shd w:val="clear" w:color="auto" w:fill="EBEBEB"/>
          </w:tcPr>
          <w:p>
            <w:pPr>
              <w:spacing w:after="0"/>
              <w:rPr>
                <w:sz w:val="13"/>
                <w:szCs w:val="13"/>
                <w:color w:val="auto"/>
              </w:rPr>
            </w:pPr>
          </w:p>
        </w:tc>
        <w:tc>
          <w:tcPr>
            <w:tcW w:w="820" w:type="dxa"/>
            <w:vAlign w:val="bottom"/>
            <w:shd w:val="clear" w:color="auto" w:fill="EBEBEB"/>
          </w:tcPr>
          <w:p>
            <w:pPr>
              <w:spacing w:after="0"/>
              <w:rPr>
                <w:sz w:val="13"/>
                <w:szCs w:val="13"/>
                <w:color w:val="auto"/>
              </w:rPr>
            </w:pPr>
          </w:p>
        </w:tc>
        <w:tc>
          <w:tcPr>
            <w:tcW w:w="760" w:type="dxa"/>
            <w:vAlign w:val="bottom"/>
            <w:shd w:val="clear" w:color="auto" w:fill="EBEBEB"/>
          </w:tcPr>
          <w:p>
            <w:pPr>
              <w:spacing w:after="0"/>
              <w:rPr>
                <w:sz w:val="13"/>
                <w:szCs w:val="13"/>
                <w:color w:val="auto"/>
              </w:rPr>
            </w:pPr>
          </w:p>
        </w:tc>
        <w:tc>
          <w:tcPr>
            <w:tcW w:w="880" w:type="dxa"/>
            <w:vAlign w:val="bottom"/>
            <w:shd w:val="clear" w:color="auto" w:fill="EBEBEB"/>
          </w:tcPr>
          <w:p>
            <w:pPr>
              <w:spacing w:after="0"/>
              <w:rPr>
                <w:sz w:val="13"/>
                <w:szCs w:val="13"/>
                <w:color w:val="auto"/>
              </w:rPr>
            </w:pPr>
          </w:p>
        </w:tc>
        <w:tc>
          <w:tcPr>
            <w:tcW w:w="940" w:type="dxa"/>
            <w:vAlign w:val="bottom"/>
            <w:shd w:val="clear" w:color="auto" w:fill="EBEBEB"/>
          </w:tcPr>
          <w:p>
            <w:pPr>
              <w:spacing w:after="0"/>
              <w:rPr>
                <w:sz w:val="13"/>
                <w:szCs w:val="13"/>
                <w:color w:val="auto"/>
              </w:rPr>
            </w:pPr>
          </w:p>
        </w:tc>
        <w:tc>
          <w:tcPr>
            <w:tcW w:w="1380" w:type="dxa"/>
            <w:vAlign w:val="bottom"/>
            <w:shd w:val="clear" w:color="auto" w:fill="EBEBEB"/>
          </w:tcPr>
          <w:p>
            <w:pPr>
              <w:spacing w:after="0"/>
              <w:rPr>
                <w:sz w:val="13"/>
                <w:szCs w:val="13"/>
                <w:color w:val="auto"/>
              </w:rPr>
            </w:pPr>
          </w:p>
        </w:tc>
        <w:tc>
          <w:tcPr>
            <w:tcW w:w="1440" w:type="dxa"/>
            <w:vAlign w:val="bottom"/>
            <w:shd w:val="clear" w:color="auto" w:fill="EBEBEB"/>
          </w:tcPr>
          <w:p>
            <w:pPr>
              <w:spacing w:after="0"/>
              <w:rPr>
                <w:sz w:val="13"/>
                <w:szCs w:val="13"/>
                <w:color w:val="auto"/>
              </w:rPr>
            </w:pPr>
          </w:p>
        </w:tc>
        <w:tc>
          <w:tcPr>
            <w:tcW w:w="840" w:type="dxa"/>
            <w:vAlign w:val="bottom"/>
            <w:shd w:val="clear" w:color="auto" w:fill="EBEBEB"/>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720" w:type="dxa"/>
            <w:vAlign w:val="bottom"/>
            <w:shd w:val="clear" w:color="auto" w:fill="EBEBEB"/>
          </w:tcPr>
          <w:p>
            <w:pPr>
              <w:ind w:left="60"/>
              <w:spacing w:after="0"/>
              <w:rPr>
                <w:sz w:val="20"/>
                <w:szCs w:val="20"/>
                <w:color w:val="auto"/>
              </w:rPr>
            </w:pPr>
            <w:r>
              <w:rPr>
                <w:rFonts w:ascii="Arial" w:cs="Arial" w:eastAsia="Arial" w:hAnsi="Arial"/>
                <w:sz w:val="14"/>
                <w:szCs w:val="14"/>
                <w:color w:val="auto"/>
              </w:rPr>
              <w:t>Former Chief Medical</w:t>
            </w:r>
          </w:p>
        </w:tc>
        <w:tc>
          <w:tcPr>
            <w:tcW w:w="120" w:type="dxa"/>
            <w:vAlign w:val="bottom"/>
            <w:shd w:val="clear" w:color="auto" w:fill="EBEBEB"/>
          </w:tcPr>
          <w:p>
            <w:pPr>
              <w:spacing w:after="0"/>
              <w:rPr>
                <w:sz w:val="14"/>
                <w:szCs w:val="14"/>
                <w:color w:val="auto"/>
              </w:rPr>
            </w:pPr>
          </w:p>
        </w:tc>
        <w:tc>
          <w:tcPr>
            <w:tcW w:w="500" w:type="dxa"/>
            <w:vAlign w:val="bottom"/>
            <w:vMerge w:val="restart"/>
            <w:shd w:val="clear" w:color="auto" w:fill="EBEBEB"/>
          </w:tcPr>
          <w:p>
            <w:pPr>
              <w:jc w:val="right"/>
              <w:ind w:right="66"/>
              <w:spacing w:after="0"/>
              <w:rPr>
                <w:sz w:val="20"/>
                <w:szCs w:val="20"/>
                <w:color w:val="auto"/>
              </w:rPr>
            </w:pPr>
            <w:r>
              <w:rPr>
                <w:rFonts w:ascii="Arial" w:cs="Arial" w:eastAsia="Arial" w:hAnsi="Arial"/>
                <w:sz w:val="14"/>
                <w:szCs w:val="14"/>
                <w:color w:val="auto"/>
              </w:rPr>
              <w:t>2022</w:t>
            </w:r>
          </w:p>
        </w:tc>
        <w:tc>
          <w:tcPr>
            <w:tcW w:w="820" w:type="dxa"/>
            <w:vAlign w:val="bottom"/>
            <w:vMerge w:val="restart"/>
            <w:shd w:val="clear" w:color="auto" w:fill="EBEBEB"/>
          </w:tcPr>
          <w:p>
            <w:pPr>
              <w:jc w:val="right"/>
              <w:ind w:right="45"/>
              <w:spacing w:after="0"/>
              <w:rPr>
                <w:sz w:val="20"/>
                <w:szCs w:val="20"/>
                <w:color w:val="auto"/>
              </w:rPr>
            </w:pPr>
            <w:r>
              <w:rPr>
                <w:rFonts w:ascii="Arial" w:cs="Arial" w:eastAsia="Arial" w:hAnsi="Arial"/>
                <w:sz w:val="14"/>
                <w:szCs w:val="14"/>
                <w:color w:val="auto"/>
              </w:rPr>
              <w:t>430,000</w:t>
            </w:r>
          </w:p>
        </w:tc>
        <w:tc>
          <w:tcPr>
            <w:tcW w:w="760" w:type="dxa"/>
            <w:vAlign w:val="bottom"/>
            <w:vMerge w:val="restart"/>
            <w:shd w:val="clear" w:color="auto" w:fill="EBEBEB"/>
          </w:tcPr>
          <w:p>
            <w:pPr>
              <w:jc w:val="right"/>
              <w:ind w:right="65"/>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EBEBEB"/>
          </w:tcPr>
          <w:p>
            <w:pPr>
              <w:jc w:val="right"/>
              <w:ind w:right="105"/>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EBEBEB"/>
          </w:tcPr>
          <w:p>
            <w:pPr>
              <w:jc w:val="right"/>
              <w:ind w:right="65"/>
              <w:spacing w:after="0"/>
              <w:rPr>
                <w:sz w:val="20"/>
                <w:szCs w:val="20"/>
                <w:color w:val="auto"/>
              </w:rPr>
            </w:pPr>
            <w:r>
              <w:rPr>
                <w:rFonts w:ascii="Arial" w:cs="Arial" w:eastAsia="Arial" w:hAnsi="Arial"/>
                <w:sz w:val="14"/>
                <w:szCs w:val="14"/>
                <w:color w:val="auto"/>
              </w:rPr>
              <w:t>1,450,891</w:t>
            </w:r>
          </w:p>
        </w:tc>
        <w:tc>
          <w:tcPr>
            <w:tcW w:w="1380" w:type="dxa"/>
            <w:vAlign w:val="bottom"/>
            <w:vMerge w:val="restart"/>
            <w:shd w:val="clear" w:color="auto" w:fill="EBEBEB"/>
          </w:tcPr>
          <w:p>
            <w:pPr>
              <w:jc w:val="right"/>
              <w:ind w:right="64"/>
              <w:spacing w:after="0"/>
              <w:rPr>
                <w:sz w:val="20"/>
                <w:szCs w:val="20"/>
                <w:color w:val="auto"/>
              </w:rPr>
            </w:pPr>
            <w:r>
              <w:rPr>
                <w:rFonts w:ascii="Arial" w:cs="Arial" w:eastAsia="Arial" w:hAnsi="Arial"/>
                <w:sz w:val="14"/>
                <w:szCs w:val="14"/>
                <w:color w:val="auto"/>
              </w:rPr>
              <w:t>147,920</w:t>
            </w:r>
          </w:p>
        </w:tc>
        <w:tc>
          <w:tcPr>
            <w:tcW w:w="1440" w:type="dxa"/>
            <w:vAlign w:val="bottom"/>
            <w:vMerge w:val="restart"/>
            <w:shd w:val="clear" w:color="auto" w:fill="EBEBEB"/>
          </w:tcPr>
          <w:p>
            <w:pPr>
              <w:jc w:val="right"/>
              <w:ind w:right="129"/>
              <w:spacing w:after="0"/>
              <w:rPr>
                <w:sz w:val="20"/>
                <w:szCs w:val="20"/>
                <w:color w:val="auto"/>
              </w:rPr>
            </w:pPr>
            <w:r>
              <w:rPr>
                <w:rFonts w:ascii="Arial" w:cs="Arial" w:eastAsia="Arial" w:hAnsi="Arial"/>
                <w:sz w:val="14"/>
                <w:szCs w:val="14"/>
                <w:color w:val="auto"/>
              </w:rPr>
              <w:t>74,922</w:t>
            </w:r>
            <w:r>
              <w:rPr>
                <w:rFonts w:ascii="Arial" w:cs="Arial" w:eastAsia="Arial" w:hAnsi="Arial"/>
                <w:sz w:val="23"/>
                <w:szCs w:val="23"/>
                <w:color w:val="auto"/>
                <w:vertAlign w:val="superscript"/>
              </w:rPr>
              <w:t>(5)</w:t>
            </w:r>
          </w:p>
        </w:tc>
        <w:tc>
          <w:tcPr>
            <w:tcW w:w="840" w:type="dxa"/>
            <w:vAlign w:val="bottom"/>
            <w:vMerge w:val="restart"/>
            <w:shd w:val="clear" w:color="auto" w:fill="EBEBEB"/>
          </w:tcPr>
          <w:p>
            <w:pPr>
              <w:jc w:val="right"/>
              <w:spacing w:after="0"/>
              <w:rPr>
                <w:sz w:val="20"/>
                <w:szCs w:val="20"/>
                <w:color w:val="auto"/>
              </w:rPr>
            </w:pPr>
            <w:r>
              <w:rPr>
                <w:rFonts w:ascii="Arial" w:cs="Arial" w:eastAsia="Arial" w:hAnsi="Arial"/>
                <w:sz w:val="14"/>
                <w:szCs w:val="14"/>
                <w:color w:val="auto"/>
              </w:rPr>
              <w:t>2,103,733</w:t>
            </w:r>
          </w:p>
        </w:tc>
        <w:tc>
          <w:tcPr>
            <w:tcW w:w="0" w:type="dxa"/>
            <w:vAlign w:val="bottom"/>
          </w:tcPr>
          <w:p>
            <w:pPr>
              <w:spacing w:after="0"/>
              <w:rPr>
                <w:sz w:val="1"/>
                <w:szCs w:val="1"/>
                <w:color w:val="auto"/>
              </w:rPr>
            </w:pPr>
          </w:p>
        </w:tc>
      </w:tr>
      <w:tr>
        <w:trPr>
          <w:trHeight w:val="250"/>
        </w:trPr>
        <w:tc>
          <w:tcPr>
            <w:tcW w:w="1720" w:type="dxa"/>
            <w:vAlign w:val="bottom"/>
            <w:shd w:val="clear" w:color="auto" w:fill="EBEBEB"/>
          </w:tcPr>
          <w:p>
            <w:pPr>
              <w:ind w:left="60"/>
              <w:spacing w:after="0"/>
              <w:rPr>
                <w:sz w:val="20"/>
                <w:szCs w:val="20"/>
                <w:color w:val="auto"/>
              </w:rPr>
            </w:pPr>
            <w:r>
              <w:rPr>
                <w:rFonts w:ascii="Arial" w:cs="Arial" w:eastAsia="Arial" w:hAnsi="Arial"/>
                <w:sz w:val="14"/>
                <w:szCs w:val="14"/>
                <w:color w:val="auto"/>
              </w:rPr>
              <w:t>Officer</w:t>
            </w:r>
          </w:p>
        </w:tc>
        <w:tc>
          <w:tcPr>
            <w:tcW w:w="120" w:type="dxa"/>
            <w:vAlign w:val="bottom"/>
            <w:shd w:val="clear" w:color="auto" w:fill="EBEBEB"/>
          </w:tcPr>
          <w:p>
            <w:pPr>
              <w:spacing w:after="0"/>
              <w:rPr>
                <w:sz w:val="21"/>
                <w:szCs w:val="21"/>
                <w:color w:val="auto"/>
              </w:rPr>
            </w:pPr>
          </w:p>
        </w:tc>
        <w:tc>
          <w:tcPr>
            <w:tcW w:w="500" w:type="dxa"/>
            <w:vAlign w:val="bottom"/>
            <w:vMerge w:val="continue"/>
            <w:shd w:val="clear" w:color="auto" w:fill="EBEBEB"/>
          </w:tcPr>
          <w:p>
            <w:pPr>
              <w:spacing w:after="0"/>
              <w:rPr>
                <w:sz w:val="21"/>
                <w:szCs w:val="21"/>
                <w:color w:val="auto"/>
              </w:rPr>
            </w:pPr>
          </w:p>
        </w:tc>
        <w:tc>
          <w:tcPr>
            <w:tcW w:w="820" w:type="dxa"/>
            <w:vAlign w:val="bottom"/>
            <w:vMerge w:val="continue"/>
            <w:shd w:val="clear" w:color="auto" w:fill="EBEBEB"/>
          </w:tcPr>
          <w:p>
            <w:pPr>
              <w:spacing w:after="0"/>
              <w:rPr>
                <w:sz w:val="21"/>
                <w:szCs w:val="21"/>
                <w:color w:val="auto"/>
              </w:rPr>
            </w:pPr>
          </w:p>
        </w:tc>
        <w:tc>
          <w:tcPr>
            <w:tcW w:w="760" w:type="dxa"/>
            <w:vAlign w:val="bottom"/>
            <w:vMerge w:val="continue"/>
            <w:shd w:val="clear" w:color="auto" w:fill="EBEBEB"/>
          </w:tcPr>
          <w:p>
            <w:pPr>
              <w:spacing w:after="0"/>
              <w:rPr>
                <w:sz w:val="21"/>
                <w:szCs w:val="21"/>
                <w:color w:val="auto"/>
              </w:rPr>
            </w:pPr>
          </w:p>
        </w:tc>
        <w:tc>
          <w:tcPr>
            <w:tcW w:w="880" w:type="dxa"/>
            <w:vAlign w:val="bottom"/>
            <w:vMerge w:val="continue"/>
            <w:shd w:val="clear" w:color="auto" w:fill="EBEBEB"/>
          </w:tcPr>
          <w:p>
            <w:pPr>
              <w:spacing w:after="0"/>
              <w:rPr>
                <w:sz w:val="21"/>
                <w:szCs w:val="21"/>
                <w:color w:val="auto"/>
              </w:rPr>
            </w:pPr>
          </w:p>
        </w:tc>
        <w:tc>
          <w:tcPr>
            <w:tcW w:w="940" w:type="dxa"/>
            <w:vAlign w:val="bottom"/>
            <w:vMerge w:val="continue"/>
            <w:shd w:val="clear" w:color="auto" w:fill="EBEBEB"/>
          </w:tcPr>
          <w:p>
            <w:pPr>
              <w:spacing w:after="0"/>
              <w:rPr>
                <w:sz w:val="21"/>
                <w:szCs w:val="21"/>
                <w:color w:val="auto"/>
              </w:rPr>
            </w:pPr>
          </w:p>
        </w:tc>
        <w:tc>
          <w:tcPr>
            <w:tcW w:w="1380" w:type="dxa"/>
            <w:vAlign w:val="bottom"/>
            <w:vMerge w:val="continue"/>
            <w:shd w:val="clear" w:color="auto" w:fill="EBEBEB"/>
          </w:tcPr>
          <w:p>
            <w:pPr>
              <w:spacing w:after="0"/>
              <w:rPr>
                <w:sz w:val="21"/>
                <w:szCs w:val="21"/>
                <w:color w:val="auto"/>
              </w:rPr>
            </w:pPr>
          </w:p>
        </w:tc>
        <w:tc>
          <w:tcPr>
            <w:tcW w:w="1440" w:type="dxa"/>
            <w:vAlign w:val="bottom"/>
            <w:vMerge w:val="continue"/>
            <w:shd w:val="clear" w:color="auto" w:fill="EBEBEB"/>
          </w:tcPr>
          <w:p>
            <w:pPr>
              <w:spacing w:after="0"/>
              <w:rPr>
                <w:sz w:val="21"/>
                <w:szCs w:val="21"/>
                <w:color w:val="auto"/>
              </w:rPr>
            </w:pPr>
          </w:p>
        </w:tc>
        <w:tc>
          <w:tcPr>
            <w:tcW w:w="840" w:type="dxa"/>
            <w:vAlign w:val="bottom"/>
            <w:vMerge w:val="continue"/>
            <w:shd w:val="clear" w:color="auto" w:fill="EBEBEB"/>
          </w:tcPr>
          <w:p>
            <w:pPr>
              <w:spacing w:after="0"/>
              <w:rPr>
                <w:sz w:val="21"/>
                <w:szCs w:val="21"/>
                <w:color w:val="auto"/>
              </w:rPr>
            </w:pPr>
          </w:p>
        </w:tc>
        <w:tc>
          <w:tcPr>
            <w:tcW w:w="0" w:type="dxa"/>
            <w:vAlign w:val="bottom"/>
          </w:tcPr>
          <w:p>
            <w:pPr>
              <w:spacing w:after="0"/>
              <w:rPr>
                <w:sz w:val="1"/>
                <w:szCs w:val="1"/>
                <w:color w:val="auto"/>
              </w:rPr>
            </w:pPr>
          </w:p>
        </w:tc>
      </w:tr>
      <w:tr>
        <w:trPr>
          <w:trHeight w:val="29"/>
        </w:trPr>
        <w:tc>
          <w:tcPr>
            <w:tcW w:w="1720" w:type="dxa"/>
            <w:vAlign w:val="bottom"/>
            <w:shd w:val="clear" w:color="auto" w:fill="EBEBEB"/>
          </w:tcPr>
          <w:p>
            <w:pPr>
              <w:spacing w:after="0"/>
              <w:rPr>
                <w:sz w:val="2"/>
                <w:szCs w:val="2"/>
                <w:color w:val="auto"/>
              </w:rPr>
            </w:pPr>
          </w:p>
        </w:tc>
        <w:tc>
          <w:tcPr>
            <w:tcW w:w="120" w:type="dxa"/>
            <w:vAlign w:val="bottom"/>
            <w:shd w:val="clear" w:color="auto" w:fill="EBEBEB"/>
          </w:tcPr>
          <w:p>
            <w:pPr>
              <w:spacing w:after="0"/>
              <w:rPr>
                <w:sz w:val="2"/>
                <w:szCs w:val="2"/>
                <w:color w:val="auto"/>
              </w:rPr>
            </w:pPr>
          </w:p>
        </w:tc>
        <w:tc>
          <w:tcPr>
            <w:tcW w:w="500" w:type="dxa"/>
            <w:vAlign w:val="bottom"/>
            <w:shd w:val="clear" w:color="auto" w:fill="EBEBEB"/>
          </w:tcPr>
          <w:p>
            <w:pPr>
              <w:spacing w:after="0"/>
              <w:rPr>
                <w:sz w:val="2"/>
                <w:szCs w:val="2"/>
                <w:color w:val="auto"/>
              </w:rPr>
            </w:pPr>
          </w:p>
        </w:tc>
        <w:tc>
          <w:tcPr>
            <w:tcW w:w="820" w:type="dxa"/>
            <w:vAlign w:val="bottom"/>
            <w:shd w:val="clear" w:color="auto" w:fill="EBEBEB"/>
          </w:tcPr>
          <w:p>
            <w:pPr>
              <w:spacing w:after="0"/>
              <w:rPr>
                <w:sz w:val="2"/>
                <w:szCs w:val="2"/>
                <w:color w:val="auto"/>
              </w:rPr>
            </w:pPr>
          </w:p>
        </w:tc>
        <w:tc>
          <w:tcPr>
            <w:tcW w:w="760" w:type="dxa"/>
            <w:vAlign w:val="bottom"/>
            <w:shd w:val="clear" w:color="auto" w:fill="EBEBEB"/>
          </w:tcPr>
          <w:p>
            <w:pPr>
              <w:spacing w:after="0"/>
              <w:rPr>
                <w:sz w:val="2"/>
                <w:szCs w:val="2"/>
                <w:color w:val="auto"/>
              </w:rPr>
            </w:pPr>
          </w:p>
        </w:tc>
        <w:tc>
          <w:tcPr>
            <w:tcW w:w="880" w:type="dxa"/>
            <w:vAlign w:val="bottom"/>
            <w:shd w:val="clear" w:color="auto" w:fill="EBEBEB"/>
          </w:tcPr>
          <w:p>
            <w:pPr>
              <w:spacing w:after="0"/>
              <w:rPr>
                <w:sz w:val="2"/>
                <w:szCs w:val="2"/>
                <w:color w:val="auto"/>
              </w:rPr>
            </w:pPr>
          </w:p>
        </w:tc>
        <w:tc>
          <w:tcPr>
            <w:tcW w:w="940" w:type="dxa"/>
            <w:vAlign w:val="bottom"/>
            <w:shd w:val="clear" w:color="auto" w:fill="EBEBEB"/>
          </w:tcPr>
          <w:p>
            <w:pPr>
              <w:spacing w:after="0"/>
              <w:rPr>
                <w:sz w:val="2"/>
                <w:szCs w:val="2"/>
                <w:color w:val="auto"/>
              </w:rPr>
            </w:pPr>
          </w:p>
        </w:tc>
        <w:tc>
          <w:tcPr>
            <w:tcW w:w="1380" w:type="dxa"/>
            <w:vAlign w:val="bottom"/>
            <w:shd w:val="clear" w:color="auto" w:fill="EBEBEB"/>
          </w:tcPr>
          <w:p>
            <w:pPr>
              <w:spacing w:after="0"/>
              <w:rPr>
                <w:sz w:val="2"/>
                <w:szCs w:val="2"/>
                <w:color w:val="auto"/>
              </w:rPr>
            </w:pPr>
          </w:p>
        </w:tc>
        <w:tc>
          <w:tcPr>
            <w:tcW w:w="1440" w:type="dxa"/>
            <w:vAlign w:val="bottom"/>
            <w:shd w:val="clear" w:color="auto" w:fill="EBEBEB"/>
          </w:tcPr>
          <w:p>
            <w:pPr>
              <w:spacing w:after="0"/>
              <w:rPr>
                <w:sz w:val="2"/>
                <w:szCs w:val="2"/>
                <w:color w:val="auto"/>
              </w:rPr>
            </w:pPr>
          </w:p>
        </w:tc>
        <w:tc>
          <w:tcPr>
            <w:tcW w:w="840" w:type="dxa"/>
            <w:vAlign w:val="bottom"/>
            <w:shd w:val="clear" w:color="auto" w:fill="EBEBEB"/>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-556895</wp:posOffset>
            </wp:positionV>
            <wp:extent cx="596646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-1662430</wp:posOffset>
            </wp:positionV>
            <wp:extent cx="596646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33" w:lineRule="exact"/>
        <w:rPr>
          <w:sz w:val="20"/>
          <w:szCs w:val="20"/>
          <w:color w:val="auto"/>
        </w:rPr>
      </w:pPr>
    </w:p>
    <w:p>
      <w:pPr>
        <w:ind w:left="320" w:right="120" w:hanging="224"/>
        <w:spacing w:after="0" w:line="250" w:lineRule="auto"/>
        <w:tabs>
          <w:tab w:leader="none" w:pos="320" w:val="left"/>
        </w:tabs>
        <w:numPr>
          <w:ilvl w:val="0"/>
          <w:numId w:val="25"/>
        </w:numPr>
        <w:rPr>
          <w:rFonts w:ascii="Arial" w:cs="Arial" w:eastAsia="Arial" w:hAnsi="Arial"/>
          <w:sz w:val="14"/>
          <w:szCs w:val="14"/>
          <w:color w:val="255993"/>
        </w:rPr>
      </w:pPr>
      <w:r>
        <w:rPr>
          <w:rFonts w:ascii="Arial" w:cs="Arial" w:eastAsia="Arial" w:hAnsi="Arial"/>
          <w:sz w:val="14"/>
          <w:szCs w:val="14"/>
          <w:color w:val="255993"/>
        </w:rPr>
        <w:t xml:space="preserve">In accordance with SEC rules, amounts in this column reflect the aggregate grant date fair value of performance RSU awards granted during 2023 reflecting the probable outcome of such performance conditions computed in accordance with ASC Topic 718, rather than the amounts paid or realized by the named executive officer. For a discussion of valuation assumptions, see Note 9 to our financial statements and the section titled </w:t>
      </w:r>
      <w:r>
        <w:rPr>
          <w:rFonts w:ascii="Arial" w:cs="Arial" w:eastAsia="Arial" w:hAnsi="Arial"/>
          <w:sz w:val="14"/>
          <w:szCs w:val="14"/>
          <w:i w:val="1"/>
          <w:iCs w:val="1"/>
          <w:color w:val="255993"/>
        </w:rPr>
        <w:t>“Stock-based Compensation”</w:t>
      </w:r>
      <w:r>
        <w:rPr>
          <w:rFonts w:ascii="Arial" w:cs="Arial" w:eastAsia="Arial" w:hAnsi="Arial"/>
          <w:sz w:val="14"/>
          <w:szCs w:val="14"/>
          <w:color w:val="255993"/>
        </w:rPr>
        <w:t xml:space="preserve"> included in our Annual Report on Form 10-K for the year ended December 31, 2023, filed with the SEC on February 22, 2024. The fair value of the performance RSU awards at the grant date has been calculated assuming that the highest level of performance conditions will be achieved for each award.</w:t>
      </w:r>
    </w:p>
    <w:p>
      <w:pPr>
        <w:spacing w:after="0" w:line="46" w:lineRule="exact"/>
        <w:rPr>
          <w:rFonts w:ascii="Arial" w:cs="Arial" w:eastAsia="Arial" w:hAnsi="Arial"/>
          <w:sz w:val="14"/>
          <w:szCs w:val="14"/>
          <w:color w:val="255993"/>
        </w:rPr>
      </w:pPr>
    </w:p>
    <w:p>
      <w:pPr>
        <w:ind w:left="320" w:right="120" w:hanging="224"/>
        <w:spacing w:after="0" w:line="256" w:lineRule="auto"/>
        <w:tabs>
          <w:tab w:leader="none" w:pos="320" w:val="left"/>
        </w:tabs>
        <w:numPr>
          <w:ilvl w:val="0"/>
          <w:numId w:val="25"/>
        </w:numPr>
        <w:rPr>
          <w:rFonts w:ascii="Arial" w:cs="Arial" w:eastAsia="Arial" w:hAnsi="Arial"/>
          <w:sz w:val="14"/>
          <w:szCs w:val="14"/>
          <w:color w:val="255993"/>
        </w:rPr>
      </w:pPr>
      <w:r>
        <w:rPr>
          <w:rFonts w:ascii="Arial" w:cs="Arial" w:eastAsia="Arial" w:hAnsi="Arial"/>
          <w:sz w:val="14"/>
          <w:szCs w:val="14"/>
          <w:color w:val="255993"/>
        </w:rPr>
        <w:t xml:space="preserve">In accordance with SEC rules, amounts in this column reflect the aggregate grant date fair value of stock options granted during 2022 and 2023 computed in accordance with ASC Topic 718, rather than the amounts paid or realized by the named executive officer. For a discussion of valuation assumptions, see Note 9 and the sections titled </w:t>
      </w:r>
      <w:r>
        <w:rPr>
          <w:rFonts w:ascii="Arial" w:cs="Arial" w:eastAsia="Arial" w:hAnsi="Arial"/>
          <w:sz w:val="14"/>
          <w:szCs w:val="14"/>
          <w:i w:val="1"/>
          <w:iCs w:val="1"/>
          <w:color w:val="255993"/>
        </w:rPr>
        <w:t>“Stock-based Compensation”</w:t>
      </w:r>
      <w:r>
        <w:rPr>
          <w:rFonts w:ascii="Arial" w:cs="Arial" w:eastAsia="Arial" w:hAnsi="Arial"/>
          <w:sz w:val="14"/>
          <w:szCs w:val="14"/>
          <w:color w:val="255993"/>
        </w:rPr>
        <w:t xml:space="preserve"> to our financial statements included in each of our Annual Reports on Form 10-K for the years ended December 31, 2022 and December 31, 2023.</w:t>
      </w:r>
    </w:p>
    <w:p>
      <w:pPr>
        <w:spacing w:after="0" w:line="55" w:lineRule="exact"/>
        <w:rPr>
          <w:rFonts w:ascii="Arial" w:cs="Arial" w:eastAsia="Arial" w:hAnsi="Arial"/>
          <w:sz w:val="14"/>
          <w:szCs w:val="14"/>
          <w:color w:val="255993"/>
        </w:rPr>
      </w:pPr>
    </w:p>
    <w:p>
      <w:pPr>
        <w:ind w:left="320" w:right="720" w:hanging="224"/>
        <w:spacing w:after="0" w:line="285" w:lineRule="auto"/>
        <w:tabs>
          <w:tab w:leader="none" w:pos="320" w:val="left"/>
        </w:tabs>
        <w:numPr>
          <w:ilvl w:val="0"/>
          <w:numId w:val="25"/>
        </w:numPr>
        <w:rPr>
          <w:rFonts w:ascii="Arial" w:cs="Arial" w:eastAsia="Arial" w:hAnsi="Arial"/>
          <w:sz w:val="14"/>
          <w:szCs w:val="14"/>
          <w:color w:val="255993"/>
        </w:rPr>
      </w:pPr>
      <w:r>
        <w:rPr>
          <w:rFonts w:ascii="Arial" w:cs="Arial" w:eastAsia="Arial" w:hAnsi="Arial"/>
          <w:sz w:val="14"/>
          <w:szCs w:val="14"/>
          <w:color w:val="255993"/>
        </w:rPr>
        <w:t>Represents cash bonuses earned by the named executive officers pursuant to our Executive Incentive Compensation Plan for 2022 performance, paid in 2023, and for 2023 performance, paid in 2024.</w:t>
      </w:r>
    </w:p>
    <w:p>
      <w:pPr>
        <w:spacing w:after="0" w:line="36" w:lineRule="exact"/>
        <w:rPr>
          <w:rFonts w:ascii="Arial" w:cs="Arial" w:eastAsia="Arial" w:hAnsi="Arial"/>
          <w:sz w:val="14"/>
          <w:szCs w:val="14"/>
          <w:color w:val="255993"/>
        </w:rPr>
      </w:pPr>
    </w:p>
    <w:p>
      <w:pPr>
        <w:ind w:left="320" w:hanging="224"/>
        <w:spacing w:after="0"/>
        <w:tabs>
          <w:tab w:leader="none" w:pos="320" w:val="left"/>
        </w:tabs>
        <w:numPr>
          <w:ilvl w:val="0"/>
          <w:numId w:val="25"/>
        </w:numPr>
        <w:rPr>
          <w:rFonts w:ascii="Arial" w:cs="Arial" w:eastAsia="Arial" w:hAnsi="Arial"/>
          <w:sz w:val="14"/>
          <w:szCs w:val="14"/>
          <w:color w:val="255993"/>
        </w:rPr>
      </w:pPr>
      <w:r>
        <w:rPr>
          <w:rFonts w:ascii="Arial" w:cs="Arial" w:eastAsia="Arial" w:hAnsi="Arial"/>
          <w:sz w:val="14"/>
          <w:szCs w:val="14"/>
          <w:color w:val="255993"/>
        </w:rPr>
        <w:t>Represents payments made on the executive’s behalf for basic life insurance and accidental death and dismemberment insurance.</w:t>
      </w:r>
    </w:p>
    <w:p>
      <w:pPr>
        <w:spacing w:after="0" w:line="82" w:lineRule="exact"/>
        <w:rPr>
          <w:rFonts w:ascii="Arial" w:cs="Arial" w:eastAsia="Arial" w:hAnsi="Arial"/>
          <w:sz w:val="14"/>
          <w:szCs w:val="14"/>
          <w:color w:val="255993"/>
        </w:rPr>
      </w:pPr>
    </w:p>
    <w:p>
      <w:pPr>
        <w:ind w:left="320" w:right="80" w:hanging="224"/>
        <w:spacing w:after="0" w:line="252" w:lineRule="auto"/>
        <w:tabs>
          <w:tab w:leader="none" w:pos="320" w:val="left"/>
        </w:tabs>
        <w:numPr>
          <w:ilvl w:val="0"/>
          <w:numId w:val="25"/>
        </w:numPr>
        <w:rPr>
          <w:rFonts w:ascii="Arial" w:cs="Arial" w:eastAsia="Arial" w:hAnsi="Arial"/>
          <w:sz w:val="14"/>
          <w:szCs w:val="14"/>
          <w:color w:val="255993"/>
        </w:rPr>
      </w:pPr>
      <w:r>
        <w:rPr>
          <w:rFonts w:ascii="Arial" w:cs="Arial" w:eastAsia="Arial" w:hAnsi="Arial"/>
          <w:sz w:val="14"/>
          <w:szCs w:val="14"/>
          <w:color w:val="255993"/>
        </w:rPr>
        <w:t>Represents cash stipends paid to Dr. Moebius under the terms of his employment agreement to defray the costs associated with mandatory and elective benefits contributions. The reported amount for 2023 includes monthly cash stipends of $8,987 plus an additional $15,590, which is equal to 9.061% of the cash bonus earned by Dr. Moebius during 2023. The reported amount for 2022 includes monthly cash stipends of $5,200 plus an additional $12,522, which is equal to 8.465% of the cash bonus earned by Dr. Moebius during 2022. Dr. Moebius resigned as our chief medical officer in January 2024 but continues to provide advisory services to the Company.</w:t>
      </w:r>
    </w:p>
    <w:p>
      <w:pPr>
        <w:spacing w:after="0" w:line="181" w:lineRule="exact"/>
        <w:rPr>
          <w:sz w:val="20"/>
          <w:szCs w:val="20"/>
          <w:color w:val="auto"/>
        </w:rPr>
      </w:pPr>
    </w:p>
    <w:p>
      <w:pPr>
        <w:spacing w:after="0"/>
        <w:tabs>
          <w:tab w:leader="none" w:pos="4600" w:val="left"/>
          <w:tab w:leader="none" w:pos="7960" w:val="left"/>
        </w:tabs>
        <w:rPr>
          <w:sz w:val="20"/>
          <w:szCs w:val="20"/>
          <w:color w:val="auto"/>
        </w:rPr>
      </w:pPr>
      <w:r>
        <w:rPr>
          <w:rFonts w:ascii="Arial" w:cs="Arial" w:eastAsia="Arial" w:hAnsi="Arial"/>
          <w:sz w:val="14"/>
          <w:szCs w:val="14"/>
          <w:color w:val="255993"/>
        </w:rPr>
        <w:t>Athira Pharma, Inc.</w:t>
      </w:r>
      <w:r>
        <w:rPr>
          <w:sz w:val="20"/>
          <w:szCs w:val="20"/>
          <w:color w:val="auto"/>
        </w:rPr>
        <w:tab/>
      </w:r>
      <w:r>
        <w:rPr>
          <w:rFonts w:ascii="Arial" w:cs="Arial" w:eastAsia="Arial" w:hAnsi="Arial"/>
          <w:sz w:val="14"/>
          <w:szCs w:val="14"/>
          <w:b w:val="1"/>
          <w:bCs w:val="1"/>
          <w:color w:val="255993"/>
        </w:rPr>
        <w:t>35</w:t>
      </w:r>
      <w:r>
        <w:rPr>
          <w:sz w:val="20"/>
          <w:szCs w:val="20"/>
          <w:color w:val="auto"/>
        </w:rPr>
        <w:tab/>
      </w:r>
      <w:r>
        <w:rPr>
          <w:rFonts w:ascii="Arial" w:cs="Arial" w:eastAsia="Arial" w:hAnsi="Arial"/>
          <w:sz w:val="14"/>
          <w:szCs w:val="14"/>
          <w:color w:val="255993"/>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126365</wp:posOffset>
            </wp:positionV>
            <wp:extent cx="699516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263" w:right="12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255993"/>
        </w:rPr>
        <w:t>Executive Compensation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OUTSTANDING EQUITY AWARDS AT DECEMBER 31, 2023</w:t>
      </w:r>
    </w:p>
    <w:p>
      <w:pPr>
        <w:spacing w:after="0" w:line="108"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The following table shows grants of stock options and restricted stock units to each of our named executive officers outstanding at December 31, 2023.</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337"/>
        </w:trPr>
        <w:tc>
          <w:tcPr>
            <w:tcW w:w="1440" w:type="dxa"/>
            <w:vAlign w:val="bottom"/>
            <w:shd w:val="clear" w:color="auto" w:fill="255993"/>
          </w:tcPr>
          <w:p>
            <w:pPr>
              <w:spacing w:after="0"/>
              <w:rPr>
                <w:sz w:val="24"/>
                <w:szCs w:val="24"/>
                <w:color w:val="auto"/>
              </w:rPr>
            </w:pPr>
          </w:p>
        </w:tc>
        <w:tc>
          <w:tcPr>
            <w:tcW w:w="1520" w:type="dxa"/>
            <w:vAlign w:val="bottom"/>
            <w:shd w:val="clear" w:color="auto" w:fill="255993"/>
          </w:tcPr>
          <w:p>
            <w:pPr>
              <w:spacing w:after="0"/>
              <w:rPr>
                <w:sz w:val="24"/>
                <w:szCs w:val="24"/>
                <w:color w:val="auto"/>
              </w:rPr>
            </w:pPr>
          </w:p>
        </w:tc>
        <w:tc>
          <w:tcPr>
            <w:tcW w:w="1160" w:type="dxa"/>
            <w:vAlign w:val="bottom"/>
            <w:shd w:val="clear" w:color="auto" w:fill="255993"/>
          </w:tcPr>
          <w:p>
            <w:pPr>
              <w:spacing w:after="0"/>
              <w:rPr>
                <w:sz w:val="24"/>
                <w:szCs w:val="24"/>
                <w:color w:val="auto"/>
              </w:rPr>
            </w:pPr>
          </w:p>
        </w:tc>
        <w:tc>
          <w:tcPr>
            <w:tcW w:w="1320" w:type="dxa"/>
            <w:vAlign w:val="bottom"/>
            <w:shd w:val="clear" w:color="auto" w:fill="255993"/>
          </w:tcPr>
          <w:p>
            <w:pPr>
              <w:spacing w:after="0"/>
              <w:rPr>
                <w:sz w:val="24"/>
                <w:szCs w:val="24"/>
                <w:color w:val="auto"/>
              </w:rPr>
            </w:pPr>
          </w:p>
        </w:tc>
        <w:tc>
          <w:tcPr>
            <w:tcW w:w="900" w:type="dxa"/>
            <w:vAlign w:val="bottom"/>
            <w:shd w:val="clear" w:color="auto" w:fill="255993"/>
          </w:tcPr>
          <w:p>
            <w:pPr>
              <w:spacing w:after="0"/>
              <w:rPr>
                <w:sz w:val="24"/>
                <w:szCs w:val="24"/>
                <w:color w:val="auto"/>
              </w:rPr>
            </w:pPr>
          </w:p>
        </w:tc>
        <w:tc>
          <w:tcPr>
            <w:tcW w:w="1160" w:type="dxa"/>
            <w:vAlign w:val="bottom"/>
            <w:shd w:val="clear" w:color="auto" w:fill="255993"/>
          </w:tcPr>
          <w:p>
            <w:pPr>
              <w:spacing w:after="0"/>
              <w:rPr>
                <w:sz w:val="24"/>
                <w:szCs w:val="24"/>
                <w:color w:val="auto"/>
              </w:rPr>
            </w:pPr>
          </w:p>
        </w:tc>
        <w:tc>
          <w:tcPr>
            <w:tcW w:w="1900" w:type="dxa"/>
            <w:vAlign w:val="bottom"/>
            <w:gridSpan w:val="2"/>
            <w:shd w:val="clear" w:color="auto" w:fill="255993"/>
          </w:tcPr>
          <w:p>
            <w:pPr>
              <w:jc w:val="right"/>
              <w:ind w:right="245"/>
              <w:spacing w:after="0"/>
              <w:rPr>
                <w:sz w:val="20"/>
                <w:szCs w:val="20"/>
                <w:color w:val="auto"/>
              </w:rPr>
            </w:pPr>
            <w:r>
              <w:rPr>
                <w:rFonts w:ascii="Arial" w:cs="Arial" w:eastAsia="Arial" w:hAnsi="Arial"/>
                <w:sz w:val="16"/>
                <w:szCs w:val="16"/>
                <w:b w:val="1"/>
                <w:bCs w:val="1"/>
                <w:color w:val="FFFFFF"/>
              </w:rPr>
              <w:t>Stock Awards</w:t>
            </w:r>
          </w:p>
        </w:tc>
        <w:tc>
          <w:tcPr>
            <w:tcW w:w="0" w:type="dxa"/>
            <w:vAlign w:val="bottom"/>
          </w:tcPr>
          <w:p>
            <w:pPr>
              <w:spacing w:after="0"/>
              <w:rPr>
                <w:sz w:val="1"/>
                <w:szCs w:val="1"/>
                <w:color w:val="auto"/>
              </w:rPr>
            </w:pPr>
          </w:p>
        </w:tc>
      </w:tr>
      <w:tr>
        <w:trPr>
          <w:trHeight w:val="223"/>
        </w:trPr>
        <w:tc>
          <w:tcPr>
            <w:tcW w:w="1440" w:type="dxa"/>
            <w:vAlign w:val="bottom"/>
            <w:shd w:val="clear" w:color="auto" w:fill="255993"/>
          </w:tcPr>
          <w:p>
            <w:pPr>
              <w:spacing w:after="0"/>
              <w:rPr>
                <w:sz w:val="19"/>
                <w:szCs w:val="19"/>
                <w:color w:val="auto"/>
              </w:rPr>
            </w:pPr>
          </w:p>
        </w:tc>
        <w:tc>
          <w:tcPr>
            <w:tcW w:w="1520" w:type="dxa"/>
            <w:vAlign w:val="bottom"/>
            <w:shd w:val="clear" w:color="auto" w:fill="255993"/>
          </w:tcPr>
          <w:p>
            <w:pPr>
              <w:spacing w:after="0"/>
              <w:rPr>
                <w:sz w:val="19"/>
                <w:szCs w:val="19"/>
                <w:color w:val="auto"/>
              </w:rPr>
            </w:pPr>
          </w:p>
        </w:tc>
        <w:tc>
          <w:tcPr>
            <w:tcW w:w="4540" w:type="dxa"/>
            <w:vAlign w:val="bottom"/>
            <w:gridSpan w:val="4"/>
            <w:shd w:val="clear" w:color="auto" w:fill="255993"/>
          </w:tcPr>
          <w:p>
            <w:pPr>
              <w:jc w:val="right"/>
              <w:ind w:right="187"/>
              <w:spacing w:after="0"/>
              <w:rPr>
                <w:sz w:val="20"/>
                <w:szCs w:val="20"/>
                <w:color w:val="auto"/>
              </w:rPr>
            </w:pPr>
            <w:r>
              <w:rPr>
                <w:rFonts w:ascii="Arial" w:cs="Arial" w:eastAsia="Arial" w:hAnsi="Arial"/>
                <w:sz w:val="16"/>
                <w:szCs w:val="16"/>
                <w:b w:val="1"/>
                <w:bCs w:val="1"/>
                <w:color w:val="FFFFFF"/>
              </w:rPr>
              <w:t>Number of Securities Underlying Unexercised Options</w:t>
            </w:r>
          </w:p>
        </w:tc>
        <w:tc>
          <w:tcPr>
            <w:tcW w:w="1900" w:type="dxa"/>
            <w:vAlign w:val="bottom"/>
            <w:gridSpan w:val="2"/>
            <w:shd w:val="clear" w:color="auto" w:fill="255993"/>
          </w:tcPr>
          <w:p>
            <w:pPr>
              <w:jc w:val="right"/>
              <w:ind w:right="345"/>
              <w:spacing w:after="0"/>
              <w:rPr>
                <w:sz w:val="20"/>
                <w:szCs w:val="20"/>
                <w:color w:val="auto"/>
              </w:rPr>
            </w:pPr>
            <w:r>
              <w:rPr>
                <w:rFonts w:ascii="Arial" w:cs="Arial" w:eastAsia="Arial" w:hAnsi="Arial"/>
                <w:sz w:val="16"/>
                <w:szCs w:val="16"/>
                <w:b w:val="1"/>
                <w:bCs w:val="1"/>
                <w:color w:val="FFFFFF"/>
              </w:rPr>
              <w:t>(unvested)</w:t>
            </w:r>
          </w:p>
        </w:tc>
        <w:tc>
          <w:tcPr>
            <w:tcW w:w="0" w:type="dxa"/>
            <w:vAlign w:val="bottom"/>
          </w:tcPr>
          <w:p>
            <w:pPr>
              <w:spacing w:after="0"/>
              <w:rPr>
                <w:sz w:val="1"/>
                <w:szCs w:val="1"/>
                <w:color w:val="auto"/>
              </w:rPr>
            </w:pPr>
          </w:p>
        </w:tc>
      </w:tr>
      <w:tr>
        <w:trPr>
          <w:trHeight w:val="331"/>
        </w:trPr>
        <w:tc>
          <w:tcPr>
            <w:tcW w:w="1440" w:type="dxa"/>
            <w:vAlign w:val="bottom"/>
            <w:shd w:val="clear" w:color="auto" w:fill="255993"/>
          </w:tcPr>
          <w:p>
            <w:pPr>
              <w:spacing w:after="0"/>
              <w:rPr>
                <w:sz w:val="24"/>
                <w:szCs w:val="24"/>
                <w:color w:val="auto"/>
              </w:rPr>
            </w:pPr>
          </w:p>
        </w:tc>
        <w:tc>
          <w:tcPr>
            <w:tcW w:w="1520" w:type="dxa"/>
            <w:vAlign w:val="bottom"/>
            <w:shd w:val="clear" w:color="auto" w:fill="255993"/>
          </w:tcPr>
          <w:p>
            <w:pPr>
              <w:spacing w:after="0"/>
              <w:rPr>
                <w:sz w:val="24"/>
                <w:szCs w:val="24"/>
                <w:color w:val="auto"/>
              </w:rPr>
            </w:pPr>
          </w:p>
        </w:tc>
        <w:tc>
          <w:tcPr>
            <w:tcW w:w="1160" w:type="dxa"/>
            <w:vAlign w:val="bottom"/>
            <w:shd w:val="clear" w:color="auto" w:fill="255993"/>
          </w:tcPr>
          <w:p>
            <w:pPr>
              <w:spacing w:after="0"/>
              <w:rPr>
                <w:sz w:val="24"/>
                <w:szCs w:val="24"/>
                <w:color w:val="auto"/>
              </w:rPr>
            </w:pPr>
          </w:p>
        </w:tc>
        <w:tc>
          <w:tcPr>
            <w:tcW w:w="1320" w:type="dxa"/>
            <w:vAlign w:val="bottom"/>
            <w:shd w:val="clear" w:color="auto" w:fill="255993"/>
          </w:tcPr>
          <w:p>
            <w:pPr>
              <w:spacing w:after="0"/>
              <w:rPr>
                <w:sz w:val="24"/>
                <w:szCs w:val="24"/>
                <w:color w:val="auto"/>
              </w:rPr>
            </w:pPr>
          </w:p>
        </w:tc>
        <w:tc>
          <w:tcPr>
            <w:tcW w:w="900" w:type="dxa"/>
            <w:vAlign w:val="bottom"/>
            <w:shd w:val="clear" w:color="auto" w:fill="255993"/>
          </w:tcPr>
          <w:p>
            <w:pPr>
              <w:spacing w:after="0"/>
              <w:rPr>
                <w:sz w:val="24"/>
                <w:szCs w:val="24"/>
                <w:color w:val="auto"/>
              </w:rPr>
            </w:pPr>
          </w:p>
        </w:tc>
        <w:tc>
          <w:tcPr>
            <w:tcW w:w="1160" w:type="dxa"/>
            <w:vAlign w:val="bottom"/>
            <w:shd w:val="clear" w:color="auto" w:fill="255993"/>
          </w:tcPr>
          <w:p>
            <w:pPr>
              <w:spacing w:after="0"/>
              <w:rPr>
                <w:sz w:val="24"/>
                <w:szCs w:val="24"/>
                <w:color w:val="auto"/>
              </w:rPr>
            </w:pPr>
          </w:p>
        </w:tc>
        <w:tc>
          <w:tcPr>
            <w:tcW w:w="1160" w:type="dxa"/>
            <w:vAlign w:val="bottom"/>
            <w:shd w:val="clear" w:color="auto" w:fill="255993"/>
          </w:tcPr>
          <w:p>
            <w:pPr>
              <w:spacing w:after="0"/>
              <w:rPr>
                <w:sz w:val="24"/>
                <w:szCs w:val="24"/>
                <w:color w:val="auto"/>
              </w:rPr>
            </w:pPr>
          </w:p>
        </w:tc>
        <w:tc>
          <w:tcPr>
            <w:tcW w:w="740" w:type="dxa"/>
            <w:vAlign w:val="bottom"/>
            <w:shd w:val="clear" w:color="auto" w:fill="255993"/>
          </w:tcPr>
          <w:p>
            <w:pPr>
              <w:jc w:val="right"/>
              <w:spacing w:after="0"/>
              <w:rPr>
                <w:sz w:val="20"/>
                <w:szCs w:val="20"/>
                <w:color w:val="auto"/>
              </w:rPr>
            </w:pPr>
            <w:r>
              <w:rPr>
                <w:rFonts w:ascii="Arial" w:cs="Arial" w:eastAsia="Arial" w:hAnsi="Arial"/>
                <w:sz w:val="16"/>
                <w:szCs w:val="16"/>
                <w:b w:val="1"/>
                <w:bCs w:val="1"/>
                <w:color w:val="FFFFFF"/>
              </w:rPr>
              <w:t>Market</w:t>
            </w:r>
          </w:p>
        </w:tc>
        <w:tc>
          <w:tcPr>
            <w:tcW w:w="0" w:type="dxa"/>
            <w:vAlign w:val="bottom"/>
          </w:tcPr>
          <w:p>
            <w:pPr>
              <w:spacing w:after="0"/>
              <w:rPr>
                <w:sz w:val="1"/>
                <w:szCs w:val="1"/>
                <w:color w:val="auto"/>
              </w:rPr>
            </w:pPr>
          </w:p>
        </w:tc>
      </w:tr>
      <w:tr>
        <w:trPr>
          <w:trHeight w:val="189"/>
        </w:trPr>
        <w:tc>
          <w:tcPr>
            <w:tcW w:w="1440" w:type="dxa"/>
            <w:vAlign w:val="bottom"/>
            <w:shd w:val="clear" w:color="auto" w:fill="255993"/>
          </w:tcPr>
          <w:p>
            <w:pPr>
              <w:spacing w:after="0"/>
              <w:rPr>
                <w:sz w:val="16"/>
                <w:szCs w:val="16"/>
                <w:color w:val="auto"/>
              </w:rPr>
            </w:pPr>
          </w:p>
        </w:tc>
        <w:tc>
          <w:tcPr>
            <w:tcW w:w="1520" w:type="dxa"/>
            <w:vAlign w:val="bottom"/>
            <w:shd w:val="clear" w:color="auto" w:fill="255993"/>
          </w:tcPr>
          <w:p>
            <w:pPr>
              <w:spacing w:after="0"/>
              <w:rPr>
                <w:sz w:val="16"/>
                <w:szCs w:val="16"/>
                <w:color w:val="auto"/>
              </w:rPr>
            </w:pPr>
          </w:p>
        </w:tc>
        <w:tc>
          <w:tcPr>
            <w:tcW w:w="1160" w:type="dxa"/>
            <w:vAlign w:val="bottom"/>
            <w:shd w:val="clear" w:color="auto" w:fill="255993"/>
          </w:tcPr>
          <w:p>
            <w:pPr>
              <w:spacing w:after="0"/>
              <w:rPr>
                <w:sz w:val="16"/>
                <w:szCs w:val="16"/>
                <w:color w:val="auto"/>
              </w:rPr>
            </w:pPr>
          </w:p>
        </w:tc>
        <w:tc>
          <w:tcPr>
            <w:tcW w:w="1320" w:type="dxa"/>
            <w:vAlign w:val="bottom"/>
            <w:shd w:val="clear" w:color="auto" w:fill="255993"/>
          </w:tcPr>
          <w:p>
            <w:pPr>
              <w:spacing w:after="0"/>
              <w:rPr>
                <w:sz w:val="16"/>
                <w:szCs w:val="16"/>
                <w:color w:val="auto"/>
              </w:rPr>
            </w:pPr>
          </w:p>
        </w:tc>
        <w:tc>
          <w:tcPr>
            <w:tcW w:w="900" w:type="dxa"/>
            <w:vAlign w:val="bottom"/>
            <w:shd w:val="clear" w:color="auto" w:fill="255993"/>
          </w:tcPr>
          <w:p>
            <w:pPr>
              <w:spacing w:after="0"/>
              <w:rPr>
                <w:sz w:val="16"/>
                <w:szCs w:val="16"/>
                <w:color w:val="auto"/>
              </w:rPr>
            </w:pPr>
          </w:p>
        </w:tc>
        <w:tc>
          <w:tcPr>
            <w:tcW w:w="1160" w:type="dxa"/>
            <w:vAlign w:val="bottom"/>
            <w:shd w:val="clear" w:color="auto" w:fill="255993"/>
          </w:tcPr>
          <w:p>
            <w:pPr>
              <w:spacing w:after="0"/>
              <w:rPr>
                <w:sz w:val="16"/>
                <w:szCs w:val="16"/>
                <w:color w:val="auto"/>
              </w:rPr>
            </w:pPr>
          </w:p>
        </w:tc>
        <w:tc>
          <w:tcPr>
            <w:tcW w:w="1160" w:type="dxa"/>
            <w:vAlign w:val="bottom"/>
            <w:shd w:val="clear" w:color="auto" w:fill="255993"/>
          </w:tcPr>
          <w:p>
            <w:pPr>
              <w:spacing w:after="0"/>
              <w:rPr>
                <w:sz w:val="16"/>
                <w:szCs w:val="16"/>
                <w:color w:val="auto"/>
              </w:rPr>
            </w:pPr>
          </w:p>
        </w:tc>
        <w:tc>
          <w:tcPr>
            <w:tcW w:w="740" w:type="dxa"/>
            <w:vAlign w:val="bottom"/>
            <w:shd w:val="clear" w:color="auto" w:fill="255993"/>
          </w:tcPr>
          <w:p>
            <w:pPr>
              <w:jc w:val="right"/>
              <w:spacing w:after="0"/>
              <w:rPr>
                <w:sz w:val="20"/>
                <w:szCs w:val="20"/>
                <w:color w:val="auto"/>
              </w:rPr>
            </w:pPr>
            <w:r>
              <w:rPr>
                <w:rFonts w:ascii="Arial" w:cs="Arial" w:eastAsia="Arial" w:hAnsi="Arial"/>
                <w:sz w:val="16"/>
                <w:szCs w:val="16"/>
                <w:b w:val="1"/>
                <w:bCs w:val="1"/>
                <w:color w:val="FFFFFF"/>
              </w:rPr>
              <w:t>value</w:t>
            </w:r>
          </w:p>
        </w:tc>
        <w:tc>
          <w:tcPr>
            <w:tcW w:w="0" w:type="dxa"/>
            <w:vAlign w:val="bottom"/>
          </w:tcPr>
          <w:p>
            <w:pPr>
              <w:spacing w:after="0"/>
              <w:rPr>
                <w:sz w:val="1"/>
                <w:szCs w:val="1"/>
                <w:color w:val="auto"/>
              </w:rPr>
            </w:pPr>
          </w:p>
        </w:tc>
      </w:tr>
      <w:tr>
        <w:trPr>
          <w:trHeight w:val="189"/>
        </w:trPr>
        <w:tc>
          <w:tcPr>
            <w:tcW w:w="1440" w:type="dxa"/>
            <w:vAlign w:val="bottom"/>
            <w:shd w:val="clear" w:color="auto" w:fill="255993"/>
          </w:tcPr>
          <w:p>
            <w:pPr>
              <w:spacing w:after="0"/>
              <w:rPr>
                <w:sz w:val="16"/>
                <w:szCs w:val="16"/>
                <w:color w:val="auto"/>
              </w:rPr>
            </w:pPr>
          </w:p>
        </w:tc>
        <w:tc>
          <w:tcPr>
            <w:tcW w:w="1520" w:type="dxa"/>
            <w:vAlign w:val="bottom"/>
            <w:vMerge w:val="restart"/>
            <w:shd w:val="clear" w:color="auto" w:fill="255993"/>
          </w:tcPr>
          <w:p>
            <w:pPr>
              <w:jc w:val="right"/>
              <w:ind w:right="26"/>
              <w:spacing w:after="0"/>
              <w:rPr>
                <w:sz w:val="20"/>
                <w:szCs w:val="20"/>
                <w:color w:val="auto"/>
              </w:rPr>
            </w:pPr>
            <w:r>
              <w:rPr>
                <w:rFonts w:ascii="Arial" w:cs="Arial" w:eastAsia="Arial" w:hAnsi="Arial"/>
                <w:sz w:val="16"/>
                <w:szCs w:val="16"/>
                <w:b w:val="1"/>
                <w:bCs w:val="1"/>
                <w:color w:val="FFFFFF"/>
              </w:rPr>
              <w:t>Vesting</w:t>
            </w:r>
          </w:p>
        </w:tc>
        <w:tc>
          <w:tcPr>
            <w:tcW w:w="1160" w:type="dxa"/>
            <w:vAlign w:val="bottom"/>
            <w:shd w:val="clear" w:color="auto" w:fill="255993"/>
          </w:tcPr>
          <w:p>
            <w:pPr>
              <w:spacing w:after="0"/>
              <w:rPr>
                <w:sz w:val="16"/>
                <w:szCs w:val="16"/>
                <w:color w:val="auto"/>
              </w:rPr>
            </w:pPr>
          </w:p>
        </w:tc>
        <w:tc>
          <w:tcPr>
            <w:tcW w:w="1320" w:type="dxa"/>
            <w:vAlign w:val="bottom"/>
            <w:shd w:val="clear" w:color="auto" w:fill="255993"/>
          </w:tcPr>
          <w:p>
            <w:pPr>
              <w:spacing w:after="0"/>
              <w:rPr>
                <w:sz w:val="16"/>
                <w:szCs w:val="16"/>
                <w:color w:val="auto"/>
              </w:rPr>
            </w:pPr>
          </w:p>
        </w:tc>
        <w:tc>
          <w:tcPr>
            <w:tcW w:w="900" w:type="dxa"/>
            <w:vAlign w:val="bottom"/>
            <w:shd w:val="clear" w:color="auto" w:fill="255993"/>
          </w:tcPr>
          <w:p>
            <w:pPr>
              <w:jc w:val="right"/>
              <w:ind w:right="66"/>
              <w:spacing w:after="0"/>
              <w:rPr>
                <w:sz w:val="20"/>
                <w:szCs w:val="20"/>
                <w:color w:val="auto"/>
              </w:rPr>
            </w:pPr>
            <w:r>
              <w:rPr>
                <w:rFonts w:ascii="Arial" w:cs="Arial" w:eastAsia="Arial" w:hAnsi="Arial"/>
                <w:sz w:val="16"/>
                <w:szCs w:val="16"/>
                <w:b w:val="1"/>
                <w:bCs w:val="1"/>
                <w:color w:val="FFFFFF"/>
              </w:rPr>
              <w:t>Option</w:t>
            </w:r>
          </w:p>
        </w:tc>
        <w:tc>
          <w:tcPr>
            <w:tcW w:w="1160" w:type="dxa"/>
            <w:vAlign w:val="bottom"/>
            <w:shd w:val="clear" w:color="auto" w:fill="255993"/>
          </w:tcPr>
          <w:p>
            <w:pPr>
              <w:spacing w:after="0"/>
              <w:rPr>
                <w:sz w:val="16"/>
                <w:szCs w:val="16"/>
                <w:color w:val="auto"/>
              </w:rPr>
            </w:pPr>
          </w:p>
        </w:tc>
        <w:tc>
          <w:tcPr>
            <w:tcW w:w="1160" w:type="dxa"/>
            <w:vAlign w:val="bottom"/>
            <w:shd w:val="clear" w:color="auto" w:fill="255993"/>
          </w:tcPr>
          <w:p>
            <w:pPr>
              <w:spacing w:after="0"/>
              <w:rPr>
                <w:sz w:val="16"/>
                <w:szCs w:val="16"/>
                <w:color w:val="auto"/>
              </w:rPr>
            </w:pPr>
          </w:p>
        </w:tc>
        <w:tc>
          <w:tcPr>
            <w:tcW w:w="740" w:type="dxa"/>
            <w:vAlign w:val="bottom"/>
            <w:shd w:val="clear" w:color="auto" w:fill="255993"/>
          </w:tcPr>
          <w:p>
            <w:pPr>
              <w:jc w:val="right"/>
              <w:spacing w:after="0"/>
              <w:rPr>
                <w:sz w:val="20"/>
                <w:szCs w:val="20"/>
                <w:color w:val="auto"/>
              </w:rPr>
            </w:pPr>
            <w:r>
              <w:rPr>
                <w:rFonts w:ascii="Arial" w:cs="Arial" w:eastAsia="Arial" w:hAnsi="Arial"/>
                <w:sz w:val="16"/>
                <w:szCs w:val="16"/>
                <w:b w:val="1"/>
                <w:bCs w:val="1"/>
                <w:color w:val="FFFFFF"/>
              </w:rPr>
              <w:t>of</w:t>
            </w:r>
          </w:p>
        </w:tc>
        <w:tc>
          <w:tcPr>
            <w:tcW w:w="0" w:type="dxa"/>
            <w:vAlign w:val="bottom"/>
          </w:tcPr>
          <w:p>
            <w:pPr>
              <w:spacing w:after="0"/>
              <w:rPr>
                <w:sz w:val="1"/>
                <w:szCs w:val="1"/>
                <w:color w:val="auto"/>
              </w:rPr>
            </w:pPr>
          </w:p>
        </w:tc>
      </w:tr>
      <w:tr>
        <w:trPr>
          <w:trHeight w:val="163"/>
        </w:trPr>
        <w:tc>
          <w:tcPr>
            <w:tcW w:w="1440" w:type="dxa"/>
            <w:vAlign w:val="bottom"/>
            <w:shd w:val="clear" w:color="auto" w:fill="255993"/>
          </w:tcPr>
          <w:p>
            <w:pPr>
              <w:spacing w:after="0"/>
              <w:rPr>
                <w:sz w:val="14"/>
                <w:szCs w:val="14"/>
                <w:color w:val="auto"/>
              </w:rPr>
            </w:pPr>
          </w:p>
        </w:tc>
        <w:tc>
          <w:tcPr>
            <w:tcW w:w="1520" w:type="dxa"/>
            <w:vAlign w:val="bottom"/>
            <w:vMerge w:val="continue"/>
            <w:shd w:val="clear" w:color="auto" w:fill="255993"/>
          </w:tcPr>
          <w:p>
            <w:pPr>
              <w:spacing w:after="0"/>
              <w:rPr>
                <w:sz w:val="14"/>
                <w:szCs w:val="14"/>
                <w:color w:val="auto"/>
              </w:rPr>
            </w:pPr>
          </w:p>
        </w:tc>
        <w:tc>
          <w:tcPr>
            <w:tcW w:w="1160" w:type="dxa"/>
            <w:vAlign w:val="bottom"/>
            <w:shd w:val="clear" w:color="auto" w:fill="255993"/>
          </w:tcPr>
          <w:p>
            <w:pPr>
              <w:spacing w:after="0"/>
              <w:rPr>
                <w:sz w:val="14"/>
                <w:szCs w:val="14"/>
                <w:color w:val="auto"/>
              </w:rPr>
            </w:pPr>
          </w:p>
        </w:tc>
        <w:tc>
          <w:tcPr>
            <w:tcW w:w="1320" w:type="dxa"/>
            <w:vAlign w:val="bottom"/>
            <w:shd w:val="clear" w:color="auto" w:fill="255993"/>
          </w:tcPr>
          <w:p>
            <w:pPr>
              <w:spacing w:after="0"/>
              <w:rPr>
                <w:sz w:val="14"/>
                <w:szCs w:val="14"/>
                <w:color w:val="auto"/>
              </w:rPr>
            </w:pPr>
          </w:p>
        </w:tc>
        <w:tc>
          <w:tcPr>
            <w:tcW w:w="900" w:type="dxa"/>
            <w:vAlign w:val="bottom"/>
            <w:shd w:val="clear" w:color="auto" w:fill="255993"/>
          </w:tcPr>
          <w:p>
            <w:pPr>
              <w:jc w:val="right"/>
              <w:ind w:right="66"/>
              <w:spacing w:after="0" w:line="163" w:lineRule="exact"/>
              <w:rPr>
                <w:sz w:val="20"/>
                <w:szCs w:val="20"/>
                <w:color w:val="auto"/>
              </w:rPr>
            </w:pPr>
            <w:r>
              <w:rPr>
                <w:rFonts w:ascii="Arial" w:cs="Arial" w:eastAsia="Arial" w:hAnsi="Arial"/>
                <w:sz w:val="16"/>
                <w:szCs w:val="16"/>
                <w:b w:val="1"/>
                <w:bCs w:val="1"/>
                <w:color w:val="FFFFFF"/>
              </w:rPr>
              <w:t>Exercise</w:t>
            </w:r>
          </w:p>
        </w:tc>
        <w:tc>
          <w:tcPr>
            <w:tcW w:w="1160" w:type="dxa"/>
            <w:vAlign w:val="bottom"/>
            <w:shd w:val="clear" w:color="auto" w:fill="255993"/>
          </w:tcPr>
          <w:p>
            <w:pPr>
              <w:spacing w:after="0"/>
              <w:rPr>
                <w:sz w:val="14"/>
                <w:szCs w:val="14"/>
                <w:color w:val="auto"/>
              </w:rPr>
            </w:pPr>
          </w:p>
        </w:tc>
        <w:tc>
          <w:tcPr>
            <w:tcW w:w="1160" w:type="dxa"/>
            <w:vAlign w:val="bottom"/>
            <w:shd w:val="clear" w:color="auto" w:fill="255993"/>
          </w:tcPr>
          <w:p>
            <w:pPr>
              <w:jc w:val="right"/>
              <w:ind w:right="26"/>
              <w:spacing w:after="0" w:line="163" w:lineRule="exact"/>
              <w:rPr>
                <w:sz w:val="20"/>
                <w:szCs w:val="20"/>
                <w:color w:val="auto"/>
              </w:rPr>
            </w:pPr>
            <w:r>
              <w:rPr>
                <w:rFonts w:ascii="Arial" w:cs="Arial" w:eastAsia="Arial" w:hAnsi="Arial"/>
                <w:sz w:val="16"/>
                <w:szCs w:val="16"/>
                <w:b w:val="1"/>
                <w:bCs w:val="1"/>
                <w:color w:val="FFFFFF"/>
              </w:rPr>
              <w:t>Number of</w:t>
            </w:r>
          </w:p>
        </w:tc>
        <w:tc>
          <w:tcPr>
            <w:tcW w:w="740" w:type="dxa"/>
            <w:vAlign w:val="bottom"/>
            <w:shd w:val="clear" w:color="auto" w:fill="255993"/>
          </w:tcPr>
          <w:p>
            <w:pPr>
              <w:jc w:val="right"/>
              <w:spacing w:after="0" w:line="163" w:lineRule="exact"/>
              <w:rPr>
                <w:sz w:val="20"/>
                <w:szCs w:val="20"/>
                <w:color w:val="auto"/>
              </w:rPr>
            </w:pPr>
            <w:r>
              <w:rPr>
                <w:rFonts w:ascii="Arial" w:cs="Arial" w:eastAsia="Arial" w:hAnsi="Arial"/>
                <w:sz w:val="16"/>
                <w:szCs w:val="16"/>
                <w:b w:val="1"/>
                <w:bCs w:val="1"/>
                <w:color w:val="FFFFFF"/>
              </w:rPr>
              <w:t>shares</w:t>
            </w:r>
          </w:p>
        </w:tc>
        <w:tc>
          <w:tcPr>
            <w:tcW w:w="0" w:type="dxa"/>
            <w:vAlign w:val="bottom"/>
          </w:tcPr>
          <w:p>
            <w:pPr>
              <w:spacing w:after="0"/>
              <w:rPr>
                <w:sz w:val="1"/>
                <w:szCs w:val="1"/>
                <w:color w:val="auto"/>
              </w:rPr>
            </w:pPr>
          </w:p>
        </w:tc>
      </w:tr>
      <w:tr>
        <w:trPr>
          <w:trHeight w:val="189"/>
        </w:trPr>
        <w:tc>
          <w:tcPr>
            <w:tcW w:w="1440" w:type="dxa"/>
            <w:vAlign w:val="bottom"/>
            <w:shd w:val="clear" w:color="auto" w:fill="255993"/>
          </w:tcPr>
          <w:p>
            <w:pPr>
              <w:spacing w:after="0"/>
              <w:rPr>
                <w:sz w:val="16"/>
                <w:szCs w:val="16"/>
                <w:color w:val="auto"/>
              </w:rPr>
            </w:pPr>
          </w:p>
        </w:tc>
        <w:tc>
          <w:tcPr>
            <w:tcW w:w="1520" w:type="dxa"/>
            <w:vAlign w:val="bottom"/>
            <w:shd w:val="clear" w:color="auto" w:fill="255993"/>
          </w:tcPr>
          <w:p>
            <w:pPr>
              <w:jc w:val="right"/>
              <w:ind w:right="26"/>
              <w:spacing w:after="0"/>
              <w:rPr>
                <w:sz w:val="20"/>
                <w:szCs w:val="20"/>
                <w:color w:val="auto"/>
              </w:rPr>
            </w:pPr>
            <w:r>
              <w:rPr>
                <w:rFonts w:ascii="Arial" w:cs="Arial" w:eastAsia="Arial" w:hAnsi="Arial"/>
                <w:sz w:val="16"/>
                <w:szCs w:val="16"/>
                <w:b w:val="1"/>
                <w:bCs w:val="1"/>
                <w:color w:val="FFFFFF"/>
              </w:rPr>
              <w:t>Commencement</w:t>
            </w:r>
          </w:p>
        </w:tc>
        <w:tc>
          <w:tcPr>
            <w:tcW w:w="1160" w:type="dxa"/>
            <w:vAlign w:val="bottom"/>
            <w:shd w:val="clear" w:color="auto" w:fill="255993"/>
          </w:tcPr>
          <w:p>
            <w:pPr>
              <w:jc w:val="right"/>
              <w:ind w:right="66"/>
              <w:spacing w:after="0"/>
              <w:rPr>
                <w:sz w:val="20"/>
                <w:szCs w:val="20"/>
                <w:color w:val="auto"/>
              </w:rPr>
            </w:pPr>
            <w:r>
              <w:rPr>
                <w:rFonts w:ascii="Arial" w:cs="Arial" w:eastAsia="Arial" w:hAnsi="Arial"/>
                <w:sz w:val="16"/>
                <w:szCs w:val="16"/>
                <w:b w:val="1"/>
                <w:bCs w:val="1"/>
                <w:color w:val="FFFFFF"/>
              </w:rPr>
              <w:t>Exercisable</w:t>
            </w:r>
          </w:p>
        </w:tc>
        <w:tc>
          <w:tcPr>
            <w:tcW w:w="1320" w:type="dxa"/>
            <w:vAlign w:val="bottom"/>
            <w:shd w:val="clear" w:color="auto" w:fill="255993"/>
          </w:tcPr>
          <w:p>
            <w:pPr>
              <w:jc w:val="right"/>
              <w:ind w:right="67"/>
              <w:spacing w:after="0"/>
              <w:rPr>
                <w:sz w:val="20"/>
                <w:szCs w:val="20"/>
                <w:color w:val="auto"/>
              </w:rPr>
            </w:pPr>
            <w:r>
              <w:rPr>
                <w:rFonts w:ascii="Arial" w:cs="Arial" w:eastAsia="Arial" w:hAnsi="Arial"/>
                <w:sz w:val="16"/>
                <w:szCs w:val="16"/>
                <w:b w:val="1"/>
                <w:bCs w:val="1"/>
                <w:color w:val="FFFFFF"/>
              </w:rPr>
              <w:t>Unexercisable</w:t>
            </w:r>
          </w:p>
        </w:tc>
        <w:tc>
          <w:tcPr>
            <w:tcW w:w="900" w:type="dxa"/>
            <w:vAlign w:val="bottom"/>
            <w:shd w:val="clear" w:color="auto" w:fill="255993"/>
          </w:tcPr>
          <w:p>
            <w:pPr>
              <w:jc w:val="right"/>
              <w:ind w:right="66"/>
              <w:spacing w:after="0"/>
              <w:rPr>
                <w:sz w:val="20"/>
                <w:szCs w:val="20"/>
                <w:color w:val="auto"/>
              </w:rPr>
            </w:pPr>
            <w:r>
              <w:rPr>
                <w:rFonts w:ascii="Arial" w:cs="Arial" w:eastAsia="Arial" w:hAnsi="Arial"/>
                <w:sz w:val="16"/>
                <w:szCs w:val="16"/>
                <w:b w:val="1"/>
                <w:bCs w:val="1"/>
                <w:color w:val="FFFFFF"/>
              </w:rPr>
              <w:t>Price</w:t>
            </w:r>
          </w:p>
        </w:tc>
        <w:tc>
          <w:tcPr>
            <w:tcW w:w="1160" w:type="dxa"/>
            <w:vAlign w:val="bottom"/>
            <w:shd w:val="clear" w:color="auto" w:fill="255993"/>
          </w:tcPr>
          <w:p>
            <w:pPr>
              <w:jc w:val="right"/>
              <w:ind w:right="207"/>
              <w:spacing w:after="0"/>
              <w:rPr>
                <w:sz w:val="20"/>
                <w:szCs w:val="20"/>
                <w:color w:val="auto"/>
              </w:rPr>
            </w:pPr>
            <w:r>
              <w:rPr>
                <w:rFonts w:ascii="Arial" w:cs="Arial" w:eastAsia="Arial" w:hAnsi="Arial"/>
                <w:sz w:val="16"/>
                <w:szCs w:val="16"/>
                <w:b w:val="1"/>
                <w:bCs w:val="1"/>
                <w:color w:val="FFFFFF"/>
              </w:rPr>
              <w:t>Expiration</w:t>
            </w:r>
          </w:p>
        </w:tc>
        <w:tc>
          <w:tcPr>
            <w:tcW w:w="1160" w:type="dxa"/>
            <w:vAlign w:val="bottom"/>
            <w:shd w:val="clear" w:color="auto" w:fill="255993"/>
          </w:tcPr>
          <w:p>
            <w:pPr>
              <w:jc w:val="right"/>
              <w:ind w:right="66"/>
              <w:spacing w:after="0"/>
              <w:rPr>
                <w:sz w:val="20"/>
                <w:szCs w:val="20"/>
                <w:color w:val="auto"/>
              </w:rPr>
            </w:pPr>
            <w:r>
              <w:rPr>
                <w:rFonts w:ascii="Arial" w:cs="Arial" w:eastAsia="Arial" w:hAnsi="Arial"/>
                <w:sz w:val="16"/>
                <w:szCs w:val="16"/>
                <w:b w:val="1"/>
                <w:bCs w:val="1"/>
                <w:color w:val="FFFFFF"/>
              </w:rPr>
              <w:t>shares or</w:t>
            </w:r>
          </w:p>
        </w:tc>
        <w:tc>
          <w:tcPr>
            <w:tcW w:w="740" w:type="dxa"/>
            <w:vAlign w:val="bottom"/>
            <w:shd w:val="clear" w:color="auto" w:fill="255993"/>
          </w:tcPr>
          <w:p>
            <w:pPr>
              <w:jc w:val="right"/>
              <w:spacing w:after="0"/>
              <w:rPr>
                <w:sz w:val="20"/>
                <w:szCs w:val="20"/>
                <w:color w:val="auto"/>
              </w:rPr>
            </w:pPr>
            <w:r>
              <w:rPr>
                <w:rFonts w:ascii="Arial" w:cs="Arial" w:eastAsia="Arial" w:hAnsi="Arial"/>
                <w:sz w:val="16"/>
                <w:szCs w:val="16"/>
                <w:b w:val="1"/>
                <w:bCs w:val="1"/>
                <w:color w:val="FFFFFF"/>
              </w:rPr>
              <w:t>or units</w:t>
            </w:r>
          </w:p>
        </w:tc>
        <w:tc>
          <w:tcPr>
            <w:tcW w:w="0" w:type="dxa"/>
            <w:vAlign w:val="bottom"/>
          </w:tcPr>
          <w:p>
            <w:pPr>
              <w:spacing w:after="0"/>
              <w:rPr>
                <w:sz w:val="1"/>
                <w:szCs w:val="1"/>
                <w:color w:val="auto"/>
              </w:rPr>
            </w:pPr>
          </w:p>
        </w:tc>
      </w:tr>
      <w:tr>
        <w:trPr>
          <w:trHeight w:val="263"/>
        </w:trPr>
        <w:tc>
          <w:tcPr>
            <w:tcW w:w="1440" w:type="dxa"/>
            <w:vAlign w:val="bottom"/>
            <w:tcBorders>
              <w:bottom w:val="single" w:sz="8" w:color="255993"/>
            </w:tcBorders>
            <w:shd w:val="clear" w:color="auto" w:fill="255993"/>
          </w:tcPr>
          <w:p>
            <w:pPr>
              <w:ind w:left="60"/>
              <w:spacing w:after="0"/>
              <w:rPr>
                <w:sz w:val="20"/>
                <w:szCs w:val="20"/>
                <w:color w:val="auto"/>
              </w:rPr>
            </w:pPr>
            <w:r>
              <w:rPr>
                <w:rFonts w:ascii="Arial" w:cs="Arial" w:eastAsia="Arial" w:hAnsi="Arial"/>
                <w:sz w:val="16"/>
                <w:szCs w:val="16"/>
                <w:b w:val="1"/>
                <w:bCs w:val="1"/>
                <w:color w:val="FFFFFF"/>
              </w:rPr>
              <w:t>Name</w:t>
            </w:r>
          </w:p>
        </w:tc>
        <w:tc>
          <w:tcPr>
            <w:tcW w:w="1520" w:type="dxa"/>
            <w:vAlign w:val="bottom"/>
            <w:tcBorders>
              <w:bottom w:val="single" w:sz="8" w:color="255993"/>
            </w:tcBorders>
            <w:shd w:val="clear" w:color="auto" w:fill="255993"/>
          </w:tcPr>
          <w:p>
            <w:pPr>
              <w:jc w:val="right"/>
              <w:spacing w:after="0"/>
              <w:rPr>
                <w:sz w:val="20"/>
                <w:szCs w:val="20"/>
                <w:color w:val="auto"/>
              </w:rPr>
            </w:pPr>
            <w:r>
              <w:rPr>
                <w:rFonts w:ascii="Arial" w:cs="Arial" w:eastAsia="Arial" w:hAnsi="Arial"/>
                <w:sz w:val="16"/>
                <w:szCs w:val="16"/>
                <w:b w:val="1"/>
                <w:bCs w:val="1"/>
                <w:color w:val="FFFFFF"/>
              </w:rPr>
              <w:t>Date</w:t>
            </w:r>
          </w:p>
        </w:tc>
        <w:tc>
          <w:tcPr>
            <w:tcW w:w="1160" w:type="dxa"/>
            <w:vAlign w:val="bottom"/>
            <w:tcBorders>
              <w:bottom w:val="single" w:sz="8" w:color="255993"/>
            </w:tcBorders>
            <w:shd w:val="clear" w:color="auto" w:fill="255993"/>
          </w:tcPr>
          <w:p>
            <w:pPr>
              <w:jc w:val="right"/>
              <w:ind w:right="26"/>
              <w:spacing w:after="0"/>
              <w:rPr>
                <w:sz w:val="20"/>
                <w:szCs w:val="20"/>
                <w:color w:val="auto"/>
              </w:rPr>
            </w:pPr>
            <w:r>
              <w:rPr>
                <w:rFonts w:ascii="Arial" w:cs="Arial" w:eastAsia="Arial" w:hAnsi="Arial"/>
                <w:sz w:val="16"/>
                <w:szCs w:val="16"/>
                <w:b w:val="1"/>
                <w:bCs w:val="1"/>
                <w:color w:val="FFFFFF"/>
              </w:rPr>
              <w:t>(#)</w:t>
            </w:r>
          </w:p>
        </w:tc>
        <w:tc>
          <w:tcPr>
            <w:tcW w:w="1320" w:type="dxa"/>
            <w:vAlign w:val="bottom"/>
            <w:tcBorders>
              <w:bottom w:val="single" w:sz="8" w:color="255993"/>
            </w:tcBorders>
            <w:shd w:val="clear" w:color="auto" w:fill="255993"/>
          </w:tcPr>
          <w:p>
            <w:pPr>
              <w:jc w:val="right"/>
              <w:ind w:right="7"/>
              <w:spacing w:after="0"/>
              <w:rPr>
                <w:sz w:val="20"/>
                <w:szCs w:val="20"/>
                <w:color w:val="auto"/>
              </w:rPr>
            </w:pPr>
            <w:r>
              <w:rPr>
                <w:rFonts w:ascii="Arial" w:cs="Arial" w:eastAsia="Arial" w:hAnsi="Arial"/>
                <w:sz w:val="16"/>
                <w:szCs w:val="16"/>
                <w:b w:val="1"/>
                <w:bCs w:val="1"/>
                <w:color w:val="FFFFFF"/>
              </w:rPr>
              <w:t>(#)</w:t>
            </w:r>
          </w:p>
        </w:tc>
        <w:tc>
          <w:tcPr>
            <w:tcW w:w="900" w:type="dxa"/>
            <w:vAlign w:val="bottom"/>
            <w:tcBorders>
              <w:bottom w:val="single" w:sz="8" w:color="255993"/>
            </w:tcBorders>
            <w:shd w:val="clear" w:color="auto" w:fill="255993"/>
          </w:tcPr>
          <w:p>
            <w:pPr>
              <w:jc w:val="right"/>
              <w:ind w:right="26"/>
              <w:spacing w:after="0"/>
              <w:rPr>
                <w:sz w:val="20"/>
                <w:szCs w:val="20"/>
                <w:color w:val="auto"/>
              </w:rPr>
            </w:pPr>
            <w:r>
              <w:rPr>
                <w:rFonts w:ascii="Arial" w:cs="Arial" w:eastAsia="Arial" w:hAnsi="Arial"/>
                <w:sz w:val="16"/>
                <w:szCs w:val="16"/>
                <w:b w:val="1"/>
                <w:bCs w:val="1"/>
                <w:color w:val="FFFFFF"/>
              </w:rPr>
              <w:t>($)</w:t>
            </w:r>
          </w:p>
        </w:tc>
        <w:tc>
          <w:tcPr>
            <w:tcW w:w="1160" w:type="dxa"/>
            <w:vAlign w:val="bottom"/>
            <w:tcBorders>
              <w:bottom w:val="single" w:sz="8" w:color="255993"/>
            </w:tcBorders>
            <w:shd w:val="clear" w:color="auto" w:fill="255993"/>
          </w:tcPr>
          <w:p>
            <w:pPr>
              <w:jc w:val="right"/>
              <w:ind w:right="167"/>
              <w:spacing w:after="0"/>
              <w:rPr>
                <w:sz w:val="20"/>
                <w:szCs w:val="20"/>
                <w:color w:val="auto"/>
              </w:rPr>
            </w:pPr>
            <w:r>
              <w:rPr>
                <w:rFonts w:ascii="Arial" w:cs="Arial" w:eastAsia="Arial" w:hAnsi="Arial"/>
                <w:sz w:val="16"/>
                <w:szCs w:val="16"/>
                <w:b w:val="1"/>
                <w:bCs w:val="1"/>
                <w:color w:val="FFFFFF"/>
              </w:rPr>
              <w:t>Date</w:t>
            </w:r>
          </w:p>
        </w:tc>
        <w:tc>
          <w:tcPr>
            <w:tcW w:w="1160" w:type="dxa"/>
            <w:vAlign w:val="bottom"/>
            <w:tcBorders>
              <w:bottom w:val="single" w:sz="8" w:color="255993"/>
            </w:tcBorders>
            <w:shd w:val="clear" w:color="auto" w:fill="255993"/>
          </w:tcPr>
          <w:p>
            <w:pPr>
              <w:jc w:val="right"/>
              <w:ind w:right="26"/>
              <w:spacing w:after="0"/>
              <w:rPr>
                <w:sz w:val="20"/>
                <w:szCs w:val="20"/>
                <w:color w:val="auto"/>
              </w:rPr>
            </w:pPr>
            <w:r>
              <w:rPr>
                <w:rFonts w:ascii="Arial" w:cs="Arial" w:eastAsia="Arial" w:hAnsi="Arial"/>
                <w:sz w:val="16"/>
                <w:szCs w:val="16"/>
                <w:b w:val="1"/>
                <w:bCs w:val="1"/>
                <w:color w:val="FFFFFF"/>
              </w:rPr>
              <w:t>units</w:t>
            </w:r>
          </w:p>
        </w:tc>
        <w:tc>
          <w:tcPr>
            <w:tcW w:w="740" w:type="dxa"/>
            <w:vAlign w:val="bottom"/>
            <w:tcBorders>
              <w:bottom w:val="single" w:sz="8" w:color="255993"/>
            </w:tcBorders>
            <w:shd w:val="clear" w:color="auto" w:fill="255993"/>
          </w:tcPr>
          <w:p>
            <w:pPr>
              <w:jc w:val="right"/>
              <w:spacing w:after="0"/>
              <w:rPr>
                <w:sz w:val="20"/>
                <w:szCs w:val="20"/>
                <w:color w:val="auto"/>
              </w:rPr>
            </w:pPr>
            <w:r>
              <w:rPr>
                <w:rFonts w:ascii="Arial" w:cs="Arial" w:eastAsia="Arial" w:hAnsi="Arial"/>
                <w:sz w:val="16"/>
                <w:szCs w:val="16"/>
                <w:b w:val="1"/>
                <w:bCs w:val="1"/>
                <w:color w:val="FFFFFF"/>
              </w:rPr>
              <w:t>($)</w:t>
            </w:r>
          </w:p>
        </w:tc>
        <w:tc>
          <w:tcPr>
            <w:tcW w:w="0" w:type="dxa"/>
            <w:vAlign w:val="bottom"/>
          </w:tcPr>
          <w:p>
            <w:pPr>
              <w:spacing w:after="0"/>
              <w:rPr>
                <w:sz w:val="1"/>
                <w:szCs w:val="1"/>
                <w:color w:val="auto"/>
              </w:rPr>
            </w:pPr>
          </w:p>
        </w:tc>
      </w:tr>
      <w:tr>
        <w:trPr>
          <w:trHeight w:val="263"/>
        </w:trPr>
        <w:tc>
          <w:tcPr>
            <w:tcW w:w="1440" w:type="dxa"/>
            <w:vAlign w:val="bottom"/>
            <w:tcBorders>
              <w:bottom w:val="single" w:sz="8" w:color="EBEBEB"/>
            </w:tcBorders>
            <w:shd w:val="clear" w:color="auto" w:fill="EBEBEB"/>
          </w:tcPr>
          <w:p>
            <w:pPr>
              <w:ind w:left="60"/>
              <w:spacing w:after="0"/>
              <w:rPr>
                <w:sz w:val="20"/>
                <w:szCs w:val="20"/>
                <w:color w:val="auto"/>
              </w:rPr>
            </w:pPr>
            <w:r>
              <w:rPr>
                <w:rFonts w:ascii="Arial" w:cs="Arial" w:eastAsia="Arial" w:hAnsi="Arial"/>
                <w:sz w:val="14"/>
                <w:szCs w:val="14"/>
                <w:b w:val="1"/>
                <w:bCs w:val="1"/>
                <w:color w:val="auto"/>
              </w:rPr>
              <w:t>Mark Litton, Ph.D.</w:t>
            </w:r>
          </w:p>
        </w:tc>
        <w:tc>
          <w:tcPr>
            <w:tcW w:w="1520" w:type="dxa"/>
            <w:vAlign w:val="bottom"/>
            <w:tcBorders>
              <w:bottom w:val="single" w:sz="8" w:color="EBEBEB"/>
            </w:tcBorders>
            <w:shd w:val="clear" w:color="auto" w:fill="EBEBEB"/>
          </w:tcPr>
          <w:p>
            <w:pPr>
              <w:jc w:val="right"/>
              <w:spacing w:after="0"/>
              <w:rPr>
                <w:sz w:val="20"/>
                <w:szCs w:val="20"/>
                <w:color w:val="auto"/>
              </w:rPr>
            </w:pPr>
            <w:r>
              <w:rPr>
                <w:rFonts w:ascii="Arial" w:cs="Arial" w:eastAsia="Arial" w:hAnsi="Arial"/>
                <w:sz w:val="14"/>
                <w:szCs w:val="14"/>
                <w:color w:val="auto"/>
              </w:rPr>
              <w:t>7/1/2019</w:t>
            </w:r>
          </w:p>
        </w:tc>
        <w:tc>
          <w:tcPr>
            <w:tcW w:w="1160" w:type="dxa"/>
            <w:vAlign w:val="bottom"/>
            <w:tcBorders>
              <w:bottom w:val="single" w:sz="8" w:color="EBEBEB"/>
            </w:tcBorders>
            <w:shd w:val="clear" w:color="auto" w:fill="EBEBEB"/>
          </w:tcPr>
          <w:p>
            <w:pPr>
              <w:jc w:val="right"/>
              <w:ind w:right="26"/>
              <w:spacing w:after="0"/>
              <w:rPr>
                <w:sz w:val="20"/>
                <w:szCs w:val="20"/>
                <w:color w:val="auto"/>
              </w:rPr>
            </w:pPr>
            <w:r>
              <w:rPr>
                <w:rFonts w:ascii="Arial" w:cs="Arial" w:eastAsia="Arial" w:hAnsi="Arial"/>
                <w:sz w:val="14"/>
                <w:szCs w:val="14"/>
                <w:color w:val="auto"/>
              </w:rPr>
              <w:t>100,880</w:t>
            </w:r>
          </w:p>
        </w:tc>
        <w:tc>
          <w:tcPr>
            <w:tcW w:w="1320" w:type="dxa"/>
            <w:vAlign w:val="bottom"/>
            <w:tcBorders>
              <w:bottom w:val="single" w:sz="8" w:color="EBEBEB"/>
            </w:tcBorders>
            <w:shd w:val="clear" w:color="auto" w:fill="EBEBEB"/>
          </w:tcPr>
          <w:p>
            <w:pPr>
              <w:jc w:val="right"/>
              <w:ind w:right="7"/>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EBEBEB"/>
            </w:tcBorders>
            <w:shd w:val="clear" w:color="auto" w:fill="EBEBEB"/>
          </w:tcPr>
          <w:p>
            <w:pPr>
              <w:jc w:val="right"/>
              <w:ind w:right="26"/>
              <w:spacing w:after="0"/>
              <w:rPr>
                <w:sz w:val="20"/>
                <w:szCs w:val="20"/>
                <w:color w:val="auto"/>
              </w:rPr>
            </w:pPr>
            <w:r>
              <w:rPr>
                <w:rFonts w:ascii="Arial" w:cs="Arial" w:eastAsia="Arial" w:hAnsi="Arial"/>
                <w:sz w:val="14"/>
                <w:szCs w:val="14"/>
                <w:color w:val="auto"/>
              </w:rPr>
              <w:t>1.35</w:t>
            </w:r>
          </w:p>
        </w:tc>
        <w:tc>
          <w:tcPr>
            <w:tcW w:w="1160" w:type="dxa"/>
            <w:vAlign w:val="bottom"/>
            <w:tcBorders>
              <w:bottom w:val="single" w:sz="8" w:color="EBEBEB"/>
            </w:tcBorders>
            <w:shd w:val="clear" w:color="auto" w:fill="EBEBEB"/>
          </w:tcPr>
          <w:p>
            <w:pPr>
              <w:jc w:val="right"/>
              <w:ind w:right="167"/>
              <w:spacing w:after="0"/>
              <w:rPr>
                <w:sz w:val="20"/>
                <w:szCs w:val="20"/>
                <w:color w:val="auto"/>
              </w:rPr>
            </w:pPr>
            <w:r>
              <w:rPr>
                <w:rFonts w:ascii="Arial" w:cs="Arial" w:eastAsia="Arial" w:hAnsi="Arial"/>
                <w:sz w:val="14"/>
                <w:szCs w:val="14"/>
                <w:color w:val="auto"/>
              </w:rPr>
              <w:t>8/14/2029</w:t>
            </w:r>
          </w:p>
        </w:tc>
        <w:tc>
          <w:tcPr>
            <w:tcW w:w="1160" w:type="dxa"/>
            <w:vAlign w:val="bottom"/>
            <w:tcBorders>
              <w:bottom w:val="single" w:sz="8" w:color="EBEBEB"/>
            </w:tcBorders>
            <w:shd w:val="clear" w:color="auto" w:fill="EBEBEB"/>
          </w:tcPr>
          <w:p>
            <w:pPr>
              <w:jc w:val="right"/>
              <w:ind w:right="26"/>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EBEBEB"/>
            </w:tcBorders>
            <w:shd w:val="clear" w:color="auto" w:fill="EBEBEB"/>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11"/>
        </w:trPr>
        <w:tc>
          <w:tcPr>
            <w:tcW w:w="1440" w:type="dxa"/>
            <w:vAlign w:val="bottom"/>
            <w:shd w:val="clear" w:color="auto" w:fill="FAFAFA"/>
          </w:tcPr>
          <w:p>
            <w:pPr>
              <w:spacing w:after="0"/>
              <w:rPr>
                <w:sz w:val="24"/>
                <w:szCs w:val="24"/>
                <w:color w:val="auto"/>
              </w:rPr>
            </w:pPr>
          </w:p>
        </w:tc>
        <w:tc>
          <w:tcPr>
            <w:tcW w:w="1520" w:type="dxa"/>
            <w:vAlign w:val="bottom"/>
            <w:shd w:val="clear" w:color="auto" w:fill="FAFAFA"/>
          </w:tcPr>
          <w:p>
            <w:pPr>
              <w:jc w:val="right"/>
              <w:spacing w:after="0"/>
              <w:rPr>
                <w:sz w:val="20"/>
                <w:szCs w:val="20"/>
                <w:color w:val="auto"/>
              </w:rPr>
            </w:pPr>
            <w:r>
              <w:rPr>
                <w:rFonts w:ascii="Arial" w:cs="Arial" w:eastAsia="Arial" w:hAnsi="Arial"/>
                <w:sz w:val="14"/>
                <w:szCs w:val="14"/>
                <w:color w:val="auto"/>
              </w:rPr>
              <w:t>8/26/2020</w:t>
            </w:r>
          </w:p>
        </w:tc>
        <w:tc>
          <w:tcPr>
            <w:tcW w:w="1160" w:type="dxa"/>
            <w:vAlign w:val="bottom"/>
            <w:shd w:val="clear" w:color="auto" w:fill="FAFAFA"/>
          </w:tcPr>
          <w:p>
            <w:pPr>
              <w:jc w:val="right"/>
              <w:ind w:right="26"/>
              <w:spacing w:after="0"/>
              <w:rPr>
                <w:sz w:val="20"/>
                <w:szCs w:val="20"/>
                <w:color w:val="auto"/>
              </w:rPr>
            </w:pPr>
            <w:r>
              <w:rPr>
                <w:rFonts w:ascii="Arial" w:cs="Arial" w:eastAsia="Arial" w:hAnsi="Arial"/>
                <w:sz w:val="14"/>
                <w:szCs w:val="14"/>
                <w:color w:val="auto"/>
              </w:rPr>
              <w:t>34,992</w:t>
            </w:r>
          </w:p>
        </w:tc>
        <w:tc>
          <w:tcPr>
            <w:tcW w:w="1320" w:type="dxa"/>
            <w:vAlign w:val="bottom"/>
            <w:shd w:val="clear" w:color="auto" w:fill="FAFAFA"/>
          </w:tcPr>
          <w:p>
            <w:pPr>
              <w:jc w:val="right"/>
              <w:ind w:right="7"/>
              <w:spacing w:after="0"/>
              <w:rPr>
                <w:sz w:val="20"/>
                <w:szCs w:val="20"/>
                <w:color w:val="auto"/>
              </w:rPr>
            </w:pPr>
            <w:r>
              <w:rPr>
                <w:rFonts w:ascii="Arial" w:cs="Arial" w:eastAsia="Arial" w:hAnsi="Arial"/>
                <w:sz w:val="14"/>
                <w:szCs w:val="14"/>
                <w:color w:val="auto"/>
              </w:rPr>
              <w:t>11,665</w:t>
            </w:r>
            <w:r>
              <w:rPr>
                <w:rFonts w:ascii="Arial" w:cs="Arial" w:eastAsia="Arial" w:hAnsi="Arial"/>
                <w:sz w:val="23"/>
                <w:szCs w:val="23"/>
                <w:color w:val="auto"/>
                <w:vertAlign w:val="superscript"/>
              </w:rPr>
              <w:t>(1)</w:t>
            </w:r>
          </w:p>
        </w:tc>
        <w:tc>
          <w:tcPr>
            <w:tcW w:w="900" w:type="dxa"/>
            <w:vAlign w:val="bottom"/>
            <w:shd w:val="clear" w:color="auto" w:fill="FAFAFA"/>
          </w:tcPr>
          <w:p>
            <w:pPr>
              <w:jc w:val="right"/>
              <w:ind w:right="26"/>
              <w:spacing w:after="0"/>
              <w:rPr>
                <w:sz w:val="20"/>
                <w:szCs w:val="20"/>
                <w:color w:val="auto"/>
              </w:rPr>
            </w:pPr>
            <w:r>
              <w:rPr>
                <w:rFonts w:ascii="Arial" w:cs="Arial" w:eastAsia="Arial" w:hAnsi="Arial"/>
                <w:sz w:val="14"/>
                <w:szCs w:val="14"/>
                <w:color w:val="auto"/>
              </w:rPr>
              <w:t>17.00</w:t>
            </w:r>
          </w:p>
        </w:tc>
        <w:tc>
          <w:tcPr>
            <w:tcW w:w="1160" w:type="dxa"/>
            <w:vAlign w:val="bottom"/>
            <w:shd w:val="clear" w:color="auto" w:fill="FAFAFA"/>
          </w:tcPr>
          <w:p>
            <w:pPr>
              <w:jc w:val="right"/>
              <w:ind w:right="167"/>
              <w:spacing w:after="0"/>
              <w:rPr>
                <w:sz w:val="20"/>
                <w:szCs w:val="20"/>
                <w:color w:val="auto"/>
              </w:rPr>
            </w:pPr>
            <w:r>
              <w:rPr>
                <w:rFonts w:ascii="Arial" w:cs="Arial" w:eastAsia="Arial" w:hAnsi="Arial"/>
                <w:sz w:val="14"/>
                <w:szCs w:val="14"/>
                <w:color w:val="auto"/>
              </w:rPr>
              <w:t>9/16/2030</w:t>
            </w:r>
          </w:p>
        </w:tc>
        <w:tc>
          <w:tcPr>
            <w:tcW w:w="1160" w:type="dxa"/>
            <w:vAlign w:val="bottom"/>
            <w:shd w:val="clear" w:color="auto" w:fill="FAFAFA"/>
          </w:tcPr>
          <w:p>
            <w:pPr>
              <w:jc w:val="right"/>
              <w:ind w:right="26"/>
              <w:spacing w:after="0"/>
              <w:rPr>
                <w:sz w:val="20"/>
                <w:szCs w:val="20"/>
                <w:color w:val="auto"/>
              </w:rPr>
            </w:pPr>
            <w:r>
              <w:rPr>
                <w:rFonts w:ascii="Arial" w:cs="Arial" w:eastAsia="Arial" w:hAnsi="Arial"/>
                <w:sz w:val="14"/>
                <w:szCs w:val="14"/>
                <w:color w:val="auto"/>
              </w:rPr>
              <w:t>—</w:t>
            </w:r>
          </w:p>
        </w:tc>
        <w:tc>
          <w:tcPr>
            <w:tcW w:w="740" w:type="dxa"/>
            <w:vAlign w:val="bottom"/>
            <w:shd w:val="clear" w:color="auto" w:fill="FAFAFA"/>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10"/>
        </w:trPr>
        <w:tc>
          <w:tcPr>
            <w:tcW w:w="1440" w:type="dxa"/>
            <w:vAlign w:val="bottom"/>
            <w:shd w:val="clear" w:color="auto" w:fill="EBEBEB"/>
          </w:tcPr>
          <w:p>
            <w:pPr>
              <w:spacing w:after="0"/>
              <w:rPr>
                <w:sz w:val="24"/>
                <w:szCs w:val="24"/>
                <w:color w:val="auto"/>
              </w:rPr>
            </w:pPr>
          </w:p>
        </w:tc>
        <w:tc>
          <w:tcPr>
            <w:tcW w:w="1520" w:type="dxa"/>
            <w:vAlign w:val="bottom"/>
            <w:shd w:val="clear" w:color="auto" w:fill="EBEBEB"/>
          </w:tcPr>
          <w:p>
            <w:pPr>
              <w:jc w:val="right"/>
              <w:spacing w:after="0"/>
              <w:rPr>
                <w:sz w:val="20"/>
                <w:szCs w:val="20"/>
                <w:color w:val="auto"/>
              </w:rPr>
            </w:pPr>
            <w:r>
              <w:rPr>
                <w:rFonts w:ascii="Arial" w:cs="Arial" w:eastAsia="Arial" w:hAnsi="Arial"/>
                <w:sz w:val="14"/>
                <w:szCs w:val="14"/>
                <w:color w:val="auto"/>
              </w:rPr>
              <w:t>1/8/2021</w:t>
            </w:r>
          </w:p>
        </w:tc>
        <w:tc>
          <w:tcPr>
            <w:tcW w:w="1160" w:type="dxa"/>
            <w:vAlign w:val="bottom"/>
            <w:shd w:val="clear" w:color="auto" w:fill="EBEBEB"/>
          </w:tcPr>
          <w:p>
            <w:pPr>
              <w:jc w:val="right"/>
              <w:ind w:right="26"/>
              <w:spacing w:after="0"/>
              <w:rPr>
                <w:sz w:val="20"/>
                <w:szCs w:val="20"/>
                <w:color w:val="auto"/>
              </w:rPr>
            </w:pPr>
            <w:r>
              <w:rPr>
                <w:rFonts w:ascii="Arial" w:cs="Arial" w:eastAsia="Arial" w:hAnsi="Arial"/>
                <w:sz w:val="14"/>
                <w:szCs w:val="14"/>
                <w:color w:val="auto"/>
              </w:rPr>
              <w:t>42,500</w:t>
            </w:r>
          </w:p>
        </w:tc>
        <w:tc>
          <w:tcPr>
            <w:tcW w:w="1320" w:type="dxa"/>
            <w:vAlign w:val="bottom"/>
            <w:shd w:val="clear" w:color="auto" w:fill="EBEBEB"/>
          </w:tcPr>
          <w:p>
            <w:pPr>
              <w:jc w:val="right"/>
              <w:ind w:right="7"/>
              <w:spacing w:after="0"/>
              <w:rPr>
                <w:sz w:val="20"/>
                <w:szCs w:val="20"/>
                <w:color w:val="auto"/>
              </w:rPr>
            </w:pPr>
            <w:r>
              <w:rPr>
                <w:rFonts w:ascii="Arial" w:cs="Arial" w:eastAsia="Arial" w:hAnsi="Arial"/>
                <w:sz w:val="14"/>
                <w:szCs w:val="14"/>
                <w:color w:val="auto"/>
              </w:rPr>
              <w:t>42,500</w:t>
            </w:r>
            <w:r>
              <w:rPr>
                <w:rFonts w:ascii="Arial" w:cs="Arial" w:eastAsia="Arial" w:hAnsi="Arial"/>
                <w:sz w:val="23"/>
                <w:szCs w:val="23"/>
                <w:color w:val="auto"/>
                <w:vertAlign w:val="superscript"/>
              </w:rPr>
              <w:t>(1)</w:t>
            </w:r>
          </w:p>
        </w:tc>
        <w:tc>
          <w:tcPr>
            <w:tcW w:w="900" w:type="dxa"/>
            <w:vAlign w:val="bottom"/>
            <w:shd w:val="clear" w:color="auto" w:fill="EBEBEB"/>
          </w:tcPr>
          <w:p>
            <w:pPr>
              <w:jc w:val="right"/>
              <w:ind w:right="26"/>
              <w:spacing w:after="0"/>
              <w:rPr>
                <w:sz w:val="20"/>
                <w:szCs w:val="20"/>
                <w:color w:val="auto"/>
              </w:rPr>
            </w:pPr>
            <w:r>
              <w:rPr>
                <w:rFonts w:ascii="Arial" w:cs="Arial" w:eastAsia="Arial" w:hAnsi="Arial"/>
                <w:sz w:val="14"/>
                <w:szCs w:val="14"/>
                <w:color w:val="auto"/>
              </w:rPr>
              <w:t>21.15</w:t>
            </w:r>
          </w:p>
        </w:tc>
        <w:tc>
          <w:tcPr>
            <w:tcW w:w="1160" w:type="dxa"/>
            <w:vAlign w:val="bottom"/>
            <w:shd w:val="clear" w:color="auto" w:fill="EBEBEB"/>
          </w:tcPr>
          <w:p>
            <w:pPr>
              <w:jc w:val="right"/>
              <w:ind w:right="167"/>
              <w:spacing w:after="0"/>
              <w:rPr>
                <w:sz w:val="20"/>
                <w:szCs w:val="20"/>
                <w:color w:val="auto"/>
              </w:rPr>
            </w:pPr>
            <w:r>
              <w:rPr>
                <w:rFonts w:ascii="Arial" w:cs="Arial" w:eastAsia="Arial" w:hAnsi="Arial"/>
                <w:sz w:val="14"/>
                <w:szCs w:val="14"/>
                <w:color w:val="auto"/>
              </w:rPr>
              <w:t>2/17/2031</w:t>
            </w:r>
          </w:p>
        </w:tc>
        <w:tc>
          <w:tcPr>
            <w:tcW w:w="1160" w:type="dxa"/>
            <w:vAlign w:val="bottom"/>
            <w:shd w:val="clear" w:color="auto" w:fill="EBEBEB"/>
          </w:tcPr>
          <w:p>
            <w:pPr>
              <w:jc w:val="right"/>
              <w:ind w:right="26"/>
              <w:spacing w:after="0"/>
              <w:rPr>
                <w:sz w:val="20"/>
                <w:szCs w:val="20"/>
                <w:color w:val="auto"/>
              </w:rPr>
            </w:pPr>
            <w:r>
              <w:rPr>
                <w:rFonts w:ascii="Arial" w:cs="Arial" w:eastAsia="Arial" w:hAnsi="Arial"/>
                <w:sz w:val="14"/>
                <w:szCs w:val="14"/>
                <w:color w:val="auto"/>
              </w:rPr>
              <w:t>—</w:t>
            </w:r>
          </w:p>
        </w:tc>
        <w:tc>
          <w:tcPr>
            <w:tcW w:w="740" w:type="dxa"/>
            <w:vAlign w:val="bottom"/>
            <w:shd w:val="clear" w:color="auto" w:fill="EBEBEB"/>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11"/>
        </w:trPr>
        <w:tc>
          <w:tcPr>
            <w:tcW w:w="1440" w:type="dxa"/>
            <w:vAlign w:val="bottom"/>
            <w:shd w:val="clear" w:color="auto" w:fill="FAFAFA"/>
          </w:tcPr>
          <w:p>
            <w:pPr>
              <w:spacing w:after="0"/>
              <w:rPr>
                <w:sz w:val="24"/>
                <w:szCs w:val="24"/>
                <w:color w:val="auto"/>
              </w:rPr>
            </w:pPr>
          </w:p>
        </w:tc>
        <w:tc>
          <w:tcPr>
            <w:tcW w:w="1520" w:type="dxa"/>
            <w:vAlign w:val="bottom"/>
            <w:shd w:val="clear" w:color="auto" w:fill="FAFAFA"/>
          </w:tcPr>
          <w:p>
            <w:pPr>
              <w:jc w:val="right"/>
              <w:spacing w:after="0"/>
              <w:rPr>
                <w:sz w:val="20"/>
                <w:szCs w:val="20"/>
                <w:color w:val="auto"/>
              </w:rPr>
            </w:pPr>
            <w:r>
              <w:rPr>
                <w:rFonts w:ascii="Arial" w:cs="Arial" w:eastAsia="Arial" w:hAnsi="Arial"/>
                <w:sz w:val="14"/>
                <w:szCs w:val="14"/>
                <w:color w:val="auto"/>
              </w:rPr>
              <w:t>11/3/2021</w:t>
            </w:r>
          </w:p>
        </w:tc>
        <w:tc>
          <w:tcPr>
            <w:tcW w:w="1160" w:type="dxa"/>
            <w:vAlign w:val="bottom"/>
            <w:shd w:val="clear" w:color="auto" w:fill="FAFAFA"/>
          </w:tcPr>
          <w:p>
            <w:pPr>
              <w:jc w:val="right"/>
              <w:ind w:right="26"/>
              <w:spacing w:after="0"/>
              <w:rPr>
                <w:sz w:val="20"/>
                <w:szCs w:val="20"/>
                <w:color w:val="auto"/>
              </w:rPr>
            </w:pPr>
            <w:r>
              <w:rPr>
                <w:rFonts w:ascii="Arial" w:cs="Arial" w:eastAsia="Arial" w:hAnsi="Arial"/>
                <w:sz w:val="14"/>
                <w:szCs w:val="14"/>
                <w:color w:val="auto"/>
              </w:rPr>
              <w:t>—</w:t>
            </w:r>
          </w:p>
        </w:tc>
        <w:tc>
          <w:tcPr>
            <w:tcW w:w="1320" w:type="dxa"/>
            <w:vAlign w:val="bottom"/>
            <w:shd w:val="clear" w:color="auto" w:fill="FAFAFA"/>
          </w:tcPr>
          <w:p>
            <w:pPr>
              <w:jc w:val="right"/>
              <w:ind w:right="7"/>
              <w:spacing w:after="0"/>
              <w:rPr>
                <w:sz w:val="20"/>
                <w:szCs w:val="20"/>
                <w:color w:val="auto"/>
              </w:rPr>
            </w:pPr>
            <w:r>
              <w:rPr>
                <w:rFonts w:ascii="Arial" w:cs="Arial" w:eastAsia="Arial" w:hAnsi="Arial"/>
                <w:sz w:val="14"/>
                <w:szCs w:val="14"/>
                <w:color w:val="auto"/>
              </w:rPr>
              <w:t>—</w:t>
            </w:r>
          </w:p>
        </w:tc>
        <w:tc>
          <w:tcPr>
            <w:tcW w:w="900" w:type="dxa"/>
            <w:vAlign w:val="bottom"/>
            <w:shd w:val="clear" w:color="auto" w:fill="FAFAFA"/>
          </w:tcPr>
          <w:p>
            <w:pPr>
              <w:jc w:val="right"/>
              <w:ind w:right="26"/>
              <w:spacing w:after="0"/>
              <w:rPr>
                <w:sz w:val="20"/>
                <w:szCs w:val="20"/>
                <w:color w:val="auto"/>
              </w:rPr>
            </w:pPr>
            <w:r>
              <w:rPr>
                <w:rFonts w:ascii="Arial" w:cs="Arial" w:eastAsia="Arial" w:hAnsi="Arial"/>
                <w:sz w:val="14"/>
                <w:szCs w:val="14"/>
                <w:color w:val="auto"/>
              </w:rPr>
              <w:t>—</w:t>
            </w:r>
          </w:p>
        </w:tc>
        <w:tc>
          <w:tcPr>
            <w:tcW w:w="1160" w:type="dxa"/>
            <w:vAlign w:val="bottom"/>
            <w:shd w:val="clear" w:color="auto" w:fill="FAFAFA"/>
          </w:tcPr>
          <w:p>
            <w:pPr>
              <w:jc w:val="right"/>
              <w:ind w:right="167"/>
              <w:spacing w:after="0"/>
              <w:rPr>
                <w:sz w:val="20"/>
                <w:szCs w:val="20"/>
                <w:color w:val="auto"/>
              </w:rPr>
            </w:pPr>
            <w:r>
              <w:rPr>
                <w:rFonts w:ascii="Arial" w:cs="Arial" w:eastAsia="Arial" w:hAnsi="Arial"/>
                <w:sz w:val="14"/>
                <w:szCs w:val="14"/>
                <w:color w:val="auto"/>
              </w:rPr>
              <w:t>11/2/2031</w:t>
            </w:r>
          </w:p>
        </w:tc>
        <w:tc>
          <w:tcPr>
            <w:tcW w:w="1160" w:type="dxa"/>
            <w:vAlign w:val="bottom"/>
            <w:shd w:val="clear" w:color="auto" w:fill="FAFAFA"/>
          </w:tcPr>
          <w:p>
            <w:pPr>
              <w:jc w:val="right"/>
              <w:ind w:right="26"/>
              <w:spacing w:after="0"/>
              <w:rPr>
                <w:sz w:val="20"/>
                <w:szCs w:val="20"/>
                <w:color w:val="auto"/>
              </w:rPr>
            </w:pPr>
            <w:r>
              <w:rPr>
                <w:rFonts w:ascii="Arial" w:cs="Arial" w:eastAsia="Arial" w:hAnsi="Arial"/>
                <w:sz w:val="14"/>
                <w:szCs w:val="14"/>
                <w:color w:val="auto"/>
              </w:rPr>
              <w:t>40,000</w:t>
            </w:r>
            <w:r>
              <w:rPr>
                <w:rFonts w:ascii="Arial" w:cs="Arial" w:eastAsia="Arial" w:hAnsi="Arial"/>
                <w:sz w:val="23"/>
                <w:szCs w:val="23"/>
                <w:color w:val="auto"/>
                <w:vertAlign w:val="superscript"/>
              </w:rPr>
              <w:t>(5)</w:t>
            </w:r>
          </w:p>
        </w:tc>
        <w:tc>
          <w:tcPr>
            <w:tcW w:w="740" w:type="dxa"/>
            <w:vAlign w:val="bottom"/>
            <w:shd w:val="clear" w:color="auto" w:fill="FAFAFA"/>
          </w:tcPr>
          <w:p>
            <w:pPr>
              <w:jc w:val="right"/>
              <w:spacing w:after="0"/>
              <w:rPr>
                <w:sz w:val="20"/>
                <w:szCs w:val="20"/>
                <w:color w:val="auto"/>
              </w:rPr>
            </w:pPr>
            <w:r>
              <w:rPr>
                <w:rFonts w:ascii="Arial" w:cs="Arial" w:eastAsia="Arial" w:hAnsi="Arial"/>
                <w:sz w:val="14"/>
                <w:szCs w:val="14"/>
                <w:color w:val="auto"/>
              </w:rPr>
              <w:t>97,200</w:t>
            </w:r>
          </w:p>
        </w:tc>
        <w:tc>
          <w:tcPr>
            <w:tcW w:w="0" w:type="dxa"/>
            <w:vAlign w:val="bottom"/>
          </w:tcPr>
          <w:p>
            <w:pPr>
              <w:spacing w:after="0"/>
              <w:rPr>
                <w:sz w:val="1"/>
                <w:szCs w:val="1"/>
                <w:color w:val="auto"/>
              </w:rPr>
            </w:pPr>
          </w:p>
        </w:tc>
      </w:tr>
      <w:tr>
        <w:trPr>
          <w:trHeight w:val="310"/>
        </w:trPr>
        <w:tc>
          <w:tcPr>
            <w:tcW w:w="1440" w:type="dxa"/>
            <w:vAlign w:val="bottom"/>
            <w:shd w:val="clear" w:color="auto" w:fill="EBEBEB"/>
          </w:tcPr>
          <w:p>
            <w:pPr>
              <w:spacing w:after="0"/>
              <w:rPr>
                <w:sz w:val="24"/>
                <w:szCs w:val="24"/>
                <w:color w:val="auto"/>
              </w:rPr>
            </w:pPr>
          </w:p>
        </w:tc>
        <w:tc>
          <w:tcPr>
            <w:tcW w:w="1520" w:type="dxa"/>
            <w:vAlign w:val="bottom"/>
            <w:shd w:val="clear" w:color="auto" w:fill="EBEBEB"/>
          </w:tcPr>
          <w:p>
            <w:pPr>
              <w:jc w:val="right"/>
              <w:spacing w:after="0"/>
              <w:rPr>
                <w:sz w:val="20"/>
                <w:szCs w:val="20"/>
                <w:color w:val="auto"/>
              </w:rPr>
            </w:pPr>
            <w:r>
              <w:rPr>
                <w:rFonts w:ascii="Arial" w:cs="Arial" w:eastAsia="Arial" w:hAnsi="Arial"/>
                <w:sz w:val="14"/>
                <w:szCs w:val="14"/>
                <w:color w:val="auto"/>
              </w:rPr>
              <w:t>1/27/2022</w:t>
            </w:r>
          </w:p>
        </w:tc>
        <w:tc>
          <w:tcPr>
            <w:tcW w:w="1160" w:type="dxa"/>
            <w:vAlign w:val="bottom"/>
            <w:shd w:val="clear" w:color="auto" w:fill="EBEBEB"/>
          </w:tcPr>
          <w:p>
            <w:pPr>
              <w:jc w:val="right"/>
              <w:ind w:right="26"/>
              <w:spacing w:after="0"/>
              <w:rPr>
                <w:sz w:val="20"/>
                <w:szCs w:val="20"/>
                <w:color w:val="auto"/>
              </w:rPr>
            </w:pPr>
            <w:r>
              <w:rPr>
                <w:rFonts w:ascii="Arial" w:cs="Arial" w:eastAsia="Arial" w:hAnsi="Arial"/>
                <w:sz w:val="14"/>
                <w:szCs w:val="14"/>
                <w:color w:val="auto"/>
              </w:rPr>
              <w:t>191,667</w:t>
            </w:r>
          </w:p>
        </w:tc>
        <w:tc>
          <w:tcPr>
            <w:tcW w:w="1320" w:type="dxa"/>
            <w:vAlign w:val="bottom"/>
            <w:shd w:val="clear" w:color="auto" w:fill="EBEBEB"/>
          </w:tcPr>
          <w:p>
            <w:pPr>
              <w:jc w:val="right"/>
              <w:ind w:right="7"/>
              <w:spacing w:after="0"/>
              <w:rPr>
                <w:sz w:val="20"/>
                <w:szCs w:val="20"/>
                <w:color w:val="auto"/>
              </w:rPr>
            </w:pPr>
            <w:r>
              <w:rPr>
                <w:rFonts w:ascii="Arial" w:cs="Arial" w:eastAsia="Arial" w:hAnsi="Arial"/>
                <w:sz w:val="14"/>
                <w:szCs w:val="14"/>
                <w:color w:val="auto"/>
              </w:rPr>
              <w:t>208,333</w:t>
            </w:r>
            <w:r>
              <w:rPr>
                <w:rFonts w:ascii="Arial" w:cs="Arial" w:eastAsia="Arial" w:hAnsi="Arial"/>
                <w:sz w:val="23"/>
                <w:szCs w:val="23"/>
                <w:color w:val="auto"/>
                <w:vertAlign w:val="superscript"/>
              </w:rPr>
              <w:t>(2)</w:t>
            </w:r>
          </w:p>
        </w:tc>
        <w:tc>
          <w:tcPr>
            <w:tcW w:w="900" w:type="dxa"/>
            <w:vAlign w:val="bottom"/>
            <w:shd w:val="clear" w:color="auto" w:fill="EBEBEB"/>
          </w:tcPr>
          <w:p>
            <w:pPr>
              <w:jc w:val="right"/>
              <w:ind w:right="26"/>
              <w:spacing w:after="0"/>
              <w:rPr>
                <w:sz w:val="20"/>
                <w:szCs w:val="20"/>
                <w:color w:val="auto"/>
              </w:rPr>
            </w:pPr>
            <w:r>
              <w:rPr>
                <w:rFonts w:ascii="Arial" w:cs="Arial" w:eastAsia="Arial" w:hAnsi="Arial"/>
                <w:sz w:val="14"/>
                <w:szCs w:val="14"/>
                <w:color w:val="auto"/>
              </w:rPr>
              <w:t>9.91</w:t>
            </w:r>
          </w:p>
        </w:tc>
        <w:tc>
          <w:tcPr>
            <w:tcW w:w="1160" w:type="dxa"/>
            <w:vAlign w:val="bottom"/>
            <w:shd w:val="clear" w:color="auto" w:fill="EBEBEB"/>
          </w:tcPr>
          <w:p>
            <w:pPr>
              <w:jc w:val="right"/>
              <w:ind w:right="167"/>
              <w:spacing w:after="0"/>
              <w:rPr>
                <w:sz w:val="20"/>
                <w:szCs w:val="20"/>
                <w:color w:val="auto"/>
              </w:rPr>
            </w:pPr>
            <w:r>
              <w:rPr>
                <w:rFonts w:ascii="Arial" w:cs="Arial" w:eastAsia="Arial" w:hAnsi="Arial"/>
                <w:sz w:val="14"/>
                <w:szCs w:val="14"/>
                <w:color w:val="auto"/>
              </w:rPr>
              <w:t>1/26/2032</w:t>
            </w:r>
          </w:p>
        </w:tc>
        <w:tc>
          <w:tcPr>
            <w:tcW w:w="1160" w:type="dxa"/>
            <w:vAlign w:val="bottom"/>
            <w:shd w:val="clear" w:color="auto" w:fill="EBEBEB"/>
          </w:tcPr>
          <w:p>
            <w:pPr>
              <w:jc w:val="right"/>
              <w:ind w:right="26"/>
              <w:spacing w:after="0"/>
              <w:rPr>
                <w:sz w:val="20"/>
                <w:szCs w:val="20"/>
                <w:color w:val="auto"/>
              </w:rPr>
            </w:pPr>
            <w:r>
              <w:rPr>
                <w:rFonts w:ascii="Arial" w:cs="Arial" w:eastAsia="Arial" w:hAnsi="Arial"/>
                <w:sz w:val="14"/>
                <w:szCs w:val="14"/>
                <w:color w:val="auto"/>
              </w:rPr>
              <w:t>—</w:t>
            </w:r>
          </w:p>
        </w:tc>
        <w:tc>
          <w:tcPr>
            <w:tcW w:w="740" w:type="dxa"/>
            <w:vAlign w:val="bottom"/>
            <w:shd w:val="clear" w:color="auto" w:fill="EBEBEB"/>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11"/>
        </w:trPr>
        <w:tc>
          <w:tcPr>
            <w:tcW w:w="1440" w:type="dxa"/>
            <w:vAlign w:val="bottom"/>
            <w:shd w:val="clear" w:color="auto" w:fill="FAFAFA"/>
          </w:tcPr>
          <w:p>
            <w:pPr>
              <w:spacing w:after="0"/>
              <w:rPr>
                <w:sz w:val="24"/>
                <w:szCs w:val="24"/>
                <w:color w:val="auto"/>
              </w:rPr>
            </w:pPr>
          </w:p>
        </w:tc>
        <w:tc>
          <w:tcPr>
            <w:tcW w:w="1520" w:type="dxa"/>
            <w:vAlign w:val="bottom"/>
            <w:shd w:val="clear" w:color="auto" w:fill="FAFAFA"/>
          </w:tcPr>
          <w:p>
            <w:pPr>
              <w:jc w:val="right"/>
              <w:spacing w:after="0"/>
              <w:rPr>
                <w:sz w:val="20"/>
                <w:szCs w:val="20"/>
                <w:color w:val="auto"/>
              </w:rPr>
            </w:pPr>
            <w:r>
              <w:rPr>
                <w:rFonts w:ascii="Arial" w:cs="Arial" w:eastAsia="Arial" w:hAnsi="Arial"/>
                <w:sz w:val="14"/>
                <w:szCs w:val="14"/>
                <w:color w:val="auto"/>
              </w:rPr>
              <w:t>1/27/2023</w:t>
            </w:r>
          </w:p>
        </w:tc>
        <w:tc>
          <w:tcPr>
            <w:tcW w:w="1160" w:type="dxa"/>
            <w:vAlign w:val="bottom"/>
            <w:shd w:val="clear" w:color="auto" w:fill="FAFAFA"/>
          </w:tcPr>
          <w:p>
            <w:pPr>
              <w:jc w:val="right"/>
              <w:ind w:right="26"/>
              <w:spacing w:after="0"/>
              <w:rPr>
                <w:sz w:val="20"/>
                <w:szCs w:val="20"/>
                <w:color w:val="auto"/>
              </w:rPr>
            </w:pPr>
            <w:r>
              <w:rPr>
                <w:rFonts w:ascii="Arial" w:cs="Arial" w:eastAsia="Arial" w:hAnsi="Arial"/>
                <w:sz w:val="14"/>
                <w:szCs w:val="14"/>
                <w:color w:val="auto"/>
              </w:rPr>
              <w:t>129,861</w:t>
            </w:r>
          </w:p>
        </w:tc>
        <w:tc>
          <w:tcPr>
            <w:tcW w:w="1320" w:type="dxa"/>
            <w:vAlign w:val="bottom"/>
            <w:shd w:val="clear" w:color="auto" w:fill="FAFAFA"/>
          </w:tcPr>
          <w:p>
            <w:pPr>
              <w:jc w:val="right"/>
              <w:ind w:right="7"/>
              <w:spacing w:after="0"/>
              <w:rPr>
                <w:sz w:val="20"/>
                <w:szCs w:val="20"/>
                <w:color w:val="auto"/>
              </w:rPr>
            </w:pPr>
            <w:r>
              <w:rPr>
                <w:rFonts w:ascii="Arial" w:cs="Arial" w:eastAsia="Arial" w:hAnsi="Arial"/>
                <w:sz w:val="14"/>
                <w:szCs w:val="14"/>
                <w:color w:val="auto"/>
              </w:rPr>
              <w:t>295,139</w:t>
            </w:r>
            <w:r>
              <w:rPr>
                <w:rFonts w:ascii="Arial" w:cs="Arial" w:eastAsia="Arial" w:hAnsi="Arial"/>
                <w:sz w:val="23"/>
                <w:szCs w:val="23"/>
                <w:color w:val="auto"/>
                <w:vertAlign w:val="superscript"/>
              </w:rPr>
              <w:t>(3)</w:t>
            </w:r>
          </w:p>
        </w:tc>
        <w:tc>
          <w:tcPr>
            <w:tcW w:w="900" w:type="dxa"/>
            <w:vAlign w:val="bottom"/>
            <w:shd w:val="clear" w:color="auto" w:fill="FAFAFA"/>
          </w:tcPr>
          <w:p>
            <w:pPr>
              <w:jc w:val="right"/>
              <w:ind w:right="26"/>
              <w:spacing w:after="0"/>
              <w:rPr>
                <w:sz w:val="20"/>
                <w:szCs w:val="20"/>
                <w:color w:val="auto"/>
              </w:rPr>
            </w:pPr>
            <w:r>
              <w:rPr>
                <w:rFonts w:ascii="Arial" w:cs="Arial" w:eastAsia="Arial" w:hAnsi="Arial"/>
                <w:sz w:val="14"/>
                <w:szCs w:val="14"/>
                <w:color w:val="auto"/>
              </w:rPr>
              <w:t>4.11</w:t>
            </w:r>
          </w:p>
        </w:tc>
        <w:tc>
          <w:tcPr>
            <w:tcW w:w="1160" w:type="dxa"/>
            <w:vAlign w:val="bottom"/>
            <w:shd w:val="clear" w:color="auto" w:fill="FAFAFA"/>
          </w:tcPr>
          <w:p>
            <w:pPr>
              <w:jc w:val="right"/>
              <w:ind w:right="167"/>
              <w:spacing w:after="0"/>
              <w:rPr>
                <w:sz w:val="20"/>
                <w:szCs w:val="20"/>
                <w:color w:val="auto"/>
              </w:rPr>
            </w:pPr>
            <w:r>
              <w:rPr>
                <w:rFonts w:ascii="Arial" w:cs="Arial" w:eastAsia="Arial" w:hAnsi="Arial"/>
                <w:sz w:val="14"/>
                <w:szCs w:val="14"/>
                <w:color w:val="auto"/>
              </w:rPr>
              <w:t>1/26/2033</w:t>
            </w:r>
          </w:p>
        </w:tc>
        <w:tc>
          <w:tcPr>
            <w:tcW w:w="1160" w:type="dxa"/>
            <w:vAlign w:val="bottom"/>
            <w:shd w:val="clear" w:color="auto" w:fill="FAFAFA"/>
          </w:tcPr>
          <w:p>
            <w:pPr>
              <w:jc w:val="right"/>
              <w:ind w:right="26"/>
              <w:spacing w:after="0"/>
              <w:rPr>
                <w:sz w:val="20"/>
                <w:szCs w:val="20"/>
                <w:color w:val="auto"/>
              </w:rPr>
            </w:pPr>
            <w:r>
              <w:rPr>
                <w:rFonts w:ascii="Arial" w:cs="Arial" w:eastAsia="Arial" w:hAnsi="Arial"/>
                <w:sz w:val="14"/>
                <w:szCs w:val="14"/>
                <w:color w:val="auto"/>
              </w:rPr>
              <w:t>—</w:t>
            </w:r>
          </w:p>
        </w:tc>
        <w:tc>
          <w:tcPr>
            <w:tcW w:w="740" w:type="dxa"/>
            <w:vAlign w:val="bottom"/>
            <w:shd w:val="clear" w:color="auto" w:fill="FAFAFA"/>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11"/>
        </w:trPr>
        <w:tc>
          <w:tcPr>
            <w:tcW w:w="1440" w:type="dxa"/>
            <w:vAlign w:val="bottom"/>
            <w:shd w:val="clear" w:color="auto" w:fill="EBEBEB"/>
          </w:tcPr>
          <w:p>
            <w:pPr>
              <w:ind w:left="60"/>
              <w:spacing w:after="0"/>
              <w:rPr>
                <w:sz w:val="20"/>
                <w:szCs w:val="20"/>
                <w:color w:val="auto"/>
              </w:rPr>
            </w:pPr>
            <w:r>
              <w:rPr>
                <w:rFonts w:ascii="Arial" w:cs="Arial" w:eastAsia="Arial" w:hAnsi="Arial"/>
                <w:sz w:val="14"/>
                <w:szCs w:val="14"/>
                <w:b w:val="1"/>
                <w:bCs w:val="1"/>
                <w:color w:val="auto"/>
              </w:rPr>
              <w:t>Andrew Gengos</w:t>
            </w:r>
          </w:p>
        </w:tc>
        <w:tc>
          <w:tcPr>
            <w:tcW w:w="1520" w:type="dxa"/>
            <w:vAlign w:val="bottom"/>
            <w:shd w:val="clear" w:color="auto" w:fill="EBEBEB"/>
          </w:tcPr>
          <w:p>
            <w:pPr>
              <w:jc w:val="right"/>
              <w:spacing w:after="0"/>
              <w:rPr>
                <w:sz w:val="20"/>
                <w:szCs w:val="20"/>
                <w:color w:val="auto"/>
              </w:rPr>
            </w:pPr>
            <w:r>
              <w:rPr>
                <w:rFonts w:ascii="Arial" w:cs="Arial" w:eastAsia="Arial" w:hAnsi="Arial"/>
                <w:sz w:val="14"/>
                <w:szCs w:val="14"/>
                <w:color w:val="auto"/>
              </w:rPr>
              <w:t>5/18/2023</w:t>
            </w:r>
          </w:p>
        </w:tc>
        <w:tc>
          <w:tcPr>
            <w:tcW w:w="1160" w:type="dxa"/>
            <w:vAlign w:val="bottom"/>
            <w:shd w:val="clear" w:color="auto" w:fill="EBEBEB"/>
          </w:tcPr>
          <w:p>
            <w:pPr>
              <w:jc w:val="right"/>
              <w:ind w:right="26"/>
              <w:spacing w:after="0"/>
              <w:rPr>
                <w:sz w:val="20"/>
                <w:szCs w:val="20"/>
                <w:color w:val="auto"/>
              </w:rPr>
            </w:pPr>
            <w:r>
              <w:rPr>
                <w:rFonts w:ascii="Arial" w:cs="Arial" w:eastAsia="Arial" w:hAnsi="Arial"/>
                <w:sz w:val="14"/>
                <w:szCs w:val="14"/>
                <w:color w:val="auto"/>
              </w:rPr>
              <w:t>—</w:t>
            </w:r>
          </w:p>
        </w:tc>
        <w:tc>
          <w:tcPr>
            <w:tcW w:w="1320" w:type="dxa"/>
            <w:vAlign w:val="bottom"/>
            <w:shd w:val="clear" w:color="auto" w:fill="EBEBEB"/>
          </w:tcPr>
          <w:p>
            <w:pPr>
              <w:jc w:val="right"/>
              <w:ind w:right="7"/>
              <w:spacing w:after="0"/>
              <w:rPr>
                <w:sz w:val="20"/>
                <w:szCs w:val="20"/>
                <w:color w:val="auto"/>
              </w:rPr>
            </w:pPr>
            <w:r>
              <w:rPr>
                <w:rFonts w:ascii="Arial" w:cs="Arial" w:eastAsia="Arial" w:hAnsi="Arial"/>
                <w:sz w:val="14"/>
                <w:szCs w:val="14"/>
                <w:color w:val="auto"/>
              </w:rPr>
              <w:t>400,000</w:t>
            </w:r>
            <w:r>
              <w:rPr>
                <w:rFonts w:ascii="Arial" w:cs="Arial" w:eastAsia="Arial" w:hAnsi="Arial"/>
                <w:sz w:val="23"/>
                <w:szCs w:val="23"/>
                <w:color w:val="auto"/>
                <w:vertAlign w:val="superscript"/>
              </w:rPr>
              <w:t>(4)</w:t>
            </w:r>
          </w:p>
        </w:tc>
        <w:tc>
          <w:tcPr>
            <w:tcW w:w="900" w:type="dxa"/>
            <w:vAlign w:val="bottom"/>
            <w:shd w:val="clear" w:color="auto" w:fill="EBEBEB"/>
          </w:tcPr>
          <w:p>
            <w:pPr>
              <w:jc w:val="right"/>
              <w:ind w:right="26"/>
              <w:spacing w:after="0"/>
              <w:rPr>
                <w:sz w:val="20"/>
                <w:szCs w:val="20"/>
                <w:color w:val="auto"/>
              </w:rPr>
            </w:pPr>
            <w:r>
              <w:rPr>
                <w:rFonts w:ascii="Arial" w:cs="Arial" w:eastAsia="Arial" w:hAnsi="Arial"/>
                <w:sz w:val="14"/>
                <w:szCs w:val="14"/>
                <w:color w:val="auto"/>
              </w:rPr>
              <w:t>2.84</w:t>
            </w:r>
          </w:p>
        </w:tc>
        <w:tc>
          <w:tcPr>
            <w:tcW w:w="1160" w:type="dxa"/>
            <w:vAlign w:val="bottom"/>
            <w:shd w:val="clear" w:color="auto" w:fill="EBEBEB"/>
          </w:tcPr>
          <w:p>
            <w:pPr>
              <w:jc w:val="right"/>
              <w:ind w:right="167"/>
              <w:spacing w:after="0"/>
              <w:rPr>
                <w:sz w:val="20"/>
                <w:szCs w:val="20"/>
                <w:color w:val="auto"/>
              </w:rPr>
            </w:pPr>
            <w:r>
              <w:rPr>
                <w:rFonts w:ascii="Arial" w:cs="Arial" w:eastAsia="Arial" w:hAnsi="Arial"/>
                <w:sz w:val="14"/>
                <w:szCs w:val="14"/>
                <w:color w:val="auto"/>
              </w:rPr>
              <w:t>5/17/2033</w:t>
            </w:r>
          </w:p>
        </w:tc>
        <w:tc>
          <w:tcPr>
            <w:tcW w:w="1160" w:type="dxa"/>
            <w:vAlign w:val="bottom"/>
            <w:shd w:val="clear" w:color="auto" w:fill="EBEBEB"/>
          </w:tcPr>
          <w:p>
            <w:pPr>
              <w:jc w:val="right"/>
              <w:ind w:right="26"/>
              <w:spacing w:after="0"/>
              <w:rPr>
                <w:sz w:val="20"/>
                <w:szCs w:val="20"/>
                <w:color w:val="auto"/>
              </w:rPr>
            </w:pPr>
            <w:r>
              <w:rPr>
                <w:rFonts w:ascii="Arial" w:cs="Arial" w:eastAsia="Arial" w:hAnsi="Arial"/>
                <w:sz w:val="14"/>
                <w:szCs w:val="14"/>
                <w:color w:val="auto"/>
              </w:rPr>
              <w:t>—</w:t>
            </w:r>
          </w:p>
        </w:tc>
        <w:tc>
          <w:tcPr>
            <w:tcW w:w="740" w:type="dxa"/>
            <w:vAlign w:val="bottom"/>
            <w:shd w:val="clear" w:color="auto" w:fill="EBEBEB"/>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10"/>
        </w:trPr>
        <w:tc>
          <w:tcPr>
            <w:tcW w:w="1440" w:type="dxa"/>
            <w:vAlign w:val="bottom"/>
            <w:shd w:val="clear" w:color="auto" w:fill="FAFAFA"/>
          </w:tcPr>
          <w:p>
            <w:pPr>
              <w:spacing w:after="0"/>
              <w:rPr>
                <w:sz w:val="24"/>
                <w:szCs w:val="24"/>
                <w:color w:val="auto"/>
              </w:rPr>
            </w:pPr>
          </w:p>
        </w:tc>
        <w:tc>
          <w:tcPr>
            <w:tcW w:w="1520" w:type="dxa"/>
            <w:vAlign w:val="bottom"/>
            <w:shd w:val="clear" w:color="auto" w:fill="FAFAFA"/>
          </w:tcPr>
          <w:p>
            <w:pPr>
              <w:jc w:val="right"/>
              <w:spacing w:after="0"/>
              <w:rPr>
                <w:sz w:val="20"/>
                <w:szCs w:val="20"/>
                <w:color w:val="auto"/>
              </w:rPr>
            </w:pPr>
            <w:r>
              <w:rPr>
                <w:rFonts w:ascii="Arial" w:cs="Arial" w:eastAsia="Arial" w:hAnsi="Arial"/>
                <w:sz w:val="14"/>
                <w:szCs w:val="14"/>
                <w:color w:val="auto"/>
              </w:rPr>
              <w:t>5/18/2023</w:t>
            </w:r>
          </w:p>
        </w:tc>
        <w:tc>
          <w:tcPr>
            <w:tcW w:w="1160" w:type="dxa"/>
            <w:vAlign w:val="bottom"/>
            <w:shd w:val="clear" w:color="auto" w:fill="FAFAFA"/>
          </w:tcPr>
          <w:p>
            <w:pPr>
              <w:jc w:val="right"/>
              <w:ind w:right="26"/>
              <w:spacing w:after="0"/>
              <w:rPr>
                <w:sz w:val="20"/>
                <w:szCs w:val="20"/>
                <w:color w:val="auto"/>
              </w:rPr>
            </w:pPr>
            <w:r>
              <w:rPr>
                <w:rFonts w:ascii="Arial" w:cs="Arial" w:eastAsia="Arial" w:hAnsi="Arial"/>
                <w:sz w:val="14"/>
                <w:szCs w:val="14"/>
                <w:color w:val="auto"/>
              </w:rPr>
              <w:t>—</w:t>
            </w:r>
          </w:p>
        </w:tc>
        <w:tc>
          <w:tcPr>
            <w:tcW w:w="1320" w:type="dxa"/>
            <w:vAlign w:val="bottom"/>
            <w:shd w:val="clear" w:color="auto" w:fill="FAFAFA"/>
          </w:tcPr>
          <w:p>
            <w:pPr>
              <w:jc w:val="right"/>
              <w:ind w:right="7"/>
              <w:spacing w:after="0"/>
              <w:rPr>
                <w:sz w:val="20"/>
                <w:szCs w:val="20"/>
                <w:color w:val="auto"/>
              </w:rPr>
            </w:pPr>
            <w:r>
              <w:rPr>
                <w:rFonts w:ascii="Arial" w:cs="Arial" w:eastAsia="Arial" w:hAnsi="Arial"/>
                <w:sz w:val="14"/>
                <w:szCs w:val="14"/>
                <w:color w:val="auto"/>
              </w:rPr>
              <w:t>—</w:t>
            </w:r>
          </w:p>
        </w:tc>
        <w:tc>
          <w:tcPr>
            <w:tcW w:w="900" w:type="dxa"/>
            <w:vAlign w:val="bottom"/>
            <w:shd w:val="clear" w:color="auto" w:fill="FAFAFA"/>
          </w:tcPr>
          <w:p>
            <w:pPr>
              <w:jc w:val="right"/>
              <w:ind w:right="26"/>
              <w:spacing w:after="0"/>
              <w:rPr>
                <w:sz w:val="20"/>
                <w:szCs w:val="20"/>
                <w:color w:val="auto"/>
              </w:rPr>
            </w:pPr>
            <w:r>
              <w:rPr>
                <w:rFonts w:ascii="Arial" w:cs="Arial" w:eastAsia="Arial" w:hAnsi="Arial"/>
                <w:sz w:val="14"/>
                <w:szCs w:val="14"/>
                <w:color w:val="auto"/>
              </w:rPr>
              <w:t>—</w:t>
            </w:r>
          </w:p>
        </w:tc>
        <w:tc>
          <w:tcPr>
            <w:tcW w:w="1160" w:type="dxa"/>
            <w:vAlign w:val="bottom"/>
            <w:shd w:val="clear" w:color="auto" w:fill="FAFAFA"/>
          </w:tcPr>
          <w:p>
            <w:pPr>
              <w:jc w:val="right"/>
              <w:ind w:right="167"/>
              <w:spacing w:after="0"/>
              <w:rPr>
                <w:sz w:val="20"/>
                <w:szCs w:val="20"/>
                <w:color w:val="auto"/>
              </w:rPr>
            </w:pPr>
            <w:r>
              <w:rPr>
                <w:rFonts w:ascii="Arial" w:cs="Arial" w:eastAsia="Arial" w:hAnsi="Arial"/>
                <w:sz w:val="14"/>
                <w:szCs w:val="14"/>
                <w:color w:val="auto"/>
              </w:rPr>
              <w:t>5/17/2033</w:t>
            </w:r>
          </w:p>
        </w:tc>
        <w:tc>
          <w:tcPr>
            <w:tcW w:w="1160" w:type="dxa"/>
            <w:vAlign w:val="bottom"/>
            <w:shd w:val="clear" w:color="auto" w:fill="FAFAFA"/>
          </w:tcPr>
          <w:p>
            <w:pPr>
              <w:jc w:val="right"/>
              <w:ind w:right="26"/>
              <w:spacing w:after="0"/>
              <w:rPr>
                <w:sz w:val="20"/>
                <w:szCs w:val="20"/>
                <w:color w:val="auto"/>
              </w:rPr>
            </w:pPr>
            <w:r>
              <w:rPr>
                <w:rFonts w:ascii="Arial" w:cs="Arial" w:eastAsia="Arial" w:hAnsi="Arial"/>
                <w:sz w:val="14"/>
                <w:szCs w:val="14"/>
                <w:color w:val="auto"/>
              </w:rPr>
              <w:t>10,000</w:t>
            </w:r>
            <w:r>
              <w:rPr>
                <w:rFonts w:ascii="Arial" w:cs="Arial" w:eastAsia="Arial" w:hAnsi="Arial"/>
                <w:sz w:val="23"/>
                <w:szCs w:val="23"/>
                <w:color w:val="auto"/>
                <w:vertAlign w:val="superscript"/>
              </w:rPr>
              <w:t>(6)</w:t>
            </w:r>
          </w:p>
        </w:tc>
        <w:tc>
          <w:tcPr>
            <w:tcW w:w="740" w:type="dxa"/>
            <w:vAlign w:val="bottom"/>
            <w:shd w:val="clear" w:color="auto" w:fill="FAFAFA"/>
          </w:tcPr>
          <w:p>
            <w:pPr>
              <w:jc w:val="right"/>
              <w:spacing w:after="0"/>
              <w:rPr>
                <w:sz w:val="20"/>
                <w:szCs w:val="20"/>
                <w:color w:val="auto"/>
              </w:rPr>
            </w:pPr>
            <w:r>
              <w:rPr>
                <w:rFonts w:ascii="Arial" w:cs="Arial" w:eastAsia="Arial" w:hAnsi="Arial"/>
                <w:sz w:val="14"/>
                <w:szCs w:val="14"/>
                <w:color w:val="auto"/>
              </w:rPr>
              <w:t>24,300</w:t>
            </w:r>
          </w:p>
        </w:tc>
        <w:tc>
          <w:tcPr>
            <w:tcW w:w="0" w:type="dxa"/>
            <w:vAlign w:val="bottom"/>
          </w:tcPr>
          <w:p>
            <w:pPr>
              <w:spacing w:after="0"/>
              <w:rPr>
                <w:sz w:val="1"/>
                <w:szCs w:val="1"/>
                <w:color w:val="auto"/>
              </w:rPr>
            </w:pPr>
          </w:p>
        </w:tc>
      </w:tr>
      <w:tr>
        <w:trPr>
          <w:trHeight w:val="217"/>
        </w:trPr>
        <w:tc>
          <w:tcPr>
            <w:tcW w:w="1440" w:type="dxa"/>
            <w:vAlign w:val="bottom"/>
            <w:shd w:val="clear" w:color="auto" w:fill="EBEBEB"/>
          </w:tcPr>
          <w:p>
            <w:pPr>
              <w:ind w:left="60"/>
              <w:spacing w:after="0"/>
              <w:rPr>
                <w:sz w:val="20"/>
                <w:szCs w:val="20"/>
                <w:color w:val="auto"/>
              </w:rPr>
            </w:pPr>
            <w:r>
              <w:rPr>
                <w:rFonts w:ascii="Arial" w:cs="Arial" w:eastAsia="Arial" w:hAnsi="Arial"/>
                <w:sz w:val="14"/>
                <w:szCs w:val="14"/>
                <w:b w:val="1"/>
                <w:bCs w:val="1"/>
                <w:color w:val="auto"/>
              </w:rPr>
              <w:t>Hans Moebius,</w:t>
            </w:r>
          </w:p>
        </w:tc>
        <w:tc>
          <w:tcPr>
            <w:tcW w:w="1520" w:type="dxa"/>
            <w:vAlign w:val="bottom"/>
            <w:vMerge w:val="restart"/>
            <w:shd w:val="clear" w:color="auto" w:fill="EBEBEB"/>
          </w:tcPr>
          <w:p>
            <w:pPr>
              <w:jc w:val="right"/>
              <w:spacing w:after="0"/>
              <w:rPr>
                <w:sz w:val="20"/>
                <w:szCs w:val="20"/>
                <w:color w:val="auto"/>
              </w:rPr>
            </w:pPr>
            <w:r>
              <w:rPr>
                <w:rFonts w:ascii="Arial" w:cs="Arial" w:eastAsia="Arial" w:hAnsi="Arial"/>
                <w:sz w:val="14"/>
                <w:szCs w:val="14"/>
                <w:color w:val="auto"/>
              </w:rPr>
              <w:t>8/26/2020</w:t>
            </w:r>
          </w:p>
        </w:tc>
        <w:tc>
          <w:tcPr>
            <w:tcW w:w="1160" w:type="dxa"/>
            <w:vAlign w:val="bottom"/>
            <w:vMerge w:val="restart"/>
            <w:shd w:val="clear" w:color="auto" w:fill="EBEBEB"/>
          </w:tcPr>
          <w:p>
            <w:pPr>
              <w:jc w:val="right"/>
              <w:ind w:right="26"/>
              <w:spacing w:after="0"/>
              <w:rPr>
                <w:sz w:val="20"/>
                <w:szCs w:val="20"/>
                <w:color w:val="auto"/>
              </w:rPr>
            </w:pPr>
            <w:r>
              <w:rPr>
                <w:rFonts w:ascii="Arial" w:cs="Arial" w:eastAsia="Arial" w:hAnsi="Arial"/>
                <w:sz w:val="14"/>
                <w:szCs w:val="14"/>
                <w:color w:val="auto"/>
              </w:rPr>
              <w:t>108,761</w:t>
            </w:r>
          </w:p>
        </w:tc>
        <w:tc>
          <w:tcPr>
            <w:tcW w:w="1320" w:type="dxa"/>
            <w:vAlign w:val="bottom"/>
            <w:vMerge w:val="restart"/>
            <w:shd w:val="clear" w:color="auto" w:fill="EBEBEB"/>
          </w:tcPr>
          <w:p>
            <w:pPr>
              <w:jc w:val="right"/>
              <w:ind w:right="7"/>
              <w:spacing w:after="0"/>
              <w:rPr>
                <w:sz w:val="20"/>
                <w:szCs w:val="20"/>
                <w:color w:val="auto"/>
              </w:rPr>
            </w:pPr>
            <w:r>
              <w:rPr>
                <w:rFonts w:ascii="Arial" w:cs="Arial" w:eastAsia="Arial" w:hAnsi="Arial"/>
                <w:sz w:val="14"/>
                <w:szCs w:val="14"/>
                <w:color w:val="auto"/>
              </w:rPr>
              <w:t>36,254</w:t>
            </w:r>
            <w:r>
              <w:rPr>
                <w:rFonts w:ascii="Arial" w:cs="Arial" w:eastAsia="Arial" w:hAnsi="Arial"/>
                <w:sz w:val="23"/>
                <w:szCs w:val="23"/>
                <w:color w:val="auto"/>
                <w:vertAlign w:val="superscript"/>
              </w:rPr>
              <w:t>(1)</w:t>
            </w:r>
          </w:p>
        </w:tc>
        <w:tc>
          <w:tcPr>
            <w:tcW w:w="900" w:type="dxa"/>
            <w:vAlign w:val="bottom"/>
            <w:vMerge w:val="restart"/>
            <w:shd w:val="clear" w:color="auto" w:fill="EBEBEB"/>
          </w:tcPr>
          <w:p>
            <w:pPr>
              <w:jc w:val="right"/>
              <w:ind w:right="26"/>
              <w:spacing w:after="0"/>
              <w:rPr>
                <w:sz w:val="20"/>
                <w:szCs w:val="20"/>
                <w:color w:val="auto"/>
              </w:rPr>
            </w:pPr>
            <w:r>
              <w:rPr>
                <w:rFonts w:ascii="Arial" w:cs="Arial" w:eastAsia="Arial" w:hAnsi="Arial"/>
                <w:sz w:val="14"/>
                <w:szCs w:val="14"/>
                <w:color w:val="auto"/>
              </w:rPr>
              <w:t>17.00</w:t>
            </w:r>
          </w:p>
        </w:tc>
        <w:tc>
          <w:tcPr>
            <w:tcW w:w="1160" w:type="dxa"/>
            <w:vAlign w:val="bottom"/>
            <w:vMerge w:val="restart"/>
            <w:shd w:val="clear" w:color="auto" w:fill="EBEBEB"/>
          </w:tcPr>
          <w:p>
            <w:pPr>
              <w:jc w:val="right"/>
              <w:ind w:right="167"/>
              <w:spacing w:after="0"/>
              <w:rPr>
                <w:sz w:val="20"/>
                <w:szCs w:val="20"/>
                <w:color w:val="auto"/>
              </w:rPr>
            </w:pPr>
            <w:r>
              <w:rPr>
                <w:rFonts w:ascii="Arial" w:cs="Arial" w:eastAsia="Arial" w:hAnsi="Arial"/>
                <w:sz w:val="14"/>
                <w:szCs w:val="14"/>
                <w:color w:val="auto"/>
              </w:rPr>
              <w:t>9/16/2030</w:t>
            </w:r>
          </w:p>
        </w:tc>
        <w:tc>
          <w:tcPr>
            <w:tcW w:w="1160" w:type="dxa"/>
            <w:vAlign w:val="bottom"/>
            <w:vMerge w:val="restart"/>
            <w:shd w:val="clear" w:color="auto" w:fill="EBEBEB"/>
          </w:tcPr>
          <w:p>
            <w:pPr>
              <w:jc w:val="right"/>
              <w:ind w:right="26"/>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EBEBEB"/>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4"/>
        </w:trPr>
        <w:tc>
          <w:tcPr>
            <w:tcW w:w="1440" w:type="dxa"/>
            <w:vAlign w:val="bottom"/>
            <w:vMerge w:val="restart"/>
            <w:shd w:val="clear" w:color="auto" w:fill="EBEBEB"/>
          </w:tcPr>
          <w:p>
            <w:pPr>
              <w:ind w:left="60"/>
              <w:spacing w:after="0" w:line="255" w:lineRule="exact"/>
              <w:rPr>
                <w:sz w:val="20"/>
                <w:szCs w:val="20"/>
                <w:color w:val="auto"/>
              </w:rPr>
            </w:pPr>
            <w:r>
              <w:rPr>
                <w:rFonts w:ascii="Arial" w:cs="Arial" w:eastAsia="Arial" w:hAnsi="Arial"/>
                <w:sz w:val="14"/>
                <w:szCs w:val="14"/>
                <w:b w:val="1"/>
                <w:bCs w:val="1"/>
                <w:color w:val="auto"/>
              </w:rPr>
              <w:t>M.D., Ph.D.</w:t>
            </w:r>
            <w:r>
              <w:rPr>
                <w:rFonts w:ascii="Arial" w:cs="Arial" w:eastAsia="Arial" w:hAnsi="Arial"/>
                <w:sz w:val="23"/>
                <w:szCs w:val="23"/>
                <w:b w:val="1"/>
                <w:bCs w:val="1"/>
                <w:color w:val="auto"/>
                <w:vertAlign w:val="superscript"/>
              </w:rPr>
              <w:t>(7)</w:t>
            </w:r>
          </w:p>
        </w:tc>
        <w:tc>
          <w:tcPr>
            <w:tcW w:w="1520" w:type="dxa"/>
            <w:vAlign w:val="bottom"/>
            <w:vMerge w:val="continue"/>
            <w:shd w:val="clear" w:color="auto" w:fill="EBEBEB"/>
          </w:tcPr>
          <w:p>
            <w:pPr>
              <w:spacing w:after="0"/>
              <w:rPr>
                <w:sz w:val="15"/>
                <w:szCs w:val="15"/>
                <w:color w:val="auto"/>
              </w:rPr>
            </w:pPr>
          </w:p>
        </w:tc>
        <w:tc>
          <w:tcPr>
            <w:tcW w:w="1160" w:type="dxa"/>
            <w:vAlign w:val="bottom"/>
            <w:vMerge w:val="continue"/>
            <w:shd w:val="clear" w:color="auto" w:fill="EBEBEB"/>
          </w:tcPr>
          <w:p>
            <w:pPr>
              <w:spacing w:after="0"/>
              <w:rPr>
                <w:sz w:val="15"/>
                <w:szCs w:val="15"/>
                <w:color w:val="auto"/>
              </w:rPr>
            </w:pPr>
          </w:p>
        </w:tc>
        <w:tc>
          <w:tcPr>
            <w:tcW w:w="1320" w:type="dxa"/>
            <w:vAlign w:val="bottom"/>
            <w:vMerge w:val="continue"/>
            <w:shd w:val="clear" w:color="auto" w:fill="EBEBEB"/>
          </w:tcPr>
          <w:p>
            <w:pPr>
              <w:spacing w:after="0"/>
              <w:rPr>
                <w:sz w:val="15"/>
                <w:szCs w:val="15"/>
                <w:color w:val="auto"/>
              </w:rPr>
            </w:pPr>
          </w:p>
        </w:tc>
        <w:tc>
          <w:tcPr>
            <w:tcW w:w="900" w:type="dxa"/>
            <w:vAlign w:val="bottom"/>
            <w:vMerge w:val="continue"/>
            <w:shd w:val="clear" w:color="auto" w:fill="EBEBEB"/>
          </w:tcPr>
          <w:p>
            <w:pPr>
              <w:spacing w:after="0"/>
              <w:rPr>
                <w:sz w:val="15"/>
                <w:szCs w:val="15"/>
                <w:color w:val="auto"/>
              </w:rPr>
            </w:pPr>
          </w:p>
        </w:tc>
        <w:tc>
          <w:tcPr>
            <w:tcW w:w="1160" w:type="dxa"/>
            <w:vAlign w:val="bottom"/>
            <w:vMerge w:val="continue"/>
            <w:shd w:val="clear" w:color="auto" w:fill="EBEBEB"/>
          </w:tcPr>
          <w:p>
            <w:pPr>
              <w:spacing w:after="0"/>
              <w:rPr>
                <w:sz w:val="15"/>
                <w:szCs w:val="15"/>
                <w:color w:val="auto"/>
              </w:rPr>
            </w:pPr>
          </w:p>
        </w:tc>
        <w:tc>
          <w:tcPr>
            <w:tcW w:w="1160" w:type="dxa"/>
            <w:vAlign w:val="bottom"/>
            <w:vMerge w:val="continue"/>
            <w:shd w:val="clear" w:color="auto" w:fill="EBEBEB"/>
          </w:tcPr>
          <w:p>
            <w:pPr>
              <w:spacing w:after="0"/>
              <w:rPr>
                <w:sz w:val="15"/>
                <w:szCs w:val="15"/>
                <w:color w:val="auto"/>
              </w:rPr>
            </w:pPr>
          </w:p>
        </w:tc>
        <w:tc>
          <w:tcPr>
            <w:tcW w:w="740" w:type="dxa"/>
            <w:vAlign w:val="bottom"/>
            <w:vMerge w:val="continue"/>
            <w:shd w:val="clear" w:color="auto" w:fill="EBEBEB"/>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1440" w:type="dxa"/>
            <w:vAlign w:val="bottom"/>
            <w:vMerge w:val="continue"/>
            <w:shd w:val="clear" w:color="auto" w:fill="EBEBEB"/>
          </w:tcPr>
          <w:p>
            <w:pPr>
              <w:spacing w:after="0"/>
              <w:rPr>
                <w:sz w:val="7"/>
                <w:szCs w:val="7"/>
                <w:color w:val="auto"/>
              </w:rPr>
            </w:pPr>
          </w:p>
        </w:tc>
        <w:tc>
          <w:tcPr>
            <w:tcW w:w="1520" w:type="dxa"/>
            <w:vAlign w:val="bottom"/>
            <w:shd w:val="clear" w:color="auto" w:fill="EBEBEB"/>
          </w:tcPr>
          <w:p>
            <w:pPr>
              <w:spacing w:after="0"/>
              <w:rPr>
                <w:sz w:val="7"/>
                <w:szCs w:val="7"/>
                <w:color w:val="auto"/>
              </w:rPr>
            </w:pPr>
          </w:p>
        </w:tc>
        <w:tc>
          <w:tcPr>
            <w:tcW w:w="1160" w:type="dxa"/>
            <w:vAlign w:val="bottom"/>
            <w:shd w:val="clear" w:color="auto" w:fill="EBEBEB"/>
          </w:tcPr>
          <w:p>
            <w:pPr>
              <w:spacing w:after="0"/>
              <w:rPr>
                <w:sz w:val="7"/>
                <w:szCs w:val="7"/>
                <w:color w:val="auto"/>
              </w:rPr>
            </w:pPr>
          </w:p>
        </w:tc>
        <w:tc>
          <w:tcPr>
            <w:tcW w:w="1320" w:type="dxa"/>
            <w:vAlign w:val="bottom"/>
            <w:shd w:val="clear" w:color="auto" w:fill="EBEBEB"/>
          </w:tcPr>
          <w:p>
            <w:pPr>
              <w:spacing w:after="0"/>
              <w:rPr>
                <w:sz w:val="7"/>
                <w:szCs w:val="7"/>
                <w:color w:val="auto"/>
              </w:rPr>
            </w:pPr>
          </w:p>
        </w:tc>
        <w:tc>
          <w:tcPr>
            <w:tcW w:w="900" w:type="dxa"/>
            <w:vAlign w:val="bottom"/>
            <w:shd w:val="clear" w:color="auto" w:fill="EBEBEB"/>
          </w:tcPr>
          <w:p>
            <w:pPr>
              <w:spacing w:after="0"/>
              <w:rPr>
                <w:sz w:val="7"/>
                <w:szCs w:val="7"/>
                <w:color w:val="auto"/>
              </w:rPr>
            </w:pPr>
          </w:p>
        </w:tc>
        <w:tc>
          <w:tcPr>
            <w:tcW w:w="1160" w:type="dxa"/>
            <w:vAlign w:val="bottom"/>
            <w:shd w:val="clear" w:color="auto" w:fill="EBEBEB"/>
          </w:tcPr>
          <w:p>
            <w:pPr>
              <w:spacing w:after="0"/>
              <w:rPr>
                <w:sz w:val="7"/>
                <w:szCs w:val="7"/>
                <w:color w:val="auto"/>
              </w:rPr>
            </w:pPr>
          </w:p>
        </w:tc>
        <w:tc>
          <w:tcPr>
            <w:tcW w:w="1160" w:type="dxa"/>
            <w:vAlign w:val="bottom"/>
            <w:shd w:val="clear" w:color="auto" w:fill="EBEBEB"/>
          </w:tcPr>
          <w:p>
            <w:pPr>
              <w:spacing w:after="0"/>
              <w:rPr>
                <w:sz w:val="7"/>
                <w:szCs w:val="7"/>
                <w:color w:val="auto"/>
              </w:rPr>
            </w:pPr>
          </w:p>
        </w:tc>
        <w:tc>
          <w:tcPr>
            <w:tcW w:w="740" w:type="dxa"/>
            <w:vAlign w:val="bottom"/>
            <w:shd w:val="clear" w:color="auto" w:fill="EBEBEB"/>
          </w:tcPr>
          <w:p>
            <w:pPr>
              <w:spacing w:after="0"/>
              <w:rPr>
                <w:sz w:val="7"/>
                <w:szCs w:val="7"/>
                <w:color w:val="auto"/>
              </w:rPr>
            </w:pPr>
          </w:p>
        </w:tc>
        <w:tc>
          <w:tcPr>
            <w:tcW w:w="0" w:type="dxa"/>
            <w:vAlign w:val="bottom"/>
          </w:tcPr>
          <w:p>
            <w:pPr>
              <w:spacing w:after="0"/>
              <w:rPr>
                <w:sz w:val="1"/>
                <w:szCs w:val="1"/>
                <w:color w:val="auto"/>
              </w:rPr>
            </w:pPr>
          </w:p>
        </w:tc>
      </w:tr>
      <w:tr>
        <w:trPr>
          <w:trHeight w:val="310"/>
        </w:trPr>
        <w:tc>
          <w:tcPr>
            <w:tcW w:w="1440" w:type="dxa"/>
            <w:vAlign w:val="bottom"/>
            <w:shd w:val="clear" w:color="auto" w:fill="FAFAFA"/>
          </w:tcPr>
          <w:p>
            <w:pPr>
              <w:spacing w:after="0"/>
              <w:rPr>
                <w:sz w:val="24"/>
                <w:szCs w:val="24"/>
                <w:color w:val="auto"/>
              </w:rPr>
            </w:pPr>
          </w:p>
        </w:tc>
        <w:tc>
          <w:tcPr>
            <w:tcW w:w="1520" w:type="dxa"/>
            <w:vAlign w:val="bottom"/>
            <w:shd w:val="clear" w:color="auto" w:fill="FAFAFA"/>
          </w:tcPr>
          <w:p>
            <w:pPr>
              <w:jc w:val="right"/>
              <w:spacing w:after="0"/>
              <w:rPr>
                <w:sz w:val="20"/>
                <w:szCs w:val="20"/>
                <w:color w:val="auto"/>
              </w:rPr>
            </w:pPr>
            <w:r>
              <w:rPr>
                <w:rFonts w:ascii="Arial" w:cs="Arial" w:eastAsia="Arial" w:hAnsi="Arial"/>
                <w:sz w:val="14"/>
                <w:szCs w:val="14"/>
                <w:color w:val="auto"/>
              </w:rPr>
              <w:t>1/8/2021</w:t>
            </w:r>
          </w:p>
        </w:tc>
        <w:tc>
          <w:tcPr>
            <w:tcW w:w="1160" w:type="dxa"/>
            <w:vAlign w:val="bottom"/>
            <w:shd w:val="clear" w:color="auto" w:fill="FAFAFA"/>
          </w:tcPr>
          <w:p>
            <w:pPr>
              <w:jc w:val="right"/>
              <w:ind w:right="26"/>
              <w:spacing w:after="0"/>
              <w:rPr>
                <w:sz w:val="20"/>
                <w:szCs w:val="20"/>
                <w:color w:val="auto"/>
              </w:rPr>
            </w:pPr>
            <w:r>
              <w:rPr>
                <w:rFonts w:ascii="Arial" w:cs="Arial" w:eastAsia="Arial" w:hAnsi="Arial"/>
                <w:sz w:val="14"/>
                <w:szCs w:val="14"/>
                <w:color w:val="auto"/>
              </w:rPr>
              <w:t>36,000</w:t>
            </w:r>
          </w:p>
        </w:tc>
        <w:tc>
          <w:tcPr>
            <w:tcW w:w="1320" w:type="dxa"/>
            <w:vAlign w:val="bottom"/>
            <w:shd w:val="clear" w:color="auto" w:fill="FAFAFA"/>
          </w:tcPr>
          <w:p>
            <w:pPr>
              <w:jc w:val="right"/>
              <w:ind w:right="7"/>
              <w:spacing w:after="0"/>
              <w:rPr>
                <w:sz w:val="20"/>
                <w:szCs w:val="20"/>
                <w:color w:val="auto"/>
              </w:rPr>
            </w:pPr>
            <w:r>
              <w:rPr>
                <w:rFonts w:ascii="Arial" w:cs="Arial" w:eastAsia="Arial" w:hAnsi="Arial"/>
                <w:sz w:val="14"/>
                <w:szCs w:val="14"/>
                <w:color w:val="auto"/>
              </w:rPr>
              <w:t>36,000</w:t>
            </w:r>
            <w:r>
              <w:rPr>
                <w:rFonts w:ascii="Arial" w:cs="Arial" w:eastAsia="Arial" w:hAnsi="Arial"/>
                <w:sz w:val="23"/>
                <w:szCs w:val="23"/>
                <w:color w:val="auto"/>
                <w:vertAlign w:val="superscript"/>
              </w:rPr>
              <w:t>(1)</w:t>
            </w:r>
          </w:p>
        </w:tc>
        <w:tc>
          <w:tcPr>
            <w:tcW w:w="900" w:type="dxa"/>
            <w:vAlign w:val="bottom"/>
            <w:shd w:val="clear" w:color="auto" w:fill="FAFAFA"/>
          </w:tcPr>
          <w:p>
            <w:pPr>
              <w:jc w:val="right"/>
              <w:ind w:right="26"/>
              <w:spacing w:after="0"/>
              <w:rPr>
                <w:sz w:val="20"/>
                <w:szCs w:val="20"/>
                <w:color w:val="auto"/>
              </w:rPr>
            </w:pPr>
            <w:r>
              <w:rPr>
                <w:rFonts w:ascii="Arial" w:cs="Arial" w:eastAsia="Arial" w:hAnsi="Arial"/>
                <w:sz w:val="14"/>
                <w:szCs w:val="14"/>
                <w:color w:val="auto"/>
              </w:rPr>
              <w:t>21.15</w:t>
            </w:r>
          </w:p>
        </w:tc>
        <w:tc>
          <w:tcPr>
            <w:tcW w:w="1160" w:type="dxa"/>
            <w:vAlign w:val="bottom"/>
            <w:shd w:val="clear" w:color="auto" w:fill="FAFAFA"/>
          </w:tcPr>
          <w:p>
            <w:pPr>
              <w:jc w:val="right"/>
              <w:ind w:right="167"/>
              <w:spacing w:after="0"/>
              <w:rPr>
                <w:sz w:val="20"/>
                <w:szCs w:val="20"/>
                <w:color w:val="auto"/>
              </w:rPr>
            </w:pPr>
            <w:r>
              <w:rPr>
                <w:rFonts w:ascii="Arial" w:cs="Arial" w:eastAsia="Arial" w:hAnsi="Arial"/>
                <w:sz w:val="14"/>
                <w:szCs w:val="14"/>
                <w:color w:val="auto"/>
              </w:rPr>
              <w:t>2/17/2031</w:t>
            </w:r>
          </w:p>
        </w:tc>
        <w:tc>
          <w:tcPr>
            <w:tcW w:w="1160" w:type="dxa"/>
            <w:vAlign w:val="bottom"/>
            <w:shd w:val="clear" w:color="auto" w:fill="FAFAFA"/>
          </w:tcPr>
          <w:p>
            <w:pPr>
              <w:jc w:val="right"/>
              <w:ind w:right="26"/>
              <w:spacing w:after="0"/>
              <w:rPr>
                <w:sz w:val="20"/>
                <w:szCs w:val="20"/>
                <w:color w:val="auto"/>
              </w:rPr>
            </w:pPr>
            <w:r>
              <w:rPr>
                <w:rFonts w:ascii="Arial" w:cs="Arial" w:eastAsia="Arial" w:hAnsi="Arial"/>
                <w:sz w:val="14"/>
                <w:szCs w:val="14"/>
                <w:color w:val="auto"/>
              </w:rPr>
              <w:t>—</w:t>
            </w:r>
          </w:p>
        </w:tc>
        <w:tc>
          <w:tcPr>
            <w:tcW w:w="740" w:type="dxa"/>
            <w:vAlign w:val="bottom"/>
            <w:shd w:val="clear" w:color="auto" w:fill="FAFAFA"/>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11"/>
        </w:trPr>
        <w:tc>
          <w:tcPr>
            <w:tcW w:w="1440" w:type="dxa"/>
            <w:vAlign w:val="bottom"/>
            <w:shd w:val="clear" w:color="auto" w:fill="EBEBEB"/>
          </w:tcPr>
          <w:p>
            <w:pPr>
              <w:spacing w:after="0"/>
              <w:rPr>
                <w:sz w:val="24"/>
                <w:szCs w:val="24"/>
                <w:color w:val="auto"/>
              </w:rPr>
            </w:pPr>
          </w:p>
        </w:tc>
        <w:tc>
          <w:tcPr>
            <w:tcW w:w="1520" w:type="dxa"/>
            <w:vAlign w:val="bottom"/>
            <w:shd w:val="clear" w:color="auto" w:fill="EBEBEB"/>
          </w:tcPr>
          <w:p>
            <w:pPr>
              <w:jc w:val="right"/>
              <w:spacing w:after="0"/>
              <w:rPr>
                <w:sz w:val="20"/>
                <w:szCs w:val="20"/>
                <w:color w:val="auto"/>
              </w:rPr>
            </w:pPr>
            <w:r>
              <w:rPr>
                <w:rFonts w:ascii="Arial" w:cs="Arial" w:eastAsia="Arial" w:hAnsi="Arial"/>
                <w:sz w:val="14"/>
                <w:szCs w:val="14"/>
                <w:color w:val="auto"/>
              </w:rPr>
              <w:t>11/3/2021</w:t>
            </w:r>
          </w:p>
        </w:tc>
        <w:tc>
          <w:tcPr>
            <w:tcW w:w="1160" w:type="dxa"/>
            <w:vAlign w:val="bottom"/>
            <w:shd w:val="clear" w:color="auto" w:fill="EBEBEB"/>
          </w:tcPr>
          <w:p>
            <w:pPr>
              <w:jc w:val="right"/>
              <w:ind w:right="26"/>
              <w:spacing w:after="0"/>
              <w:rPr>
                <w:sz w:val="20"/>
                <w:szCs w:val="20"/>
                <w:color w:val="auto"/>
              </w:rPr>
            </w:pPr>
            <w:r>
              <w:rPr>
                <w:rFonts w:ascii="Arial" w:cs="Arial" w:eastAsia="Arial" w:hAnsi="Arial"/>
                <w:sz w:val="14"/>
                <w:szCs w:val="14"/>
                <w:color w:val="auto"/>
              </w:rPr>
              <w:t>—</w:t>
            </w:r>
          </w:p>
        </w:tc>
        <w:tc>
          <w:tcPr>
            <w:tcW w:w="1320" w:type="dxa"/>
            <w:vAlign w:val="bottom"/>
            <w:shd w:val="clear" w:color="auto" w:fill="EBEBEB"/>
          </w:tcPr>
          <w:p>
            <w:pPr>
              <w:jc w:val="right"/>
              <w:ind w:right="7"/>
              <w:spacing w:after="0"/>
              <w:rPr>
                <w:sz w:val="20"/>
                <w:szCs w:val="20"/>
                <w:color w:val="auto"/>
              </w:rPr>
            </w:pPr>
            <w:r>
              <w:rPr>
                <w:rFonts w:ascii="Arial" w:cs="Arial" w:eastAsia="Arial" w:hAnsi="Arial"/>
                <w:sz w:val="14"/>
                <w:szCs w:val="14"/>
                <w:color w:val="auto"/>
              </w:rPr>
              <w:t>—</w:t>
            </w:r>
          </w:p>
        </w:tc>
        <w:tc>
          <w:tcPr>
            <w:tcW w:w="900" w:type="dxa"/>
            <w:vAlign w:val="bottom"/>
            <w:shd w:val="clear" w:color="auto" w:fill="EBEBEB"/>
          </w:tcPr>
          <w:p>
            <w:pPr>
              <w:jc w:val="right"/>
              <w:ind w:right="26"/>
              <w:spacing w:after="0"/>
              <w:rPr>
                <w:sz w:val="20"/>
                <w:szCs w:val="20"/>
                <w:color w:val="auto"/>
              </w:rPr>
            </w:pPr>
            <w:r>
              <w:rPr>
                <w:rFonts w:ascii="Arial" w:cs="Arial" w:eastAsia="Arial" w:hAnsi="Arial"/>
                <w:sz w:val="14"/>
                <w:szCs w:val="14"/>
                <w:color w:val="auto"/>
              </w:rPr>
              <w:t>—</w:t>
            </w:r>
          </w:p>
        </w:tc>
        <w:tc>
          <w:tcPr>
            <w:tcW w:w="1160" w:type="dxa"/>
            <w:vAlign w:val="bottom"/>
            <w:shd w:val="clear" w:color="auto" w:fill="EBEBEB"/>
          </w:tcPr>
          <w:p>
            <w:pPr>
              <w:jc w:val="right"/>
              <w:ind w:right="167"/>
              <w:spacing w:after="0"/>
              <w:rPr>
                <w:sz w:val="20"/>
                <w:szCs w:val="20"/>
                <w:color w:val="auto"/>
              </w:rPr>
            </w:pPr>
            <w:r>
              <w:rPr>
                <w:rFonts w:ascii="Arial" w:cs="Arial" w:eastAsia="Arial" w:hAnsi="Arial"/>
                <w:sz w:val="14"/>
                <w:szCs w:val="14"/>
                <w:color w:val="auto"/>
              </w:rPr>
              <w:t>11/2/2031</w:t>
            </w:r>
          </w:p>
        </w:tc>
        <w:tc>
          <w:tcPr>
            <w:tcW w:w="1160" w:type="dxa"/>
            <w:vAlign w:val="bottom"/>
            <w:shd w:val="clear" w:color="auto" w:fill="EBEBEB"/>
          </w:tcPr>
          <w:p>
            <w:pPr>
              <w:jc w:val="right"/>
              <w:ind w:right="26"/>
              <w:spacing w:after="0"/>
              <w:rPr>
                <w:sz w:val="20"/>
                <w:szCs w:val="20"/>
                <w:color w:val="auto"/>
              </w:rPr>
            </w:pPr>
            <w:r>
              <w:rPr>
                <w:rFonts w:ascii="Arial" w:cs="Arial" w:eastAsia="Arial" w:hAnsi="Arial"/>
                <w:sz w:val="14"/>
                <w:szCs w:val="14"/>
                <w:color w:val="auto"/>
              </w:rPr>
              <w:t>20,000</w:t>
            </w:r>
            <w:r>
              <w:rPr>
                <w:rFonts w:ascii="Arial" w:cs="Arial" w:eastAsia="Arial" w:hAnsi="Arial"/>
                <w:sz w:val="23"/>
                <w:szCs w:val="23"/>
                <w:color w:val="auto"/>
                <w:vertAlign w:val="superscript"/>
              </w:rPr>
              <w:t>(5)</w:t>
            </w:r>
          </w:p>
        </w:tc>
        <w:tc>
          <w:tcPr>
            <w:tcW w:w="740" w:type="dxa"/>
            <w:vAlign w:val="bottom"/>
            <w:shd w:val="clear" w:color="auto" w:fill="EBEBEB"/>
          </w:tcPr>
          <w:p>
            <w:pPr>
              <w:jc w:val="right"/>
              <w:spacing w:after="0"/>
              <w:rPr>
                <w:sz w:val="20"/>
                <w:szCs w:val="20"/>
                <w:color w:val="auto"/>
              </w:rPr>
            </w:pPr>
            <w:r>
              <w:rPr>
                <w:rFonts w:ascii="Arial" w:cs="Arial" w:eastAsia="Arial" w:hAnsi="Arial"/>
                <w:sz w:val="14"/>
                <w:szCs w:val="14"/>
                <w:color w:val="auto"/>
              </w:rPr>
              <w:t>48,600</w:t>
            </w:r>
          </w:p>
        </w:tc>
        <w:tc>
          <w:tcPr>
            <w:tcW w:w="0" w:type="dxa"/>
            <w:vAlign w:val="bottom"/>
          </w:tcPr>
          <w:p>
            <w:pPr>
              <w:spacing w:after="0"/>
              <w:rPr>
                <w:sz w:val="1"/>
                <w:szCs w:val="1"/>
                <w:color w:val="auto"/>
              </w:rPr>
            </w:pPr>
          </w:p>
        </w:tc>
      </w:tr>
      <w:tr>
        <w:trPr>
          <w:trHeight w:val="310"/>
        </w:trPr>
        <w:tc>
          <w:tcPr>
            <w:tcW w:w="1440" w:type="dxa"/>
            <w:vAlign w:val="bottom"/>
            <w:shd w:val="clear" w:color="auto" w:fill="FAFAFA"/>
          </w:tcPr>
          <w:p>
            <w:pPr>
              <w:spacing w:after="0"/>
              <w:rPr>
                <w:sz w:val="24"/>
                <w:szCs w:val="24"/>
                <w:color w:val="auto"/>
              </w:rPr>
            </w:pPr>
          </w:p>
        </w:tc>
        <w:tc>
          <w:tcPr>
            <w:tcW w:w="1520" w:type="dxa"/>
            <w:vAlign w:val="bottom"/>
            <w:shd w:val="clear" w:color="auto" w:fill="FAFAFA"/>
          </w:tcPr>
          <w:p>
            <w:pPr>
              <w:jc w:val="right"/>
              <w:spacing w:after="0"/>
              <w:rPr>
                <w:sz w:val="20"/>
                <w:szCs w:val="20"/>
                <w:color w:val="auto"/>
              </w:rPr>
            </w:pPr>
            <w:r>
              <w:rPr>
                <w:rFonts w:ascii="Arial" w:cs="Arial" w:eastAsia="Arial" w:hAnsi="Arial"/>
                <w:sz w:val="14"/>
                <w:szCs w:val="14"/>
                <w:color w:val="auto"/>
              </w:rPr>
              <w:t>1/18/2022</w:t>
            </w:r>
          </w:p>
        </w:tc>
        <w:tc>
          <w:tcPr>
            <w:tcW w:w="1160" w:type="dxa"/>
            <w:vAlign w:val="bottom"/>
            <w:shd w:val="clear" w:color="auto" w:fill="FAFAFA"/>
          </w:tcPr>
          <w:p>
            <w:pPr>
              <w:jc w:val="right"/>
              <w:ind w:right="26"/>
              <w:spacing w:after="0"/>
              <w:rPr>
                <w:sz w:val="20"/>
                <w:szCs w:val="20"/>
                <w:color w:val="auto"/>
              </w:rPr>
            </w:pPr>
            <w:r>
              <w:rPr>
                <w:rFonts w:ascii="Arial" w:cs="Arial" w:eastAsia="Arial" w:hAnsi="Arial"/>
                <w:sz w:val="14"/>
                <w:szCs w:val="14"/>
                <w:color w:val="auto"/>
              </w:rPr>
              <w:t>86,250</w:t>
            </w:r>
          </w:p>
        </w:tc>
        <w:tc>
          <w:tcPr>
            <w:tcW w:w="1320" w:type="dxa"/>
            <w:vAlign w:val="bottom"/>
            <w:shd w:val="clear" w:color="auto" w:fill="FAFAFA"/>
          </w:tcPr>
          <w:p>
            <w:pPr>
              <w:jc w:val="right"/>
              <w:ind w:right="7"/>
              <w:spacing w:after="0"/>
              <w:rPr>
                <w:sz w:val="20"/>
                <w:szCs w:val="20"/>
                <w:color w:val="auto"/>
              </w:rPr>
            </w:pPr>
            <w:r>
              <w:rPr>
                <w:rFonts w:ascii="Arial" w:cs="Arial" w:eastAsia="Arial" w:hAnsi="Arial"/>
                <w:sz w:val="14"/>
                <w:szCs w:val="14"/>
                <w:color w:val="auto"/>
              </w:rPr>
              <w:t>93,750</w:t>
            </w:r>
            <w:r>
              <w:rPr>
                <w:rFonts w:ascii="Arial" w:cs="Arial" w:eastAsia="Arial" w:hAnsi="Arial"/>
                <w:sz w:val="23"/>
                <w:szCs w:val="23"/>
                <w:color w:val="auto"/>
                <w:vertAlign w:val="superscript"/>
              </w:rPr>
              <w:t>(2)</w:t>
            </w:r>
          </w:p>
        </w:tc>
        <w:tc>
          <w:tcPr>
            <w:tcW w:w="900" w:type="dxa"/>
            <w:vAlign w:val="bottom"/>
            <w:shd w:val="clear" w:color="auto" w:fill="FAFAFA"/>
          </w:tcPr>
          <w:p>
            <w:pPr>
              <w:jc w:val="right"/>
              <w:ind w:right="26"/>
              <w:spacing w:after="0"/>
              <w:rPr>
                <w:sz w:val="20"/>
                <w:szCs w:val="20"/>
                <w:color w:val="auto"/>
              </w:rPr>
            </w:pPr>
            <w:r>
              <w:rPr>
                <w:rFonts w:ascii="Arial" w:cs="Arial" w:eastAsia="Arial" w:hAnsi="Arial"/>
                <w:sz w:val="14"/>
                <w:szCs w:val="14"/>
                <w:color w:val="auto"/>
              </w:rPr>
              <w:t>10.64</w:t>
            </w:r>
          </w:p>
        </w:tc>
        <w:tc>
          <w:tcPr>
            <w:tcW w:w="1160" w:type="dxa"/>
            <w:vAlign w:val="bottom"/>
            <w:shd w:val="clear" w:color="auto" w:fill="FAFAFA"/>
          </w:tcPr>
          <w:p>
            <w:pPr>
              <w:jc w:val="right"/>
              <w:ind w:right="167"/>
              <w:spacing w:after="0"/>
              <w:rPr>
                <w:sz w:val="20"/>
                <w:szCs w:val="20"/>
                <w:color w:val="auto"/>
              </w:rPr>
            </w:pPr>
            <w:r>
              <w:rPr>
                <w:rFonts w:ascii="Arial" w:cs="Arial" w:eastAsia="Arial" w:hAnsi="Arial"/>
                <w:sz w:val="14"/>
                <w:szCs w:val="14"/>
                <w:color w:val="auto"/>
              </w:rPr>
              <w:t>1/17/2032</w:t>
            </w:r>
          </w:p>
        </w:tc>
        <w:tc>
          <w:tcPr>
            <w:tcW w:w="1160" w:type="dxa"/>
            <w:vAlign w:val="bottom"/>
            <w:shd w:val="clear" w:color="auto" w:fill="FAFAFA"/>
          </w:tcPr>
          <w:p>
            <w:pPr>
              <w:jc w:val="right"/>
              <w:ind w:right="26"/>
              <w:spacing w:after="0"/>
              <w:rPr>
                <w:sz w:val="20"/>
                <w:szCs w:val="20"/>
                <w:color w:val="auto"/>
              </w:rPr>
            </w:pPr>
            <w:r>
              <w:rPr>
                <w:rFonts w:ascii="Arial" w:cs="Arial" w:eastAsia="Arial" w:hAnsi="Arial"/>
                <w:sz w:val="14"/>
                <w:szCs w:val="14"/>
                <w:color w:val="auto"/>
              </w:rPr>
              <w:t>—</w:t>
            </w:r>
          </w:p>
        </w:tc>
        <w:tc>
          <w:tcPr>
            <w:tcW w:w="740" w:type="dxa"/>
            <w:vAlign w:val="bottom"/>
            <w:shd w:val="clear" w:color="auto" w:fill="FAFAFA"/>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91"/>
        </w:trPr>
        <w:tc>
          <w:tcPr>
            <w:tcW w:w="1440" w:type="dxa"/>
            <w:vAlign w:val="bottom"/>
            <w:shd w:val="clear" w:color="auto" w:fill="EBEBEB"/>
          </w:tcPr>
          <w:p>
            <w:pPr>
              <w:spacing w:after="0"/>
              <w:rPr>
                <w:sz w:val="24"/>
                <w:szCs w:val="24"/>
                <w:color w:val="auto"/>
              </w:rPr>
            </w:pPr>
          </w:p>
        </w:tc>
        <w:tc>
          <w:tcPr>
            <w:tcW w:w="1520" w:type="dxa"/>
            <w:vAlign w:val="bottom"/>
            <w:shd w:val="clear" w:color="auto" w:fill="EBEBEB"/>
          </w:tcPr>
          <w:p>
            <w:pPr>
              <w:jc w:val="right"/>
              <w:spacing w:after="0"/>
              <w:rPr>
                <w:sz w:val="20"/>
                <w:szCs w:val="20"/>
                <w:color w:val="auto"/>
              </w:rPr>
            </w:pPr>
            <w:r>
              <w:rPr>
                <w:rFonts w:ascii="Arial" w:cs="Arial" w:eastAsia="Arial" w:hAnsi="Arial"/>
                <w:sz w:val="14"/>
                <w:szCs w:val="14"/>
                <w:color w:val="auto"/>
              </w:rPr>
              <w:t>1/19/2023</w:t>
            </w:r>
          </w:p>
        </w:tc>
        <w:tc>
          <w:tcPr>
            <w:tcW w:w="1160" w:type="dxa"/>
            <w:vAlign w:val="bottom"/>
            <w:shd w:val="clear" w:color="auto" w:fill="EBEBEB"/>
          </w:tcPr>
          <w:p>
            <w:pPr>
              <w:jc w:val="right"/>
              <w:ind w:right="26"/>
              <w:spacing w:after="0"/>
              <w:rPr>
                <w:sz w:val="20"/>
                <w:szCs w:val="20"/>
                <w:color w:val="auto"/>
              </w:rPr>
            </w:pPr>
            <w:r>
              <w:rPr>
                <w:rFonts w:ascii="Arial" w:cs="Arial" w:eastAsia="Arial" w:hAnsi="Arial"/>
                <w:sz w:val="14"/>
                <w:szCs w:val="14"/>
                <w:color w:val="auto"/>
              </w:rPr>
              <w:t>61,111</w:t>
            </w:r>
          </w:p>
        </w:tc>
        <w:tc>
          <w:tcPr>
            <w:tcW w:w="1320" w:type="dxa"/>
            <w:vAlign w:val="bottom"/>
            <w:shd w:val="clear" w:color="auto" w:fill="EBEBEB"/>
          </w:tcPr>
          <w:p>
            <w:pPr>
              <w:jc w:val="right"/>
              <w:ind w:right="7"/>
              <w:spacing w:after="0"/>
              <w:rPr>
                <w:sz w:val="20"/>
                <w:szCs w:val="20"/>
                <w:color w:val="auto"/>
              </w:rPr>
            </w:pPr>
            <w:r>
              <w:rPr>
                <w:rFonts w:ascii="Arial" w:cs="Arial" w:eastAsia="Arial" w:hAnsi="Arial"/>
                <w:sz w:val="14"/>
                <w:szCs w:val="14"/>
                <w:color w:val="auto"/>
              </w:rPr>
              <w:t>138,889</w:t>
            </w:r>
            <w:r>
              <w:rPr>
                <w:rFonts w:ascii="Arial" w:cs="Arial" w:eastAsia="Arial" w:hAnsi="Arial"/>
                <w:sz w:val="23"/>
                <w:szCs w:val="23"/>
                <w:color w:val="auto"/>
                <w:vertAlign w:val="superscript"/>
              </w:rPr>
              <w:t>(3)</w:t>
            </w:r>
          </w:p>
        </w:tc>
        <w:tc>
          <w:tcPr>
            <w:tcW w:w="900" w:type="dxa"/>
            <w:vAlign w:val="bottom"/>
            <w:shd w:val="clear" w:color="auto" w:fill="EBEBEB"/>
          </w:tcPr>
          <w:p>
            <w:pPr>
              <w:jc w:val="right"/>
              <w:ind w:right="26"/>
              <w:spacing w:after="0"/>
              <w:rPr>
                <w:sz w:val="20"/>
                <w:szCs w:val="20"/>
                <w:color w:val="auto"/>
              </w:rPr>
            </w:pPr>
            <w:r>
              <w:rPr>
                <w:rFonts w:ascii="Arial" w:cs="Arial" w:eastAsia="Arial" w:hAnsi="Arial"/>
                <w:sz w:val="14"/>
                <w:szCs w:val="14"/>
                <w:color w:val="auto"/>
              </w:rPr>
              <w:t>3.37</w:t>
            </w:r>
          </w:p>
        </w:tc>
        <w:tc>
          <w:tcPr>
            <w:tcW w:w="1160" w:type="dxa"/>
            <w:vAlign w:val="bottom"/>
            <w:shd w:val="clear" w:color="auto" w:fill="EBEBEB"/>
          </w:tcPr>
          <w:p>
            <w:pPr>
              <w:jc w:val="right"/>
              <w:ind w:right="167"/>
              <w:spacing w:after="0"/>
              <w:rPr>
                <w:sz w:val="20"/>
                <w:szCs w:val="20"/>
                <w:color w:val="auto"/>
              </w:rPr>
            </w:pPr>
            <w:r>
              <w:rPr>
                <w:rFonts w:ascii="Arial" w:cs="Arial" w:eastAsia="Arial" w:hAnsi="Arial"/>
                <w:sz w:val="14"/>
                <w:szCs w:val="14"/>
                <w:color w:val="auto"/>
              </w:rPr>
              <w:t>1/18/2033</w:t>
            </w:r>
          </w:p>
        </w:tc>
        <w:tc>
          <w:tcPr>
            <w:tcW w:w="1160" w:type="dxa"/>
            <w:vAlign w:val="bottom"/>
            <w:shd w:val="clear" w:color="auto" w:fill="EBEBEB"/>
          </w:tcPr>
          <w:p>
            <w:pPr>
              <w:jc w:val="right"/>
              <w:ind w:right="26"/>
              <w:spacing w:after="0"/>
              <w:rPr>
                <w:sz w:val="20"/>
                <w:szCs w:val="20"/>
                <w:color w:val="auto"/>
              </w:rPr>
            </w:pPr>
            <w:r>
              <w:rPr>
                <w:rFonts w:ascii="Arial" w:cs="Arial" w:eastAsia="Arial" w:hAnsi="Arial"/>
                <w:sz w:val="14"/>
                <w:szCs w:val="14"/>
                <w:color w:val="auto"/>
              </w:rPr>
              <w:t>—</w:t>
            </w:r>
          </w:p>
        </w:tc>
        <w:tc>
          <w:tcPr>
            <w:tcW w:w="740" w:type="dxa"/>
            <w:vAlign w:val="bottom"/>
            <w:shd w:val="clear" w:color="auto" w:fill="EBEBEB"/>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-247650</wp:posOffset>
            </wp:positionV>
            <wp:extent cx="596646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-445135</wp:posOffset>
            </wp:positionV>
            <wp:extent cx="596646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-642620</wp:posOffset>
            </wp:positionV>
            <wp:extent cx="596646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966460"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-839470</wp:posOffset>
            </wp:positionV>
            <wp:extent cx="596646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-1139190</wp:posOffset>
            </wp:positionV>
            <wp:extent cx="596646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-1336675</wp:posOffset>
            </wp:positionV>
            <wp:extent cx="596646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-1533525</wp:posOffset>
            </wp:positionV>
            <wp:extent cx="596646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-1731010</wp:posOffset>
            </wp:positionV>
            <wp:extent cx="596646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966460"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-1927860</wp:posOffset>
            </wp:positionV>
            <wp:extent cx="596646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-2125345</wp:posOffset>
            </wp:positionV>
            <wp:extent cx="596646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-2322195</wp:posOffset>
            </wp:positionV>
            <wp:extent cx="596646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-2519680</wp:posOffset>
            </wp:positionV>
            <wp:extent cx="596646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1924050</wp:posOffset>
            </wp:positionH>
            <wp:positionV relativeFrom="paragraph">
              <wp:posOffset>-3514090</wp:posOffset>
            </wp:positionV>
            <wp:extent cx="40462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04622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-2699385</wp:posOffset>
            </wp:positionV>
            <wp:extent cx="596646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33" w:lineRule="exact"/>
        <w:rPr>
          <w:sz w:val="20"/>
          <w:szCs w:val="20"/>
          <w:color w:val="auto"/>
        </w:rPr>
      </w:pPr>
    </w:p>
    <w:p>
      <w:pPr>
        <w:ind w:left="320" w:right="80" w:hanging="224"/>
        <w:spacing w:after="0" w:line="285" w:lineRule="auto"/>
        <w:tabs>
          <w:tab w:leader="none" w:pos="320" w:val="left"/>
        </w:tabs>
        <w:numPr>
          <w:ilvl w:val="0"/>
          <w:numId w:val="26"/>
        </w:numPr>
        <w:rPr>
          <w:rFonts w:ascii="Arial" w:cs="Arial" w:eastAsia="Arial" w:hAnsi="Arial"/>
          <w:sz w:val="14"/>
          <w:szCs w:val="14"/>
          <w:color w:val="255993"/>
        </w:rPr>
      </w:pPr>
      <w:r>
        <w:rPr>
          <w:rFonts w:ascii="Arial" w:cs="Arial" w:eastAsia="Arial" w:hAnsi="Arial"/>
          <w:sz w:val="14"/>
          <w:szCs w:val="14"/>
          <w:color w:val="255993"/>
        </w:rPr>
        <w:t>Stock option vests over four years, with 1/4 vesting on each anniversary of the vesting commencement date, subject to continued service with us through the applicable vesting date.</w:t>
      </w:r>
    </w:p>
    <w:p>
      <w:pPr>
        <w:spacing w:after="0" w:line="22" w:lineRule="exact"/>
        <w:rPr>
          <w:rFonts w:ascii="Arial" w:cs="Arial" w:eastAsia="Arial" w:hAnsi="Arial"/>
          <w:sz w:val="14"/>
          <w:szCs w:val="14"/>
          <w:color w:val="255993"/>
        </w:rPr>
      </w:pPr>
    </w:p>
    <w:p>
      <w:pPr>
        <w:ind w:left="320" w:right="360" w:hanging="224"/>
        <w:spacing w:after="0" w:line="285" w:lineRule="auto"/>
        <w:tabs>
          <w:tab w:leader="none" w:pos="320" w:val="left"/>
        </w:tabs>
        <w:numPr>
          <w:ilvl w:val="0"/>
          <w:numId w:val="26"/>
        </w:numPr>
        <w:rPr>
          <w:rFonts w:ascii="Arial" w:cs="Arial" w:eastAsia="Arial" w:hAnsi="Arial"/>
          <w:sz w:val="14"/>
          <w:szCs w:val="14"/>
          <w:color w:val="255993"/>
        </w:rPr>
      </w:pPr>
      <w:r>
        <w:rPr>
          <w:rFonts w:ascii="Arial" w:cs="Arial" w:eastAsia="Arial" w:hAnsi="Arial"/>
          <w:sz w:val="14"/>
          <w:szCs w:val="14"/>
          <w:color w:val="255993"/>
        </w:rPr>
        <w:t>Stock option vests over four years, with 1/48 vesting on the monthly anniversary of the vesting commencement date, subject to continued service with us through the applicable vesting date.</w:t>
      </w:r>
    </w:p>
    <w:p>
      <w:pPr>
        <w:spacing w:after="0" w:line="36" w:lineRule="exact"/>
        <w:rPr>
          <w:rFonts w:ascii="Arial" w:cs="Arial" w:eastAsia="Arial" w:hAnsi="Arial"/>
          <w:sz w:val="14"/>
          <w:szCs w:val="14"/>
          <w:color w:val="255993"/>
        </w:rPr>
      </w:pPr>
    </w:p>
    <w:p>
      <w:pPr>
        <w:ind w:left="320" w:right="280" w:hanging="224"/>
        <w:spacing w:after="0" w:line="285" w:lineRule="auto"/>
        <w:tabs>
          <w:tab w:leader="none" w:pos="320" w:val="left"/>
        </w:tabs>
        <w:numPr>
          <w:ilvl w:val="0"/>
          <w:numId w:val="26"/>
        </w:numPr>
        <w:rPr>
          <w:rFonts w:ascii="Arial" w:cs="Arial" w:eastAsia="Arial" w:hAnsi="Arial"/>
          <w:sz w:val="14"/>
          <w:szCs w:val="14"/>
          <w:color w:val="255993"/>
        </w:rPr>
      </w:pPr>
      <w:r>
        <w:rPr>
          <w:rFonts w:ascii="Arial" w:cs="Arial" w:eastAsia="Arial" w:hAnsi="Arial"/>
          <w:sz w:val="14"/>
          <w:szCs w:val="14"/>
          <w:color w:val="255993"/>
        </w:rPr>
        <w:t>Stock option vests over three years, with 1/36 vesting on the monthly anniversary of the vesting commencement date, subject to continued service with us through the applicable vesting date.</w:t>
      </w:r>
    </w:p>
    <w:p>
      <w:pPr>
        <w:spacing w:after="0" w:line="36" w:lineRule="exact"/>
        <w:rPr>
          <w:rFonts w:ascii="Arial" w:cs="Arial" w:eastAsia="Arial" w:hAnsi="Arial"/>
          <w:sz w:val="14"/>
          <w:szCs w:val="14"/>
          <w:color w:val="255993"/>
        </w:rPr>
      </w:pPr>
    </w:p>
    <w:p>
      <w:pPr>
        <w:ind w:left="320" w:right="80" w:hanging="224"/>
        <w:spacing w:after="0" w:line="256" w:lineRule="auto"/>
        <w:tabs>
          <w:tab w:leader="none" w:pos="320" w:val="left"/>
        </w:tabs>
        <w:numPr>
          <w:ilvl w:val="0"/>
          <w:numId w:val="26"/>
        </w:numPr>
        <w:rPr>
          <w:rFonts w:ascii="Arial" w:cs="Arial" w:eastAsia="Arial" w:hAnsi="Arial"/>
          <w:sz w:val="14"/>
          <w:szCs w:val="14"/>
          <w:color w:val="255993"/>
        </w:rPr>
      </w:pPr>
      <w:r>
        <w:rPr>
          <w:rFonts w:ascii="Arial" w:cs="Arial" w:eastAsia="Arial" w:hAnsi="Arial"/>
          <w:sz w:val="14"/>
          <w:szCs w:val="14"/>
          <w:color w:val="255993"/>
        </w:rPr>
        <w:t>Stock option vests over four years, with 1/3 vesting on the first anniversary of the vesting commencement date, and the remaining shares vesting monthly over the next 36 months as follows: 1/3 of the shares shall vest in equal monthly amounts over the next 12 months, 1/6 of the shares shall vest in equal monthly amounts over the subsequent 12 months, and the remaining 1/6 of the shares shall vest in equal monthly amounts over the final 12 months, in each case subject to continued service with us through the applicable vesting date.</w:t>
      </w:r>
    </w:p>
    <w:p>
      <w:pPr>
        <w:spacing w:after="0" w:line="42" w:lineRule="exact"/>
        <w:rPr>
          <w:rFonts w:ascii="Arial" w:cs="Arial" w:eastAsia="Arial" w:hAnsi="Arial"/>
          <w:sz w:val="14"/>
          <w:szCs w:val="14"/>
          <w:color w:val="255993"/>
        </w:rPr>
      </w:pPr>
    </w:p>
    <w:p>
      <w:pPr>
        <w:ind w:left="320" w:right="40" w:hanging="224"/>
        <w:spacing w:after="0" w:line="207" w:lineRule="auto"/>
        <w:tabs>
          <w:tab w:leader="none" w:pos="320" w:val="left"/>
        </w:tabs>
        <w:numPr>
          <w:ilvl w:val="0"/>
          <w:numId w:val="26"/>
        </w:numPr>
        <w:rPr>
          <w:rFonts w:ascii="Arial" w:cs="Arial" w:eastAsia="Arial" w:hAnsi="Arial"/>
          <w:sz w:val="14"/>
          <w:szCs w:val="14"/>
          <w:color w:val="255993"/>
        </w:rPr>
      </w:pPr>
      <w:r>
        <w:rPr>
          <w:rFonts w:ascii="Arial" w:cs="Arial" w:eastAsia="Arial" w:hAnsi="Arial"/>
          <w:sz w:val="14"/>
          <w:szCs w:val="14"/>
          <w:color w:val="255993"/>
        </w:rPr>
        <w:t>The performance RSU awards are earned and become eligible to vest in three equal tranches in accordance with the following schedule: One third (1/3</w:t>
      </w:r>
      <w:r>
        <w:rPr>
          <w:rFonts w:ascii="Arial" w:cs="Arial" w:eastAsia="Arial" w:hAnsi="Arial"/>
          <w:sz w:val="23"/>
          <w:szCs w:val="23"/>
          <w:color w:val="255993"/>
          <w:vertAlign w:val="superscript"/>
        </w:rPr>
        <w:t>rd</w:t>
      </w:r>
      <w:r>
        <w:rPr>
          <w:rFonts w:ascii="Arial" w:cs="Arial" w:eastAsia="Arial" w:hAnsi="Arial"/>
          <w:sz w:val="14"/>
          <w:szCs w:val="14"/>
          <w:color w:val="255993"/>
        </w:rPr>
        <w:t>) of the number of shares subject to the RSU award vested at the completion of the public readout of topline results of the Company’s ACT-AD Phase 2 clinical trial in June 2022, one third (1/3</w:t>
      </w:r>
      <w:r>
        <w:rPr>
          <w:rFonts w:ascii="Arial" w:cs="Arial" w:eastAsia="Arial" w:hAnsi="Arial"/>
          <w:sz w:val="23"/>
          <w:szCs w:val="23"/>
          <w:color w:val="255993"/>
          <w:vertAlign w:val="superscript"/>
        </w:rPr>
        <w:t>rd</w:t>
      </w:r>
      <w:r>
        <w:rPr>
          <w:rFonts w:ascii="Arial" w:cs="Arial" w:eastAsia="Arial" w:hAnsi="Arial"/>
          <w:sz w:val="14"/>
          <w:szCs w:val="14"/>
          <w:color w:val="255993"/>
        </w:rPr>
        <w:t>) of the number of shares subject to the RSU award vested in January 2024 when our compensation committee determined that enrollment of the Company’s LIFT-AD Phase 2/3 clinical trial had been completed, and the remaining one third (1/3</w:t>
      </w:r>
      <w:r>
        <w:rPr>
          <w:rFonts w:ascii="Arial" w:cs="Arial" w:eastAsia="Arial" w:hAnsi="Arial"/>
          <w:sz w:val="23"/>
          <w:szCs w:val="23"/>
          <w:color w:val="255993"/>
          <w:vertAlign w:val="superscript"/>
        </w:rPr>
        <w:t>rd</w:t>
      </w:r>
      <w:r>
        <w:rPr>
          <w:rFonts w:ascii="Arial" w:cs="Arial" w:eastAsia="Arial" w:hAnsi="Arial"/>
          <w:sz w:val="14"/>
          <w:szCs w:val="14"/>
          <w:color w:val="255993"/>
        </w:rPr>
        <w:t>) of the number of shares subject to the RSU award shall vest at the completion of the public readout of topline results of the Company’s LIFT-AD Phase 2/3 clinical trial (the “LIFT-AD Readout”), in each case subject to continued service with us through the applicable vesting date. In addition, the vesting of the performance RSU awards may be accelerated in the event that, on or within 12 months following a Change in Control (within the meaning of the 2020 Equity Incentive Plan), the award recipient is terminated by the Company without “cause” (as defined in the recipient’s award agreement). The preceding vesting schedule was adopted by our compensation committee in December 2022 due to changed circumstances relating to the performance goals under the original vesting schedule. Prior to its amendment, the original vesting schedule of the RSU awards was as follows: One third (1/3</w:t>
      </w:r>
      <w:r>
        <w:rPr>
          <w:rFonts w:ascii="Arial" w:cs="Arial" w:eastAsia="Arial" w:hAnsi="Arial"/>
          <w:sz w:val="23"/>
          <w:szCs w:val="23"/>
          <w:color w:val="255993"/>
          <w:vertAlign w:val="superscript"/>
        </w:rPr>
        <w:t>rd</w:t>
      </w:r>
      <w:r>
        <w:rPr>
          <w:rFonts w:ascii="Arial" w:cs="Arial" w:eastAsia="Arial" w:hAnsi="Arial"/>
          <w:sz w:val="14"/>
          <w:szCs w:val="14"/>
          <w:color w:val="255993"/>
        </w:rPr>
        <w:t>) of the number of shares subject to the RSU award were to vest at the completion of the public readout of topline results of the Company’s ACT-AD Phase 2 clinical trial, one third (1/3</w:t>
      </w:r>
      <w:r>
        <w:rPr>
          <w:rFonts w:ascii="Arial" w:cs="Arial" w:eastAsia="Arial" w:hAnsi="Arial"/>
          <w:sz w:val="23"/>
          <w:szCs w:val="23"/>
          <w:color w:val="255993"/>
          <w:vertAlign w:val="superscript"/>
        </w:rPr>
        <w:t>rd</w:t>
      </w:r>
      <w:r>
        <w:rPr>
          <w:rFonts w:ascii="Arial" w:cs="Arial" w:eastAsia="Arial" w:hAnsi="Arial"/>
          <w:sz w:val="14"/>
          <w:szCs w:val="14"/>
          <w:color w:val="255993"/>
        </w:rPr>
        <w:t>) of the number of shares subject to the RSU award were to vest at the completion of the LIFT-AD Readout, and the remaining one third (1/3</w:t>
      </w:r>
      <w:r>
        <w:rPr>
          <w:rFonts w:ascii="Arial" w:cs="Arial" w:eastAsia="Arial" w:hAnsi="Arial"/>
          <w:sz w:val="23"/>
          <w:szCs w:val="23"/>
          <w:color w:val="255993"/>
          <w:vertAlign w:val="superscript"/>
        </w:rPr>
        <w:t>rd</w:t>
      </w:r>
      <w:r>
        <w:rPr>
          <w:rFonts w:ascii="Arial" w:cs="Arial" w:eastAsia="Arial" w:hAnsi="Arial"/>
          <w:sz w:val="14"/>
          <w:szCs w:val="14"/>
          <w:color w:val="255993"/>
        </w:rPr>
        <w:t>) of the number of shares subject to the RSU award were to vest six (6) months after the LIFT-AD Readout in each case, subject to continued service with us through the applicable vesting date.</w:t>
      </w:r>
    </w:p>
    <w:p>
      <w:pPr>
        <w:spacing w:after="0" w:line="68" w:lineRule="exact"/>
        <w:rPr>
          <w:rFonts w:ascii="Arial" w:cs="Arial" w:eastAsia="Arial" w:hAnsi="Arial"/>
          <w:sz w:val="14"/>
          <w:szCs w:val="14"/>
          <w:color w:val="255993"/>
        </w:rPr>
      </w:pPr>
    </w:p>
    <w:p>
      <w:pPr>
        <w:ind w:left="320" w:right="100" w:hanging="224"/>
        <w:spacing w:after="0" w:line="248" w:lineRule="auto"/>
        <w:tabs>
          <w:tab w:leader="none" w:pos="320" w:val="left"/>
        </w:tabs>
        <w:numPr>
          <w:ilvl w:val="0"/>
          <w:numId w:val="26"/>
        </w:numPr>
        <w:rPr>
          <w:rFonts w:ascii="Arial" w:cs="Arial" w:eastAsia="Arial" w:hAnsi="Arial"/>
          <w:sz w:val="14"/>
          <w:szCs w:val="14"/>
          <w:color w:val="255993"/>
        </w:rPr>
      </w:pPr>
      <w:r>
        <w:rPr>
          <w:rFonts w:ascii="Arial" w:cs="Arial" w:eastAsia="Arial" w:hAnsi="Arial"/>
          <w:sz w:val="14"/>
          <w:szCs w:val="14"/>
          <w:color w:val="255993"/>
        </w:rPr>
        <w:t>The performance RSU award is earned and becomes eligible to vest in two equal tranches in accordance with the following schedule: Fifty percent (50%) of the number of shares subject to the RSU award vested in January 2024 when our compensation committee determined that enrollment of the Company’s LIFT-AD Phase 2/3 clinical trial had been completed, and the remaining fifty percent (50%) of the number of shares subject to the RSU award shall vest at the completion of the LIFT-AD Readout, subject to continued service with us through the applicable vesting date. In addition, the vesting of the performance RSU awards may be accelerated in the event that, on or within 12 months following a Change in Control (within the meaning of the 2020 Equity Incentive Plan), the award recipient is terminated by the Company without “cause” (as defined in the recipient’s award agreement).</w:t>
      </w:r>
    </w:p>
    <w:p>
      <w:pPr>
        <w:spacing w:after="0" w:line="63" w:lineRule="exact"/>
        <w:rPr>
          <w:rFonts w:ascii="Arial" w:cs="Arial" w:eastAsia="Arial" w:hAnsi="Arial"/>
          <w:sz w:val="14"/>
          <w:szCs w:val="14"/>
          <w:color w:val="255993"/>
        </w:rPr>
      </w:pPr>
    </w:p>
    <w:p>
      <w:pPr>
        <w:ind w:left="320" w:hanging="224"/>
        <w:spacing w:after="0"/>
        <w:tabs>
          <w:tab w:leader="none" w:pos="320" w:val="left"/>
        </w:tabs>
        <w:numPr>
          <w:ilvl w:val="0"/>
          <w:numId w:val="26"/>
        </w:numPr>
        <w:rPr>
          <w:rFonts w:ascii="Arial" w:cs="Arial" w:eastAsia="Arial" w:hAnsi="Arial"/>
          <w:sz w:val="14"/>
          <w:szCs w:val="14"/>
          <w:color w:val="255993"/>
        </w:rPr>
      </w:pPr>
      <w:r>
        <w:rPr>
          <w:rFonts w:ascii="Arial" w:cs="Arial" w:eastAsia="Arial" w:hAnsi="Arial"/>
          <w:sz w:val="14"/>
          <w:szCs w:val="14"/>
          <w:color w:val="255993"/>
        </w:rPr>
        <w:t>Dr. Moebius resigned as our chief medical officer in January 2024 but continues to provide advisory services to the Company.</w:t>
      </w:r>
    </w:p>
    <w:p>
      <w:pPr>
        <w:spacing w:after="0" w:line="217" w:lineRule="exact"/>
        <w:rPr>
          <w:sz w:val="20"/>
          <w:szCs w:val="20"/>
          <w:color w:val="auto"/>
        </w:rPr>
      </w:pPr>
    </w:p>
    <w:p>
      <w:pPr>
        <w:spacing w:after="0"/>
        <w:tabs>
          <w:tab w:leader="none" w:pos="4600" w:val="left"/>
          <w:tab w:leader="none" w:pos="7960" w:val="left"/>
        </w:tabs>
        <w:rPr>
          <w:sz w:val="20"/>
          <w:szCs w:val="20"/>
          <w:color w:val="auto"/>
        </w:rPr>
      </w:pPr>
      <w:r>
        <w:rPr>
          <w:rFonts w:ascii="Arial" w:cs="Arial" w:eastAsia="Arial" w:hAnsi="Arial"/>
          <w:sz w:val="14"/>
          <w:szCs w:val="14"/>
          <w:color w:val="255993"/>
        </w:rPr>
        <w:t>Athira Pharma, Inc.</w:t>
      </w:r>
      <w:r>
        <w:rPr>
          <w:sz w:val="20"/>
          <w:szCs w:val="20"/>
          <w:color w:val="auto"/>
        </w:rPr>
        <w:tab/>
      </w:r>
      <w:r>
        <w:rPr>
          <w:rFonts w:ascii="Arial" w:cs="Arial" w:eastAsia="Arial" w:hAnsi="Arial"/>
          <w:sz w:val="14"/>
          <w:szCs w:val="14"/>
          <w:b w:val="1"/>
          <w:bCs w:val="1"/>
          <w:color w:val="255993"/>
        </w:rPr>
        <w:t>36</w:t>
      </w:r>
      <w:r>
        <w:rPr>
          <w:sz w:val="20"/>
          <w:szCs w:val="20"/>
          <w:color w:val="auto"/>
        </w:rPr>
        <w:tab/>
      </w:r>
      <w:r>
        <w:rPr>
          <w:rFonts w:ascii="Arial" w:cs="Arial" w:eastAsia="Arial" w:hAnsi="Arial"/>
          <w:sz w:val="14"/>
          <w:szCs w:val="14"/>
          <w:color w:val="255993"/>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118110</wp:posOffset>
            </wp:positionV>
            <wp:extent cx="699516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263" w:right="12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jc w:val="right"/>
        <w:spacing w:after="0"/>
        <w:rPr>
          <w:sz w:val="20"/>
          <w:szCs w:val="20"/>
          <w:color w:val="auto"/>
        </w:rPr>
      </w:pPr>
      <w:r>
        <w:rPr>
          <w:rFonts w:ascii="Arial" w:cs="Arial" w:eastAsia="Arial" w:hAnsi="Arial"/>
          <w:sz w:val="14"/>
          <w:szCs w:val="14"/>
          <w:color w:val="255993"/>
        </w:rPr>
        <w:t>Executive Compensation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EXECUTIVE EMPLOYMENT ARRANGEMENTS</w:t>
      </w:r>
    </w:p>
    <w:p>
      <w:pPr>
        <w:spacing w:after="0" w:line="108" w:lineRule="exact"/>
        <w:rPr>
          <w:sz w:val="20"/>
          <w:szCs w:val="20"/>
          <w:color w:val="auto"/>
        </w:rPr>
      </w:pPr>
    </w:p>
    <w:p>
      <w:pPr>
        <w:ind w:right="580"/>
        <w:spacing w:after="0" w:line="286" w:lineRule="auto"/>
        <w:rPr>
          <w:sz w:val="20"/>
          <w:szCs w:val="20"/>
          <w:color w:val="auto"/>
        </w:rPr>
      </w:pPr>
      <w:r>
        <w:rPr>
          <w:rFonts w:ascii="Arial" w:cs="Arial" w:eastAsia="Arial" w:hAnsi="Arial"/>
          <w:sz w:val="16"/>
          <w:szCs w:val="16"/>
          <w:color w:val="auto"/>
        </w:rPr>
        <w:t>Each of our named executive officers has executed our standard form of confidential information, invention assignment and arbitration agreement.</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DR. MARK LITTON</w:t>
      </w:r>
    </w:p>
    <w:p>
      <w:pPr>
        <w:spacing w:after="0" w:line="113"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In September 2020, we entered into a confirmatory employment letter with Dr. Litton, our then chief operating officer and current president and chief executive officer. The confirmatory employment letter has no specific term and provides that Dr. Litton is an at-will employee and superseded all prior employment agreements between Dr. Litton and us.</w:t>
      </w:r>
    </w:p>
    <w:p>
      <w:pPr>
        <w:spacing w:after="0" w:line="104"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In January 2023, the board of directors, upon recommendation of our compensation committee, approved an increase to Dr. Litton’s annual base salary from $543,400 to $585,000, effective as of January 1, 2023, as well as an increase to Dr. Litton’s target annual bonus amount under the Company’s bonus plan from 50% to 55% of Dr. Litton’s annual base salary.</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In February 2024, the board of directors, upon recommendation of our compensation committee, approved an increase to Dr.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Litton’s annual base salary from $585,000 to $625,000, effective as of January 1, 2024.</w:t>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ANDREW GENGOS</w:t>
      </w:r>
    </w:p>
    <w:p>
      <w:pPr>
        <w:spacing w:after="0" w:line="113" w:lineRule="exact"/>
        <w:rPr>
          <w:sz w:val="20"/>
          <w:szCs w:val="20"/>
          <w:color w:val="auto"/>
        </w:rPr>
      </w:pPr>
    </w:p>
    <w:p>
      <w:pPr>
        <w:ind w:right="260"/>
        <w:spacing w:after="0" w:line="266" w:lineRule="auto"/>
        <w:rPr>
          <w:sz w:val="20"/>
          <w:szCs w:val="20"/>
          <w:color w:val="auto"/>
        </w:rPr>
      </w:pPr>
      <w:r>
        <w:rPr>
          <w:rFonts w:ascii="Arial" w:cs="Arial" w:eastAsia="Arial" w:hAnsi="Arial"/>
          <w:sz w:val="16"/>
          <w:szCs w:val="16"/>
          <w:color w:val="auto"/>
        </w:rPr>
        <w:t>In May 2023, we entered into an offer letter with Mr. Gengos, our chief financial officer and chief business officer. The offer letter has no specific term and provides that Mr. Gengos is an at-will employee. The offer letter provides for an annual base salary of $465,000 and annual target cash incentive payment up to 40% of his annual base salary.</w:t>
      </w:r>
    </w:p>
    <w:p>
      <w:pPr>
        <w:spacing w:after="0" w:line="90" w:lineRule="exact"/>
        <w:rPr>
          <w:sz w:val="20"/>
          <w:szCs w:val="20"/>
          <w:color w:val="auto"/>
        </w:rPr>
      </w:pPr>
    </w:p>
    <w:p>
      <w:pPr>
        <w:ind w:right="700"/>
        <w:spacing w:after="0" w:line="286" w:lineRule="auto"/>
        <w:rPr>
          <w:sz w:val="20"/>
          <w:szCs w:val="20"/>
          <w:color w:val="auto"/>
        </w:rPr>
      </w:pPr>
      <w:r>
        <w:rPr>
          <w:rFonts w:ascii="Arial" w:cs="Arial" w:eastAsia="Arial" w:hAnsi="Arial"/>
          <w:sz w:val="16"/>
          <w:szCs w:val="16"/>
          <w:color w:val="auto"/>
        </w:rPr>
        <w:t>In February 2024, the board of directors, upon recommendation of our compensation committee, approved an increase to Mr. Gengos’s annual base salary from $465,000 to $485,000, effective as of January 1, 2024.</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DR. HANS MOEBIUS</w:t>
      </w:r>
    </w:p>
    <w:p>
      <w:pPr>
        <w:spacing w:after="0" w:line="113"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Dr. Moebius, our former chief medical officer, resigned as our chief medical officer in January 2024 but continues to provide advisory services to the Company. Prior to his resignation, he was subject to an employment letter agreement with us, which had been entered into in September 2020. The employment agreement had no specific term and provided that Dr. Moebius was an at-will employee, as defined under applicable law, and superseded any prior employment or other service agreements between Dr. Moebius and us.</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In January 2023, our compensation committee approved an increase to Dr. Moebius’s annual base salary from $430,000 to</w:t>
      </w:r>
    </w:p>
    <w:p>
      <w:pPr>
        <w:spacing w:after="0" w:line="21" w:lineRule="exact"/>
        <w:rPr>
          <w:sz w:val="20"/>
          <w:szCs w:val="20"/>
          <w:color w:val="auto"/>
        </w:rPr>
      </w:pPr>
    </w:p>
    <w:p>
      <w:pPr>
        <w:ind w:right="120"/>
        <w:spacing w:after="0" w:line="246" w:lineRule="auto"/>
        <w:rPr>
          <w:sz w:val="20"/>
          <w:szCs w:val="20"/>
          <w:color w:val="auto"/>
        </w:rPr>
      </w:pPr>
      <w:r>
        <w:rPr>
          <w:rFonts w:ascii="Arial" w:cs="Arial" w:eastAsia="Arial" w:hAnsi="Arial"/>
          <w:sz w:val="16"/>
          <w:szCs w:val="16"/>
          <w:color w:val="auto"/>
        </w:rPr>
        <w:t>$465,000, effective as of January 1, 2023. In April 2023, in order to defray the costs associated with Dr. Moebius’s mandatory and elective benefits contributions, our compensation committee approved an increase to Dr. Moebius’s annual bonus stipend to</w:t>
      </w:r>
    </w:p>
    <w:p>
      <w:pPr>
        <w:spacing w:after="0" w:line="1"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color w:val="auto"/>
        </w:rPr>
        <w:t>9.061% from 8.465% of his annual cash bonus and an increase to Dr. Moebius’s monthly mandatory and elective benefit-related stipend to $8,986, or $5,475 plus 9.061% of his annual base salary, from $5,200. For 2022 and 2023, Dr. Moebius was eligible for an annual target cash incentive payment equal to 40% of his base salary.</w:t>
      </w:r>
    </w:p>
    <w:p>
      <w:pPr>
        <w:spacing w:after="0" w:line="111" w:lineRule="exact"/>
        <w:rPr>
          <w:sz w:val="20"/>
          <w:szCs w:val="20"/>
          <w:color w:val="auto"/>
        </w:rPr>
      </w:pPr>
    </w:p>
    <w:p>
      <w:pPr>
        <w:ind w:right="520"/>
        <w:spacing w:after="0" w:line="259" w:lineRule="auto"/>
        <w:rPr>
          <w:sz w:val="20"/>
          <w:szCs w:val="20"/>
          <w:color w:val="auto"/>
        </w:rPr>
      </w:pPr>
      <w:r>
        <w:rPr>
          <w:rFonts w:ascii="Arial" w:cs="Arial" w:eastAsia="Arial" w:hAnsi="Arial"/>
          <w:sz w:val="16"/>
          <w:szCs w:val="16"/>
          <w:color w:val="auto"/>
        </w:rPr>
        <w:t>In connection with Dr. Moebius’s resignation as chief medical officer in January 2024, he entered into an executive transition agreement pursuant to which he agreed to provide advisory services through December 31, 2024. For a description of this agreement see the section of this proxy statement titled “Executive Compensation – Change in Control and Severance Agreements and Arrangements.”</w:t>
      </w: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PERFORMANCE RSU AWARDS</w:t>
      </w:r>
    </w:p>
    <w:p>
      <w:pPr>
        <w:spacing w:after="0" w:line="113"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Our compensation committee approved grants of performance-based RSU awards under the Company’s 2020 Equity Incentive Plan to Dr. Litton and Dr. Moebius in November 2021 and to Mr. Gengos in May 2023 to provide additional performance incentives aligned with key strategic goals. The number of shares subject to the performance-based RSU awards is set forth in the table entitled “</w:t>
      </w:r>
      <w:r>
        <w:rPr>
          <w:rFonts w:ascii="Arial" w:cs="Arial" w:eastAsia="Arial" w:hAnsi="Arial"/>
          <w:sz w:val="16"/>
          <w:szCs w:val="16"/>
          <w:i w:val="1"/>
          <w:iCs w:val="1"/>
          <w:color w:val="auto"/>
        </w:rPr>
        <w:t>Outstanding Equity Awards at December 31, 2023</w:t>
      </w:r>
      <w:r>
        <w:rPr>
          <w:rFonts w:ascii="Arial" w:cs="Arial" w:eastAsia="Arial" w:hAnsi="Arial"/>
          <w:sz w:val="16"/>
          <w:szCs w:val="16"/>
          <w:color w:val="auto"/>
        </w:rPr>
        <w:t>.”</w:t>
      </w:r>
    </w:p>
    <w:p>
      <w:pPr>
        <w:spacing w:after="0" w:line="110" w:lineRule="exact"/>
        <w:rPr>
          <w:sz w:val="20"/>
          <w:szCs w:val="20"/>
          <w:color w:val="auto"/>
        </w:rPr>
      </w:pPr>
    </w:p>
    <w:p>
      <w:pPr>
        <w:jc w:val="both"/>
        <w:ind w:right="140"/>
        <w:spacing w:after="0" w:line="266" w:lineRule="auto"/>
        <w:rPr>
          <w:sz w:val="20"/>
          <w:szCs w:val="20"/>
          <w:color w:val="auto"/>
        </w:rPr>
      </w:pPr>
      <w:r>
        <w:rPr>
          <w:rFonts w:ascii="Arial" w:cs="Arial" w:eastAsia="Arial" w:hAnsi="Arial"/>
          <w:sz w:val="16"/>
          <w:szCs w:val="16"/>
          <w:color w:val="auto"/>
        </w:rPr>
        <w:t>In December 2022, our compensation committee revised the vesting schedule of the performance RSU awards held by Dr. Litton and Dr. Moebius due to changed circumstances relating to the performance goals under the original vesting schedule. At the time of such</w:t>
      </w:r>
    </w:p>
    <w:p>
      <w:pPr>
        <w:spacing w:after="0" w:line="176" w:lineRule="exact"/>
        <w:rPr>
          <w:sz w:val="20"/>
          <w:szCs w:val="20"/>
          <w:color w:val="auto"/>
        </w:rPr>
      </w:pPr>
    </w:p>
    <w:p>
      <w:pPr>
        <w:spacing w:after="0"/>
        <w:tabs>
          <w:tab w:leader="none" w:pos="4600" w:val="left"/>
          <w:tab w:leader="none" w:pos="7960" w:val="left"/>
        </w:tabs>
        <w:rPr>
          <w:sz w:val="20"/>
          <w:szCs w:val="20"/>
          <w:color w:val="auto"/>
        </w:rPr>
      </w:pPr>
      <w:r>
        <w:rPr>
          <w:rFonts w:ascii="Arial" w:cs="Arial" w:eastAsia="Arial" w:hAnsi="Arial"/>
          <w:sz w:val="14"/>
          <w:szCs w:val="14"/>
          <w:color w:val="255993"/>
        </w:rPr>
        <w:t>Athira Pharma, Inc.</w:t>
      </w:r>
      <w:r>
        <w:rPr>
          <w:sz w:val="20"/>
          <w:szCs w:val="20"/>
          <w:color w:val="auto"/>
        </w:rPr>
        <w:tab/>
      </w:r>
      <w:r>
        <w:rPr>
          <w:rFonts w:ascii="Arial" w:cs="Arial" w:eastAsia="Arial" w:hAnsi="Arial"/>
          <w:sz w:val="14"/>
          <w:szCs w:val="14"/>
          <w:b w:val="1"/>
          <w:bCs w:val="1"/>
          <w:color w:val="255993"/>
        </w:rPr>
        <w:t>37</w:t>
      </w:r>
      <w:r>
        <w:rPr>
          <w:sz w:val="20"/>
          <w:szCs w:val="20"/>
          <w:color w:val="auto"/>
        </w:rPr>
        <w:tab/>
      </w:r>
      <w:r>
        <w:rPr>
          <w:rFonts w:ascii="Arial" w:cs="Arial" w:eastAsia="Arial" w:hAnsi="Arial"/>
          <w:sz w:val="14"/>
          <w:szCs w:val="14"/>
          <w:color w:val="255993"/>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118110</wp:posOffset>
            </wp:positionV>
            <wp:extent cx="699516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263" w:right="12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255993"/>
        </w:rPr>
        <w:t>Executive Compensation</w:t>
      </w:r>
    </w:p>
    <w:p>
      <w:pPr>
        <w:spacing w:after="0" w:line="104"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amendment, one third (1/3rd) of the number of shares subject to the RSU awards had vested upon the completion of the public readout of topline results of the Company’s ACT-AD Phase 2 clinical trial in June 2022. The original vesting schedule provided that an additional one third (1/3rd) of the number of shares subject to the RSU awards would vest at the completion of the public readout of topline results of the Company’s LIFT-AD Phase 2/3 clinical trial (the “LIFT-AD Readout”), and the remaining one third (1/3rd) of the number of shares subject to the RSU awards would be scheduled to vest six (6) months after the LIFT-AD Readout, in each case subject to the recipient’s continued service with us through the applicable vesting date. The vesting schedule was amended with respect to the remaining two-thirds (2/3rds) of the shares subject to the RSU awards that remained unvested at the time of the amendment, to provide that one third (1/3rd) of the number of shares subject to the RSU awards would vest at the date our compensation committee determined that enrollment of the Company’s LIFT-AD Phase 2/3 clinical trial had been completed (which occurred in January 2024), and the remaining one third (1/3rd) of the number of shares subject to the RSU awards will vest at the completion of the LIFT-AD Readout, in each case subject to the recipient’s continued service with us through the applicable vesting date.</w:t>
      </w:r>
    </w:p>
    <w:p>
      <w:pPr>
        <w:spacing w:after="0" w:line="76"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The performance RSU award granted to Mr. Gengos in May 2023 vest in two equal tranches in accordance with the following schedule: Fifty percent (50%) of the number of shares subject to the RSU award vested in January 2024 when our compensation committee determined that enrollment of the Company’s LIFT-AD Phase 2/3 clinical trial had been completed, and the remaining fifty percent (50%) of the number of shares subject to the RSU award shall vest at the completion of the LIFT-AD Readout, in each case subject to continued service with us through the applicable vesting date.</w:t>
      </w:r>
    </w:p>
    <w:p>
      <w:pPr>
        <w:spacing w:after="0" w:line="112"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The performance RSU award agreements provide for 100% vesting acceleration in the event that, on or within 12 months following a Change in Control (within the meaning of the 2020 Equity Incentive Plan), the award recipient is terminated by the Company without “cause” (as defined in the recipient’s award agreement).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CHANGE IN CONTROL AND SEVERANCE AGREEMENTS AND ARRANGEMENTS</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Agreements</w:t>
      </w:r>
    </w:p>
    <w:p>
      <w:pPr>
        <w:spacing w:after="0" w:line="113"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In September 2020 we entered into a change in control and severance agreement with Dr. Moebius, in January 2022 we entered into an amended change in control and severance agreement with Dr. Litton, and in May 2023 we entered into a change in control and severance agreement with Mr. Gengos, which agreements provide for certain severance and change in control benefits as described below.</w:t>
      </w:r>
    </w:p>
    <w:p>
      <w:pPr>
        <w:spacing w:after="0" w:line="110" w:lineRule="exact"/>
        <w:rPr>
          <w:sz w:val="20"/>
          <w:szCs w:val="20"/>
          <w:color w:val="auto"/>
        </w:rPr>
      </w:pPr>
    </w:p>
    <w:p>
      <w:pPr>
        <w:ind w:right="180"/>
        <w:spacing w:after="0" w:line="254" w:lineRule="auto"/>
        <w:rPr>
          <w:sz w:val="20"/>
          <w:szCs w:val="20"/>
          <w:color w:val="auto"/>
        </w:rPr>
      </w:pPr>
      <w:r>
        <w:rPr>
          <w:rFonts w:ascii="Arial" w:cs="Arial" w:eastAsia="Arial" w:hAnsi="Arial"/>
          <w:sz w:val="16"/>
          <w:szCs w:val="16"/>
          <w:color w:val="auto"/>
        </w:rPr>
        <w:t>If the employment of a named executive officer with whom we have entered into a change in control and severance agreement is terminated outside the period beginning one month prior to the date of a change in control and ending 12 months following that change in control (the Change in Control Period) either (1) by the Company without “cause” (excluding by reason of death or disability) or (2) by the named executive officer for “good reason” (as such terms are defined in the named executive officer’s change in control and severance agreement), the named executive officer will receive the following benefits if such named executive officer timely signs and does not revoke a release of claims in our favor:</w:t>
      </w:r>
    </w:p>
    <w:p>
      <w:pPr>
        <w:spacing w:after="0" w:line="128" w:lineRule="exact"/>
        <w:rPr>
          <w:sz w:val="20"/>
          <w:szCs w:val="20"/>
          <w:color w:val="auto"/>
        </w:rPr>
      </w:pPr>
    </w:p>
    <w:p>
      <w:pPr>
        <w:ind w:left="140" w:right="40" w:hanging="134"/>
        <w:spacing w:after="0" w:line="259" w:lineRule="auto"/>
        <w:tabs>
          <w:tab w:leader="none" w:pos="140" w:val="left"/>
        </w:tabs>
        <w:numPr>
          <w:ilvl w:val="0"/>
          <w:numId w:val="27"/>
        </w:numPr>
        <w:rPr>
          <w:rFonts w:ascii="Arial" w:cs="Arial" w:eastAsia="Arial" w:hAnsi="Arial"/>
          <w:sz w:val="16"/>
          <w:szCs w:val="16"/>
          <w:color w:val="255993"/>
        </w:rPr>
      </w:pPr>
      <w:r>
        <w:rPr>
          <w:rFonts w:ascii="Arial" w:cs="Arial" w:eastAsia="Arial" w:hAnsi="Arial"/>
          <w:sz w:val="16"/>
          <w:szCs w:val="16"/>
          <w:color w:val="auto"/>
        </w:rPr>
        <w:t>a lump-sum payment equal to 9 months (or 12 months in the case of Dr. Litton or in the case of Mr. Gengos, in the event such termination occurs on or before the first anniversary of the commencement of Mr. Gengos’s employment) of the named executive officer’s annual base salary as in effect immediately prior to such termination (or if such termination is due to a resignation for good reason based on a material reduction in base salary, then as in effect immediately prior to the reduction);</w:t>
      </w:r>
    </w:p>
    <w:p>
      <w:pPr>
        <w:spacing w:after="0" w:line="15" w:lineRule="exact"/>
        <w:rPr>
          <w:rFonts w:ascii="Arial" w:cs="Arial" w:eastAsia="Arial" w:hAnsi="Arial"/>
          <w:sz w:val="16"/>
          <w:szCs w:val="16"/>
          <w:color w:val="255993"/>
        </w:rPr>
      </w:pPr>
    </w:p>
    <w:p>
      <w:pPr>
        <w:ind w:left="140" w:right="60" w:hanging="134"/>
        <w:spacing w:after="0" w:line="266" w:lineRule="auto"/>
        <w:tabs>
          <w:tab w:leader="none" w:pos="140" w:val="left"/>
        </w:tabs>
        <w:numPr>
          <w:ilvl w:val="0"/>
          <w:numId w:val="27"/>
        </w:numPr>
        <w:rPr>
          <w:rFonts w:ascii="Arial" w:cs="Arial" w:eastAsia="Arial" w:hAnsi="Arial"/>
          <w:sz w:val="16"/>
          <w:szCs w:val="16"/>
          <w:color w:val="255993"/>
        </w:rPr>
      </w:pPr>
      <w:r>
        <w:rPr>
          <w:rFonts w:ascii="Arial" w:cs="Arial" w:eastAsia="Arial" w:hAnsi="Arial"/>
          <w:sz w:val="16"/>
          <w:szCs w:val="16"/>
          <w:color w:val="auto"/>
        </w:rPr>
        <w:t>for named executive officers other than Dr. Moebius, payment of premiums for coverage under the Consolidated Omnibus Budget Reconciliation Act of 1985, as amended (COBRA), for the named executive officer and his eligible dependents, if any, for up to 9 months (or up to 12 months for Dr. Litton); and</w:t>
      </w:r>
    </w:p>
    <w:p>
      <w:pPr>
        <w:spacing w:after="0" w:line="9" w:lineRule="exact"/>
        <w:rPr>
          <w:rFonts w:ascii="Arial" w:cs="Arial" w:eastAsia="Arial" w:hAnsi="Arial"/>
          <w:sz w:val="16"/>
          <w:szCs w:val="16"/>
          <w:color w:val="255993"/>
        </w:rPr>
      </w:pPr>
    </w:p>
    <w:p>
      <w:pPr>
        <w:ind w:left="140" w:right="300" w:hanging="134"/>
        <w:spacing w:after="0" w:line="286" w:lineRule="auto"/>
        <w:tabs>
          <w:tab w:leader="none" w:pos="140" w:val="left"/>
        </w:tabs>
        <w:numPr>
          <w:ilvl w:val="0"/>
          <w:numId w:val="27"/>
        </w:numPr>
        <w:rPr>
          <w:rFonts w:ascii="Arial" w:cs="Arial" w:eastAsia="Arial" w:hAnsi="Arial"/>
          <w:sz w:val="16"/>
          <w:szCs w:val="16"/>
          <w:color w:val="255993"/>
        </w:rPr>
      </w:pPr>
      <w:r>
        <w:rPr>
          <w:rFonts w:ascii="Arial" w:cs="Arial" w:eastAsia="Arial" w:hAnsi="Arial"/>
          <w:sz w:val="16"/>
          <w:szCs w:val="16"/>
          <w:color w:val="auto"/>
        </w:rPr>
        <w:t>in the case of Dr. Litton, 25% accelerated vesting and exercisability of the shares subject to the stock option award granted to Dr. Litton on August 15, 2019, that are outstanding and unvested as of the date of such termination.</w:t>
      </w:r>
    </w:p>
    <w:p>
      <w:pPr>
        <w:spacing w:after="0" w:line="88"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If, during the Change in Control Period, the employment of a named executive officer with whom we have entered into a change in control and severance agreement is terminated either (1) by the Company without cause (excluding by reason of death or disability) or</w:t>
      </w:r>
    </w:p>
    <w:p>
      <w:pPr>
        <w:spacing w:after="0" w:line="176" w:lineRule="exact"/>
        <w:rPr>
          <w:sz w:val="20"/>
          <w:szCs w:val="20"/>
          <w:color w:val="auto"/>
        </w:rPr>
      </w:pPr>
    </w:p>
    <w:p>
      <w:pPr>
        <w:spacing w:after="0"/>
        <w:tabs>
          <w:tab w:leader="none" w:pos="4600" w:val="left"/>
          <w:tab w:leader="none" w:pos="7960" w:val="left"/>
        </w:tabs>
        <w:rPr>
          <w:sz w:val="20"/>
          <w:szCs w:val="20"/>
          <w:color w:val="auto"/>
        </w:rPr>
      </w:pPr>
      <w:r>
        <w:rPr>
          <w:rFonts w:ascii="Arial" w:cs="Arial" w:eastAsia="Arial" w:hAnsi="Arial"/>
          <w:sz w:val="14"/>
          <w:szCs w:val="14"/>
          <w:color w:val="255993"/>
        </w:rPr>
        <w:t>Athira Pharma, Inc.</w:t>
      </w:r>
      <w:r>
        <w:rPr>
          <w:sz w:val="20"/>
          <w:szCs w:val="20"/>
          <w:color w:val="auto"/>
        </w:rPr>
        <w:tab/>
      </w:r>
      <w:r>
        <w:rPr>
          <w:rFonts w:ascii="Arial" w:cs="Arial" w:eastAsia="Arial" w:hAnsi="Arial"/>
          <w:sz w:val="14"/>
          <w:szCs w:val="14"/>
          <w:b w:val="1"/>
          <w:bCs w:val="1"/>
          <w:color w:val="255993"/>
        </w:rPr>
        <w:t>38</w:t>
      </w:r>
      <w:r>
        <w:rPr>
          <w:sz w:val="20"/>
          <w:szCs w:val="20"/>
          <w:color w:val="auto"/>
        </w:rPr>
        <w:tab/>
      </w:r>
      <w:r>
        <w:rPr>
          <w:rFonts w:ascii="Arial" w:cs="Arial" w:eastAsia="Arial" w:hAnsi="Arial"/>
          <w:sz w:val="14"/>
          <w:szCs w:val="14"/>
          <w:color w:val="255993"/>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118110</wp:posOffset>
            </wp:positionV>
            <wp:extent cx="699516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263" w:right="12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jc w:val="right"/>
        <w:spacing w:after="0"/>
        <w:rPr>
          <w:sz w:val="20"/>
          <w:szCs w:val="20"/>
          <w:color w:val="auto"/>
        </w:rPr>
      </w:pPr>
      <w:r>
        <w:rPr>
          <w:rFonts w:ascii="Arial" w:cs="Arial" w:eastAsia="Arial" w:hAnsi="Arial"/>
          <w:sz w:val="14"/>
          <w:szCs w:val="14"/>
          <w:color w:val="255993"/>
        </w:rPr>
        <w:t>Executive Compensation</w:t>
      </w:r>
    </w:p>
    <w:p>
      <w:pPr>
        <w:spacing w:after="0" w:line="104" w:lineRule="exact"/>
        <w:rPr>
          <w:sz w:val="20"/>
          <w:szCs w:val="20"/>
          <w:color w:val="auto"/>
        </w:rPr>
      </w:pPr>
    </w:p>
    <w:p>
      <w:pPr>
        <w:ind w:right="380" w:firstLine="6"/>
        <w:spacing w:after="0" w:line="286" w:lineRule="auto"/>
        <w:tabs>
          <w:tab w:leader="none" w:pos="243" w:val="left"/>
        </w:tabs>
        <w:numPr>
          <w:ilvl w:val="0"/>
          <w:numId w:val="28"/>
        </w:numPr>
        <w:rPr>
          <w:rFonts w:ascii="Arial" w:cs="Arial" w:eastAsia="Arial" w:hAnsi="Arial"/>
          <w:sz w:val="16"/>
          <w:szCs w:val="16"/>
          <w:color w:val="auto"/>
        </w:rPr>
      </w:pPr>
      <w:r>
        <w:rPr>
          <w:rFonts w:ascii="Arial" w:cs="Arial" w:eastAsia="Arial" w:hAnsi="Arial"/>
          <w:sz w:val="16"/>
          <w:szCs w:val="16"/>
          <w:color w:val="auto"/>
        </w:rPr>
        <w:t>by the named executive officer for good reason, the named executive officer will receive the following benefits if the named executive officer timely signs and does not revoke a release of claims in our favor:</w:t>
      </w:r>
    </w:p>
    <w:p>
      <w:pPr>
        <w:spacing w:after="0" w:line="102" w:lineRule="exact"/>
        <w:rPr>
          <w:sz w:val="20"/>
          <w:szCs w:val="20"/>
          <w:color w:val="auto"/>
        </w:rPr>
      </w:pPr>
    </w:p>
    <w:p>
      <w:pPr>
        <w:ind w:left="140" w:right="60" w:hanging="134"/>
        <w:spacing w:after="0" w:line="259" w:lineRule="auto"/>
        <w:tabs>
          <w:tab w:leader="none" w:pos="140" w:val="left"/>
        </w:tabs>
        <w:numPr>
          <w:ilvl w:val="0"/>
          <w:numId w:val="29"/>
        </w:numPr>
        <w:rPr>
          <w:rFonts w:ascii="Arial" w:cs="Arial" w:eastAsia="Arial" w:hAnsi="Arial"/>
          <w:sz w:val="16"/>
          <w:szCs w:val="16"/>
          <w:color w:val="255993"/>
        </w:rPr>
      </w:pPr>
      <w:r>
        <w:rPr>
          <w:rFonts w:ascii="Arial" w:cs="Arial" w:eastAsia="Arial" w:hAnsi="Arial"/>
          <w:sz w:val="16"/>
          <w:szCs w:val="16"/>
          <w:color w:val="auto"/>
        </w:rPr>
        <w:t>a lump-sum payment equal to 12 months (or 18 months in the case of Dr. Litton) of the named executive officer’s annual base salary as in effect immediately prior to such termination (or if such termination is due to a resignation for good reason based on a material reduction in base salary, then as in effect immediately prior to the reduction) or if greater, at the level in effect immediately prior to the change in control;</w:t>
      </w:r>
    </w:p>
    <w:p>
      <w:pPr>
        <w:spacing w:after="0" w:line="15" w:lineRule="exact"/>
        <w:rPr>
          <w:rFonts w:ascii="Arial" w:cs="Arial" w:eastAsia="Arial" w:hAnsi="Arial"/>
          <w:sz w:val="16"/>
          <w:szCs w:val="16"/>
          <w:color w:val="255993"/>
        </w:rPr>
      </w:pPr>
    </w:p>
    <w:p>
      <w:pPr>
        <w:ind w:left="140" w:right="20" w:hanging="134"/>
        <w:spacing w:after="0" w:line="266" w:lineRule="auto"/>
        <w:tabs>
          <w:tab w:leader="none" w:pos="140" w:val="left"/>
        </w:tabs>
        <w:numPr>
          <w:ilvl w:val="0"/>
          <w:numId w:val="29"/>
        </w:numPr>
        <w:rPr>
          <w:rFonts w:ascii="Arial" w:cs="Arial" w:eastAsia="Arial" w:hAnsi="Arial"/>
          <w:sz w:val="16"/>
          <w:szCs w:val="16"/>
          <w:color w:val="255993"/>
        </w:rPr>
      </w:pPr>
      <w:r>
        <w:rPr>
          <w:rFonts w:ascii="Arial" w:cs="Arial" w:eastAsia="Arial" w:hAnsi="Arial"/>
          <w:sz w:val="16"/>
          <w:szCs w:val="16"/>
          <w:color w:val="auto"/>
        </w:rPr>
        <w:t>a lump-sum payment equal to 100% (or 150% in the case of Dr. Litton) of the named executive officer’s target annual bonus as in effect for the fiscal year in which such termination occurs or if greater, at the level in effect immediately prior to the change in control;</w:t>
      </w:r>
    </w:p>
    <w:p>
      <w:pPr>
        <w:spacing w:after="0" w:line="9" w:lineRule="exact"/>
        <w:rPr>
          <w:rFonts w:ascii="Arial" w:cs="Arial" w:eastAsia="Arial" w:hAnsi="Arial"/>
          <w:sz w:val="16"/>
          <w:szCs w:val="16"/>
          <w:color w:val="255993"/>
        </w:rPr>
      </w:pPr>
    </w:p>
    <w:p>
      <w:pPr>
        <w:ind w:left="140" w:right="100" w:hanging="134"/>
        <w:spacing w:after="0" w:line="281" w:lineRule="auto"/>
        <w:tabs>
          <w:tab w:leader="none" w:pos="140" w:val="left"/>
        </w:tabs>
        <w:numPr>
          <w:ilvl w:val="0"/>
          <w:numId w:val="29"/>
        </w:numPr>
        <w:rPr>
          <w:rFonts w:ascii="Arial" w:cs="Arial" w:eastAsia="Arial" w:hAnsi="Arial"/>
          <w:sz w:val="16"/>
          <w:szCs w:val="16"/>
          <w:color w:val="255993"/>
        </w:rPr>
      </w:pPr>
      <w:r>
        <w:rPr>
          <w:rFonts w:ascii="Arial" w:cs="Arial" w:eastAsia="Arial" w:hAnsi="Arial"/>
          <w:sz w:val="16"/>
          <w:szCs w:val="16"/>
          <w:color w:val="auto"/>
        </w:rPr>
        <w:t>for named executive officers other than Dr. Moebius, payment of premiums for coverage under COBRA for the named executive officer and the named executive officer’s eligible dependents, if any, for up to 12 months (or up to 18 months for Dr. Litton); and</w:t>
      </w:r>
    </w:p>
    <w:p>
      <w:pPr>
        <w:spacing w:after="0" w:line="1" w:lineRule="exact"/>
        <w:rPr>
          <w:rFonts w:ascii="Arial" w:cs="Arial" w:eastAsia="Arial" w:hAnsi="Arial"/>
          <w:sz w:val="16"/>
          <w:szCs w:val="16"/>
          <w:color w:val="255993"/>
        </w:rPr>
      </w:pPr>
    </w:p>
    <w:p>
      <w:pPr>
        <w:ind w:left="140" w:right="80" w:hanging="134"/>
        <w:spacing w:after="0" w:line="286" w:lineRule="auto"/>
        <w:tabs>
          <w:tab w:leader="none" w:pos="140" w:val="left"/>
        </w:tabs>
        <w:numPr>
          <w:ilvl w:val="0"/>
          <w:numId w:val="29"/>
        </w:numPr>
        <w:rPr>
          <w:rFonts w:ascii="Arial" w:cs="Arial" w:eastAsia="Arial" w:hAnsi="Arial"/>
          <w:sz w:val="16"/>
          <w:szCs w:val="16"/>
          <w:color w:val="255993"/>
        </w:rPr>
      </w:pPr>
      <w:r>
        <w:rPr>
          <w:rFonts w:ascii="Arial" w:cs="Arial" w:eastAsia="Arial" w:hAnsi="Arial"/>
          <w:sz w:val="16"/>
          <w:szCs w:val="16"/>
          <w:color w:val="auto"/>
        </w:rPr>
        <w:t>100% accelerated vesting and exercisability of all Company equity awards with service-based vesting (but that are not subject to performance-based vesting) that are outstanding and unvested as of the date of the qualifying termination.</w:t>
      </w:r>
    </w:p>
    <w:p>
      <w:pPr>
        <w:spacing w:after="0" w:line="88"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In addition, the change in control and severance agreements with Dr. Litton and Dr. Moebius provide for 100% accelerated vesting and exercisability of Company equity awards granted under our 2014 Equity Incentive Plan and held by Dr. Litton or Dr. Moebius, as applicable, to the extent such awards are not assumed or substituted for by the successor corporation in a change in control.</w:t>
      </w:r>
    </w:p>
    <w:p>
      <w:pPr>
        <w:spacing w:after="0" w:line="104" w:lineRule="exact"/>
        <w:rPr>
          <w:sz w:val="20"/>
          <w:szCs w:val="20"/>
          <w:color w:val="auto"/>
        </w:rPr>
      </w:pPr>
    </w:p>
    <w:p>
      <w:pPr>
        <w:ind w:right="100"/>
        <w:spacing w:after="0" w:line="254" w:lineRule="auto"/>
        <w:rPr>
          <w:sz w:val="20"/>
          <w:szCs w:val="20"/>
          <w:color w:val="auto"/>
        </w:rPr>
      </w:pPr>
      <w:r>
        <w:rPr>
          <w:rFonts w:ascii="Arial" w:cs="Arial" w:eastAsia="Arial" w:hAnsi="Arial"/>
          <w:sz w:val="16"/>
          <w:szCs w:val="16"/>
          <w:color w:val="auto"/>
        </w:rPr>
        <w:t>If any of the amounts provided for under these change in control and severance agreements or otherwise payable to Dr. Litton, Dr. Moebius, or Mr. Gengos would constitute “parachute payments” within the meaning of Section 280G of the Internal Revenue Code and could be subject to the related excise tax, the named executive officer would be entitled to receive either full payment of benefits or such lesser amount which would result in no portion of the benefits being subject to the excise tax, whichever results in the greater amount of after-tax benefits to the named executive officer. The change in control and severance agreements do not require us to provide any tax gross-up payments.</w:t>
      </w:r>
    </w:p>
    <w:p>
      <w:pPr>
        <w:spacing w:after="0" w:line="101" w:lineRule="exact"/>
        <w:rPr>
          <w:sz w:val="20"/>
          <w:szCs w:val="20"/>
          <w:color w:val="auto"/>
        </w:rPr>
      </w:pPr>
    </w:p>
    <w:p>
      <w:pPr>
        <w:ind w:right="280"/>
        <w:spacing w:after="0" w:line="252" w:lineRule="auto"/>
        <w:rPr>
          <w:sz w:val="20"/>
          <w:szCs w:val="20"/>
          <w:color w:val="auto"/>
        </w:rPr>
      </w:pPr>
      <w:r>
        <w:rPr>
          <w:rFonts w:ascii="Arial" w:cs="Arial" w:eastAsia="Arial" w:hAnsi="Arial"/>
          <w:sz w:val="16"/>
          <w:szCs w:val="16"/>
          <w:color w:val="auto"/>
        </w:rPr>
        <w:t>Under the change in control and severance agreement, “cause” generally means the named executive officer’s: indictment or conviction of any felony or any crime involving dishonesty or moral turpitude; participation in any fraud against us or other dishonesty which is not the result of an innocent or inadvertent mistake by the named executive officer with respect to us; willful violation of his obligations to us after there has been delivered to the named executive officer a written demand for performance from the board of directors; continued violation or breach of any material written Company policy, agreement with us, or any statutory or fiduciary duty to us after we have delivered to the named executive officer a written notification of such violation or breach; or damaging or misappropriating or attempting to damage or misappropriate any of our property, including intellectual property.</w:t>
      </w:r>
    </w:p>
    <w:p>
      <w:pPr>
        <w:spacing w:after="0" w:line="115"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Under the change in control and severance agreement, “good reason” generally means that the named executive officer resigns from the Company within 30 days following the end of our cure period (discussed below) as a result of any of the following that occurs without his consent: a material reduction in the named executive officer’s duties or responsibilities that is inconsistent with his position, provided that a mere change of title alone will not constitute such a material reduction; the requirement that the named executive officer change his principal office to a facility that increases his commute by more than 40 miles from his commute to the location at which the named executive officer was employed prior to such change; or a material reduction in base salary or a material reduction in his employee benefits (other than (1) in connection with a general decrease in salary (or employee benefits, as applicable) of all similarly situated employees, and (2) following our change in control, to the extent necessary to make his salary (or employee benefits, as applicable) commensurate with those of our other employees or our successor entity or parent entity who are similarly situated with him). For a resignation to qualify as “good reason,” the named executive officer also must provide written notice within 90 days following the initial existence of the good reason condition, and we must have failed to materially remedy such event within 30 days after receipt of such notice.</w:t>
      </w:r>
    </w:p>
    <w:p>
      <w:pPr>
        <w:spacing w:after="0" w:line="117"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In January 2024 we entered into an executive transition agreement with Dr. Moebius. Under the terms of this agreement, Dr. Moebius voluntarily resigned as chief medical officer and agreed to continue employment on a full-time basis as a senior scientific advisor for a transition period ending March 31, 2024. During the transition period Dr. Moebius continued to receive his base salary of $465,000 per year, a monthly stipend of $5,200 to defray the cost associated with his mandatory and elective benefit contributions, continued vesting of Company equity awards and continued effectiveness of his change in control and severance agreement, although neither his transition to an</w:t>
      </w:r>
    </w:p>
    <w:p>
      <w:pPr>
        <w:spacing w:after="0" w:line="187" w:lineRule="exact"/>
        <w:rPr>
          <w:sz w:val="20"/>
          <w:szCs w:val="20"/>
          <w:color w:val="auto"/>
        </w:rPr>
      </w:pPr>
    </w:p>
    <w:p>
      <w:pPr>
        <w:spacing w:after="0"/>
        <w:tabs>
          <w:tab w:leader="none" w:pos="4600" w:val="left"/>
          <w:tab w:leader="none" w:pos="7960" w:val="left"/>
        </w:tabs>
        <w:rPr>
          <w:sz w:val="20"/>
          <w:szCs w:val="20"/>
          <w:color w:val="auto"/>
        </w:rPr>
      </w:pPr>
      <w:r>
        <w:rPr>
          <w:rFonts w:ascii="Arial" w:cs="Arial" w:eastAsia="Arial" w:hAnsi="Arial"/>
          <w:sz w:val="14"/>
          <w:szCs w:val="14"/>
          <w:color w:val="255993"/>
        </w:rPr>
        <w:t>Athira Pharma, Inc.</w:t>
      </w:r>
      <w:r>
        <w:rPr>
          <w:sz w:val="20"/>
          <w:szCs w:val="20"/>
          <w:color w:val="auto"/>
        </w:rPr>
        <w:tab/>
      </w:r>
      <w:r>
        <w:rPr>
          <w:rFonts w:ascii="Arial" w:cs="Arial" w:eastAsia="Arial" w:hAnsi="Arial"/>
          <w:sz w:val="14"/>
          <w:szCs w:val="14"/>
          <w:b w:val="1"/>
          <w:bCs w:val="1"/>
          <w:color w:val="255993"/>
        </w:rPr>
        <w:t>39</w:t>
      </w:r>
      <w:r>
        <w:rPr>
          <w:sz w:val="20"/>
          <w:szCs w:val="20"/>
          <w:color w:val="auto"/>
        </w:rPr>
        <w:tab/>
      </w:r>
      <w:r>
        <w:rPr>
          <w:rFonts w:ascii="Arial" w:cs="Arial" w:eastAsia="Arial" w:hAnsi="Arial"/>
          <w:sz w:val="14"/>
          <w:szCs w:val="14"/>
          <w:color w:val="255993"/>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118110</wp:posOffset>
            </wp:positionV>
            <wp:extent cx="699516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263" w:right="12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255993"/>
        </w:rPr>
        <w:t>Executive Compensation</w:t>
      </w:r>
    </w:p>
    <w:p>
      <w:pPr>
        <w:spacing w:after="0" w:line="104"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advisory role nor resignation at the end of the transition period triggered severance benefits under the change in control and severance agreement. During his transition period, he also remained eligible to participate in the Company’s fiscal year 2023 bonus program with a target bonus amount equal to 40% of his annual base salary and to receive his annual bonus-related stipend equal to 9.06% of his fiscal 2023 bonus, if any. Following the transition period, Dr. Moebius agreed to continue to provide services to the Company under the terms of a consulting agreement with a scheduled termination date of December 31, 2024, unless terminated earlier by either party pursuant to its terms. The executive transition agreement also provided for Dr. Moebius’s eligibility to receive an option to purchase 67,000 shares of Company common stock under our 2020 Equity Incentive Plan in the first quarter of 2024, subject to his continued service through the grant date and to approval by the board of directors or the compensation committee. The executive transition agreement also amended Dr. Moebius’s outstanding Company stock options to provide for an extended eighteen (18) month post-termination exercise period in the event of termination of his employment without “cause” (as defined in the agreement) or due to his death, or if the consulting agreement is terminated without “cause” or upon its expiration in December 2024.</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EQUITY INCENTIVE PLANS</w:t>
      </w:r>
    </w:p>
    <w:p>
      <w:pPr>
        <w:spacing w:after="0" w:line="135"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Under our 2020 Equity Incentive Plan and our 2024 Inducement Equity Incentive Plan (which was adopted in February 2024), unless otherwise specified in an award agreement for a particular award, all unvested options, restricted stock units and other equity awards vest in full and, if applicable, become exercisable, and performance-based awards would be deemed achieved at 100% of target, upon a “change in control” (as defined in the applicable plan) of the Company or a merger of the Company with or into another corporation or entity, unless the option or award is assumed or substituted for by the acquiring entity, and to the extent exercisable, would terminate if not exercised within the applicable period.</w:t>
      </w:r>
    </w:p>
    <w:p>
      <w:pPr>
        <w:spacing w:after="0" w:line="114"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All awards granted under our 2014 Equity Incentive Plan to our named executive officers are fully vested. Under our 2014 Equity Incentive Plan, in the event of a “corporate transaction” as defined thereunder, these outstanding awards may be assumed, continued or substituted for by the surviving or acquiring corporation, or the awards may be cancelled for no consideration or in exchange for such cash consideration as our board of directors deems appropriate, including that an option may be cancelled for a payment equal to the difference between the value the named executive officer would have received upon exercise of the option and the option exercise price.</w:t>
      </w:r>
    </w:p>
    <w:p>
      <w:pPr>
        <w:spacing w:after="0" w:line="114"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Our board of directors or the compensation committee, as administrator of our equity incentive plans, has the authority to provide for the accelerated vesting of any or all outstanding equity awards under the plans.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CLAWBACK POLICY</w:t>
      </w:r>
    </w:p>
    <w:p>
      <w:pPr>
        <w:spacing w:after="0" w:line="108"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In February 2023, our board of directors adopted an executive compensation clawback policy (our “Clawback Policy”) applicable to our current and future former executive officers. This initial Clawback Policy provided us the right, within three years following the original filing date of the applicable financial statements, to recover certain compensation from executive officers in the event all or a portion of our financial statements were subject to a material negative restatement as the result of the gross negligence, intentional misconduct or fraud by an executive officer. We amended and restated our Clawback Policy in November 2023 to reflect the Nasdaq listing standards that became effective in October 2023. In accordance with the Nasdaq listing standard requirements, our amended and restated Clawback Policy provides that if we are required to prepare an accounting restatement due to our material noncompliance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then we must recover from the covered executives any excess compensation covered by the amended and restated Clawback Policy. As described in more detail in our amended and restated Clawback Policy, excess compensation generally is incentive-based compensation that exceeds the amount the individual otherwise would have received had the compensation been determined based on the restated amounts. Excess compensation generally is covered by the amended and restated Clawback Policy if it is received by an individual during our three completed fiscal years immediately prior to the date we determine an accounting restatement is required (or a legally authorized body, such as a court, directs us to prepare an accounting restatement), if the amounts were received after the individual became an executive officer, and if he or she served as an executive officer during the applicable performance period (and only if the amounts were received after October 2, 2023).</w:t>
      </w:r>
    </w:p>
    <w:p>
      <w:pPr>
        <w:spacing w:after="0" w:line="201" w:lineRule="exact"/>
        <w:rPr>
          <w:sz w:val="20"/>
          <w:szCs w:val="20"/>
          <w:color w:val="auto"/>
        </w:rPr>
      </w:pPr>
    </w:p>
    <w:p>
      <w:pPr>
        <w:spacing w:after="0"/>
        <w:tabs>
          <w:tab w:leader="none" w:pos="4600" w:val="left"/>
          <w:tab w:leader="none" w:pos="7960" w:val="left"/>
        </w:tabs>
        <w:rPr>
          <w:sz w:val="20"/>
          <w:szCs w:val="20"/>
          <w:color w:val="auto"/>
        </w:rPr>
      </w:pPr>
      <w:r>
        <w:rPr>
          <w:rFonts w:ascii="Arial" w:cs="Arial" w:eastAsia="Arial" w:hAnsi="Arial"/>
          <w:sz w:val="14"/>
          <w:szCs w:val="14"/>
          <w:color w:val="255993"/>
        </w:rPr>
        <w:t>Athira Pharma, Inc.</w:t>
      </w:r>
      <w:r>
        <w:rPr>
          <w:sz w:val="20"/>
          <w:szCs w:val="20"/>
          <w:color w:val="auto"/>
        </w:rPr>
        <w:tab/>
      </w:r>
      <w:r>
        <w:rPr>
          <w:rFonts w:ascii="Arial" w:cs="Arial" w:eastAsia="Arial" w:hAnsi="Arial"/>
          <w:sz w:val="14"/>
          <w:szCs w:val="14"/>
          <w:b w:val="1"/>
          <w:bCs w:val="1"/>
          <w:color w:val="255993"/>
        </w:rPr>
        <w:t>40</w:t>
      </w:r>
      <w:r>
        <w:rPr>
          <w:sz w:val="20"/>
          <w:szCs w:val="20"/>
          <w:color w:val="auto"/>
        </w:rPr>
        <w:tab/>
      </w:r>
      <w:r>
        <w:rPr>
          <w:rFonts w:ascii="Arial" w:cs="Arial" w:eastAsia="Arial" w:hAnsi="Arial"/>
          <w:sz w:val="14"/>
          <w:szCs w:val="14"/>
          <w:color w:val="255993"/>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126365</wp:posOffset>
            </wp:positionV>
            <wp:extent cx="699516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263" w:right="12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jc w:val="right"/>
        <w:spacing w:after="0"/>
        <w:rPr>
          <w:sz w:val="20"/>
          <w:szCs w:val="20"/>
          <w:color w:val="auto"/>
        </w:rPr>
      </w:pPr>
      <w:r>
        <w:rPr>
          <w:rFonts w:ascii="Arial" w:cs="Arial" w:eastAsia="Arial" w:hAnsi="Arial"/>
          <w:sz w:val="14"/>
          <w:szCs w:val="14"/>
          <w:color w:val="255993"/>
        </w:rPr>
        <w:t>Executive Compensation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EXECUTIVE INCENTIVE COMPENSATION PLAN</w:t>
      </w:r>
    </w:p>
    <w:p>
      <w:pPr>
        <w:spacing w:after="0" w:line="108"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Our Executive Incentive Compensation Plan is administered by our board of directors or a committee appointed by our board of directors. Our Executive Incentive Compensation Plan allows us to grant incentive awards, generally payable in cash, to employees selected by the administrator, including our named executive officers, based upon any performance goals that may be established by the administrator.</w:t>
      </w:r>
    </w:p>
    <w:p>
      <w:pPr>
        <w:spacing w:after="0" w:line="110"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Under our Executive Incentive Compensation Plan, the administrator will determine any performance goals applicable to an award, which goals may include, without limitation, attainment of research and development milestones; sales bookings; business divestitures and acquisitions; capital raising; cash flow; cash position; contract awards or backlog; corporate transactions; customer renewals; customer retention rates from an acquired company, subsidiary, business unit or division; earnings (which may include any calculation of earnings, including but not limited to earnings before interest and taxes, earnings before taxes, earnings before interest, taxes, depreciation and amortization and net taxes); earnings per share; expenses; financial milestones; gross margin; growth in stockholder value relative to the moving average of the S&amp;P 500 Index or another index; internal rate of return; leadership development or succession planning; license or research collaboration arrangements; market share; net income; net profit; net sales; new product or business development; new product invention or innovation; number of customers; operating cash flow; operating expenses; operating income; operating margin; overhead or other expense reduction; patents; procurement; product defect measures; product release timelines; productivity; profit; regulatory milestones or regulatory-related goals; retained earnings; return on assets; return on capital; return on equity; return on investment; return on sales; revenue; revenue growth; sales results; sales growth; savings; stock price; time to market; total stockholder return; working capital; unadjusted or adjusted actual contract value; unadjusted or adjusted total contract value; and individual objectives such as peer reviews or other subjective or objective criteria. The performance goals may differ from participant to participant and from award to award. The administrator also may determine that a target award or portion of a target award will not have a performance goal associated with it but instead will be granted, if at all, as determined by the administrator.</w:t>
      </w:r>
    </w:p>
    <w:p>
      <w:pPr>
        <w:spacing w:after="0" w:line="116"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The administrator of our Executive Incentive Compensation Plan, in its sole discretion and at any time, may increase, reduce or eliminate a participant’s actual award, and/or increase, reduce or eliminate the amount allocated to any bonus pool for a particular performance period. The actual award may be below, at or above a participant’s target award, in the discretion of the administrator. The administrator may determine the amount of any reduction on the basis of such factors as it deems relevant, and the administrator is not required to establish any allocation or weighting with respect to the factors it considers.</w:t>
      </w:r>
    </w:p>
    <w:p>
      <w:pPr>
        <w:spacing w:after="0" w:line="99"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Actual awards generally will be paid in cash (or its equivalent) only after they are earned, and, unless otherwise determined by the administrator, a participant must be employed with us through the date the actual award is paid. The administrator of our Executive Incentive Compensation Plan reserves the right to settle an actual award with a grant of an equity award under our then-current equity compensation plan, which equity award may have such terms and conditions, including vesting, as determined by the administrator.</w:t>
      </w:r>
    </w:p>
    <w:p>
      <w:pPr>
        <w:spacing w:after="0" w:line="112"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Payment of awards occurs as soon as administratively practicable after they are earned, but no later than the dates set forth in our Executive Incentive Compensation Plan.</w:t>
      </w:r>
    </w:p>
    <w:p>
      <w:pPr>
        <w:spacing w:after="0" w:line="88"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Awards under our Executive Incentive Compensation Plan are subject to our amended and restated Clawback Policy, which we may revise from time to time to comply with applicable laws. The administrator also may impose such other clawback, recovery or recoupment provisions with respect an award under our Executive Incentive Compensation Plan as the administrator determines necessary or appropriate, including for example, reduction, cancellation, forfeiture or recoupment upon a termination of a participant’s employment for cause. Certain participants may be required to reimburse us for certain amounts paid under an award under our Executive Incentive Compensation Plan in connection with certain accounting restatements we may be required to prepare due to our material noncompliance with any financial reporting requirements under applicable securities laws, as a result of misconduct.</w:t>
      </w:r>
    </w:p>
    <w:p>
      <w:pPr>
        <w:spacing w:after="0" w:line="102"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The administrator of our Executive Incentive Compensation Plan has the authority to amend, alter, suspend or terminate our Executive Incentive Compensation Plan, provided such action does not impair the existing rights of any participant with respect to any earned awards. Our Executive Incentive Compensation Plan will remain in effect until terminated in accordance with its terms.</w:t>
      </w:r>
    </w:p>
    <w:p>
      <w:pPr>
        <w:spacing w:after="0" w:line="104"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In establishing the annual bonus program for fiscal 2023 under the Executive Incentive Plan, the board of directors determined that actual awards would be based upon achievement of corporate goals (the “Corporate Goals”) during the plan year.</w:t>
      </w:r>
    </w:p>
    <w:p>
      <w:pPr>
        <w:spacing w:after="0" w:line="160" w:lineRule="exact"/>
        <w:rPr>
          <w:sz w:val="20"/>
          <w:szCs w:val="20"/>
          <w:color w:val="auto"/>
        </w:rPr>
      </w:pPr>
    </w:p>
    <w:p>
      <w:pPr>
        <w:spacing w:after="0"/>
        <w:tabs>
          <w:tab w:leader="none" w:pos="4600" w:val="left"/>
          <w:tab w:leader="none" w:pos="7960" w:val="left"/>
        </w:tabs>
        <w:rPr>
          <w:sz w:val="20"/>
          <w:szCs w:val="20"/>
          <w:color w:val="auto"/>
        </w:rPr>
      </w:pPr>
      <w:r>
        <w:rPr>
          <w:rFonts w:ascii="Arial" w:cs="Arial" w:eastAsia="Arial" w:hAnsi="Arial"/>
          <w:sz w:val="14"/>
          <w:szCs w:val="14"/>
          <w:color w:val="255993"/>
        </w:rPr>
        <w:t>Athira Pharma, Inc.</w:t>
      </w:r>
      <w:r>
        <w:rPr>
          <w:sz w:val="20"/>
          <w:szCs w:val="20"/>
          <w:color w:val="auto"/>
        </w:rPr>
        <w:tab/>
      </w:r>
      <w:r>
        <w:rPr>
          <w:rFonts w:ascii="Arial" w:cs="Arial" w:eastAsia="Arial" w:hAnsi="Arial"/>
          <w:sz w:val="14"/>
          <w:szCs w:val="14"/>
          <w:b w:val="1"/>
          <w:bCs w:val="1"/>
          <w:color w:val="255993"/>
        </w:rPr>
        <w:t>41</w:t>
      </w:r>
      <w:r>
        <w:rPr>
          <w:sz w:val="20"/>
          <w:szCs w:val="20"/>
          <w:color w:val="auto"/>
        </w:rPr>
        <w:tab/>
      </w:r>
      <w:r>
        <w:rPr>
          <w:rFonts w:ascii="Arial" w:cs="Arial" w:eastAsia="Arial" w:hAnsi="Arial"/>
          <w:sz w:val="14"/>
          <w:szCs w:val="14"/>
          <w:color w:val="255993"/>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118110</wp:posOffset>
            </wp:positionV>
            <wp:extent cx="699516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263" w:right="12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255993"/>
        </w:rPr>
        <w:t>Executive Compensation</w:t>
      </w:r>
    </w:p>
    <w:p>
      <w:pPr>
        <w:spacing w:after="0" w:line="104"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color w:val="auto"/>
        </w:rPr>
        <w:t>The Corporate Goals related to enrollment in a specified clinical trial (weighted 40%), FDA engagement strategy (weighted 25%), commercial formulation, clinical supply manufacture, and dose assessment (weighted 15%), IND-enabling studies and other scientific program achievements (weighted 10% combined) and other financial and business-related achievements (weighted 10% combined). In addition, the board of directors determined that achievement of certain stretch goals related to specific scientific program achievements could be earned, provided that the maximum possible bonus payout under our Executive Incentive Compensation Plan for 2023 was intended to be 140% of the applicable participant’s target bonus opportunity.</w:t>
      </w:r>
    </w:p>
    <w:p>
      <w:pPr>
        <w:spacing w:after="0" w:line="114"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Under the Company’s annual bonus program, payments are made based on our performance with respect to each of the Corporate Goals and individual performance measures, if any, to the extent to which each objective was achieved for the year, subject to discretion reserved to the administrator and continued employment of the participant through the date of payment. In February 2024, our compensation committee determined that the 2023 Corporate Goals had been partially achieved at an 92.5% achievement rate. The annual bonuses awarded to our named executive officers for 2023 are set forth in the “</w:t>
      </w:r>
      <w:r>
        <w:rPr>
          <w:rFonts w:ascii="Arial" w:cs="Arial" w:eastAsia="Arial" w:hAnsi="Arial"/>
          <w:sz w:val="16"/>
          <w:szCs w:val="16"/>
          <w:i w:val="1"/>
          <w:iCs w:val="1"/>
          <w:color w:val="auto"/>
        </w:rPr>
        <w:t>2022-2023 Summary</w:t>
      </w:r>
      <w:r>
        <w:rPr>
          <w:rFonts w:ascii="Arial" w:cs="Arial" w:eastAsia="Arial" w:hAnsi="Arial"/>
          <w:sz w:val="16"/>
          <w:szCs w:val="16"/>
          <w:color w:val="auto"/>
        </w:rPr>
        <w:t xml:space="preserve"> </w:t>
      </w:r>
      <w:r>
        <w:rPr>
          <w:rFonts w:ascii="Arial" w:cs="Arial" w:eastAsia="Arial" w:hAnsi="Arial"/>
          <w:sz w:val="16"/>
          <w:szCs w:val="16"/>
          <w:i w:val="1"/>
          <w:iCs w:val="1"/>
          <w:color w:val="auto"/>
        </w:rPr>
        <w:t>Compensation Table</w:t>
      </w:r>
      <w:r>
        <w:rPr>
          <w:rFonts w:ascii="Arial" w:cs="Arial" w:eastAsia="Arial" w:hAnsi="Arial"/>
          <w:sz w:val="16"/>
          <w:szCs w:val="16"/>
          <w:color w:val="auto"/>
        </w:rPr>
        <w:t>” above.</w:t>
      </w:r>
    </w:p>
    <w:p>
      <w:pPr>
        <w:spacing w:after="0" w:line="187" w:lineRule="exact"/>
        <w:rPr>
          <w:sz w:val="20"/>
          <w:szCs w:val="20"/>
          <w:color w:val="auto"/>
        </w:rPr>
      </w:pPr>
    </w:p>
    <w:p>
      <w:pPr>
        <w:spacing w:after="0"/>
        <w:tabs>
          <w:tab w:leader="none" w:pos="4600" w:val="left"/>
          <w:tab w:leader="none" w:pos="7960" w:val="left"/>
        </w:tabs>
        <w:rPr>
          <w:sz w:val="20"/>
          <w:szCs w:val="20"/>
          <w:color w:val="auto"/>
        </w:rPr>
      </w:pPr>
      <w:r>
        <w:rPr>
          <w:rFonts w:ascii="Arial" w:cs="Arial" w:eastAsia="Arial" w:hAnsi="Arial"/>
          <w:sz w:val="14"/>
          <w:szCs w:val="14"/>
          <w:color w:val="255993"/>
        </w:rPr>
        <w:t>Athira Pharma, Inc.</w:t>
      </w:r>
      <w:r>
        <w:rPr>
          <w:sz w:val="20"/>
          <w:szCs w:val="20"/>
          <w:color w:val="auto"/>
        </w:rPr>
        <w:tab/>
      </w:r>
      <w:r>
        <w:rPr>
          <w:rFonts w:ascii="Arial" w:cs="Arial" w:eastAsia="Arial" w:hAnsi="Arial"/>
          <w:sz w:val="14"/>
          <w:szCs w:val="14"/>
          <w:b w:val="1"/>
          <w:bCs w:val="1"/>
          <w:color w:val="255993"/>
        </w:rPr>
        <w:t>42</w:t>
      </w:r>
      <w:r>
        <w:rPr>
          <w:sz w:val="20"/>
          <w:szCs w:val="20"/>
          <w:color w:val="auto"/>
        </w:rPr>
        <w:tab/>
      </w:r>
      <w:r>
        <w:rPr>
          <w:rFonts w:ascii="Arial" w:cs="Arial" w:eastAsia="Arial" w:hAnsi="Arial"/>
          <w:sz w:val="14"/>
          <w:szCs w:val="14"/>
          <w:color w:val="255993"/>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118110</wp:posOffset>
            </wp:positionV>
            <wp:extent cx="699516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263" w:right="12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38" w:lineRule="exact"/>
        <w:rPr>
          <w:sz w:val="20"/>
          <w:szCs w:val="20"/>
          <w:color w:val="auto"/>
        </w:rPr>
      </w:pPr>
    </w:p>
    <w:p>
      <w:pPr>
        <w:ind w:right="120"/>
        <w:spacing w:after="0" w:line="282" w:lineRule="auto"/>
        <w:rPr>
          <w:sz w:val="20"/>
          <w:szCs w:val="20"/>
          <w:color w:val="auto"/>
        </w:rPr>
      </w:pPr>
      <w:r>
        <w:rPr>
          <w:rFonts w:ascii="Arial" w:cs="Arial" w:eastAsia="Arial" w:hAnsi="Arial"/>
          <w:sz w:val="57"/>
          <w:szCs w:val="57"/>
          <w:color w:val="255993"/>
        </w:rPr>
        <w:t>Security Ownership of Certain Beneficial Owners and Management</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beneficial ownership of our common stock as of March 26, 2024 by:</w:t>
      </w:r>
    </w:p>
    <w:p>
      <w:pPr>
        <w:spacing w:after="0" w:line="167" w:lineRule="exact"/>
        <w:rPr>
          <w:sz w:val="20"/>
          <w:szCs w:val="20"/>
          <w:color w:val="auto"/>
        </w:rPr>
      </w:pPr>
    </w:p>
    <w:p>
      <w:pPr>
        <w:ind w:left="140" w:hanging="134"/>
        <w:spacing w:after="0"/>
        <w:tabs>
          <w:tab w:leader="none" w:pos="140" w:val="left"/>
        </w:tabs>
        <w:numPr>
          <w:ilvl w:val="0"/>
          <w:numId w:val="30"/>
        </w:numPr>
        <w:rPr>
          <w:rFonts w:ascii="Arial" w:cs="Arial" w:eastAsia="Arial" w:hAnsi="Arial"/>
          <w:sz w:val="16"/>
          <w:szCs w:val="16"/>
          <w:color w:val="255993"/>
        </w:rPr>
      </w:pPr>
      <w:r>
        <w:rPr>
          <w:rFonts w:ascii="Arial" w:cs="Arial" w:eastAsia="Arial" w:hAnsi="Arial"/>
          <w:sz w:val="16"/>
          <w:szCs w:val="16"/>
          <w:color w:val="auto"/>
        </w:rPr>
        <w:t>each person, or group of affiliated persons, who is known by us to beneficially own more than 5% of our common stock;</w:t>
      </w:r>
    </w:p>
    <w:p>
      <w:pPr>
        <w:spacing w:after="0" w:line="59" w:lineRule="exact"/>
        <w:rPr>
          <w:rFonts w:ascii="Arial" w:cs="Arial" w:eastAsia="Arial" w:hAnsi="Arial"/>
          <w:sz w:val="16"/>
          <w:szCs w:val="16"/>
          <w:color w:val="255993"/>
        </w:rPr>
      </w:pPr>
    </w:p>
    <w:p>
      <w:pPr>
        <w:ind w:left="140" w:hanging="134"/>
        <w:spacing w:after="0"/>
        <w:tabs>
          <w:tab w:leader="none" w:pos="140" w:val="left"/>
        </w:tabs>
        <w:numPr>
          <w:ilvl w:val="0"/>
          <w:numId w:val="30"/>
        </w:numPr>
        <w:rPr>
          <w:rFonts w:ascii="Arial" w:cs="Arial" w:eastAsia="Arial" w:hAnsi="Arial"/>
          <w:sz w:val="16"/>
          <w:szCs w:val="16"/>
          <w:color w:val="255993"/>
        </w:rPr>
      </w:pPr>
      <w:r>
        <w:rPr>
          <w:rFonts w:ascii="Arial" w:cs="Arial" w:eastAsia="Arial" w:hAnsi="Arial"/>
          <w:sz w:val="16"/>
          <w:szCs w:val="16"/>
          <w:color w:val="auto"/>
        </w:rPr>
        <w:t>each of our named executive officers;</w:t>
      </w:r>
    </w:p>
    <w:p>
      <w:pPr>
        <w:spacing w:after="0" w:line="59" w:lineRule="exact"/>
        <w:rPr>
          <w:rFonts w:ascii="Arial" w:cs="Arial" w:eastAsia="Arial" w:hAnsi="Arial"/>
          <w:sz w:val="16"/>
          <w:szCs w:val="16"/>
          <w:color w:val="255993"/>
        </w:rPr>
      </w:pPr>
    </w:p>
    <w:p>
      <w:pPr>
        <w:ind w:left="140" w:hanging="134"/>
        <w:spacing w:after="0"/>
        <w:tabs>
          <w:tab w:leader="none" w:pos="140" w:val="left"/>
        </w:tabs>
        <w:numPr>
          <w:ilvl w:val="0"/>
          <w:numId w:val="30"/>
        </w:numPr>
        <w:rPr>
          <w:rFonts w:ascii="Arial" w:cs="Arial" w:eastAsia="Arial" w:hAnsi="Arial"/>
          <w:sz w:val="16"/>
          <w:szCs w:val="16"/>
          <w:color w:val="255993"/>
        </w:rPr>
      </w:pPr>
      <w:r>
        <w:rPr>
          <w:rFonts w:ascii="Arial" w:cs="Arial" w:eastAsia="Arial" w:hAnsi="Arial"/>
          <w:sz w:val="16"/>
          <w:szCs w:val="16"/>
          <w:color w:val="auto"/>
        </w:rPr>
        <w:t>each of our directors; and</w:t>
      </w:r>
    </w:p>
    <w:p>
      <w:pPr>
        <w:spacing w:after="0" w:line="59" w:lineRule="exact"/>
        <w:rPr>
          <w:rFonts w:ascii="Arial" w:cs="Arial" w:eastAsia="Arial" w:hAnsi="Arial"/>
          <w:sz w:val="16"/>
          <w:szCs w:val="16"/>
          <w:color w:val="255993"/>
        </w:rPr>
      </w:pPr>
    </w:p>
    <w:p>
      <w:pPr>
        <w:ind w:left="140" w:hanging="134"/>
        <w:spacing w:after="0"/>
        <w:tabs>
          <w:tab w:leader="none" w:pos="140" w:val="left"/>
        </w:tabs>
        <w:numPr>
          <w:ilvl w:val="0"/>
          <w:numId w:val="30"/>
        </w:numPr>
        <w:rPr>
          <w:rFonts w:ascii="Arial" w:cs="Arial" w:eastAsia="Arial" w:hAnsi="Arial"/>
          <w:sz w:val="16"/>
          <w:szCs w:val="16"/>
          <w:color w:val="255993"/>
        </w:rPr>
      </w:pPr>
      <w:r>
        <w:rPr>
          <w:rFonts w:ascii="Arial" w:cs="Arial" w:eastAsia="Arial" w:hAnsi="Arial"/>
          <w:sz w:val="16"/>
          <w:szCs w:val="16"/>
          <w:color w:val="auto"/>
        </w:rPr>
        <w:t>all of our executive officers and directors as a group.</w:t>
      </w:r>
    </w:p>
    <w:p>
      <w:pPr>
        <w:spacing w:after="0" w:line="154"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The percentage of beneficial ownership shown in the table is based upon 38,326,652 shares of common stock outstanding as of March 26, 2024.</w:t>
      </w:r>
    </w:p>
    <w:p>
      <w:pPr>
        <w:spacing w:after="0" w:line="88"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Information with respect to beneficial ownership has been furnished by each director, officer or beneficial owner of more than 5% of our common stock. We have determined beneficial ownership in accordance with the rules of the SEC. These rules generally attribute beneficial ownership of securities to persons who possess sole or shared voting power or investment power with respect to those securities. In addition, the rules take into account shares of common stock issuable pursuant to the exercise or conversion of stock options or warrants or convertible notes that are either immediately exercisable or convertible or exercisable or convertible</w:t>
      </w:r>
    </w:p>
    <w:p>
      <w:pPr>
        <w:ind w:right="20"/>
        <w:spacing w:after="0" w:line="233" w:lineRule="auto"/>
        <w:rPr>
          <w:sz w:val="20"/>
          <w:szCs w:val="20"/>
          <w:color w:val="auto"/>
        </w:rPr>
      </w:pPr>
      <w:r>
        <w:rPr>
          <w:rFonts w:ascii="Arial" w:cs="Arial" w:eastAsia="Arial" w:hAnsi="Arial"/>
          <w:sz w:val="16"/>
          <w:szCs w:val="16"/>
          <w:color w:val="auto"/>
        </w:rPr>
        <w:t>on or before the 60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after March 26, 2024. Certain of the options granted to our executive officers may be exercised prior to the vesting of the underlying shares. These shares are deemed to be outstanding and beneficially owned by the person holding those options for the purpose of computing the percentage ownership of that person, but they are not treated as outstanding for the purpose of computing the percentage ownership of any other person. Unless otherwise indicated, the persons or entities identified in this table have sole voting and investment power with respect to all shares shown as beneficially owned by them, subject to applicable community property laws.</w:t>
      </w:r>
    </w:p>
    <w:p>
      <w:pPr>
        <w:spacing w:after="0" w:line="113"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Except as otherwise noted below, the address for each person or entity listed in the table is c/o Athira Pharma, Inc., 18706 North Creek Parkway, Suite 104, Bothell, Washington 98011.</w:t>
      </w:r>
    </w:p>
    <w:p>
      <w:pPr>
        <w:spacing w:after="0" w:line="160" w:lineRule="exact"/>
        <w:rPr>
          <w:sz w:val="20"/>
          <w:szCs w:val="20"/>
          <w:color w:val="auto"/>
        </w:rPr>
      </w:pPr>
    </w:p>
    <w:p>
      <w:pPr>
        <w:spacing w:after="0"/>
        <w:tabs>
          <w:tab w:leader="none" w:pos="4600" w:val="left"/>
          <w:tab w:leader="none" w:pos="7960" w:val="left"/>
        </w:tabs>
        <w:rPr>
          <w:sz w:val="20"/>
          <w:szCs w:val="20"/>
          <w:color w:val="auto"/>
        </w:rPr>
      </w:pPr>
      <w:r>
        <w:rPr>
          <w:rFonts w:ascii="Arial" w:cs="Arial" w:eastAsia="Arial" w:hAnsi="Arial"/>
          <w:sz w:val="14"/>
          <w:szCs w:val="14"/>
          <w:color w:val="255993"/>
        </w:rPr>
        <w:t>Athira Pharma, Inc.</w:t>
      </w:r>
      <w:r>
        <w:rPr>
          <w:sz w:val="20"/>
          <w:szCs w:val="20"/>
          <w:color w:val="auto"/>
        </w:rPr>
        <w:tab/>
      </w:r>
      <w:r>
        <w:rPr>
          <w:rFonts w:ascii="Arial" w:cs="Arial" w:eastAsia="Arial" w:hAnsi="Arial"/>
          <w:sz w:val="14"/>
          <w:szCs w:val="14"/>
          <w:b w:val="1"/>
          <w:bCs w:val="1"/>
          <w:color w:val="255993"/>
        </w:rPr>
        <w:t>43</w:t>
      </w:r>
      <w:r>
        <w:rPr>
          <w:sz w:val="20"/>
          <w:szCs w:val="20"/>
          <w:color w:val="auto"/>
        </w:rPr>
        <w:tab/>
      </w:r>
      <w:r>
        <w:rPr>
          <w:rFonts w:ascii="Arial" w:cs="Arial" w:eastAsia="Arial" w:hAnsi="Arial"/>
          <w:sz w:val="14"/>
          <w:szCs w:val="14"/>
          <w:color w:val="255993"/>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126365</wp:posOffset>
            </wp:positionV>
            <wp:extent cx="699516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263" w:right="12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255993"/>
        </w:rPr>
        <w:t>Security Ownership of Certain Beneficial Owners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74930</wp:posOffset>
            </wp:positionV>
            <wp:extent cx="5966460" cy="6515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966460" cy="651510"/>
                    </a:xfrm>
                    <a:prstGeom prst="rect">
                      <a:avLst/>
                    </a:prstGeom>
                    <a:noFill/>
                  </pic:spPr>
                </pic:pic>
              </a:graphicData>
            </a:graphic>
          </wp:anchor>
        </w:drawing>
      </w:r>
    </w:p>
    <w:p>
      <w:pPr>
        <w:spacing w:after="0" w:line="24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FFFFFF"/>
        </w:rPr>
        <w:t>Shares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7100" w:type="dxa"/>
            <w:vAlign w:val="bottom"/>
          </w:tcPr>
          <w:p>
            <w:pPr>
              <w:spacing w:after="0"/>
              <w:rPr>
                <w:sz w:val="24"/>
                <w:szCs w:val="24"/>
                <w:color w:val="auto"/>
              </w:rPr>
            </w:pPr>
          </w:p>
        </w:tc>
        <w:tc>
          <w:tcPr>
            <w:tcW w:w="1240" w:type="dxa"/>
            <w:vAlign w:val="bottom"/>
            <w:gridSpan w:val="2"/>
            <w:shd w:val="clear" w:color="auto" w:fill="255993"/>
          </w:tcPr>
          <w:p>
            <w:pPr>
              <w:jc w:val="right"/>
              <w:ind w:right="67"/>
              <w:spacing w:after="0"/>
              <w:rPr>
                <w:sz w:val="20"/>
                <w:szCs w:val="20"/>
                <w:color w:val="auto"/>
              </w:rPr>
            </w:pPr>
            <w:r>
              <w:rPr>
                <w:rFonts w:ascii="Arial" w:cs="Arial" w:eastAsia="Arial" w:hAnsi="Arial"/>
                <w:sz w:val="16"/>
                <w:szCs w:val="16"/>
                <w:b w:val="1"/>
                <w:bCs w:val="1"/>
                <w:color w:val="FFFFFF"/>
              </w:rPr>
              <w:t>Number of</w:t>
            </w:r>
          </w:p>
        </w:tc>
        <w:tc>
          <w:tcPr>
            <w:tcW w:w="1060" w:type="dxa"/>
            <w:vAlign w:val="bottom"/>
            <w:shd w:val="clear" w:color="auto" w:fill="255993"/>
          </w:tcPr>
          <w:p>
            <w:pPr>
              <w:jc w:val="right"/>
              <w:spacing w:after="0"/>
              <w:rPr>
                <w:sz w:val="20"/>
                <w:szCs w:val="20"/>
                <w:color w:val="auto"/>
              </w:rPr>
            </w:pPr>
            <w:r>
              <w:rPr>
                <w:rFonts w:ascii="Arial" w:cs="Arial" w:eastAsia="Arial" w:hAnsi="Arial"/>
                <w:sz w:val="16"/>
                <w:szCs w:val="16"/>
                <w:b w:val="1"/>
                <w:bCs w:val="1"/>
                <w:color w:val="FFFFFF"/>
              </w:rPr>
              <w:t>Percentage</w:t>
            </w:r>
          </w:p>
        </w:tc>
      </w:tr>
      <w:tr>
        <w:trPr>
          <w:trHeight w:val="223"/>
        </w:trPr>
        <w:tc>
          <w:tcPr>
            <w:tcW w:w="7100" w:type="dxa"/>
            <w:vAlign w:val="bottom"/>
          </w:tcPr>
          <w:p>
            <w:pPr>
              <w:spacing w:after="0"/>
              <w:rPr>
                <w:sz w:val="19"/>
                <w:szCs w:val="19"/>
                <w:color w:val="auto"/>
              </w:rPr>
            </w:pPr>
          </w:p>
        </w:tc>
        <w:tc>
          <w:tcPr>
            <w:tcW w:w="520" w:type="dxa"/>
            <w:vAlign w:val="bottom"/>
            <w:shd w:val="clear" w:color="auto" w:fill="255993"/>
          </w:tcPr>
          <w:p>
            <w:pPr>
              <w:spacing w:after="0"/>
              <w:rPr>
                <w:sz w:val="19"/>
                <w:szCs w:val="19"/>
                <w:color w:val="auto"/>
              </w:rPr>
            </w:pPr>
          </w:p>
        </w:tc>
        <w:tc>
          <w:tcPr>
            <w:tcW w:w="720" w:type="dxa"/>
            <w:vAlign w:val="bottom"/>
            <w:shd w:val="clear" w:color="auto" w:fill="255993"/>
          </w:tcPr>
          <w:p>
            <w:pPr>
              <w:jc w:val="right"/>
              <w:ind w:right="67"/>
              <w:spacing w:after="0"/>
              <w:rPr>
                <w:sz w:val="20"/>
                <w:szCs w:val="20"/>
                <w:color w:val="auto"/>
              </w:rPr>
            </w:pPr>
            <w:r>
              <w:rPr>
                <w:rFonts w:ascii="Arial" w:cs="Arial" w:eastAsia="Arial" w:hAnsi="Arial"/>
                <w:sz w:val="16"/>
                <w:szCs w:val="16"/>
                <w:b w:val="1"/>
                <w:bCs w:val="1"/>
                <w:color w:val="FFFFFF"/>
              </w:rPr>
              <w:t>Shares</w:t>
            </w:r>
          </w:p>
        </w:tc>
        <w:tc>
          <w:tcPr>
            <w:tcW w:w="1060" w:type="dxa"/>
            <w:vAlign w:val="bottom"/>
            <w:shd w:val="clear" w:color="auto" w:fill="255993"/>
          </w:tcPr>
          <w:p>
            <w:pPr>
              <w:jc w:val="right"/>
              <w:spacing w:after="0"/>
              <w:rPr>
                <w:sz w:val="20"/>
                <w:szCs w:val="20"/>
                <w:color w:val="auto"/>
              </w:rPr>
            </w:pPr>
            <w:r>
              <w:rPr>
                <w:rFonts w:ascii="Arial" w:cs="Arial" w:eastAsia="Arial" w:hAnsi="Arial"/>
                <w:sz w:val="16"/>
                <w:szCs w:val="16"/>
                <w:b w:val="1"/>
                <w:bCs w:val="1"/>
                <w:color w:val="FFFFFF"/>
              </w:rPr>
              <w:t>(%)</w:t>
            </w:r>
          </w:p>
        </w:tc>
      </w:tr>
      <w:tr>
        <w:trPr>
          <w:trHeight w:val="62"/>
        </w:trPr>
        <w:tc>
          <w:tcPr>
            <w:tcW w:w="7100" w:type="dxa"/>
            <w:vAlign w:val="bottom"/>
          </w:tcPr>
          <w:p>
            <w:pPr>
              <w:spacing w:after="0"/>
              <w:rPr>
                <w:sz w:val="5"/>
                <w:szCs w:val="5"/>
                <w:color w:val="auto"/>
              </w:rPr>
            </w:pPr>
          </w:p>
        </w:tc>
        <w:tc>
          <w:tcPr>
            <w:tcW w:w="520" w:type="dxa"/>
            <w:vAlign w:val="bottom"/>
            <w:shd w:val="clear" w:color="auto" w:fill="255993"/>
          </w:tcPr>
          <w:p>
            <w:pPr>
              <w:spacing w:after="0"/>
              <w:rPr>
                <w:sz w:val="5"/>
                <w:szCs w:val="5"/>
                <w:color w:val="auto"/>
              </w:rPr>
            </w:pPr>
          </w:p>
        </w:tc>
        <w:tc>
          <w:tcPr>
            <w:tcW w:w="720" w:type="dxa"/>
            <w:vAlign w:val="bottom"/>
            <w:shd w:val="clear" w:color="auto" w:fill="255993"/>
          </w:tcPr>
          <w:p>
            <w:pPr>
              <w:spacing w:after="0"/>
              <w:rPr>
                <w:sz w:val="5"/>
                <w:szCs w:val="5"/>
                <w:color w:val="auto"/>
              </w:rPr>
            </w:pPr>
          </w:p>
        </w:tc>
        <w:tc>
          <w:tcPr>
            <w:tcW w:w="1060" w:type="dxa"/>
            <w:vAlign w:val="bottom"/>
            <w:shd w:val="clear" w:color="auto" w:fill="255993"/>
          </w:tcPr>
          <w:p>
            <w:pPr>
              <w:spacing w:after="0"/>
              <w:rPr>
                <w:sz w:val="5"/>
                <w:szCs w:val="5"/>
                <w:color w:val="auto"/>
              </w:rPr>
            </w:pPr>
          </w:p>
        </w:tc>
      </w:tr>
      <w:tr>
        <w:trPr>
          <w:trHeight w:val="303"/>
        </w:trPr>
        <w:tc>
          <w:tcPr>
            <w:tcW w:w="7100" w:type="dxa"/>
            <w:vAlign w:val="bottom"/>
            <w:shd w:val="clear" w:color="auto" w:fill="EBEBEB"/>
          </w:tcPr>
          <w:p>
            <w:pPr>
              <w:ind w:left="60"/>
              <w:spacing w:after="0"/>
              <w:rPr>
                <w:sz w:val="20"/>
                <w:szCs w:val="20"/>
                <w:color w:val="auto"/>
              </w:rPr>
            </w:pPr>
            <w:r>
              <w:rPr>
                <w:rFonts w:ascii="Arial" w:cs="Arial" w:eastAsia="Arial" w:hAnsi="Arial"/>
                <w:sz w:val="16"/>
                <w:szCs w:val="16"/>
                <w:b w:val="1"/>
                <w:bCs w:val="1"/>
                <w:color w:val="255993"/>
              </w:rPr>
              <w:t>5% AND GREATER STOCKHOLDERS:</w:t>
            </w:r>
          </w:p>
        </w:tc>
        <w:tc>
          <w:tcPr>
            <w:tcW w:w="520" w:type="dxa"/>
            <w:vAlign w:val="bottom"/>
            <w:shd w:val="clear" w:color="auto" w:fill="EBEBEB"/>
          </w:tcPr>
          <w:p>
            <w:pPr>
              <w:spacing w:after="0"/>
              <w:rPr>
                <w:sz w:val="24"/>
                <w:szCs w:val="24"/>
                <w:color w:val="auto"/>
              </w:rPr>
            </w:pPr>
          </w:p>
        </w:tc>
        <w:tc>
          <w:tcPr>
            <w:tcW w:w="720" w:type="dxa"/>
            <w:vAlign w:val="bottom"/>
            <w:shd w:val="clear" w:color="auto" w:fill="EBEBEB"/>
          </w:tcPr>
          <w:p>
            <w:pPr>
              <w:spacing w:after="0"/>
              <w:rPr>
                <w:sz w:val="24"/>
                <w:szCs w:val="24"/>
                <w:color w:val="auto"/>
              </w:rPr>
            </w:pPr>
          </w:p>
        </w:tc>
        <w:tc>
          <w:tcPr>
            <w:tcW w:w="1060" w:type="dxa"/>
            <w:vAlign w:val="bottom"/>
            <w:shd w:val="clear" w:color="auto" w:fill="EBEBEB"/>
          </w:tcPr>
          <w:p>
            <w:pPr>
              <w:spacing w:after="0"/>
              <w:rPr>
                <w:sz w:val="24"/>
                <w:szCs w:val="24"/>
                <w:color w:val="auto"/>
              </w:rPr>
            </w:pPr>
          </w:p>
        </w:tc>
      </w:tr>
      <w:tr>
        <w:trPr>
          <w:trHeight w:val="61"/>
        </w:trPr>
        <w:tc>
          <w:tcPr>
            <w:tcW w:w="7100" w:type="dxa"/>
            <w:vAlign w:val="bottom"/>
            <w:shd w:val="clear" w:color="auto" w:fill="EBEBEB"/>
          </w:tcPr>
          <w:p>
            <w:pPr>
              <w:spacing w:after="0"/>
              <w:rPr>
                <w:sz w:val="5"/>
                <w:szCs w:val="5"/>
                <w:color w:val="auto"/>
              </w:rPr>
            </w:pPr>
          </w:p>
        </w:tc>
        <w:tc>
          <w:tcPr>
            <w:tcW w:w="1240" w:type="dxa"/>
            <w:vAlign w:val="bottom"/>
            <w:gridSpan w:val="2"/>
            <w:shd w:val="clear" w:color="auto" w:fill="EBEBEB"/>
          </w:tcPr>
          <w:p>
            <w:pPr>
              <w:spacing w:after="0"/>
              <w:rPr>
                <w:sz w:val="5"/>
                <w:szCs w:val="5"/>
                <w:color w:val="auto"/>
              </w:rPr>
            </w:pPr>
          </w:p>
        </w:tc>
        <w:tc>
          <w:tcPr>
            <w:tcW w:w="1060" w:type="dxa"/>
            <w:vAlign w:val="bottom"/>
            <w:shd w:val="clear" w:color="auto" w:fill="EBEBEB"/>
          </w:tcPr>
          <w:p>
            <w:pPr>
              <w:spacing w:after="0"/>
              <w:rPr>
                <w:sz w:val="5"/>
                <w:szCs w:val="5"/>
                <w:color w:val="auto"/>
              </w:rPr>
            </w:pPr>
          </w:p>
        </w:tc>
      </w:tr>
      <w:tr>
        <w:trPr>
          <w:trHeight w:val="365"/>
        </w:trPr>
        <w:tc>
          <w:tcPr>
            <w:tcW w:w="7100" w:type="dxa"/>
            <w:vAlign w:val="bottom"/>
            <w:shd w:val="clear" w:color="auto" w:fill="FAFAFA"/>
          </w:tcPr>
          <w:p>
            <w:pPr>
              <w:ind w:left="60"/>
              <w:spacing w:after="0"/>
              <w:rPr>
                <w:sz w:val="20"/>
                <w:szCs w:val="20"/>
                <w:color w:val="auto"/>
              </w:rPr>
            </w:pPr>
            <w:r>
              <w:rPr>
                <w:rFonts w:ascii="Arial" w:cs="Arial" w:eastAsia="Arial" w:hAnsi="Arial"/>
                <w:sz w:val="14"/>
                <w:szCs w:val="14"/>
                <w:b w:val="1"/>
                <w:bCs w:val="1"/>
                <w:color w:val="auto"/>
              </w:rPr>
              <w:t>Perceptive Life Sciences Master Fund Ltd.</w:t>
            </w:r>
            <w:r>
              <w:rPr>
                <w:rFonts w:ascii="Arial" w:cs="Arial" w:eastAsia="Arial" w:hAnsi="Arial"/>
                <w:sz w:val="23"/>
                <w:szCs w:val="23"/>
                <w:b w:val="1"/>
                <w:bCs w:val="1"/>
                <w:color w:val="auto"/>
                <w:vertAlign w:val="superscript"/>
              </w:rPr>
              <w:t>(1)</w:t>
            </w:r>
          </w:p>
        </w:tc>
        <w:tc>
          <w:tcPr>
            <w:tcW w:w="1240" w:type="dxa"/>
            <w:vAlign w:val="bottom"/>
            <w:gridSpan w:val="2"/>
            <w:shd w:val="clear" w:color="auto" w:fill="FAFAFA"/>
          </w:tcPr>
          <w:p>
            <w:pPr>
              <w:jc w:val="right"/>
              <w:ind w:right="67"/>
              <w:spacing w:after="0"/>
              <w:rPr>
                <w:sz w:val="20"/>
                <w:szCs w:val="20"/>
                <w:color w:val="auto"/>
              </w:rPr>
            </w:pPr>
            <w:r>
              <w:rPr>
                <w:rFonts w:ascii="Arial" w:cs="Arial" w:eastAsia="Arial" w:hAnsi="Arial"/>
                <w:sz w:val="14"/>
                <w:szCs w:val="14"/>
                <w:color w:val="auto"/>
              </w:rPr>
              <w:t>5,402,964</w:t>
            </w:r>
          </w:p>
        </w:tc>
        <w:tc>
          <w:tcPr>
            <w:tcW w:w="1060" w:type="dxa"/>
            <w:vAlign w:val="bottom"/>
            <w:shd w:val="clear" w:color="auto" w:fill="FAFAFA"/>
          </w:tcPr>
          <w:p>
            <w:pPr>
              <w:jc w:val="right"/>
              <w:spacing w:after="0"/>
              <w:rPr>
                <w:sz w:val="20"/>
                <w:szCs w:val="20"/>
                <w:color w:val="auto"/>
              </w:rPr>
            </w:pPr>
            <w:r>
              <w:rPr>
                <w:rFonts w:ascii="Arial" w:cs="Arial" w:eastAsia="Arial" w:hAnsi="Arial"/>
                <w:sz w:val="14"/>
                <w:szCs w:val="14"/>
                <w:color w:val="auto"/>
              </w:rPr>
              <w:t>14.1</w:t>
            </w:r>
          </w:p>
        </w:tc>
      </w:tr>
      <w:tr>
        <w:trPr>
          <w:trHeight w:val="364"/>
        </w:trPr>
        <w:tc>
          <w:tcPr>
            <w:tcW w:w="7100" w:type="dxa"/>
            <w:vAlign w:val="bottom"/>
            <w:shd w:val="clear" w:color="auto" w:fill="EBEBEB"/>
          </w:tcPr>
          <w:p>
            <w:pPr>
              <w:ind w:left="60"/>
              <w:spacing w:after="0"/>
              <w:rPr>
                <w:sz w:val="20"/>
                <w:szCs w:val="20"/>
                <w:color w:val="auto"/>
              </w:rPr>
            </w:pPr>
            <w:r>
              <w:rPr>
                <w:rFonts w:ascii="Arial" w:cs="Arial" w:eastAsia="Arial" w:hAnsi="Arial"/>
                <w:sz w:val="14"/>
                <w:szCs w:val="14"/>
                <w:b w:val="1"/>
                <w:bCs w:val="1"/>
                <w:color w:val="auto"/>
              </w:rPr>
              <w:t>Entities affiliated with Baker Bros. Advisors LP</w:t>
            </w:r>
            <w:r>
              <w:rPr>
                <w:rFonts w:ascii="Arial" w:cs="Arial" w:eastAsia="Arial" w:hAnsi="Arial"/>
                <w:sz w:val="23"/>
                <w:szCs w:val="23"/>
                <w:b w:val="1"/>
                <w:bCs w:val="1"/>
                <w:color w:val="auto"/>
                <w:vertAlign w:val="superscript"/>
              </w:rPr>
              <w:t>(2)</w:t>
            </w:r>
          </w:p>
        </w:tc>
        <w:tc>
          <w:tcPr>
            <w:tcW w:w="1240" w:type="dxa"/>
            <w:vAlign w:val="bottom"/>
            <w:gridSpan w:val="2"/>
            <w:shd w:val="clear" w:color="auto" w:fill="EBEBEB"/>
          </w:tcPr>
          <w:p>
            <w:pPr>
              <w:jc w:val="right"/>
              <w:ind w:right="67"/>
              <w:spacing w:after="0"/>
              <w:rPr>
                <w:sz w:val="20"/>
                <w:szCs w:val="20"/>
                <w:color w:val="auto"/>
              </w:rPr>
            </w:pPr>
            <w:r>
              <w:rPr>
                <w:rFonts w:ascii="Arial" w:cs="Arial" w:eastAsia="Arial" w:hAnsi="Arial"/>
                <w:sz w:val="14"/>
                <w:szCs w:val="14"/>
                <w:color w:val="auto"/>
              </w:rPr>
              <w:t>3,153,807</w:t>
            </w:r>
          </w:p>
        </w:tc>
        <w:tc>
          <w:tcPr>
            <w:tcW w:w="1060" w:type="dxa"/>
            <w:vAlign w:val="bottom"/>
            <w:shd w:val="clear" w:color="auto" w:fill="EBEBEB"/>
          </w:tcPr>
          <w:p>
            <w:pPr>
              <w:jc w:val="right"/>
              <w:spacing w:after="0"/>
              <w:rPr>
                <w:sz w:val="20"/>
                <w:szCs w:val="20"/>
                <w:color w:val="auto"/>
              </w:rPr>
            </w:pPr>
            <w:r>
              <w:rPr>
                <w:rFonts w:ascii="Arial" w:cs="Arial" w:eastAsia="Arial" w:hAnsi="Arial"/>
                <w:sz w:val="14"/>
                <w:szCs w:val="14"/>
                <w:color w:val="auto"/>
              </w:rPr>
              <w:t>8.2</w:t>
            </w:r>
          </w:p>
        </w:tc>
      </w:tr>
      <w:tr>
        <w:trPr>
          <w:trHeight w:val="364"/>
        </w:trPr>
        <w:tc>
          <w:tcPr>
            <w:tcW w:w="7100" w:type="dxa"/>
            <w:vAlign w:val="bottom"/>
            <w:shd w:val="clear" w:color="auto" w:fill="FAFAFA"/>
          </w:tcPr>
          <w:p>
            <w:pPr>
              <w:ind w:left="60"/>
              <w:spacing w:after="0"/>
              <w:rPr>
                <w:sz w:val="20"/>
                <w:szCs w:val="20"/>
                <w:color w:val="auto"/>
              </w:rPr>
            </w:pPr>
            <w:r>
              <w:rPr>
                <w:rFonts w:ascii="Arial" w:cs="Arial" w:eastAsia="Arial" w:hAnsi="Arial"/>
                <w:sz w:val="14"/>
                <w:szCs w:val="14"/>
                <w:b w:val="1"/>
                <w:bCs w:val="1"/>
                <w:color w:val="auto"/>
              </w:rPr>
              <w:t>Richard A. Kayne</w:t>
            </w:r>
            <w:r>
              <w:rPr>
                <w:rFonts w:ascii="Arial" w:cs="Arial" w:eastAsia="Arial" w:hAnsi="Arial"/>
                <w:sz w:val="23"/>
                <w:szCs w:val="23"/>
                <w:b w:val="1"/>
                <w:bCs w:val="1"/>
                <w:color w:val="auto"/>
                <w:vertAlign w:val="superscript"/>
              </w:rPr>
              <w:t>(3)</w:t>
            </w:r>
          </w:p>
        </w:tc>
        <w:tc>
          <w:tcPr>
            <w:tcW w:w="1240" w:type="dxa"/>
            <w:vAlign w:val="bottom"/>
            <w:gridSpan w:val="2"/>
            <w:shd w:val="clear" w:color="auto" w:fill="FAFAFA"/>
          </w:tcPr>
          <w:p>
            <w:pPr>
              <w:jc w:val="right"/>
              <w:ind w:right="67"/>
              <w:spacing w:after="0"/>
              <w:rPr>
                <w:sz w:val="20"/>
                <w:szCs w:val="20"/>
                <w:color w:val="auto"/>
              </w:rPr>
            </w:pPr>
            <w:r>
              <w:rPr>
                <w:rFonts w:ascii="Arial" w:cs="Arial" w:eastAsia="Arial" w:hAnsi="Arial"/>
                <w:sz w:val="14"/>
                <w:szCs w:val="14"/>
                <w:color w:val="auto"/>
              </w:rPr>
              <w:t>1,983,468</w:t>
            </w:r>
          </w:p>
        </w:tc>
        <w:tc>
          <w:tcPr>
            <w:tcW w:w="1060" w:type="dxa"/>
            <w:vAlign w:val="bottom"/>
            <w:shd w:val="clear" w:color="auto" w:fill="FAFAFA"/>
          </w:tcPr>
          <w:p>
            <w:pPr>
              <w:jc w:val="right"/>
              <w:spacing w:after="0"/>
              <w:rPr>
                <w:sz w:val="20"/>
                <w:szCs w:val="20"/>
                <w:color w:val="auto"/>
              </w:rPr>
            </w:pPr>
            <w:r>
              <w:rPr>
                <w:rFonts w:ascii="Arial" w:cs="Arial" w:eastAsia="Arial" w:hAnsi="Arial"/>
                <w:sz w:val="14"/>
                <w:szCs w:val="14"/>
                <w:color w:val="auto"/>
              </w:rPr>
              <w:t>5.2</w:t>
            </w:r>
          </w:p>
        </w:tc>
      </w:tr>
      <w:tr>
        <w:trPr>
          <w:trHeight w:val="303"/>
        </w:trPr>
        <w:tc>
          <w:tcPr>
            <w:tcW w:w="7100" w:type="dxa"/>
            <w:vAlign w:val="bottom"/>
            <w:shd w:val="clear" w:color="auto" w:fill="EBEBEB"/>
          </w:tcPr>
          <w:p>
            <w:pPr>
              <w:ind w:left="60"/>
              <w:spacing w:after="0"/>
              <w:rPr>
                <w:sz w:val="20"/>
                <w:szCs w:val="20"/>
                <w:color w:val="auto"/>
              </w:rPr>
            </w:pPr>
            <w:r>
              <w:rPr>
                <w:rFonts w:ascii="Arial" w:cs="Arial" w:eastAsia="Arial" w:hAnsi="Arial"/>
                <w:sz w:val="16"/>
                <w:szCs w:val="16"/>
                <w:b w:val="1"/>
                <w:bCs w:val="1"/>
                <w:color w:val="255993"/>
              </w:rPr>
              <w:t>NAMED EXECUTIVE OFFICERS AND DIRECTORS:</w:t>
            </w:r>
          </w:p>
        </w:tc>
        <w:tc>
          <w:tcPr>
            <w:tcW w:w="520" w:type="dxa"/>
            <w:vAlign w:val="bottom"/>
            <w:shd w:val="clear" w:color="auto" w:fill="EBEBEB"/>
          </w:tcPr>
          <w:p>
            <w:pPr>
              <w:spacing w:after="0"/>
              <w:rPr>
                <w:sz w:val="24"/>
                <w:szCs w:val="24"/>
                <w:color w:val="auto"/>
              </w:rPr>
            </w:pPr>
          </w:p>
        </w:tc>
        <w:tc>
          <w:tcPr>
            <w:tcW w:w="720" w:type="dxa"/>
            <w:vAlign w:val="bottom"/>
            <w:shd w:val="clear" w:color="auto" w:fill="EBEBEB"/>
          </w:tcPr>
          <w:p>
            <w:pPr>
              <w:spacing w:after="0"/>
              <w:rPr>
                <w:sz w:val="24"/>
                <w:szCs w:val="24"/>
                <w:color w:val="auto"/>
              </w:rPr>
            </w:pPr>
          </w:p>
        </w:tc>
        <w:tc>
          <w:tcPr>
            <w:tcW w:w="1060" w:type="dxa"/>
            <w:vAlign w:val="bottom"/>
            <w:shd w:val="clear" w:color="auto" w:fill="EBEBEB"/>
          </w:tcPr>
          <w:p>
            <w:pPr>
              <w:spacing w:after="0"/>
              <w:rPr>
                <w:sz w:val="24"/>
                <w:szCs w:val="24"/>
                <w:color w:val="auto"/>
              </w:rPr>
            </w:pPr>
          </w:p>
        </w:tc>
      </w:tr>
      <w:tr>
        <w:trPr>
          <w:trHeight w:val="62"/>
        </w:trPr>
        <w:tc>
          <w:tcPr>
            <w:tcW w:w="7100" w:type="dxa"/>
            <w:vAlign w:val="bottom"/>
            <w:shd w:val="clear" w:color="auto" w:fill="EBEBEB"/>
          </w:tcPr>
          <w:p>
            <w:pPr>
              <w:spacing w:after="0"/>
              <w:rPr>
                <w:sz w:val="5"/>
                <w:szCs w:val="5"/>
                <w:color w:val="auto"/>
              </w:rPr>
            </w:pPr>
          </w:p>
        </w:tc>
        <w:tc>
          <w:tcPr>
            <w:tcW w:w="520" w:type="dxa"/>
            <w:vAlign w:val="bottom"/>
            <w:shd w:val="clear" w:color="auto" w:fill="EBEBEB"/>
          </w:tcPr>
          <w:p>
            <w:pPr>
              <w:spacing w:after="0"/>
              <w:rPr>
                <w:sz w:val="5"/>
                <w:szCs w:val="5"/>
                <w:color w:val="auto"/>
              </w:rPr>
            </w:pPr>
          </w:p>
        </w:tc>
        <w:tc>
          <w:tcPr>
            <w:tcW w:w="720" w:type="dxa"/>
            <w:vAlign w:val="bottom"/>
            <w:shd w:val="clear" w:color="auto" w:fill="EBEBEB"/>
          </w:tcPr>
          <w:p>
            <w:pPr>
              <w:spacing w:after="0"/>
              <w:rPr>
                <w:sz w:val="5"/>
                <w:szCs w:val="5"/>
                <w:color w:val="auto"/>
              </w:rPr>
            </w:pPr>
          </w:p>
        </w:tc>
        <w:tc>
          <w:tcPr>
            <w:tcW w:w="1060" w:type="dxa"/>
            <w:vAlign w:val="bottom"/>
            <w:shd w:val="clear" w:color="auto" w:fill="EBEBEB"/>
          </w:tcPr>
          <w:p>
            <w:pPr>
              <w:spacing w:after="0"/>
              <w:rPr>
                <w:sz w:val="5"/>
                <w:szCs w:val="5"/>
                <w:color w:val="auto"/>
              </w:rPr>
            </w:pPr>
          </w:p>
        </w:tc>
      </w:tr>
      <w:tr>
        <w:trPr>
          <w:trHeight w:val="364"/>
        </w:trPr>
        <w:tc>
          <w:tcPr>
            <w:tcW w:w="7100" w:type="dxa"/>
            <w:vAlign w:val="bottom"/>
            <w:shd w:val="clear" w:color="auto" w:fill="FAFAFA"/>
          </w:tcPr>
          <w:p>
            <w:pPr>
              <w:ind w:left="60"/>
              <w:spacing w:after="0"/>
              <w:rPr>
                <w:sz w:val="20"/>
                <w:szCs w:val="20"/>
                <w:color w:val="auto"/>
              </w:rPr>
            </w:pPr>
            <w:r>
              <w:rPr>
                <w:rFonts w:ascii="Arial" w:cs="Arial" w:eastAsia="Arial" w:hAnsi="Arial"/>
                <w:sz w:val="14"/>
                <w:szCs w:val="14"/>
                <w:b w:val="1"/>
                <w:bCs w:val="1"/>
                <w:color w:val="auto"/>
              </w:rPr>
              <w:t>Mark Litton</w:t>
            </w:r>
            <w:r>
              <w:rPr>
                <w:rFonts w:ascii="Arial" w:cs="Arial" w:eastAsia="Arial" w:hAnsi="Arial"/>
                <w:sz w:val="23"/>
                <w:szCs w:val="23"/>
                <w:b w:val="1"/>
                <w:bCs w:val="1"/>
                <w:color w:val="auto"/>
                <w:vertAlign w:val="superscript"/>
              </w:rPr>
              <w:t>(4)</w:t>
            </w:r>
          </w:p>
        </w:tc>
        <w:tc>
          <w:tcPr>
            <w:tcW w:w="520" w:type="dxa"/>
            <w:vAlign w:val="bottom"/>
            <w:shd w:val="clear" w:color="auto" w:fill="FAFAFA"/>
          </w:tcPr>
          <w:p>
            <w:pPr>
              <w:ind w:left="440"/>
              <w:spacing w:after="0"/>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FAFAFA"/>
          </w:tcPr>
          <w:p>
            <w:pPr>
              <w:jc w:val="right"/>
              <w:ind w:right="67"/>
              <w:spacing w:after="0"/>
              <w:rPr>
                <w:sz w:val="20"/>
                <w:szCs w:val="20"/>
                <w:color w:val="auto"/>
              </w:rPr>
            </w:pPr>
            <w:r>
              <w:rPr>
                <w:rFonts w:ascii="Arial" w:cs="Arial" w:eastAsia="Arial" w:hAnsi="Arial"/>
                <w:sz w:val="14"/>
                <w:szCs w:val="14"/>
                <w:color w:val="auto"/>
              </w:rPr>
              <w:t>806,416</w:t>
            </w:r>
          </w:p>
        </w:tc>
        <w:tc>
          <w:tcPr>
            <w:tcW w:w="1060" w:type="dxa"/>
            <w:vAlign w:val="bottom"/>
            <w:shd w:val="clear" w:color="auto" w:fill="FAFAFA"/>
          </w:tcPr>
          <w:p>
            <w:pPr>
              <w:jc w:val="right"/>
              <w:spacing w:after="0"/>
              <w:rPr>
                <w:sz w:val="20"/>
                <w:szCs w:val="20"/>
                <w:color w:val="auto"/>
              </w:rPr>
            </w:pPr>
            <w:r>
              <w:rPr>
                <w:rFonts w:ascii="Arial" w:cs="Arial" w:eastAsia="Arial" w:hAnsi="Arial"/>
                <w:sz w:val="14"/>
                <w:szCs w:val="14"/>
                <w:color w:val="auto"/>
              </w:rPr>
              <w:t>2.1</w:t>
            </w:r>
          </w:p>
        </w:tc>
      </w:tr>
      <w:tr>
        <w:trPr>
          <w:trHeight w:val="365"/>
        </w:trPr>
        <w:tc>
          <w:tcPr>
            <w:tcW w:w="7100" w:type="dxa"/>
            <w:vAlign w:val="bottom"/>
            <w:shd w:val="clear" w:color="auto" w:fill="EBEBEB"/>
          </w:tcPr>
          <w:p>
            <w:pPr>
              <w:ind w:left="60"/>
              <w:spacing w:after="0"/>
              <w:rPr>
                <w:sz w:val="20"/>
                <w:szCs w:val="20"/>
                <w:color w:val="auto"/>
              </w:rPr>
            </w:pPr>
            <w:r>
              <w:rPr>
                <w:rFonts w:ascii="Arial" w:cs="Arial" w:eastAsia="Arial" w:hAnsi="Arial"/>
                <w:sz w:val="14"/>
                <w:szCs w:val="14"/>
                <w:b w:val="1"/>
                <w:bCs w:val="1"/>
                <w:color w:val="auto"/>
              </w:rPr>
              <w:t>Andrew Gengos</w:t>
            </w:r>
            <w:r>
              <w:rPr>
                <w:rFonts w:ascii="Arial" w:cs="Arial" w:eastAsia="Arial" w:hAnsi="Arial"/>
                <w:sz w:val="23"/>
                <w:szCs w:val="23"/>
                <w:b w:val="1"/>
                <w:bCs w:val="1"/>
                <w:color w:val="auto"/>
                <w:vertAlign w:val="superscript"/>
              </w:rPr>
              <w:t>(5)</w:t>
            </w:r>
          </w:p>
        </w:tc>
        <w:tc>
          <w:tcPr>
            <w:tcW w:w="520" w:type="dxa"/>
            <w:vAlign w:val="bottom"/>
            <w:shd w:val="clear" w:color="auto" w:fill="EBEBEB"/>
          </w:tcPr>
          <w:p>
            <w:pPr>
              <w:ind w:left="440"/>
              <w:spacing w:after="0"/>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EBEBEB"/>
          </w:tcPr>
          <w:p>
            <w:pPr>
              <w:jc w:val="right"/>
              <w:ind w:right="67"/>
              <w:spacing w:after="0"/>
              <w:rPr>
                <w:sz w:val="20"/>
                <w:szCs w:val="20"/>
                <w:color w:val="auto"/>
              </w:rPr>
            </w:pPr>
            <w:r>
              <w:rPr>
                <w:rFonts w:ascii="Arial" w:cs="Arial" w:eastAsia="Arial" w:hAnsi="Arial"/>
                <w:sz w:val="14"/>
                <w:szCs w:val="14"/>
                <w:color w:val="auto"/>
              </w:rPr>
              <w:t>234,637</w:t>
            </w:r>
          </w:p>
        </w:tc>
        <w:tc>
          <w:tcPr>
            <w:tcW w:w="1060" w:type="dxa"/>
            <w:vAlign w:val="bottom"/>
            <w:shd w:val="clear" w:color="auto" w:fill="EBEBEB"/>
          </w:tcPr>
          <w:p>
            <w:pPr>
              <w:jc w:val="right"/>
              <w:spacing w:after="0"/>
              <w:rPr>
                <w:sz w:val="20"/>
                <w:szCs w:val="20"/>
                <w:color w:val="auto"/>
              </w:rPr>
            </w:pPr>
            <w:r>
              <w:rPr>
                <w:rFonts w:ascii="Arial" w:cs="Arial" w:eastAsia="Arial" w:hAnsi="Arial"/>
                <w:sz w:val="14"/>
                <w:szCs w:val="14"/>
                <w:color w:val="auto"/>
              </w:rPr>
              <w:t>*</w:t>
            </w:r>
          </w:p>
        </w:tc>
      </w:tr>
      <w:tr>
        <w:trPr>
          <w:trHeight w:val="364"/>
        </w:trPr>
        <w:tc>
          <w:tcPr>
            <w:tcW w:w="7100" w:type="dxa"/>
            <w:vAlign w:val="bottom"/>
            <w:shd w:val="clear" w:color="auto" w:fill="FAFAFA"/>
          </w:tcPr>
          <w:p>
            <w:pPr>
              <w:ind w:left="60"/>
              <w:spacing w:after="0"/>
              <w:rPr>
                <w:sz w:val="20"/>
                <w:szCs w:val="20"/>
                <w:color w:val="auto"/>
              </w:rPr>
            </w:pPr>
            <w:r>
              <w:rPr>
                <w:rFonts w:ascii="Arial" w:cs="Arial" w:eastAsia="Arial" w:hAnsi="Arial"/>
                <w:sz w:val="14"/>
                <w:szCs w:val="14"/>
                <w:b w:val="1"/>
                <w:bCs w:val="1"/>
                <w:color w:val="auto"/>
              </w:rPr>
              <w:t>Hans Moebius</w:t>
            </w:r>
            <w:r>
              <w:rPr>
                <w:rFonts w:ascii="Arial" w:cs="Arial" w:eastAsia="Arial" w:hAnsi="Arial"/>
                <w:sz w:val="23"/>
                <w:szCs w:val="23"/>
                <w:b w:val="1"/>
                <w:bCs w:val="1"/>
                <w:color w:val="auto"/>
                <w:vertAlign w:val="superscript"/>
              </w:rPr>
              <w:t>(6)</w:t>
            </w:r>
          </w:p>
        </w:tc>
        <w:tc>
          <w:tcPr>
            <w:tcW w:w="1240" w:type="dxa"/>
            <w:vAlign w:val="bottom"/>
            <w:gridSpan w:val="2"/>
            <w:shd w:val="clear" w:color="auto" w:fill="FAFAFA"/>
          </w:tcPr>
          <w:p>
            <w:pPr>
              <w:jc w:val="right"/>
              <w:ind w:right="67"/>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468,232</w:t>
            </w:r>
          </w:p>
        </w:tc>
        <w:tc>
          <w:tcPr>
            <w:tcW w:w="1060" w:type="dxa"/>
            <w:vAlign w:val="bottom"/>
            <w:shd w:val="clear" w:color="auto" w:fill="FAFAFA"/>
          </w:tcPr>
          <w:p>
            <w:pPr>
              <w:jc w:val="right"/>
              <w:spacing w:after="0"/>
              <w:rPr>
                <w:sz w:val="20"/>
                <w:szCs w:val="20"/>
                <w:color w:val="auto"/>
              </w:rPr>
            </w:pPr>
            <w:r>
              <w:rPr>
                <w:rFonts w:ascii="Arial" w:cs="Arial" w:eastAsia="Arial" w:hAnsi="Arial"/>
                <w:sz w:val="14"/>
                <w:szCs w:val="14"/>
                <w:color w:val="auto"/>
              </w:rPr>
              <w:t>1.2</w:t>
            </w:r>
          </w:p>
        </w:tc>
      </w:tr>
      <w:tr>
        <w:trPr>
          <w:trHeight w:val="364"/>
        </w:trPr>
        <w:tc>
          <w:tcPr>
            <w:tcW w:w="7100" w:type="dxa"/>
            <w:vAlign w:val="bottom"/>
            <w:shd w:val="clear" w:color="auto" w:fill="EBEBEB"/>
          </w:tcPr>
          <w:p>
            <w:pPr>
              <w:ind w:left="60"/>
              <w:spacing w:after="0"/>
              <w:rPr>
                <w:sz w:val="20"/>
                <w:szCs w:val="20"/>
                <w:color w:val="auto"/>
              </w:rPr>
            </w:pPr>
            <w:r>
              <w:rPr>
                <w:rFonts w:ascii="Arial" w:cs="Arial" w:eastAsia="Arial" w:hAnsi="Arial"/>
                <w:sz w:val="14"/>
                <w:szCs w:val="14"/>
                <w:b w:val="1"/>
                <w:bCs w:val="1"/>
                <w:color w:val="auto"/>
              </w:rPr>
              <w:t>Joseph Edelman</w:t>
            </w:r>
            <w:r>
              <w:rPr>
                <w:rFonts w:ascii="Arial" w:cs="Arial" w:eastAsia="Arial" w:hAnsi="Arial"/>
                <w:sz w:val="23"/>
                <w:szCs w:val="23"/>
                <w:b w:val="1"/>
                <w:bCs w:val="1"/>
                <w:color w:val="auto"/>
                <w:vertAlign w:val="superscript"/>
              </w:rPr>
              <w:t>(7)</w:t>
            </w:r>
          </w:p>
        </w:tc>
        <w:tc>
          <w:tcPr>
            <w:tcW w:w="1240" w:type="dxa"/>
            <w:vAlign w:val="bottom"/>
            <w:gridSpan w:val="2"/>
            <w:shd w:val="clear" w:color="auto" w:fill="EBEBEB"/>
          </w:tcPr>
          <w:p>
            <w:pPr>
              <w:jc w:val="right"/>
              <w:ind w:right="67"/>
              <w:spacing w:after="0"/>
              <w:rPr>
                <w:sz w:val="20"/>
                <w:szCs w:val="20"/>
                <w:color w:val="auto"/>
              </w:rPr>
            </w:pPr>
            <w:r>
              <w:rPr>
                <w:rFonts w:ascii="Arial" w:cs="Arial" w:eastAsia="Arial" w:hAnsi="Arial"/>
                <w:sz w:val="14"/>
                <w:szCs w:val="14"/>
                <w:color w:val="auto"/>
              </w:rPr>
              <w:t>5,479,348</w:t>
            </w:r>
          </w:p>
        </w:tc>
        <w:tc>
          <w:tcPr>
            <w:tcW w:w="1060" w:type="dxa"/>
            <w:vAlign w:val="bottom"/>
            <w:shd w:val="clear" w:color="auto" w:fill="EBEBEB"/>
          </w:tcPr>
          <w:p>
            <w:pPr>
              <w:jc w:val="right"/>
              <w:spacing w:after="0"/>
              <w:rPr>
                <w:sz w:val="20"/>
                <w:szCs w:val="20"/>
                <w:color w:val="auto"/>
              </w:rPr>
            </w:pPr>
            <w:r>
              <w:rPr>
                <w:rFonts w:ascii="Arial" w:cs="Arial" w:eastAsia="Arial" w:hAnsi="Arial"/>
                <w:sz w:val="14"/>
                <w:szCs w:val="14"/>
                <w:color w:val="auto"/>
              </w:rPr>
              <w:t>14.3</w:t>
            </w:r>
          </w:p>
        </w:tc>
      </w:tr>
      <w:tr>
        <w:trPr>
          <w:trHeight w:val="365"/>
        </w:trPr>
        <w:tc>
          <w:tcPr>
            <w:tcW w:w="7100" w:type="dxa"/>
            <w:vAlign w:val="bottom"/>
            <w:shd w:val="clear" w:color="auto" w:fill="FAFAFA"/>
          </w:tcPr>
          <w:p>
            <w:pPr>
              <w:ind w:left="60"/>
              <w:spacing w:after="0"/>
              <w:rPr>
                <w:sz w:val="20"/>
                <w:szCs w:val="20"/>
                <w:color w:val="auto"/>
              </w:rPr>
            </w:pPr>
            <w:r>
              <w:rPr>
                <w:rFonts w:ascii="Arial" w:cs="Arial" w:eastAsia="Arial" w:hAnsi="Arial"/>
                <w:sz w:val="14"/>
                <w:szCs w:val="14"/>
                <w:b w:val="1"/>
                <w:bCs w:val="1"/>
                <w:color w:val="auto"/>
              </w:rPr>
              <w:t>John M. Fluke, Jr.</w:t>
            </w:r>
            <w:r>
              <w:rPr>
                <w:rFonts w:ascii="Arial" w:cs="Arial" w:eastAsia="Arial" w:hAnsi="Arial"/>
                <w:sz w:val="23"/>
                <w:szCs w:val="23"/>
                <w:b w:val="1"/>
                <w:bCs w:val="1"/>
                <w:color w:val="auto"/>
                <w:vertAlign w:val="superscript"/>
              </w:rPr>
              <w:t>(8)</w:t>
            </w:r>
          </w:p>
        </w:tc>
        <w:tc>
          <w:tcPr>
            <w:tcW w:w="520" w:type="dxa"/>
            <w:vAlign w:val="bottom"/>
            <w:shd w:val="clear" w:color="auto" w:fill="FAFAFA"/>
          </w:tcPr>
          <w:p>
            <w:pPr>
              <w:spacing w:after="0"/>
              <w:rPr>
                <w:sz w:val="24"/>
                <w:szCs w:val="24"/>
                <w:color w:val="auto"/>
              </w:rPr>
            </w:pPr>
          </w:p>
        </w:tc>
        <w:tc>
          <w:tcPr>
            <w:tcW w:w="720" w:type="dxa"/>
            <w:vAlign w:val="bottom"/>
            <w:shd w:val="clear" w:color="auto" w:fill="FAFAFA"/>
          </w:tcPr>
          <w:p>
            <w:pPr>
              <w:jc w:val="right"/>
              <w:ind w:right="67"/>
              <w:spacing w:after="0"/>
              <w:rPr>
                <w:sz w:val="20"/>
                <w:szCs w:val="20"/>
                <w:color w:val="auto"/>
              </w:rPr>
            </w:pPr>
            <w:r>
              <w:rPr>
                <w:rFonts w:ascii="Arial" w:cs="Arial" w:eastAsia="Arial" w:hAnsi="Arial"/>
                <w:sz w:val="14"/>
                <w:szCs w:val="14"/>
                <w:color w:val="auto"/>
              </w:rPr>
              <w:t>224,999</w:t>
            </w:r>
          </w:p>
        </w:tc>
        <w:tc>
          <w:tcPr>
            <w:tcW w:w="1060" w:type="dxa"/>
            <w:vAlign w:val="bottom"/>
            <w:shd w:val="clear" w:color="auto" w:fill="FAFAFA"/>
          </w:tcPr>
          <w:p>
            <w:pPr>
              <w:jc w:val="right"/>
              <w:spacing w:after="0"/>
              <w:rPr>
                <w:sz w:val="20"/>
                <w:szCs w:val="20"/>
                <w:color w:val="auto"/>
              </w:rPr>
            </w:pPr>
            <w:r>
              <w:rPr>
                <w:rFonts w:ascii="Arial" w:cs="Arial" w:eastAsia="Arial" w:hAnsi="Arial"/>
                <w:sz w:val="14"/>
                <w:szCs w:val="14"/>
                <w:color w:val="auto"/>
              </w:rPr>
              <w:t>*</w:t>
            </w:r>
          </w:p>
        </w:tc>
      </w:tr>
      <w:tr>
        <w:trPr>
          <w:trHeight w:val="364"/>
        </w:trPr>
        <w:tc>
          <w:tcPr>
            <w:tcW w:w="7100" w:type="dxa"/>
            <w:vAlign w:val="bottom"/>
            <w:shd w:val="clear" w:color="auto" w:fill="EBEBEB"/>
          </w:tcPr>
          <w:p>
            <w:pPr>
              <w:ind w:left="60"/>
              <w:spacing w:after="0"/>
              <w:rPr>
                <w:sz w:val="20"/>
                <w:szCs w:val="20"/>
                <w:color w:val="auto"/>
              </w:rPr>
            </w:pPr>
            <w:r>
              <w:rPr>
                <w:rFonts w:ascii="Arial" w:cs="Arial" w:eastAsia="Arial" w:hAnsi="Arial"/>
                <w:sz w:val="14"/>
                <w:szCs w:val="14"/>
                <w:b w:val="1"/>
                <w:bCs w:val="1"/>
                <w:color w:val="auto"/>
              </w:rPr>
              <w:t>James A. Johnson</w:t>
            </w:r>
            <w:r>
              <w:rPr>
                <w:rFonts w:ascii="Arial" w:cs="Arial" w:eastAsia="Arial" w:hAnsi="Arial"/>
                <w:sz w:val="23"/>
                <w:szCs w:val="23"/>
                <w:b w:val="1"/>
                <w:bCs w:val="1"/>
                <w:color w:val="auto"/>
                <w:vertAlign w:val="superscript"/>
              </w:rPr>
              <w:t>(9)</w:t>
            </w:r>
          </w:p>
        </w:tc>
        <w:tc>
          <w:tcPr>
            <w:tcW w:w="520" w:type="dxa"/>
            <w:vAlign w:val="bottom"/>
            <w:shd w:val="clear" w:color="auto" w:fill="EBEBEB"/>
          </w:tcPr>
          <w:p>
            <w:pPr>
              <w:ind w:left="420"/>
              <w:spacing w:after="0"/>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EBEBEB"/>
          </w:tcPr>
          <w:p>
            <w:pPr>
              <w:jc w:val="right"/>
              <w:ind w:right="67"/>
              <w:spacing w:after="0"/>
              <w:rPr>
                <w:sz w:val="20"/>
                <w:szCs w:val="20"/>
                <w:color w:val="auto"/>
              </w:rPr>
            </w:pPr>
            <w:r>
              <w:rPr>
                <w:rFonts w:ascii="Arial" w:cs="Arial" w:eastAsia="Arial" w:hAnsi="Arial"/>
                <w:sz w:val="14"/>
                <w:szCs w:val="14"/>
                <w:color w:val="auto"/>
              </w:rPr>
              <w:t>81,384</w:t>
            </w:r>
          </w:p>
        </w:tc>
        <w:tc>
          <w:tcPr>
            <w:tcW w:w="1060" w:type="dxa"/>
            <w:vAlign w:val="bottom"/>
            <w:shd w:val="clear" w:color="auto" w:fill="EBEBEB"/>
          </w:tcPr>
          <w:p>
            <w:pPr>
              <w:jc w:val="right"/>
              <w:spacing w:after="0"/>
              <w:rPr>
                <w:sz w:val="20"/>
                <w:szCs w:val="20"/>
                <w:color w:val="auto"/>
              </w:rPr>
            </w:pPr>
            <w:r>
              <w:rPr>
                <w:rFonts w:ascii="Arial" w:cs="Arial" w:eastAsia="Arial" w:hAnsi="Arial"/>
                <w:sz w:val="14"/>
                <w:szCs w:val="14"/>
                <w:color w:val="auto"/>
              </w:rPr>
              <w:t>*</w:t>
            </w:r>
          </w:p>
        </w:tc>
      </w:tr>
      <w:tr>
        <w:trPr>
          <w:trHeight w:val="364"/>
        </w:trPr>
        <w:tc>
          <w:tcPr>
            <w:tcW w:w="7100" w:type="dxa"/>
            <w:vAlign w:val="bottom"/>
            <w:shd w:val="clear" w:color="auto" w:fill="FAFAFA"/>
          </w:tcPr>
          <w:p>
            <w:pPr>
              <w:ind w:left="60"/>
              <w:spacing w:after="0"/>
              <w:rPr>
                <w:sz w:val="20"/>
                <w:szCs w:val="20"/>
                <w:color w:val="auto"/>
              </w:rPr>
            </w:pPr>
            <w:r>
              <w:rPr>
                <w:rFonts w:ascii="Arial" w:cs="Arial" w:eastAsia="Arial" w:hAnsi="Arial"/>
                <w:sz w:val="14"/>
                <w:szCs w:val="14"/>
                <w:b w:val="1"/>
                <w:bCs w:val="1"/>
                <w:color w:val="auto"/>
              </w:rPr>
              <w:t>Barbara Kosacz</w:t>
            </w:r>
            <w:r>
              <w:rPr>
                <w:rFonts w:ascii="Arial" w:cs="Arial" w:eastAsia="Arial" w:hAnsi="Arial"/>
                <w:sz w:val="23"/>
                <w:szCs w:val="23"/>
                <w:b w:val="1"/>
                <w:bCs w:val="1"/>
                <w:color w:val="auto"/>
                <w:vertAlign w:val="superscript"/>
              </w:rPr>
              <w:t>(10)</w:t>
            </w:r>
          </w:p>
        </w:tc>
        <w:tc>
          <w:tcPr>
            <w:tcW w:w="520" w:type="dxa"/>
            <w:vAlign w:val="bottom"/>
            <w:shd w:val="clear" w:color="auto" w:fill="FAFAFA"/>
          </w:tcPr>
          <w:p>
            <w:pPr>
              <w:ind w:left="420"/>
              <w:spacing w:after="0"/>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FAFAFA"/>
          </w:tcPr>
          <w:p>
            <w:pPr>
              <w:jc w:val="right"/>
              <w:ind w:right="67"/>
              <w:spacing w:after="0"/>
              <w:rPr>
                <w:sz w:val="20"/>
                <w:szCs w:val="20"/>
                <w:color w:val="auto"/>
              </w:rPr>
            </w:pPr>
            <w:r>
              <w:rPr>
                <w:rFonts w:ascii="Arial" w:cs="Arial" w:eastAsia="Arial" w:hAnsi="Arial"/>
                <w:sz w:val="14"/>
                <w:szCs w:val="14"/>
                <w:color w:val="auto"/>
              </w:rPr>
              <w:t>62,513</w:t>
            </w:r>
          </w:p>
        </w:tc>
        <w:tc>
          <w:tcPr>
            <w:tcW w:w="1060" w:type="dxa"/>
            <w:vAlign w:val="bottom"/>
            <w:shd w:val="clear" w:color="auto" w:fill="FAFAFA"/>
          </w:tcPr>
          <w:p>
            <w:pPr>
              <w:jc w:val="right"/>
              <w:spacing w:after="0"/>
              <w:rPr>
                <w:sz w:val="20"/>
                <w:szCs w:val="20"/>
                <w:color w:val="auto"/>
              </w:rPr>
            </w:pPr>
            <w:r>
              <w:rPr>
                <w:rFonts w:ascii="Arial" w:cs="Arial" w:eastAsia="Arial" w:hAnsi="Arial"/>
                <w:sz w:val="14"/>
                <w:szCs w:val="14"/>
                <w:color w:val="auto"/>
              </w:rPr>
              <w:t>*</w:t>
            </w:r>
          </w:p>
        </w:tc>
      </w:tr>
      <w:tr>
        <w:trPr>
          <w:trHeight w:val="365"/>
        </w:trPr>
        <w:tc>
          <w:tcPr>
            <w:tcW w:w="7100" w:type="dxa"/>
            <w:vAlign w:val="bottom"/>
            <w:shd w:val="clear" w:color="auto" w:fill="EBEBEB"/>
          </w:tcPr>
          <w:p>
            <w:pPr>
              <w:ind w:left="60"/>
              <w:spacing w:after="0"/>
              <w:rPr>
                <w:sz w:val="20"/>
                <w:szCs w:val="20"/>
                <w:color w:val="auto"/>
              </w:rPr>
            </w:pPr>
            <w:r>
              <w:rPr>
                <w:rFonts w:ascii="Arial" w:cs="Arial" w:eastAsia="Arial" w:hAnsi="Arial"/>
                <w:sz w:val="14"/>
                <w:szCs w:val="14"/>
                <w:b w:val="1"/>
                <w:bCs w:val="1"/>
                <w:color w:val="auto"/>
              </w:rPr>
              <w:t>Kelly A. Romano</w:t>
            </w:r>
            <w:r>
              <w:rPr>
                <w:rFonts w:ascii="Arial" w:cs="Arial" w:eastAsia="Arial" w:hAnsi="Arial"/>
                <w:sz w:val="23"/>
                <w:szCs w:val="23"/>
                <w:b w:val="1"/>
                <w:bCs w:val="1"/>
                <w:color w:val="auto"/>
                <w:vertAlign w:val="superscript"/>
              </w:rPr>
              <w:t>(11)</w:t>
            </w:r>
          </w:p>
        </w:tc>
        <w:tc>
          <w:tcPr>
            <w:tcW w:w="520" w:type="dxa"/>
            <w:vAlign w:val="bottom"/>
            <w:shd w:val="clear" w:color="auto" w:fill="EBEBEB"/>
          </w:tcPr>
          <w:p>
            <w:pPr>
              <w:ind w:left="440"/>
              <w:spacing w:after="0"/>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EBEBEB"/>
          </w:tcPr>
          <w:p>
            <w:pPr>
              <w:jc w:val="right"/>
              <w:ind w:right="67"/>
              <w:spacing w:after="0"/>
              <w:rPr>
                <w:sz w:val="20"/>
                <w:szCs w:val="20"/>
                <w:color w:val="auto"/>
              </w:rPr>
            </w:pPr>
            <w:r>
              <w:rPr>
                <w:rFonts w:ascii="Arial" w:cs="Arial" w:eastAsia="Arial" w:hAnsi="Arial"/>
                <w:sz w:val="14"/>
                <w:szCs w:val="14"/>
                <w:color w:val="auto"/>
              </w:rPr>
              <w:t>100,828</w:t>
            </w:r>
          </w:p>
        </w:tc>
        <w:tc>
          <w:tcPr>
            <w:tcW w:w="1060" w:type="dxa"/>
            <w:vAlign w:val="bottom"/>
            <w:shd w:val="clear" w:color="auto" w:fill="EBEBEB"/>
          </w:tcPr>
          <w:p>
            <w:pPr>
              <w:jc w:val="right"/>
              <w:spacing w:after="0"/>
              <w:rPr>
                <w:sz w:val="20"/>
                <w:szCs w:val="20"/>
                <w:color w:val="auto"/>
              </w:rPr>
            </w:pPr>
            <w:r>
              <w:rPr>
                <w:rFonts w:ascii="Arial" w:cs="Arial" w:eastAsia="Arial" w:hAnsi="Arial"/>
                <w:sz w:val="14"/>
                <w:szCs w:val="14"/>
                <w:color w:val="auto"/>
              </w:rPr>
              <w:t>*</w:t>
            </w:r>
          </w:p>
        </w:tc>
      </w:tr>
      <w:tr>
        <w:trPr>
          <w:trHeight w:val="364"/>
        </w:trPr>
        <w:tc>
          <w:tcPr>
            <w:tcW w:w="7100" w:type="dxa"/>
            <w:vAlign w:val="bottom"/>
            <w:shd w:val="clear" w:color="auto" w:fill="FAFAFA"/>
          </w:tcPr>
          <w:p>
            <w:pPr>
              <w:ind w:left="60"/>
              <w:spacing w:after="0"/>
              <w:rPr>
                <w:sz w:val="20"/>
                <w:szCs w:val="20"/>
                <w:color w:val="auto"/>
              </w:rPr>
            </w:pPr>
            <w:r>
              <w:rPr>
                <w:rFonts w:ascii="Arial" w:cs="Arial" w:eastAsia="Arial" w:hAnsi="Arial"/>
                <w:sz w:val="14"/>
                <w:szCs w:val="14"/>
                <w:b w:val="1"/>
                <w:bCs w:val="1"/>
                <w:color w:val="auto"/>
              </w:rPr>
              <w:t>Grant Pickering</w:t>
            </w:r>
            <w:r>
              <w:rPr>
                <w:rFonts w:ascii="Arial" w:cs="Arial" w:eastAsia="Arial" w:hAnsi="Arial"/>
                <w:sz w:val="23"/>
                <w:szCs w:val="23"/>
                <w:b w:val="1"/>
                <w:bCs w:val="1"/>
                <w:color w:val="auto"/>
                <w:vertAlign w:val="superscript"/>
              </w:rPr>
              <w:t>(12)</w:t>
            </w:r>
          </w:p>
        </w:tc>
        <w:tc>
          <w:tcPr>
            <w:tcW w:w="520" w:type="dxa"/>
            <w:vAlign w:val="bottom"/>
            <w:shd w:val="clear" w:color="auto" w:fill="FAFAFA"/>
          </w:tcPr>
          <w:p>
            <w:pPr>
              <w:ind w:left="440"/>
              <w:spacing w:after="0"/>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FAFAFA"/>
          </w:tcPr>
          <w:p>
            <w:pPr>
              <w:jc w:val="right"/>
              <w:ind w:right="67"/>
              <w:spacing w:after="0"/>
              <w:rPr>
                <w:sz w:val="20"/>
                <w:szCs w:val="20"/>
                <w:color w:val="auto"/>
              </w:rPr>
            </w:pPr>
            <w:r>
              <w:rPr>
                <w:rFonts w:ascii="Arial" w:cs="Arial" w:eastAsia="Arial" w:hAnsi="Arial"/>
                <w:sz w:val="14"/>
                <w:szCs w:val="14"/>
                <w:color w:val="auto"/>
              </w:rPr>
              <w:t>70,957</w:t>
            </w:r>
          </w:p>
        </w:tc>
        <w:tc>
          <w:tcPr>
            <w:tcW w:w="1060" w:type="dxa"/>
            <w:vAlign w:val="bottom"/>
            <w:shd w:val="clear" w:color="auto" w:fill="FAFAFA"/>
          </w:tcPr>
          <w:p>
            <w:pPr>
              <w:jc w:val="right"/>
              <w:spacing w:after="0"/>
              <w:rPr>
                <w:sz w:val="20"/>
                <w:szCs w:val="20"/>
                <w:color w:val="auto"/>
              </w:rPr>
            </w:pPr>
            <w:r>
              <w:rPr>
                <w:rFonts w:ascii="Arial" w:cs="Arial" w:eastAsia="Arial" w:hAnsi="Arial"/>
                <w:sz w:val="14"/>
                <w:szCs w:val="14"/>
                <w:color w:val="auto"/>
              </w:rPr>
              <w:t>*</w:t>
            </w:r>
          </w:p>
        </w:tc>
      </w:tr>
      <w:tr>
        <w:trPr>
          <w:trHeight w:val="365"/>
        </w:trPr>
        <w:tc>
          <w:tcPr>
            <w:tcW w:w="7100" w:type="dxa"/>
            <w:vAlign w:val="bottom"/>
            <w:shd w:val="clear" w:color="auto" w:fill="EBEBEB"/>
          </w:tcPr>
          <w:p>
            <w:pPr>
              <w:ind w:left="60"/>
              <w:spacing w:after="0"/>
              <w:rPr>
                <w:sz w:val="20"/>
                <w:szCs w:val="20"/>
                <w:color w:val="auto"/>
              </w:rPr>
            </w:pPr>
            <w:r>
              <w:rPr>
                <w:rFonts w:ascii="Arial" w:cs="Arial" w:eastAsia="Arial" w:hAnsi="Arial"/>
                <w:sz w:val="14"/>
                <w:szCs w:val="14"/>
                <w:b w:val="1"/>
                <w:bCs w:val="1"/>
                <w:color w:val="auto"/>
              </w:rPr>
              <w:t>Michael Panzara</w:t>
            </w:r>
            <w:r>
              <w:rPr>
                <w:rFonts w:ascii="Arial" w:cs="Arial" w:eastAsia="Arial" w:hAnsi="Arial"/>
                <w:sz w:val="23"/>
                <w:szCs w:val="23"/>
                <w:b w:val="1"/>
                <w:bCs w:val="1"/>
                <w:color w:val="auto"/>
                <w:vertAlign w:val="superscript"/>
              </w:rPr>
              <w:t>(13)</w:t>
            </w:r>
          </w:p>
        </w:tc>
        <w:tc>
          <w:tcPr>
            <w:tcW w:w="520" w:type="dxa"/>
            <w:vAlign w:val="bottom"/>
            <w:shd w:val="clear" w:color="auto" w:fill="EBEBEB"/>
          </w:tcPr>
          <w:p>
            <w:pPr>
              <w:ind w:left="440"/>
              <w:spacing w:after="0"/>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EBEBEB"/>
          </w:tcPr>
          <w:p>
            <w:pPr>
              <w:jc w:val="right"/>
              <w:ind w:right="67"/>
              <w:spacing w:after="0"/>
              <w:rPr>
                <w:sz w:val="20"/>
                <w:szCs w:val="20"/>
                <w:color w:val="auto"/>
              </w:rPr>
            </w:pPr>
            <w:r>
              <w:rPr>
                <w:rFonts w:ascii="Arial" w:cs="Arial" w:eastAsia="Arial" w:hAnsi="Arial"/>
                <w:sz w:val="14"/>
                <w:szCs w:val="14"/>
                <w:color w:val="auto"/>
              </w:rPr>
              <w:t>43,247</w:t>
            </w:r>
          </w:p>
        </w:tc>
        <w:tc>
          <w:tcPr>
            <w:tcW w:w="1060" w:type="dxa"/>
            <w:vAlign w:val="bottom"/>
            <w:shd w:val="clear" w:color="auto" w:fill="EBEBEB"/>
          </w:tcPr>
          <w:p>
            <w:pPr>
              <w:jc w:val="right"/>
              <w:spacing w:after="0"/>
              <w:rPr>
                <w:sz w:val="20"/>
                <w:szCs w:val="20"/>
                <w:color w:val="auto"/>
              </w:rPr>
            </w:pPr>
            <w:r>
              <w:rPr>
                <w:rFonts w:ascii="Arial" w:cs="Arial" w:eastAsia="Arial" w:hAnsi="Arial"/>
                <w:sz w:val="14"/>
                <w:szCs w:val="14"/>
                <w:color w:val="auto"/>
              </w:rPr>
              <w:t>*</w:t>
            </w:r>
          </w:p>
        </w:tc>
      </w:tr>
      <w:tr>
        <w:trPr>
          <w:trHeight w:val="459"/>
        </w:trPr>
        <w:tc>
          <w:tcPr>
            <w:tcW w:w="7100" w:type="dxa"/>
            <w:vAlign w:val="bottom"/>
            <w:shd w:val="clear" w:color="auto" w:fill="FAFAFA"/>
          </w:tcPr>
          <w:p>
            <w:pPr>
              <w:ind w:left="60"/>
              <w:spacing w:after="0"/>
              <w:rPr>
                <w:sz w:val="20"/>
                <w:szCs w:val="20"/>
                <w:color w:val="auto"/>
              </w:rPr>
            </w:pPr>
            <w:r>
              <w:rPr>
                <w:rFonts w:ascii="Arial" w:cs="Arial" w:eastAsia="Arial" w:hAnsi="Arial"/>
                <w:sz w:val="16"/>
                <w:szCs w:val="16"/>
                <w:b w:val="1"/>
                <w:bCs w:val="1"/>
                <w:color w:val="255993"/>
              </w:rPr>
              <w:t>ALL CURRENT DIRECTORS AND EXECUTIVE OFFICERS AS A GROUP (12 PERSONS)</w:t>
            </w:r>
            <w:r>
              <w:rPr>
                <w:rFonts w:ascii="Arial" w:cs="Arial" w:eastAsia="Arial" w:hAnsi="Arial"/>
                <w:sz w:val="26"/>
                <w:szCs w:val="26"/>
                <w:color w:val="255993"/>
                <w:vertAlign w:val="superscript"/>
              </w:rPr>
              <w:t>(14)</w:t>
            </w:r>
          </w:p>
        </w:tc>
        <w:tc>
          <w:tcPr>
            <w:tcW w:w="1240" w:type="dxa"/>
            <w:vAlign w:val="bottom"/>
            <w:gridSpan w:val="2"/>
            <w:shd w:val="clear" w:color="auto" w:fill="FAFAFA"/>
          </w:tcPr>
          <w:p>
            <w:pPr>
              <w:jc w:val="right"/>
              <w:ind w:right="67"/>
              <w:spacing w:after="0"/>
              <w:rPr>
                <w:sz w:val="20"/>
                <w:szCs w:val="20"/>
                <w:color w:val="auto"/>
              </w:rPr>
            </w:pPr>
            <w:r>
              <w:rPr>
                <w:rFonts w:ascii="Arial" w:cs="Arial" w:eastAsia="Arial" w:hAnsi="Arial"/>
                <w:sz w:val="16"/>
                <w:szCs w:val="16"/>
                <w:color w:val="255993"/>
              </w:rPr>
              <w:t>​</w:t>
            </w:r>
            <w:r>
              <w:rPr>
                <w:rFonts w:ascii="Arial" w:cs="Arial" w:eastAsia="Arial" w:hAnsi="Arial"/>
                <w:sz w:val="14"/>
                <w:szCs w:val="14"/>
                <w:b w:val="1"/>
                <w:bCs w:val="1"/>
                <w:color w:val="255993"/>
              </w:rPr>
              <w:t>7,969,227</w:t>
            </w:r>
          </w:p>
        </w:tc>
        <w:tc>
          <w:tcPr>
            <w:tcW w:w="1060" w:type="dxa"/>
            <w:vAlign w:val="bottom"/>
            <w:shd w:val="clear" w:color="auto" w:fill="FAFAFA"/>
          </w:tcPr>
          <w:p>
            <w:pPr>
              <w:jc w:val="right"/>
              <w:spacing w:after="0"/>
              <w:rPr>
                <w:sz w:val="20"/>
                <w:szCs w:val="20"/>
                <w:color w:val="auto"/>
              </w:rPr>
            </w:pPr>
            <w:r>
              <w:rPr>
                <w:rFonts w:ascii="Arial" w:cs="Arial" w:eastAsia="Arial" w:hAnsi="Arial"/>
                <w:sz w:val="14"/>
                <w:szCs w:val="14"/>
                <w:b w:val="1"/>
                <w:bCs w:val="1"/>
                <w:color w:val="255993"/>
              </w:rPr>
              <w:t>19​.8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-290830</wp:posOffset>
            </wp:positionV>
            <wp:extent cx="596646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-522605</wp:posOffset>
            </wp:positionV>
            <wp:extent cx="596646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966460"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-753745</wp:posOffset>
            </wp:positionV>
            <wp:extent cx="596646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-985520</wp:posOffset>
            </wp:positionV>
            <wp:extent cx="596646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966460"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-1216660</wp:posOffset>
            </wp:positionV>
            <wp:extent cx="596646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-1447800</wp:posOffset>
            </wp:positionV>
            <wp:extent cx="596646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-1679575</wp:posOffset>
            </wp:positionV>
            <wp:extent cx="596646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966460"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-1910715</wp:posOffset>
            </wp:positionV>
            <wp:extent cx="596646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-2142490</wp:posOffset>
            </wp:positionV>
            <wp:extent cx="596646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-2374265</wp:posOffset>
            </wp:positionV>
            <wp:extent cx="596646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-2605405</wp:posOffset>
            </wp:positionV>
            <wp:extent cx="596646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-2837180</wp:posOffset>
            </wp:positionV>
            <wp:extent cx="596646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966460"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-3068320</wp:posOffset>
            </wp:positionV>
            <wp:extent cx="596646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-3299460</wp:posOffset>
            </wp:positionV>
            <wp:extent cx="596646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-3531235</wp:posOffset>
            </wp:positionV>
            <wp:extent cx="596646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966460"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-3762375</wp:posOffset>
            </wp:positionV>
            <wp:extent cx="596646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33" w:lineRule="exact"/>
        <w:rPr>
          <w:sz w:val="20"/>
          <w:szCs w:val="20"/>
          <w:color w:val="auto"/>
        </w:rPr>
      </w:pPr>
    </w:p>
    <w:p>
      <w:pPr>
        <w:ind w:left="240" w:hanging="234"/>
        <w:spacing w:after="0"/>
        <w:tabs>
          <w:tab w:leader="none" w:pos="240" w:val="left"/>
        </w:tabs>
        <w:numPr>
          <w:ilvl w:val="0"/>
          <w:numId w:val="31"/>
        </w:numPr>
        <w:rPr>
          <w:rFonts w:ascii="Arial" w:cs="Arial" w:eastAsia="Arial" w:hAnsi="Arial"/>
          <w:sz w:val="14"/>
          <w:szCs w:val="14"/>
          <w:color w:val="255993"/>
        </w:rPr>
      </w:pPr>
      <w:r>
        <w:rPr>
          <w:rFonts w:ascii="Arial" w:cs="Arial" w:eastAsia="Arial" w:hAnsi="Arial"/>
          <w:sz w:val="14"/>
          <w:szCs w:val="14"/>
          <w:color w:val="255993"/>
        </w:rPr>
        <w:t>Represents beneficial ownership of less than 1% of our outstanding common stock.</w:t>
      </w:r>
    </w:p>
    <w:p>
      <w:pPr>
        <w:spacing w:after="0" w:line="96" w:lineRule="exact"/>
        <w:rPr>
          <w:sz w:val="20"/>
          <w:szCs w:val="20"/>
          <w:color w:val="auto"/>
        </w:rPr>
      </w:pPr>
    </w:p>
    <w:p>
      <w:pPr>
        <w:ind w:left="240" w:right="160" w:hanging="234"/>
        <w:spacing w:after="0" w:line="225" w:lineRule="auto"/>
        <w:tabs>
          <w:tab w:leader="none" w:pos="240" w:val="left"/>
        </w:tabs>
        <w:numPr>
          <w:ilvl w:val="0"/>
          <w:numId w:val="32"/>
        </w:numPr>
        <w:rPr>
          <w:rFonts w:ascii="Arial" w:cs="Arial" w:eastAsia="Arial" w:hAnsi="Arial"/>
          <w:sz w:val="14"/>
          <w:szCs w:val="14"/>
          <w:color w:val="255993"/>
        </w:rPr>
      </w:pPr>
      <w:r>
        <w:rPr>
          <w:rFonts w:ascii="Arial" w:cs="Arial" w:eastAsia="Arial" w:hAnsi="Arial"/>
          <w:sz w:val="14"/>
          <w:szCs w:val="14"/>
          <w:color w:val="255993"/>
        </w:rPr>
        <w:t>Based on the Schedule 13D/A filed with the SEC on December 29, 2023. Consists of 5,402,964 shares held of record by Perceptive Life Sciences Master Fund Ltd., or Perceptive. The business address of Perceptive is 51 Astor Place, 10</w:t>
      </w:r>
      <w:r>
        <w:rPr>
          <w:rFonts w:ascii="Arial" w:cs="Arial" w:eastAsia="Arial" w:hAnsi="Arial"/>
          <w:sz w:val="23"/>
          <w:szCs w:val="23"/>
          <w:color w:val="255993"/>
          <w:vertAlign w:val="superscript"/>
        </w:rPr>
        <w:t>th</w:t>
      </w:r>
      <w:r>
        <w:rPr>
          <w:rFonts w:ascii="Arial" w:cs="Arial" w:eastAsia="Arial" w:hAnsi="Arial"/>
          <w:sz w:val="14"/>
          <w:szCs w:val="14"/>
          <w:color w:val="255993"/>
        </w:rPr>
        <w:t xml:space="preserve"> Floor, New York, NY 10003. Perceptive Advisors LLC serves as the investment manager of Perceptive. Joseph Edelman is the managing member of Perceptive Advisors LLC and he may be deemed to beneficially own the shares held by Perceptive.</w:t>
      </w:r>
    </w:p>
    <w:p>
      <w:pPr>
        <w:spacing w:after="0" w:line="68" w:lineRule="exact"/>
        <w:rPr>
          <w:rFonts w:ascii="Arial" w:cs="Arial" w:eastAsia="Arial" w:hAnsi="Arial"/>
          <w:sz w:val="14"/>
          <w:szCs w:val="14"/>
          <w:color w:val="255993"/>
        </w:rPr>
      </w:pPr>
    </w:p>
    <w:p>
      <w:pPr>
        <w:ind w:left="240" w:right="20" w:hanging="234"/>
        <w:spacing w:after="0" w:line="251" w:lineRule="auto"/>
        <w:tabs>
          <w:tab w:leader="none" w:pos="240" w:val="left"/>
        </w:tabs>
        <w:numPr>
          <w:ilvl w:val="0"/>
          <w:numId w:val="32"/>
        </w:numPr>
        <w:rPr>
          <w:rFonts w:ascii="Arial" w:cs="Arial" w:eastAsia="Arial" w:hAnsi="Arial"/>
          <w:sz w:val="14"/>
          <w:szCs w:val="14"/>
          <w:color w:val="255993"/>
        </w:rPr>
      </w:pPr>
      <w:r>
        <w:rPr>
          <w:rFonts w:ascii="Arial" w:cs="Arial" w:eastAsia="Arial" w:hAnsi="Arial"/>
          <w:sz w:val="14"/>
          <w:szCs w:val="14"/>
          <w:color w:val="255993"/>
        </w:rPr>
        <w:t>Based on the Schedule 13G filed with the SEC on February 14, 2024. Consists of 3,153,807 shares held of record by Baker Bros. Advisors LLP. The address and principal office of Baker Bros. Advisors LLP is 860 Washington Street, 3</w:t>
      </w:r>
      <w:r>
        <w:rPr>
          <w:rFonts w:ascii="Arial" w:cs="Arial" w:eastAsia="Arial" w:hAnsi="Arial"/>
          <w:sz w:val="23"/>
          <w:szCs w:val="23"/>
          <w:color w:val="255993"/>
          <w:vertAlign w:val="superscript"/>
        </w:rPr>
        <w:t>rd</w:t>
      </w:r>
      <w:r>
        <w:rPr>
          <w:rFonts w:ascii="Arial" w:cs="Arial" w:eastAsia="Arial" w:hAnsi="Arial"/>
          <w:sz w:val="14"/>
          <w:szCs w:val="14"/>
          <w:color w:val="255993"/>
        </w:rPr>
        <w:t xml:space="preserve"> Floor, New York, NY 10014.</w:t>
      </w:r>
    </w:p>
    <w:p>
      <w:pPr>
        <w:spacing w:after="0" w:line="1" w:lineRule="exact"/>
        <w:rPr>
          <w:rFonts w:ascii="Arial" w:cs="Arial" w:eastAsia="Arial" w:hAnsi="Arial"/>
          <w:sz w:val="14"/>
          <w:szCs w:val="14"/>
          <w:color w:val="255993"/>
        </w:rPr>
      </w:pPr>
    </w:p>
    <w:p>
      <w:pPr>
        <w:ind w:left="240" w:right="520" w:hanging="234"/>
        <w:spacing w:after="0" w:line="264" w:lineRule="auto"/>
        <w:tabs>
          <w:tab w:leader="none" w:pos="240" w:val="left"/>
        </w:tabs>
        <w:numPr>
          <w:ilvl w:val="0"/>
          <w:numId w:val="32"/>
        </w:numPr>
        <w:rPr>
          <w:rFonts w:ascii="Arial" w:cs="Arial" w:eastAsia="Arial" w:hAnsi="Arial"/>
          <w:sz w:val="14"/>
          <w:szCs w:val="14"/>
          <w:color w:val="255993"/>
        </w:rPr>
      </w:pPr>
      <w:r>
        <w:rPr>
          <w:rFonts w:ascii="Arial" w:cs="Arial" w:eastAsia="Arial" w:hAnsi="Arial"/>
          <w:sz w:val="14"/>
          <w:szCs w:val="14"/>
          <w:color w:val="255993"/>
        </w:rPr>
        <w:t>Based on the Schedule 13G filed with the SEC on April 20, 2023. Consists of 1,983,468 shares held of record by Richard A. Kayne. The business address of Richard A. Kayne is 1800 Avenue of the Stars, Third Floor, Los Angeles, CA 90067.</w:t>
      </w:r>
    </w:p>
    <w:p>
      <w:pPr>
        <w:spacing w:after="0" w:line="50" w:lineRule="exact"/>
        <w:rPr>
          <w:rFonts w:ascii="Arial" w:cs="Arial" w:eastAsia="Arial" w:hAnsi="Arial"/>
          <w:sz w:val="14"/>
          <w:szCs w:val="14"/>
          <w:color w:val="255993"/>
        </w:rPr>
      </w:pPr>
    </w:p>
    <w:p>
      <w:pPr>
        <w:ind w:left="240" w:right="140" w:hanging="234"/>
        <w:spacing w:after="0" w:line="263" w:lineRule="auto"/>
        <w:tabs>
          <w:tab w:leader="none" w:pos="240" w:val="left"/>
        </w:tabs>
        <w:numPr>
          <w:ilvl w:val="0"/>
          <w:numId w:val="32"/>
        </w:numPr>
        <w:rPr>
          <w:rFonts w:ascii="Arial" w:cs="Arial" w:eastAsia="Arial" w:hAnsi="Arial"/>
          <w:sz w:val="14"/>
          <w:szCs w:val="14"/>
          <w:color w:val="255993"/>
        </w:rPr>
      </w:pPr>
      <w:r>
        <w:rPr>
          <w:rFonts w:ascii="Arial" w:cs="Arial" w:eastAsia="Arial" w:hAnsi="Arial"/>
          <w:sz w:val="14"/>
          <w:szCs w:val="14"/>
          <w:color w:val="255993"/>
        </w:rPr>
        <w:t>Consists of 144,397 shares held of record by Dr. Litton, 6,563 shares held by Irrevocable Trust of OSL, 6,563 shares held by Irrevocable Trust of SWL, and 6,563 shares held by Irrevocable Trust of WGL, each irrevocable trust is for the benefit of Dr. Litton’s children, and options to purchase 642,330 shares that are exercisable within 60 days of March 26, 2024.</w:t>
      </w:r>
    </w:p>
    <w:p>
      <w:pPr>
        <w:spacing w:after="0" w:line="51" w:lineRule="exact"/>
        <w:rPr>
          <w:rFonts w:ascii="Arial" w:cs="Arial" w:eastAsia="Arial" w:hAnsi="Arial"/>
          <w:sz w:val="14"/>
          <w:szCs w:val="14"/>
          <w:color w:val="255993"/>
        </w:rPr>
      </w:pPr>
    </w:p>
    <w:p>
      <w:pPr>
        <w:ind w:left="240" w:hanging="234"/>
        <w:spacing w:after="0"/>
        <w:tabs>
          <w:tab w:leader="none" w:pos="240" w:val="left"/>
        </w:tabs>
        <w:numPr>
          <w:ilvl w:val="0"/>
          <w:numId w:val="32"/>
        </w:numPr>
        <w:rPr>
          <w:rFonts w:ascii="Arial" w:cs="Arial" w:eastAsia="Arial" w:hAnsi="Arial"/>
          <w:sz w:val="14"/>
          <w:szCs w:val="14"/>
          <w:color w:val="255993"/>
        </w:rPr>
      </w:pPr>
      <w:r>
        <w:rPr>
          <w:rFonts w:ascii="Arial" w:cs="Arial" w:eastAsia="Arial" w:hAnsi="Arial"/>
          <w:sz w:val="14"/>
          <w:szCs w:val="14"/>
          <w:color w:val="255993"/>
        </w:rPr>
        <w:t>Consists of 83,804 shares held by Mr. Gengos and options to purchase 150,833 shares that are exercisable within 60 days of March 26, 2024.</w:t>
      </w:r>
    </w:p>
    <w:p>
      <w:pPr>
        <w:spacing w:after="0" w:line="82" w:lineRule="exact"/>
        <w:rPr>
          <w:rFonts w:ascii="Arial" w:cs="Arial" w:eastAsia="Arial" w:hAnsi="Arial"/>
          <w:sz w:val="14"/>
          <w:szCs w:val="14"/>
          <w:color w:val="255993"/>
        </w:rPr>
      </w:pPr>
    </w:p>
    <w:p>
      <w:pPr>
        <w:ind w:left="240" w:hanging="234"/>
        <w:spacing w:after="0"/>
        <w:tabs>
          <w:tab w:leader="none" w:pos="240" w:val="left"/>
        </w:tabs>
        <w:numPr>
          <w:ilvl w:val="0"/>
          <w:numId w:val="32"/>
        </w:numPr>
        <w:rPr>
          <w:rFonts w:ascii="Arial" w:cs="Arial" w:eastAsia="Arial" w:hAnsi="Arial"/>
          <w:sz w:val="14"/>
          <w:szCs w:val="14"/>
          <w:color w:val="255993"/>
        </w:rPr>
      </w:pPr>
      <w:r>
        <w:rPr>
          <w:rFonts w:ascii="Arial" w:cs="Arial" w:eastAsia="Arial" w:hAnsi="Arial"/>
          <w:sz w:val="14"/>
          <w:szCs w:val="14"/>
          <w:color w:val="255993"/>
        </w:rPr>
        <w:t>Consists of 91,482 shares held by Dr. Moebius and options to purchase 376,750 shares that are exercisable within 60 days of March 26, 2024</w:t>
      </w:r>
    </w:p>
    <w:p>
      <w:pPr>
        <w:spacing w:after="0" w:line="95" w:lineRule="exact"/>
        <w:rPr>
          <w:rFonts w:ascii="Arial" w:cs="Arial" w:eastAsia="Arial" w:hAnsi="Arial"/>
          <w:sz w:val="14"/>
          <w:szCs w:val="14"/>
          <w:color w:val="255993"/>
        </w:rPr>
      </w:pPr>
    </w:p>
    <w:p>
      <w:pPr>
        <w:ind w:left="240" w:right="40" w:hanging="234"/>
        <w:spacing w:after="0" w:line="285" w:lineRule="auto"/>
        <w:tabs>
          <w:tab w:leader="none" w:pos="240" w:val="left"/>
        </w:tabs>
        <w:numPr>
          <w:ilvl w:val="0"/>
          <w:numId w:val="32"/>
        </w:numPr>
        <w:rPr>
          <w:rFonts w:ascii="Arial" w:cs="Arial" w:eastAsia="Arial" w:hAnsi="Arial"/>
          <w:sz w:val="14"/>
          <w:szCs w:val="14"/>
          <w:color w:val="255993"/>
        </w:rPr>
      </w:pPr>
      <w:r>
        <w:rPr>
          <w:rFonts w:ascii="Arial" w:cs="Arial" w:eastAsia="Arial" w:hAnsi="Arial"/>
          <w:sz w:val="14"/>
          <w:szCs w:val="14"/>
          <w:color w:val="255993"/>
        </w:rPr>
        <w:t>Consists of the shares referenced in footnote (1) above and options to purchase 76,384 shares that are exercisable within 60 days of March 26, 2024.</w:t>
      </w:r>
    </w:p>
    <w:p>
      <w:pPr>
        <w:spacing w:after="0" w:line="36" w:lineRule="exact"/>
        <w:rPr>
          <w:rFonts w:ascii="Arial" w:cs="Arial" w:eastAsia="Arial" w:hAnsi="Arial"/>
          <w:sz w:val="14"/>
          <w:szCs w:val="14"/>
          <w:color w:val="255993"/>
        </w:rPr>
      </w:pPr>
    </w:p>
    <w:p>
      <w:pPr>
        <w:ind w:left="240" w:right="100" w:hanging="234"/>
        <w:spacing w:after="0" w:line="285" w:lineRule="auto"/>
        <w:tabs>
          <w:tab w:leader="none" w:pos="240" w:val="left"/>
        </w:tabs>
        <w:numPr>
          <w:ilvl w:val="0"/>
          <w:numId w:val="32"/>
        </w:numPr>
        <w:rPr>
          <w:rFonts w:ascii="Arial" w:cs="Arial" w:eastAsia="Arial" w:hAnsi="Arial"/>
          <w:sz w:val="14"/>
          <w:szCs w:val="14"/>
          <w:color w:val="255993"/>
        </w:rPr>
      </w:pPr>
      <w:r>
        <w:rPr>
          <w:rFonts w:ascii="Arial" w:cs="Arial" w:eastAsia="Arial" w:hAnsi="Arial"/>
          <w:sz w:val="14"/>
          <w:szCs w:val="14"/>
          <w:color w:val="255993"/>
        </w:rPr>
        <w:t>Consists of 3,731 shares held of record by Fluke Capital Management, L.P., 144,884 shares held by Mr. Fluke, and options to purchase 76,384 shares that are exercisable within 60 days of March 26, 2024.</w:t>
      </w:r>
    </w:p>
    <w:p>
      <w:pPr>
        <w:spacing w:after="0" w:line="22" w:lineRule="exact"/>
        <w:rPr>
          <w:rFonts w:ascii="Arial" w:cs="Arial" w:eastAsia="Arial" w:hAnsi="Arial"/>
          <w:sz w:val="14"/>
          <w:szCs w:val="14"/>
          <w:color w:val="255993"/>
        </w:rPr>
      </w:pPr>
    </w:p>
    <w:p>
      <w:pPr>
        <w:ind w:left="240" w:hanging="234"/>
        <w:spacing w:after="0"/>
        <w:tabs>
          <w:tab w:leader="none" w:pos="240" w:val="left"/>
        </w:tabs>
        <w:numPr>
          <w:ilvl w:val="0"/>
          <w:numId w:val="32"/>
        </w:numPr>
        <w:rPr>
          <w:rFonts w:ascii="Arial" w:cs="Arial" w:eastAsia="Arial" w:hAnsi="Arial"/>
          <w:sz w:val="14"/>
          <w:szCs w:val="14"/>
          <w:color w:val="255993"/>
        </w:rPr>
      </w:pPr>
      <w:r>
        <w:rPr>
          <w:rFonts w:ascii="Arial" w:cs="Arial" w:eastAsia="Arial" w:hAnsi="Arial"/>
          <w:sz w:val="14"/>
          <w:szCs w:val="14"/>
          <w:color w:val="255993"/>
        </w:rPr>
        <w:t>Consists of 5,000 shares held by Mr. Johnson and options to purchase 76,384 shares that are exercisable within 60 days of March 26, 2024.</w:t>
      </w:r>
    </w:p>
    <w:p>
      <w:pPr>
        <w:spacing w:after="0" w:line="95" w:lineRule="exact"/>
        <w:rPr>
          <w:rFonts w:ascii="Arial" w:cs="Arial" w:eastAsia="Arial" w:hAnsi="Arial"/>
          <w:sz w:val="14"/>
          <w:szCs w:val="14"/>
          <w:color w:val="255993"/>
        </w:rPr>
      </w:pPr>
    </w:p>
    <w:p>
      <w:pPr>
        <w:ind w:left="260" w:hanging="254"/>
        <w:spacing w:after="0"/>
        <w:tabs>
          <w:tab w:leader="none" w:pos="260" w:val="left"/>
        </w:tabs>
        <w:numPr>
          <w:ilvl w:val="0"/>
          <w:numId w:val="32"/>
        </w:numPr>
        <w:rPr>
          <w:rFonts w:ascii="Arial" w:cs="Arial" w:eastAsia="Arial" w:hAnsi="Arial"/>
          <w:sz w:val="14"/>
          <w:szCs w:val="14"/>
          <w:color w:val="255993"/>
        </w:rPr>
      </w:pPr>
      <w:r>
        <w:rPr>
          <w:rFonts w:ascii="Arial" w:cs="Arial" w:eastAsia="Arial" w:hAnsi="Arial"/>
          <w:sz w:val="14"/>
          <w:szCs w:val="14"/>
          <w:color w:val="255993"/>
        </w:rPr>
        <w:t>Consists of options held by Ms. Kosacz to purchase 62,513 shares that are exercisable within 60 days of March 26, 2024.</w:t>
      </w:r>
    </w:p>
    <w:p>
      <w:pPr>
        <w:spacing w:after="0" w:line="95" w:lineRule="exact"/>
        <w:rPr>
          <w:rFonts w:ascii="Arial" w:cs="Arial" w:eastAsia="Arial" w:hAnsi="Arial"/>
          <w:sz w:val="14"/>
          <w:szCs w:val="14"/>
          <w:color w:val="255993"/>
        </w:rPr>
      </w:pPr>
    </w:p>
    <w:p>
      <w:pPr>
        <w:ind w:left="260" w:hanging="254"/>
        <w:spacing w:after="0"/>
        <w:tabs>
          <w:tab w:leader="none" w:pos="260" w:val="left"/>
        </w:tabs>
        <w:numPr>
          <w:ilvl w:val="0"/>
          <w:numId w:val="32"/>
        </w:numPr>
        <w:rPr>
          <w:rFonts w:ascii="Arial" w:cs="Arial" w:eastAsia="Arial" w:hAnsi="Arial"/>
          <w:sz w:val="14"/>
          <w:szCs w:val="14"/>
          <w:color w:val="255993"/>
        </w:rPr>
      </w:pPr>
      <w:r>
        <w:rPr>
          <w:rFonts w:ascii="Arial" w:cs="Arial" w:eastAsia="Arial" w:hAnsi="Arial"/>
          <w:sz w:val="14"/>
          <w:szCs w:val="14"/>
          <w:color w:val="255993"/>
        </w:rPr>
        <w:t>Consists of 62,513 shares held by Ms. Romano and options to purchase 41,613 shares that are exercisable within 60 days of March 26, 2024.</w:t>
      </w:r>
    </w:p>
    <w:p>
      <w:pPr>
        <w:spacing w:after="0" w:line="82" w:lineRule="exact"/>
        <w:rPr>
          <w:rFonts w:ascii="Arial" w:cs="Arial" w:eastAsia="Arial" w:hAnsi="Arial"/>
          <w:sz w:val="14"/>
          <w:szCs w:val="14"/>
          <w:color w:val="255993"/>
        </w:rPr>
      </w:pPr>
    </w:p>
    <w:p>
      <w:pPr>
        <w:ind w:left="260" w:hanging="254"/>
        <w:spacing w:after="0"/>
        <w:tabs>
          <w:tab w:leader="none" w:pos="260" w:val="left"/>
        </w:tabs>
        <w:numPr>
          <w:ilvl w:val="0"/>
          <w:numId w:val="32"/>
        </w:numPr>
        <w:rPr>
          <w:rFonts w:ascii="Arial" w:cs="Arial" w:eastAsia="Arial" w:hAnsi="Arial"/>
          <w:sz w:val="14"/>
          <w:szCs w:val="14"/>
          <w:color w:val="255993"/>
        </w:rPr>
      </w:pPr>
      <w:r>
        <w:rPr>
          <w:rFonts w:ascii="Arial" w:cs="Arial" w:eastAsia="Arial" w:hAnsi="Arial"/>
          <w:sz w:val="14"/>
          <w:szCs w:val="14"/>
          <w:color w:val="255993"/>
        </w:rPr>
        <w:t>Consists of 25,783 shares held by Mr. Pickering and options to purchase 45,174 shares that are exercisable within 60 days of March 26, 2024.</w:t>
      </w:r>
    </w:p>
    <w:p>
      <w:pPr>
        <w:spacing w:after="0" w:line="95" w:lineRule="exact"/>
        <w:rPr>
          <w:rFonts w:ascii="Arial" w:cs="Arial" w:eastAsia="Arial" w:hAnsi="Arial"/>
          <w:sz w:val="14"/>
          <w:szCs w:val="14"/>
          <w:color w:val="255993"/>
        </w:rPr>
      </w:pPr>
    </w:p>
    <w:p>
      <w:pPr>
        <w:ind w:left="260" w:hanging="254"/>
        <w:spacing w:after="0"/>
        <w:tabs>
          <w:tab w:leader="none" w:pos="260" w:val="left"/>
        </w:tabs>
        <w:numPr>
          <w:ilvl w:val="0"/>
          <w:numId w:val="32"/>
        </w:numPr>
        <w:rPr>
          <w:rFonts w:ascii="Arial" w:cs="Arial" w:eastAsia="Arial" w:hAnsi="Arial"/>
          <w:sz w:val="14"/>
          <w:szCs w:val="14"/>
          <w:color w:val="255993"/>
        </w:rPr>
      </w:pPr>
      <w:r>
        <w:rPr>
          <w:rFonts w:ascii="Arial" w:cs="Arial" w:eastAsia="Arial" w:hAnsi="Arial"/>
          <w:sz w:val="14"/>
          <w:szCs w:val="14"/>
          <w:color w:val="255993"/>
        </w:rPr>
        <w:t>Consists of options held by Dr. Panzara to purchase 43,247 shares that are exercisable within 60 days of March 26, 2024.</w:t>
      </w:r>
    </w:p>
    <w:p>
      <w:pPr>
        <w:spacing w:after="0" w:line="96" w:lineRule="exact"/>
        <w:rPr>
          <w:sz w:val="20"/>
          <w:szCs w:val="20"/>
          <w:color w:val="auto"/>
        </w:rPr>
      </w:pPr>
    </w:p>
    <w:p>
      <w:pPr>
        <w:ind w:left="260" w:right="40" w:hanging="255"/>
        <w:spacing w:after="0" w:line="285" w:lineRule="auto"/>
        <w:rPr>
          <w:sz w:val="20"/>
          <w:szCs w:val="20"/>
          <w:color w:val="auto"/>
        </w:rPr>
      </w:pPr>
      <w:r>
        <w:rPr>
          <w:rFonts w:ascii="Arial" w:cs="Arial" w:eastAsia="Arial" w:hAnsi="Arial"/>
          <w:sz w:val="14"/>
          <w:szCs w:val="14"/>
          <w:color w:val="255993"/>
        </w:rPr>
        <w:t>(14) Consists of 5,996,670 shares held by our current directors and executive officers as a group and options to purchase 1,972,557 shares that are exercisable within 60 days of March 26, 2024.</w:t>
      </w:r>
    </w:p>
    <w:p>
      <w:pPr>
        <w:spacing w:after="0" w:line="158" w:lineRule="exact"/>
        <w:rPr>
          <w:sz w:val="20"/>
          <w:szCs w:val="20"/>
          <w:color w:val="auto"/>
        </w:rPr>
      </w:pPr>
    </w:p>
    <w:p>
      <w:pPr>
        <w:spacing w:after="0"/>
        <w:tabs>
          <w:tab w:leader="none" w:pos="4600" w:val="left"/>
          <w:tab w:leader="none" w:pos="7960" w:val="left"/>
        </w:tabs>
        <w:rPr>
          <w:sz w:val="20"/>
          <w:szCs w:val="20"/>
          <w:color w:val="auto"/>
        </w:rPr>
      </w:pPr>
      <w:r>
        <w:rPr>
          <w:rFonts w:ascii="Arial" w:cs="Arial" w:eastAsia="Arial" w:hAnsi="Arial"/>
          <w:sz w:val="14"/>
          <w:szCs w:val="14"/>
          <w:color w:val="255993"/>
        </w:rPr>
        <w:t>Athira Pharma, Inc.</w:t>
      </w:r>
      <w:r>
        <w:rPr>
          <w:sz w:val="20"/>
          <w:szCs w:val="20"/>
          <w:color w:val="auto"/>
        </w:rPr>
        <w:tab/>
      </w:r>
      <w:r>
        <w:rPr>
          <w:rFonts w:ascii="Arial" w:cs="Arial" w:eastAsia="Arial" w:hAnsi="Arial"/>
          <w:sz w:val="14"/>
          <w:szCs w:val="14"/>
          <w:b w:val="1"/>
          <w:bCs w:val="1"/>
          <w:color w:val="255993"/>
        </w:rPr>
        <w:t>44</w:t>
      </w:r>
      <w:r>
        <w:rPr>
          <w:sz w:val="20"/>
          <w:szCs w:val="20"/>
          <w:color w:val="auto"/>
        </w:rPr>
        <w:tab/>
      </w:r>
      <w:r>
        <w:rPr>
          <w:rFonts w:ascii="Arial" w:cs="Arial" w:eastAsia="Arial" w:hAnsi="Arial"/>
          <w:sz w:val="14"/>
          <w:szCs w:val="14"/>
          <w:color w:val="255993"/>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118110</wp:posOffset>
            </wp:positionV>
            <wp:extent cx="699516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263" w:right="12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84" w:lineRule="exact"/>
        <w:rPr>
          <w:sz w:val="20"/>
          <w:szCs w:val="20"/>
          <w:color w:val="auto"/>
        </w:rPr>
      </w:pPr>
    </w:p>
    <w:p>
      <w:pPr>
        <w:ind w:right="600"/>
        <w:spacing w:after="0" w:line="238" w:lineRule="auto"/>
        <w:rPr>
          <w:sz w:val="20"/>
          <w:szCs w:val="20"/>
          <w:color w:val="auto"/>
        </w:rPr>
      </w:pPr>
      <w:r>
        <w:rPr>
          <w:rFonts w:ascii="Arial" w:cs="Arial" w:eastAsia="Arial" w:hAnsi="Arial"/>
          <w:sz w:val="57"/>
          <w:szCs w:val="57"/>
          <w:color w:val="255993"/>
        </w:rPr>
        <w:t>Securities Authorized for Issuance Under Equity Compensation Plans</w:t>
      </w:r>
    </w:p>
    <w:p>
      <w:pPr>
        <w:spacing w:after="0" w:line="19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following table summarizes information about our equity compensation plans as of December 31, 2023. All outstanding awards relate to our common stock.</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337"/>
        </w:trPr>
        <w:tc>
          <w:tcPr>
            <w:tcW w:w="5740" w:type="dxa"/>
            <w:vAlign w:val="bottom"/>
            <w:shd w:val="clear" w:color="auto" w:fill="255993"/>
          </w:tcPr>
          <w:p>
            <w:pPr>
              <w:spacing w:after="0"/>
              <w:rPr>
                <w:sz w:val="24"/>
                <w:szCs w:val="24"/>
                <w:color w:val="auto"/>
              </w:rPr>
            </w:pPr>
          </w:p>
        </w:tc>
        <w:tc>
          <w:tcPr>
            <w:tcW w:w="1020" w:type="dxa"/>
            <w:vAlign w:val="bottom"/>
            <w:shd w:val="clear" w:color="auto" w:fill="255993"/>
          </w:tcPr>
          <w:p>
            <w:pPr>
              <w:spacing w:after="0"/>
              <w:rPr>
                <w:sz w:val="24"/>
                <w:szCs w:val="24"/>
                <w:color w:val="auto"/>
              </w:rPr>
            </w:pPr>
          </w:p>
        </w:tc>
        <w:tc>
          <w:tcPr>
            <w:tcW w:w="1340" w:type="dxa"/>
            <w:vAlign w:val="bottom"/>
            <w:shd w:val="clear" w:color="auto" w:fill="255993"/>
          </w:tcPr>
          <w:p>
            <w:pPr>
              <w:spacing w:after="0"/>
              <w:rPr>
                <w:sz w:val="24"/>
                <w:szCs w:val="24"/>
                <w:color w:val="auto"/>
              </w:rPr>
            </w:pPr>
          </w:p>
        </w:tc>
        <w:tc>
          <w:tcPr>
            <w:tcW w:w="1300" w:type="dxa"/>
            <w:vAlign w:val="bottom"/>
            <w:shd w:val="clear" w:color="auto" w:fill="255993"/>
          </w:tcPr>
          <w:p>
            <w:pPr>
              <w:jc w:val="right"/>
              <w:spacing w:after="0"/>
              <w:rPr>
                <w:sz w:val="20"/>
                <w:szCs w:val="20"/>
                <w:color w:val="auto"/>
              </w:rPr>
            </w:pPr>
            <w:r>
              <w:rPr>
                <w:rFonts w:ascii="Arial" w:cs="Arial" w:eastAsia="Arial" w:hAnsi="Arial"/>
                <w:sz w:val="16"/>
                <w:szCs w:val="16"/>
                <w:b w:val="1"/>
                <w:bCs w:val="1"/>
                <w:color w:val="FFFFFF"/>
              </w:rPr>
              <w:t>(c) Number of</w:t>
            </w:r>
          </w:p>
        </w:tc>
      </w:tr>
      <w:tr>
        <w:trPr>
          <w:trHeight w:val="189"/>
        </w:trPr>
        <w:tc>
          <w:tcPr>
            <w:tcW w:w="5740" w:type="dxa"/>
            <w:vAlign w:val="bottom"/>
            <w:shd w:val="clear" w:color="auto" w:fill="255993"/>
          </w:tcPr>
          <w:p>
            <w:pPr>
              <w:spacing w:after="0"/>
              <w:rPr>
                <w:sz w:val="16"/>
                <w:szCs w:val="16"/>
                <w:color w:val="auto"/>
              </w:rPr>
            </w:pPr>
          </w:p>
        </w:tc>
        <w:tc>
          <w:tcPr>
            <w:tcW w:w="1020" w:type="dxa"/>
            <w:vAlign w:val="bottom"/>
            <w:shd w:val="clear" w:color="auto" w:fill="255993"/>
          </w:tcPr>
          <w:p>
            <w:pPr>
              <w:spacing w:after="0"/>
              <w:rPr>
                <w:sz w:val="16"/>
                <w:szCs w:val="16"/>
                <w:color w:val="auto"/>
              </w:rPr>
            </w:pPr>
          </w:p>
        </w:tc>
        <w:tc>
          <w:tcPr>
            <w:tcW w:w="1340" w:type="dxa"/>
            <w:vAlign w:val="bottom"/>
            <w:shd w:val="clear" w:color="auto" w:fill="255993"/>
          </w:tcPr>
          <w:p>
            <w:pPr>
              <w:spacing w:after="0"/>
              <w:rPr>
                <w:sz w:val="16"/>
                <w:szCs w:val="16"/>
                <w:color w:val="auto"/>
              </w:rPr>
            </w:pPr>
          </w:p>
        </w:tc>
        <w:tc>
          <w:tcPr>
            <w:tcW w:w="1300" w:type="dxa"/>
            <w:vAlign w:val="bottom"/>
            <w:shd w:val="clear" w:color="auto" w:fill="255993"/>
          </w:tcPr>
          <w:p>
            <w:pPr>
              <w:jc w:val="right"/>
              <w:spacing w:after="0"/>
              <w:rPr>
                <w:sz w:val="20"/>
                <w:szCs w:val="20"/>
                <w:color w:val="auto"/>
              </w:rPr>
            </w:pPr>
            <w:r>
              <w:rPr>
                <w:rFonts w:ascii="Arial" w:cs="Arial" w:eastAsia="Arial" w:hAnsi="Arial"/>
                <w:sz w:val="16"/>
                <w:szCs w:val="16"/>
                <w:b w:val="1"/>
                <w:bCs w:val="1"/>
                <w:color w:val="FFFFFF"/>
              </w:rPr>
              <w:t>Securities</w:t>
            </w:r>
          </w:p>
        </w:tc>
      </w:tr>
      <w:tr>
        <w:trPr>
          <w:trHeight w:val="189"/>
        </w:trPr>
        <w:tc>
          <w:tcPr>
            <w:tcW w:w="5740" w:type="dxa"/>
            <w:vAlign w:val="bottom"/>
            <w:shd w:val="clear" w:color="auto" w:fill="255993"/>
          </w:tcPr>
          <w:p>
            <w:pPr>
              <w:spacing w:after="0"/>
              <w:rPr>
                <w:sz w:val="16"/>
                <w:szCs w:val="16"/>
                <w:color w:val="auto"/>
              </w:rPr>
            </w:pPr>
          </w:p>
        </w:tc>
        <w:tc>
          <w:tcPr>
            <w:tcW w:w="1020" w:type="dxa"/>
            <w:vAlign w:val="bottom"/>
            <w:shd w:val="clear" w:color="auto" w:fill="255993"/>
          </w:tcPr>
          <w:p>
            <w:pPr>
              <w:spacing w:after="0"/>
              <w:rPr>
                <w:sz w:val="16"/>
                <w:szCs w:val="16"/>
                <w:color w:val="auto"/>
              </w:rPr>
            </w:pPr>
          </w:p>
        </w:tc>
        <w:tc>
          <w:tcPr>
            <w:tcW w:w="1340" w:type="dxa"/>
            <w:vAlign w:val="bottom"/>
            <w:shd w:val="clear" w:color="auto" w:fill="255993"/>
          </w:tcPr>
          <w:p>
            <w:pPr>
              <w:spacing w:after="0"/>
              <w:rPr>
                <w:sz w:val="16"/>
                <w:szCs w:val="16"/>
                <w:color w:val="auto"/>
              </w:rPr>
            </w:pPr>
          </w:p>
        </w:tc>
        <w:tc>
          <w:tcPr>
            <w:tcW w:w="1300" w:type="dxa"/>
            <w:vAlign w:val="bottom"/>
            <w:shd w:val="clear" w:color="auto" w:fill="255993"/>
          </w:tcPr>
          <w:p>
            <w:pPr>
              <w:jc w:val="right"/>
              <w:spacing w:after="0"/>
              <w:rPr>
                <w:sz w:val="20"/>
                <w:szCs w:val="20"/>
                <w:color w:val="auto"/>
              </w:rPr>
            </w:pPr>
            <w:r>
              <w:rPr>
                <w:rFonts w:ascii="Arial" w:cs="Arial" w:eastAsia="Arial" w:hAnsi="Arial"/>
                <w:sz w:val="16"/>
                <w:szCs w:val="16"/>
                <w:b w:val="1"/>
                <w:bCs w:val="1"/>
                <w:color w:val="FFFFFF"/>
              </w:rPr>
              <w:t>Remaining</w:t>
            </w:r>
          </w:p>
        </w:tc>
      </w:tr>
      <w:tr>
        <w:trPr>
          <w:trHeight w:val="189"/>
        </w:trPr>
        <w:tc>
          <w:tcPr>
            <w:tcW w:w="5740" w:type="dxa"/>
            <w:vAlign w:val="bottom"/>
            <w:shd w:val="clear" w:color="auto" w:fill="255993"/>
          </w:tcPr>
          <w:p>
            <w:pPr>
              <w:spacing w:after="0"/>
              <w:rPr>
                <w:sz w:val="16"/>
                <w:szCs w:val="16"/>
                <w:color w:val="auto"/>
              </w:rPr>
            </w:pPr>
          </w:p>
        </w:tc>
        <w:tc>
          <w:tcPr>
            <w:tcW w:w="1020" w:type="dxa"/>
            <w:vAlign w:val="bottom"/>
            <w:shd w:val="clear" w:color="auto" w:fill="255993"/>
          </w:tcPr>
          <w:p>
            <w:pPr>
              <w:spacing w:after="0"/>
              <w:rPr>
                <w:sz w:val="16"/>
                <w:szCs w:val="16"/>
                <w:color w:val="auto"/>
              </w:rPr>
            </w:pPr>
          </w:p>
        </w:tc>
        <w:tc>
          <w:tcPr>
            <w:tcW w:w="1340" w:type="dxa"/>
            <w:vAlign w:val="bottom"/>
            <w:shd w:val="clear" w:color="auto" w:fill="255993"/>
          </w:tcPr>
          <w:p>
            <w:pPr>
              <w:spacing w:after="0"/>
              <w:rPr>
                <w:sz w:val="16"/>
                <w:szCs w:val="16"/>
                <w:color w:val="auto"/>
              </w:rPr>
            </w:pPr>
          </w:p>
        </w:tc>
        <w:tc>
          <w:tcPr>
            <w:tcW w:w="1300" w:type="dxa"/>
            <w:vAlign w:val="bottom"/>
            <w:shd w:val="clear" w:color="auto" w:fill="255993"/>
          </w:tcPr>
          <w:p>
            <w:pPr>
              <w:jc w:val="right"/>
              <w:spacing w:after="0"/>
              <w:rPr>
                <w:sz w:val="20"/>
                <w:szCs w:val="20"/>
                <w:color w:val="auto"/>
              </w:rPr>
            </w:pPr>
            <w:r>
              <w:rPr>
                <w:rFonts w:ascii="Arial" w:cs="Arial" w:eastAsia="Arial" w:hAnsi="Arial"/>
                <w:sz w:val="16"/>
                <w:szCs w:val="16"/>
                <w:b w:val="1"/>
                <w:bCs w:val="1"/>
                <w:color w:val="FFFFFF"/>
              </w:rPr>
              <w:t>Available for</w:t>
            </w:r>
          </w:p>
        </w:tc>
      </w:tr>
      <w:tr>
        <w:trPr>
          <w:trHeight w:val="203"/>
        </w:trPr>
        <w:tc>
          <w:tcPr>
            <w:tcW w:w="5740" w:type="dxa"/>
            <w:vAlign w:val="bottom"/>
            <w:shd w:val="clear" w:color="auto" w:fill="255993"/>
          </w:tcPr>
          <w:p>
            <w:pPr>
              <w:spacing w:after="0"/>
              <w:rPr>
                <w:sz w:val="17"/>
                <w:szCs w:val="17"/>
                <w:color w:val="auto"/>
              </w:rPr>
            </w:pPr>
          </w:p>
        </w:tc>
        <w:tc>
          <w:tcPr>
            <w:tcW w:w="1020" w:type="dxa"/>
            <w:vAlign w:val="bottom"/>
            <w:shd w:val="clear" w:color="auto" w:fill="255993"/>
          </w:tcPr>
          <w:p>
            <w:pPr>
              <w:spacing w:after="0"/>
              <w:rPr>
                <w:sz w:val="17"/>
                <w:szCs w:val="17"/>
                <w:color w:val="auto"/>
              </w:rPr>
            </w:pPr>
          </w:p>
        </w:tc>
        <w:tc>
          <w:tcPr>
            <w:tcW w:w="1340" w:type="dxa"/>
            <w:vAlign w:val="bottom"/>
            <w:shd w:val="clear" w:color="auto" w:fill="255993"/>
          </w:tcPr>
          <w:p>
            <w:pPr>
              <w:jc w:val="right"/>
              <w:ind w:right="121"/>
              <w:spacing w:after="0"/>
              <w:rPr>
                <w:sz w:val="20"/>
                <w:szCs w:val="20"/>
                <w:color w:val="auto"/>
              </w:rPr>
            </w:pPr>
            <w:r>
              <w:rPr>
                <w:rFonts w:ascii="Arial" w:cs="Arial" w:eastAsia="Arial" w:hAnsi="Arial"/>
                <w:sz w:val="16"/>
                <w:szCs w:val="16"/>
                <w:b w:val="1"/>
                <w:bCs w:val="1"/>
                <w:color w:val="FFFFFF"/>
              </w:rPr>
              <w:t>(b)</w:t>
            </w:r>
          </w:p>
        </w:tc>
        <w:tc>
          <w:tcPr>
            <w:tcW w:w="1300" w:type="dxa"/>
            <w:vAlign w:val="bottom"/>
            <w:shd w:val="clear" w:color="auto" w:fill="255993"/>
          </w:tcPr>
          <w:p>
            <w:pPr>
              <w:jc w:val="right"/>
              <w:spacing w:after="0"/>
              <w:rPr>
                <w:sz w:val="20"/>
                <w:szCs w:val="20"/>
                <w:color w:val="auto"/>
              </w:rPr>
            </w:pPr>
            <w:r>
              <w:rPr>
                <w:rFonts w:ascii="Arial" w:cs="Arial" w:eastAsia="Arial" w:hAnsi="Arial"/>
                <w:sz w:val="16"/>
                <w:szCs w:val="16"/>
                <w:b w:val="1"/>
                <w:bCs w:val="1"/>
                <w:color w:val="FFFFFF"/>
              </w:rPr>
              <w:t>Future</w:t>
            </w:r>
          </w:p>
        </w:tc>
      </w:tr>
      <w:tr>
        <w:trPr>
          <w:trHeight w:val="189"/>
        </w:trPr>
        <w:tc>
          <w:tcPr>
            <w:tcW w:w="5740" w:type="dxa"/>
            <w:vAlign w:val="bottom"/>
            <w:shd w:val="clear" w:color="auto" w:fill="255993"/>
          </w:tcPr>
          <w:p>
            <w:pPr>
              <w:spacing w:after="0"/>
              <w:rPr>
                <w:sz w:val="16"/>
                <w:szCs w:val="16"/>
                <w:color w:val="auto"/>
              </w:rPr>
            </w:pPr>
          </w:p>
        </w:tc>
        <w:tc>
          <w:tcPr>
            <w:tcW w:w="1020" w:type="dxa"/>
            <w:vAlign w:val="bottom"/>
            <w:shd w:val="clear" w:color="auto" w:fill="255993"/>
          </w:tcPr>
          <w:p>
            <w:pPr>
              <w:spacing w:after="0"/>
              <w:rPr>
                <w:sz w:val="16"/>
                <w:szCs w:val="16"/>
                <w:color w:val="auto"/>
              </w:rPr>
            </w:pPr>
          </w:p>
        </w:tc>
        <w:tc>
          <w:tcPr>
            <w:tcW w:w="1340" w:type="dxa"/>
            <w:vAlign w:val="bottom"/>
            <w:shd w:val="clear" w:color="auto" w:fill="255993"/>
          </w:tcPr>
          <w:p>
            <w:pPr>
              <w:jc w:val="right"/>
              <w:ind w:right="121"/>
              <w:spacing w:after="0"/>
              <w:rPr>
                <w:sz w:val="20"/>
                <w:szCs w:val="20"/>
                <w:color w:val="auto"/>
              </w:rPr>
            </w:pPr>
            <w:r>
              <w:rPr>
                <w:rFonts w:ascii="Arial" w:cs="Arial" w:eastAsia="Arial" w:hAnsi="Arial"/>
                <w:sz w:val="16"/>
                <w:szCs w:val="16"/>
                <w:b w:val="1"/>
                <w:bCs w:val="1"/>
                <w:color w:val="FFFFFF"/>
              </w:rPr>
              <w:t>Weighted</w:t>
            </w:r>
          </w:p>
        </w:tc>
        <w:tc>
          <w:tcPr>
            <w:tcW w:w="1300" w:type="dxa"/>
            <w:vAlign w:val="bottom"/>
            <w:shd w:val="clear" w:color="auto" w:fill="255993"/>
          </w:tcPr>
          <w:p>
            <w:pPr>
              <w:jc w:val="right"/>
              <w:spacing w:after="0"/>
              <w:rPr>
                <w:sz w:val="20"/>
                <w:szCs w:val="20"/>
                <w:color w:val="auto"/>
              </w:rPr>
            </w:pPr>
            <w:r>
              <w:rPr>
                <w:rFonts w:ascii="Arial" w:cs="Arial" w:eastAsia="Arial" w:hAnsi="Arial"/>
                <w:sz w:val="16"/>
                <w:szCs w:val="16"/>
                <w:b w:val="1"/>
                <w:bCs w:val="1"/>
                <w:color w:val="FFFFFF"/>
              </w:rPr>
              <w:t>Issuance</w:t>
            </w:r>
          </w:p>
        </w:tc>
      </w:tr>
      <w:tr>
        <w:trPr>
          <w:trHeight w:val="189"/>
        </w:trPr>
        <w:tc>
          <w:tcPr>
            <w:tcW w:w="5740" w:type="dxa"/>
            <w:vAlign w:val="bottom"/>
            <w:shd w:val="clear" w:color="auto" w:fill="255993"/>
          </w:tcPr>
          <w:p>
            <w:pPr>
              <w:ind w:left="5520"/>
              <w:spacing w:after="0"/>
              <w:rPr>
                <w:sz w:val="20"/>
                <w:szCs w:val="20"/>
                <w:color w:val="auto"/>
              </w:rPr>
            </w:pPr>
            <w:r>
              <w:rPr>
                <w:rFonts w:ascii="Arial" w:cs="Arial" w:eastAsia="Arial" w:hAnsi="Arial"/>
                <w:sz w:val="16"/>
                <w:szCs w:val="16"/>
                <w:b w:val="1"/>
                <w:bCs w:val="1"/>
                <w:color w:val="FFFFFF"/>
              </w:rPr>
              <w:t>(a)​</w:t>
            </w:r>
          </w:p>
        </w:tc>
        <w:tc>
          <w:tcPr>
            <w:tcW w:w="1020" w:type="dxa"/>
            <w:vAlign w:val="bottom"/>
            <w:shd w:val="clear" w:color="auto" w:fill="255993"/>
          </w:tcPr>
          <w:p>
            <w:pPr>
              <w:jc w:val="right"/>
              <w:ind w:right="105"/>
              <w:spacing w:after="0"/>
              <w:rPr>
                <w:sz w:val="20"/>
                <w:szCs w:val="20"/>
                <w:color w:val="auto"/>
              </w:rPr>
            </w:pPr>
            <w:r>
              <w:rPr>
                <w:rFonts w:ascii="Arial" w:cs="Arial" w:eastAsia="Arial" w:hAnsi="Arial"/>
                <w:sz w:val="16"/>
                <w:szCs w:val="16"/>
                <w:b w:val="1"/>
                <w:bCs w:val="1"/>
                <w:color w:val="FFFFFF"/>
              </w:rPr>
              <w:t>Number of</w:t>
            </w:r>
          </w:p>
        </w:tc>
        <w:tc>
          <w:tcPr>
            <w:tcW w:w="1340" w:type="dxa"/>
            <w:vAlign w:val="bottom"/>
            <w:shd w:val="clear" w:color="auto" w:fill="255993"/>
          </w:tcPr>
          <w:p>
            <w:pPr>
              <w:jc w:val="right"/>
              <w:ind w:right="121"/>
              <w:spacing w:after="0"/>
              <w:rPr>
                <w:sz w:val="20"/>
                <w:szCs w:val="20"/>
                <w:color w:val="auto"/>
              </w:rPr>
            </w:pPr>
            <w:r>
              <w:rPr>
                <w:rFonts w:ascii="Arial" w:cs="Arial" w:eastAsia="Arial" w:hAnsi="Arial"/>
                <w:sz w:val="16"/>
                <w:szCs w:val="16"/>
                <w:b w:val="1"/>
                <w:bCs w:val="1"/>
                <w:color w:val="FFFFFF"/>
              </w:rPr>
              <w:t>Average</w:t>
            </w:r>
          </w:p>
        </w:tc>
        <w:tc>
          <w:tcPr>
            <w:tcW w:w="1300" w:type="dxa"/>
            <w:vAlign w:val="bottom"/>
            <w:shd w:val="clear" w:color="auto" w:fill="255993"/>
          </w:tcPr>
          <w:p>
            <w:pPr>
              <w:jc w:val="right"/>
              <w:spacing w:after="0"/>
              <w:rPr>
                <w:sz w:val="20"/>
                <w:szCs w:val="20"/>
                <w:color w:val="auto"/>
              </w:rPr>
            </w:pPr>
            <w:r>
              <w:rPr>
                <w:rFonts w:ascii="Arial" w:cs="Arial" w:eastAsia="Arial" w:hAnsi="Arial"/>
                <w:sz w:val="16"/>
                <w:szCs w:val="16"/>
                <w:b w:val="1"/>
                <w:bCs w:val="1"/>
                <w:color w:val="FFFFFF"/>
              </w:rPr>
              <w:t>Under Equity</w:t>
            </w:r>
          </w:p>
        </w:tc>
      </w:tr>
      <w:tr>
        <w:trPr>
          <w:trHeight w:val="189"/>
        </w:trPr>
        <w:tc>
          <w:tcPr>
            <w:tcW w:w="6760" w:type="dxa"/>
            <w:vAlign w:val="bottom"/>
            <w:gridSpan w:val="2"/>
            <w:shd w:val="clear" w:color="auto" w:fill="255993"/>
          </w:tcPr>
          <w:p>
            <w:pPr>
              <w:jc w:val="right"/>
              <w:ind w:right="105"/>
              <w:spacing w:after="0"/>
              <w:rPr>
                <w:sz w:val="20"/>
                <w:szCs w:val="20"/>
                <w:color w:val="auto"/>
              </w:rPr>
            </w:pPr>
            <w:r>
              <w:rPr>
                <w:rFonts w:ascii="Arial" w:cs="Arial" w:eastAsia="Arial" w:hAnsi="Arial"/>
                <w:sz w:val="16"/>
                <w:szCs w:val="16"/>
                <w:b w:val="1"/>
                <w:bCs w:val="1"/>
                <w:color w:val="FFFFFF"/>
              </w:rPr>
              <w:t>Securities to be</w:t>
            </w:r>
          </w:p>
        </w:tc>
        <w:tc>
          <w:tcPr>
            <w:tcW w:w="1340" w:type="dxa"/>
            <w:vAlign w:val="bottom"/>
            <w:shd w:val="clear" w:color="auto" w:fill="255993"/>
          </w:tcPr>
          <w:p>
            <w:pPr>
              <w:jc w:val="right"/>
              <w:ind w:right="121"/>
              <w:spacing w:after="0"/>
              <w:rPr>
                <w:sz w:val="20"/>
                <w:szCs w:val="20"/>
                <w:color w:val="auto"/>
              </w:rPr>
            </w:pPr>
            <w:r>
              <w:rPr>
                <w:rFonts w:ascii="Arial" w:cs="Arial" w:eastAsia="Arial" w:hAnsi="Arial"/>
                <w:sz w:val="16"/>
                <w:szCs w:val="16"/>
                <w:b w:val="1"/>
                <w:bCs w:val="1"/>
                <w:color w:val="FFFFFF"/>
              </w:rPr>
              <w:t>Exercise</w:t>
            </w:r>
          </w:p>
        </w:tc>
        <w:tc>
          <w:tcPr>
            <w:tcW w:w="1300" w:type="dxa"/>
            <w:vAlign w:val="bottom"/>
            <w:shd w:val="clear" w:color="auto" w:fill="255993"/>
          </w:tcPr>
          <w:p>
            <w:pPr>
              <w:jc w:val="right"/>
              <w:spacing w:after="0"/>
              <w:rPr>
                <w:sz w:val="20"/>
                <w:szCs w:val="20"/>
                <w:color w:val="auto"/>
              </w:rPr>
            </w:pPr>
            <w:r>
              <w:rPr>
                <w:rFonts w:ascii="Arial" w:cs="Arial" w:eastAsia="Arial" w:hAnsi="Arial"/>
                <w:sz w:val="16"/>
                <w:szCs w:val="16"/>
                <w:b w:val="1"/>
                <w:bCs w:val="1"/>
                <w:color w:val="FFFFFF"/>
              </w:rPr>
              <w:t>Compensation</w:t>
            </w:r>
          </w:p>
        </w:tc>
      </w:tr>
      <w:tr>
        <w:trPr>
          <w:trHeight w:val="189"/>
        </w:trPr>
        <w:tc>
          <w:tcPr>
            <w:tcW w:w="6760" w:type="dxa"/>
            <w:vAlign w:val="bottom"/>
            <w:gridSpan w:val="2"/>
            <w:shd w:val="clear" w:color="auto" w:fill="255993"/>
          </w:tcPr>
          <w:p>
            <w:pPr>
              <w:jc w:val="right"/>
              <w:ind w:right="105"/>
              <w:spacing w:after="0"/>
              <w:rPr>
                <w:sz w:val="20"/>
                <w:szCs w:val="20"/>
                <w:color w:val="auto"/>
              </w:rPr>
            </w:pPr>
            <w:r>
              <w:rPr>
                <w:rFonts w:ascii="Arial" w:cs="Arial" w:eastAsia="Arial" w:hAnsi="Arial"/>
                <w:sz w:val="16"/>
                <w:szCs w:val="16"/>
                <w:b w:val="1"/>
                <w:bCs w:val="1"/>
                <w:color w:val="FFFFFF"/>
              </w:rPr>
              <w:t>Issued Upon</w:t>
            </w:r>
          </w:p>
        </w:tc>
        <w:tc>
          <w:tcPr>
            <w:tcW w:w="1340" w:type="dxa"/>
            <w:vAlign w:val="bottom"/>
            <w:shd w:val="clear" w:color="auto" w:fill="255993"/>
          </w:tcPr>
          <w:p>
            <w:pPr>
              <w:jc w:val="right"/>
              <w:ind w:right="121"/>
              <w:spacing w:after="0"/>
              <w:rPr>
                <w:sz w:val="20"/>
                <w:szCs w:val="20"/>
                <w:color w:val="auto"/>
              </w:rPr>
            </w:pPr>
            <w:r>
              <w:rPr>
                <w:rFonts w:ascii="Arial" w:cs="Arial" w:eastAsia="Arial" w:hAnsi="Arial"/>
                <w:sz w:val="16"/>
                <w:szCs w:val="16"/>
                <w:b w:val="1"/>
                <w:bCs w:val="1"/>
                <w:color w:val="FFFFFF"/>
              </w:rPr>
              <w:t>Price of</w:t>
            </w:r>
          </w:p>
        </w:tc>
        <w:tc>
          <w:tcPr>
            <w:tcW w:w="1300" w:type="dxa"/>
            <w:vAlign w:val="bottom"/>
            <w:shd w:val="clear" w:color="auto" w:fill="255993"/>
          </w:tcPr>
          <w:p>
            <w:pPr>
              <w:jc w:val="right"/>
              <w:spacing w:after="0"/>
              <w:rPr>
                <w:sz w:val="20"/>
                <w:szCs w:val="20"/>
                <w:color w:val="auto"/>
              </w:rPr>
            </w:pPr>
            <w:r>
              <w:rPr>
                <w:rFonts w:ascii="Arial" w:cs="Arial" w:eastAsia="Arial" w:hAnsi="Arial"/>
                <w:sz w:val="16"/>
                <w:szCs w:val="16"/>
                <w:b w:val="1"/>
                <w:bCs w:val="1"/>
                <w:color w:val="FFFFFF"/>
              </w:rPr>
              <w:t>Plans</w:t>
            </w:r>
          </w:p>
        </w:tc>
      </w:tr>
      <w:tr>
        <w:trPr>
          <w:trHeight w:val="189"/>
        </w:trPr>
        <w:tc>
          <w:tcPr>
            <w:tcW w:w="6760" w:type="dxa"/>
            <w:vAlign w:val="bottom"/>
            <w:gridSpan w:val="2"/>
            <w:shd w:val="clear" w:color="auto" w:fill="255993"/>
          </w:tcPr>
          <w:p>
            <w:pPr>
              <w:jc w:val="right"/>
              <w:ind w:right="105"/>
              <w:spacing w:after="0"/>
              <w:rPr>
                <w:sz w:val="20"/>
                <w:szCs w:val="20"/>
                <w:color w:val="auto"/>
              </w:rPr>
            </w:pPr>
            <w:r>
              <w:rPr>
                <w:rFonts w:ascii="Arial" w:cs="Arial" w:eastAsia="Arial" w:hAnsi="Arial"/>
                <w:sz w:val="16"/>
                <w:szCs w:val="16"/>
                <w:b w:val="1"/>
                <w:bCs w:val="1"/>
                <w:color w:val="FFFFFF"/>
              </w:rPr>
              <w:t>Exercise of</w:t>
            </w:r>
          </w:p>
        </w:tc>
        <w:tc>
          <w:tcPr>
            <w:tcW w:w="1340" w:type="dxa"/>
            <w:vAlign w:val="bottom"/>
            <w:shd w:val="clear" w:color="auto" w:fill="255993"/>
          </w:tcPr>
          <w:p>
            <w:pPr>
              <w:jc w:val="right"/>
              <w:ind w:right="121"/>
              <w:spacing w:after="0"/>
              <w:rPr>
                <w:sz w:val="20"/>
                <w:szCs w:val="20"/>
                <w:color w:val="auto"/>
              </w:rPr>
            </w:pPr>
            <w:r>
              <w:rPr>
                <w:rFonts w:ascii="Arial" w:cs="Arial" w:eastAsia="Arial" w:hAnsi="Arial"/>
                <w:sz w:val="16"/>
                <w:szCs w:val="16"/>
                <w:b w:val="1"/>
                <w:bCs w:val="1"/>
                <w:color w:val="FFFFFF"/>
              </w:rPr>
              <w:t>Outstanding</w:t>
            </w:r>
          </w:p>
        </w:tc>
        <w:tc>
          <w:tcPr>
            <w:tcW w:w="1300" w:type="dxa"/>
            <w:vAlign w:val="bottom"/>
            <w:shd w:val="clear" w:color="auto" w:fill="255993"/>
          </w:tcPr>
          <w:p>
            <w:pPr>
              <w:jc w:val="right"/>
              <w:spacing w:after="0"/>
              <w:rPr>
                <w:sz w:val="20"/>
                <w:szCs w:val="20"/>
                <w:color w:val="auto"/>
              </w:rPr>
            </w:pPr>
            <w:r>
              <w:rPr>
                <w:rFonts w:ascii="Arial" w:cs="Arial" w:eastAsia="Arial" w:hAnsi="Arial"/>
                <w:sz w:val="16"/>
                <w:szCs w:val="16"/>
                <w:b w:val="1"/>
                <w:bCs w:val="1"/>
                <w:color w:val="FFFFFF"/>
              </w:rPr>
              <w:t>(Excluding</w:t>
            </w:r>
          </w:p>
        </w:tc>
      </w:tr>
      <w:tr>
        <w:trPr>
          <w:trHeight w:val="189"/>
        </w:trPr>
        <w:tc>
          <w:tcPr>
            <w:tcW w:w="6760" w:type="dxa"/>
            <w:vAlign w:val="bottom"/>
            <w:gridSpan w:val="2"/>
            <w:shd w:val="clear" w:color="auto" w:fill="255993"/>
          </w:tcPr>
          <w:p>
            <w:pPr>
              <w:jc w:val="right"/>
              <w:ind w:right="105"/>
              <w:spacing w:after="0"/>
              <w:rPr>
                <w:sz w:val="20"/>
                <w:szCs w:val="20"/>
                <w:color w:val="auto"/>
              </w:rPr>
            </w:pPr>
            <w:r>
              <w:rPr>
                <w:rFonts w:ascii="Arial" w:cs="Arial" w:eastAsia="Arial" w:hAnsi="Arial"/>
                <w:sz w:val="16"/>
                <w:szCs w:val="16"/>
                <w:b w:val="1"/>
                <w:bCs w:val="1"/>
                <w:color w:val="FFFFFF"/>
              </w:rPr>
              <w:t>Outstanding</w:t>
            </w:r>
          </w:p>
        </w:tc>
        <w:tc>
          <w:tcPr>
            <w:tcW w:w="1340" w:type="dxa"/>
            <w:vAlign w:val="bottom"/>
            <w:shd w:val="clear" w:color="auto" w:fill="255993"/>
          </w:tcPr>
          <w:p>
            <w:pPr>
              <w:jc w:val="right"/>
              <w:ind w:right="121"/>
              <w:spacing w:after="0"/>
              <w:rPr>
                <w:sz w:val="20"/>
                <w:szCs w:val="20"/>
                <w:color w:val="auto"/>
              </w:rPr>
            </w:pPr>
            <w:r>
              <w:rPr>
                <w:rFonts w:ascii="Arial" w:cs="Arial" w:eastAsia="Arial" w:hAnsi="Arial"/>
                <w:sz w:val="16"/>
                <w:szCs w:val="16"/>
                <w:b w:val="1"/>
                <w:bCs w:val="1"/>
                <w:color w:val="FFFFFF"/>
              </w:rPr>
              <w:t>Options,</w:t>
            </w:r>
          </w:p>
        </w:tc>
        <w:tc>
          <w:tcPr>
            <w:tcW w:w="1300" w:type="dxa"/>
            <w:vAlign w:val="bottom"/>
            <w:shd w:val="clear" w:color="auto" w:fill="255993"/>
          </w:tcPr>
          <w:p>
            <w:pPr>
              <w:jc w:val="right"/>
              <w:spacing w:after="0"/>
              <w:rPr>
                <w:sz w:val="20"/>
                <w:szCs w:val="20"/>
                <w:color w:val="auto"/>
              </w:rPr>
            </w:pPr>
            <w:r>
              <w:rPr>
                <w:rFonts w:ascii="Arial" w:cs="Arial" w:eastAsia="Arial" w:hAnsi="Arial"/>
                <w:sz w:val="16"/>
                <w:szCs w:val="16"/>
                <w:b w:val="1"/>
                <w:bCs w:val="1"/>
                <w:color w:val="FFFFFF"/>
              </w:rPr>
              <w:t>Securities</w:t>
            </w:r>
          </w:p>
        </w:tc>
      </w:tr>
      <w:tr>
        <w:trPr>
          <w:trHeight w:val="189"/>
        </w:trPr>
        <w:tc>
          <w:tcPr>
            <w:tcW w:w="6760" w:type="dxa"/>
            <w:vAlign w:val="bottom"/>
            <w:gridSpan w:val="2"/>
            <w:shd w:val="clear" w:color="auto" w:fill="255993"/>
          </w:tcPr>
          <w:p>
            <w:pPr>
              <w:jc w:val="right"/>
              <w:ind w:right="105"/>
              <w:spacing w:after="0"/>
              <w:rPr>
                <w:sz w:val="20"/>
                <w:szCs w:val="20"/>
                <w:color w:val="auto"/>
              </w:rPr>
            </w:pPr>
            <w:r>
              <w:rPr>
                <w:rFonts w:ascii="Arial" w:cs="Arial" w:eastAsia="Arial" w:hAnsi="Arial"/>
                <w:sz w:val="16"/>
                <w:szCs w:val="16"/>
                <w:b w:val="1"/>
                <w:bCs w:val="1"/>
                <w:color w:val="FFFFFF"/>
              </w:rPr>
              <w:t>Options, Warrants</w:t>
            </w:r>
          </w:p>
        </w:tc>
        <w:tc>
          <w:tcPr>
            <w:tcW w:w="1340" w:type="dxa"/>
            <w:vAlign w:val="bottom"/>
            <w:shd w:val="clear" w:color="auto" w:fill="255993"/>
          </w:tcPr>
          <w:p>
            <w:pPr>
              <w:jc w:val="right"/>
              <w:ind w:right="121"/>
              <w:spacing w:after="0"/>
              <w:rPr>
                <w:sz w:val="20"/>
                <w:szCs w:val="20"/>
                <w:color w:val="auto"/>
              </w:rPr>
            </w:pPr>
            <w:r>
              <w:rPr>
                <w:rFonts w:ascii="Arial" w:cs="Arial" w:eastAsia="Arial" w:hAnsi="Arial"/>
                <w:sz w:val="16"/>
                <w:szCs w:val="16"/>
                <w:b w:val="1"/>
                <w:bCs w:val="1"/>
                <w:color w:val="FFFFFF"/>
              </w:rPr>
              <w:t>Warrants</w:t>
            </w:r>
          </w:p>
        </w:tc>
        <w:tc>
          <w:tcPr>
            <w:tcW w:w="1300" w:type="dxa"/>
            <w:vAlign w:val="bottom"/>
            <w:shd w:val="clear" w:color="auto" w:fill="255993"/>
          </w:tcPr>
          <w:p>
            <w:pPr>
              <w:jc w:val="right"/>
              <w:spacing w:after="0"/>
              <w:rPr>
                <w:sz w:val="20"/>
                <w:szCs w:val="20"/>
                <w:color w:val="auto"/>
              </w:rPr>
            </w:pPr>
            <w:r>
              <w:rPr>
                <w:rFonts w:ascii="Arial" w:cs="Arial" w:eastAsia="Arial" w:hAnsi="Arial"/>
                <w:sz w:val="16"/>
                <w:szCs w:val="16"/>
                <w:b w:val="1"/>
                <w:bCs w:val="1"/>
                <w:color w:val="FFFFFF"/>
              </w:rPr>
              <w:t>Reflected in</w:t>
            </w:r>
          </w:p>
        </w:tc>
      </w:tr>
      <w:tr>
        <w:trPr>
          <w:trHeight w:val="311"/>
        </w:trPr>
        <w:tc>
          <w:tcPr>
            <w:tcW w:w="5740" w:type="dxa"/>
            <w:vAlign w:val="bottom"/>
            <w:shd w:val="clear" w:color="auto" w:fill="255993"/>
          </w:tcPr>
          <w:p>
            <w:pPr>
              <w:ind w:left="60"/>
              <w:spacing w:after="0"/>
              <w:rPr>
                <w:sz w:val="20"/>
                <w:szCs w:val="20"/>
                <w:color w:val="auto"/>
              </w:rPr>
            </w:pPr>
            <w:r>
              <w:rPr>
                <w:rFonts w:ascii="Arial" w:cs="Arial" w:eastAsia="Arial" w:hAnsi="Arial"/>
                <w:sz w:val="16"/>
                <w:szCs w:val="16"/>
                <w:b w:val="1"/>
                <w:bCs w:val="1"/>
                <w:color w:val="FFFFFF"/>
              </w:rPr>
              <w:t>Plan Category</w:t>
            </w:r>
          </w:p>
        </w:tc>
        <w:tc>
          <w:tcPr>
            <w:tcW w:w="1020" w:type="dxa"/>
            <w:vAlign w:val="bottom"/>
            <w:shd w:val="clear" w:color="auto" w:fill="255993"/>
          </w:tcPr>
          <w:p>
            <w:pPr>
              <w:jc w:val="right"/>
              <w:ind w:right="105"/>
              <w:spacing w:after="0"/>
              <w:rPr>
                <w:sz w:val="20"/>
                <w:szCs w:val="20"/>
                <w:color w:val="auto"/>
              </w:rPr>
            </w:pPr>
            <w:r>
              <w:rPr>
                <w:rFonts w:ascii="Arial" w:cs="Arial" w:eastAsia="Arial" w:hAnsi="Arial"/>
                <w:sz w:val="16"/>
                <w:szCs w:val="16"/>
                <w:b w:val="1"/>
                <w:bCs w:val="1"/>
                <w:color w:val="FFFFFF"/>
                <w:w w:val="99"/>
              </w:rPr>
              <w:t>and Rights</w:t>
            </w:r>
          </w:p>
        </w:tc>
        <w:tc>
          <w:tcPr>
            <w:tcW w:w="1340" w:type="dxa"/>
            <w:vAlign w:val="bottom"/>
            <w:shd w:val="clear" w:color="auto" w:fill="255993"/>
          </w:tcPr>
          <w:p>
            <w:pPr>
              <w:jc w:val="right"/>
              <w:ind w:right="121"/>
              <w:spacing w:after="0"/>
              <w:rPr>
                <w:sz w:val="20"/>
                <w:szCs w:val="20"/>
                <w:color w:val="auto"/>
              </w:rPr>
            </w:pPr>
            <w:r>
              <w:rPr>
                <w:rFonts w:ascii="Arial" w:cs="Arial" w:eastAsia="Arial" w:hAnsi="Arial"/>
                <w:sz w:val="16"/>
                <w:szCs w:val="16"/>
                <w:b w:val="1"/>
                <w:bCs w:val="1"/>
                <w:color w:val="FFFFFF"/>
              </w:rPr>
              <w:t>and Rights</w:t>
            </w:r>
          </w:p>
        </w:tc>
        <w:tc>
          <w:tcPr>
            <w:tcW w:w="1300" w:type="dxa"/>
            <w:vAlign w:val="bottom"/>
            <w:shd w:val="clear" w:color="auto" w:fill="255993"/>
          </w:tcPr>
          <w:p>
            <w:pPr>
              <w:jc w:val="right"/>
              <w:spacing w:after="0"/>
              <w:rPr>
                <w:sz w:val="20"/>
                <w:szCs w:val="20"/>
                <w:color w:val="auto"/>
              </w:rPr>
            </w:pPr>
            <w:r>
              <w:rPr>
                <w:rFonts w:ascii="Arial" w:cs="Arial" w:eastAsia="Arial" w:hAnsi="Arial"/>
                <w:sz w:val="16"/>
                <w:szCs w:val="16"/>
                <w:b w:val="1"/>
                <w:bCs w:val="1"/>
                <w:color w:val="FFFFFF"/>
              </w:rPr>
              <w:t>Column (a))</w:t>
            </w:r>
            <w:r>
              <w:rPr>
                <w:rFonts w:ascii="Arial" w:cs="Arial" w:eastAsia="Arial" w:hAnsi="Arial"/>
                <w:sz w:val="26"/>
                <w:szCs w:val="26"/>
                <w:b w:val="1"/>
                <w:bCs w:val="1"/>
                <w:color w:val="FFFFFF"/>
                <w:vertAlign w:val="superscript"/>
              </w:rPr>
              <w:t>(3)</w:t>
            </w:r>
          </w:p>
        </w:tc>
      </w:tr>
      <w:tr>
        <w:trPr>
          <w:trHeight w:val="275"/>
        </w:trPr>
        <w:tc>
          <w:tcPr>
            <w:tcW w:w="5740" w:type="dxa"/>
            <w:vAlign w:val="bottom"/>
            <w:shd w:val="clear" w:color="auto" w:fill="EBEBEB"/>
          </w:tcPr>
          <w:p>
            <w:pPr>
              <w:ind w:left="60"/>
              <w:spacing w:after="0"/>
              <w:rPr>
                <w:sz w:val="20"/>
                <w:szCs w:val="20"/>
                <w:color w:val="auto"/>
              </w:rPr>
            </w:pPr>
            <w:r>
              <w:rPr>
                <w:rFonts w:ascii="Arial" w:cs="Arial" w:eastAsia="Arial" w:hAnsi="Arial"/>
                <w:sz w:val="14"/>
                <w:szCs w:val="14"/>
                <w:color w:val="auto"/>
              </w:rPr>
              <w:t>Equity compensation plans approved by security holders:</w:t>
            </w:r>
          </w:p>
        </w:tc>
        <w:tc>
          <w:tcPr>
            <w:tcW w:w="1020" w:type="dxa"/>
            <w:vAlign w:val="bottom"/>
            <w:shd w:val="clear" w:color="auto" w:fill="EBEBEB"/>
          </w:tcPr>
          <w:p>
            <w:pPr>
              <w:spacing w:after="0"/>
              <w:rPr>
                <w:sz w:val="23"/>
                <w:szCs w:val="23"/>
                <w:color w:val="auto"/>
              </w:rPr>
            </w:pPr>
          </w:p>
        </w:tc>
        <w:tc>
          <w:tcPr>
            <w:tcW w:w="1340" w:type="dxa"/>
            <w:vAlign w:val="bottom"/>
            <w:shd w:val="clear" w:color="auto" w:fill="EBEBEB"/>
          </w:tcPr>
          <w:p>
            <w:pPr>
              <w:spacing w:after="0"/>
              <w:rPr>
                <w:sz w:val="23"/>
                <w:szCs w:val="23"/>
                <w:color w:val="auto"/>
              </w:rPr>
            </w:pPr>
          </w:p>
        </w:tc>
        <w:tc>
          <w:tcPr>
            <w:tcW w:w="1300" w:type="dxa"/>
            <w:vAlign w:val="bottom"/>
            <w:shd w:val="clear" w:color="auto" w:fill="EBEBEB"/>
          </w:tcPr>
          <w:p>
            <w:pPr>
              <w:spacing w:after="0"/>
              <w:rPr>
                <w:sz w:val="23"/>
                <w:szCs w:val="23"/>
                <w:color w:val="auto"/>
              </w:rPr>
            </w:pPr>
          </w:p>
        </w:tc>
      </w:tr>
      <w:tr>
        <w:trPr>
          <w:trHeight w:val="62"/>
        </w:trPr>
        <w:tc>
          <w:tcPr>
            <w:tcW w:w="5740" w:type="dxa"/>
            <w:vAlign w:val="bottom"/>
            <w:shd w:val="clear" w:color="auto" w:fill="EBEBEB"/>
          </w:tcPr>
          <w:p>
            <w:pPr>
              <w:spacing w:after="0"/>
              <w:rPr>
                <w:sz w:val="5"/>
                <w:szCs w:val="5"/>
                <w:color w:val="auto"/>
              </w:rPr>
            </w:pPr>
          </w:p>
        </w:tc>
        <w:tc>
          <w:tcPr>
            <w:tcW w:w="1020" w:type="dxa"/>
            <w:vAlign w:val="bottom"/>
            <w:shd w:val="clear" w:color="auto" w:fill="EBEBEB"/>
          </w:tcPr>
          <w:p>
            <w:pPr>
              <w:spacing w:after="0"/>
              <w:rPr>
                <w:sz w:val="5"/>
                <w:szCs w:val="5"/>
                <w:color w:val="auto"/>
              </w:rPr>
            </w:pPr>
          </w:p>
        </w:tc>
        <w:tc>
          <w:tcPr>
            <w:tcW w:w="1340" w:type="dxa"/>
            <w:vAlign w:val="bottom"/>
            <w:shd w:val="clear" w:color="auto" w:fill="EBEBEB"/>
          </w:tcPr>
          <w:p>
            <w:pPr>
              <w:spacing w:after="0"/>
              <w:rPr>
                <w:sz w:val="5"/>
                <w:szCs w:val="5"/>
                <w:color w:val="auto"/>
              </w:rPr>
            </w:pPr>
          </w:p>
        </w:tc>
        <w:tc>
          <w:tcPr>
            <w:tcW w:w="1300" w:type="dxa"/>
            <w:vAlign w:val="bottom"/>
            <w:shd w:val="clear" w:color="auto" w:fill="EBEBEB"/>
          </w:tcPr>
          <w:p>
            <w:pPr>
              <w:spacing w:after="0"/>
              <w:rPr>
                <w:sz w:val="5"/>
                <w:szCs w:val="5"/>
                <w:color w:val="auto"/>
              </w:rPr>
            </w:pPr>
          </w:p>
        </w:tc>
      </w:tr>
      <w:tr>
        <w:trPr>
          <w:trHeight w:val="276"/>
        </w:trPr>
        <w:tc>
          <w:tcPr>
            <w:tcW w:w="5740" w:type="dxa"/>
            <w:vAlign w:val="bottom"/>
            <w:shd w:val="clear" w:color="auto" w:fill="FAFAFA"/>
          </w:tcPr>
          <w:p>
            <w:pPr>
              <w:ind w:left="240"/>
              <w:spacing w:after="0"/>
              <w:rPr>
                <w:sz w:val="20"/>
                <w:szCs w:val="20"/>
                <w:color w:val="auto"/>
              </w:rPr>
            </w:pPr>
            <w:r>
              <w:rPr>
                <w:rFonts w:ascii="Arial" w:cs="Arial" w:eastAsia="Arial" w:hAnsi="Arial"/>
                <w:sz w:val="14"/>
                <w:szCs w:val="14"/>
                <w:color w:val="auto"/>
              </w:rPr>
              <w:t>2014 Equity Incentive Plan</w:t>
            </w:r>
          </w:p>
        </w:tc>
        <w:tc>
          <w:tcPr>
            <w:tcW w:w="1020" w:type="dxa"/>
            <w:vAlign w:val="bottom"/>
            <w:shd w:val="clear" w:color="auto" w:fill="FAFAFA"/>
          </w:tcPr>
          <w:p>
            <w:pPr>
              <w:jc w:val="right"/>
              <w:ind w:right="105"/>
              <w:spacing w:after="0"/>
              <w:rPr>
                <w:sz w:val="20"/>
                <w:szCs w:val="20"/>
                <w:color w:val="auto"/>
              </w:rPr>
            </w:pPr>
            <w:r>
              <w:rPr>
                <w:rFonts w:ascii="Arial" w:cs="Arial" w:eastAsia="Arial" w:hAnsi="Arial"/>
                <w:sz w:val="14"/>
                <w:szCs w:val="14"/>
                <w:color w:val="auto"/>
              </w:rPr>
              <w:t>259,647</w:t>
            </w:r>
          </w:p>
        </w:tc>
        <w:tc>
          <w:tcPr>
            <w:tcW w:w="1340" w:type="dxa"/>
            <w:vAlign w:val="bottom"/>
            <w:shd w:val="clear" w:color="auto" w:fill="FAFAFA"/>
          </w:tcPr>
          <w:p>
            <w:pPr>
              <w:jc w:val="right"/>
              <w:ind w:right="121"/>
              <w:spacing w:after="0"/>
              <w:rPr>
                <w:sz w:val="20"/>
                <w:szCs w:val="20"/>
                <w:color w:val="auto"/>
              </w:rPr>
            </w:pPr>
            <w:r>
              <w:rPr>
                <w:rFonts w:ascii="Arial" w:cs="Arial" w:eastAsia="Arial" w:hAnsi="Arial"/>
                <w:sz w:val="14"/>
                <w:szCs w:val="14"/>
                <w:color w:val="auto"/>
              </w:rPr>
              <w:t>$0.94</w:t>
            </w:r>
          </w:p>
        </w:tc>
        <w:tc>
          <w:tcPr>
            <w:tcW w:w="1300" w:type="dxa"/>
            <w:vAlign w:val="bottom"/>
            <w:shd w:val="clear" w:color="auto" w:fill="FAFAFA"/>
          </w:tcPr>
          <w:p>
            <w:pPr>
              <w:jc w:val="right"/>
              <w:spacing w:after="0"/>
              <w:rPr>
                <w:sz w:val="20"/>
                <w:szCs w:val="20"/>
                <w:color w:val="auto"/>
              </w:rPr>
            </w:pPr>
            <w:r>
              <w:rPr>
                <w:rFonts w:ascii="Arial" w:cs="Arial" w:eastAsia="Arial" w:hAnsi="Arial"/>
                <w:sz w:val="14"/>
                <w:szCs w:val="14"/>
                <w:color w:val="auto"/>
              </w:rPr>
              <w:t>—</w:t>
            </w:r>
          </w:p>
        </w:tc>
      </w:tr>
      <w:tr>
        <w:trPr>
          <w:trHeight w:val="62"/>
        </w:trPr>
        <w:tc>
          <w:tcPr>
            <w:tcW w:w="5740" w:type="dxa"/>
            <w:vAlign w:val="bottom"/>
            <w:shd w:val="clear" w:color="auto" w:fill="FAFAFA"/>
          </w:tcPr>
          <w:p>
            <w:pPr>
              <w:spacing w:after="0"/>
              <w:rPr>
                <w:sz w:val="5"/>
                <w:szCs w:val="5"/>
                <w:color w:val="auto"/>
              </w:rPr>
            </w:pPr>
          </w:p>
        </w:tc>
        <w:tc>
          <w:tcPr>
            <w:tcW w:w="1020" w:type="dxa"/>
            <w:vAlign w:val="bottom"/>
            <w:shd w:val="clear" w:color="auto" w:fill="FAFAFA"/>
          </w:tcPr>
          <w:p>
            <w:pPr>
              <w:spacing w:after="0"/>
              <w:rPr>
                <w:sz w:val="5"/>
                <w:szCs w:val="5"/>
                <w:color w:val="auto"/>
              </w:rPr>
            </w:pPr>
          </w:p>
        </w:tc>
        <w:tc>
          <w:tcPr>
            <w:tcW w:w="1340" w:type="dxa"/>
            <w:vAlign w:val="bottom"/>
            <w:shd w:val="clear" w:color="auto" w:fill="FAFAFA"/>
          </w:tcPr>
          <w:p>
            <w:pPr>
              <w:spacing w:after="0"/>
              <w:rPr>
                <w:sz w:val="5"/>
                <w:szCs w:val="5"/>
                <w:color w:val="auto"/>
              </w:rPr>
            </w:pPr>
          </w:p>
        </w:tc>
        <w:tc>
          <w:tcPr>
            <w:tcW w:w="1300" w:type="dxa"/>
            <w:vAlign w:val="bottom"/>
            <w:shd w:val="clear" w:color="auto" w:fill="FAFAFA"/>
          </w:tcPr>
          <w:p>
            <w:pPr>
              <w:spacing w:after="0"/>
              <w:rPr>
                <w:sz w:val="5"/>
                <w:szCs w:val="5"/>
                <w:color w:val="auto"/>
              </w:rPr>
            </w:pPr>
          </w:p>
        </w:tc>
      </w:tr>
      <w:tr>
        <w:trPr>
          <w:trHeight w:val="365"/>
        </w:trPr>
        <w:tc>
          <w:tcPr>
            <w:tcW w:w="5740" w:type="dxa"/>
            <w:vAlign w:val="bottom"/>
            <w:shd w:val="clear" w:color="auto" w:fill="EBEBEB"/>
          </w:tcPr>
          <w:p>
            <w:pPr>
              <w:ind w:left="240"/>
              <w:spacing w:after="0"/>
              <w:rPr>
                <w:sz w:val="20"/>
                <w:szCs w:val="20"/>
                <w:color w:val="auto"/>
              </w:rPr>
            </w:pPr>
            <w:r>
              <w:rPr>
                <w:rFonts w:ascii="Arial" w:cs="Arial" w:eastAsia="Arial" w:hAnsi="Arial"/>
                <w:sz w:val="14"/>
                <w:szCs w:val="14"/>
                <w:color w:val="auto"/>
              </w:rPr>
              <w:t>2020 Equity Incentive Plan</w:t>
            </w:r>
          </w:p>
        </w:tc>
        <w:tc>
          <w:tcPr>
            <w:tcW w:w="1020" w:type="dxa"/>
            <w:vAlign w:val="bottom"/>
            <w:shd w:val="clear" w:color="auto" w:fill="EBEBEB"/>
          </w:tcPr>
          <w:p>
            <w:pPr>
              <w:jc w:val="right"/>
              <w:ind w:right="105"/>
              <w:spacing w:after="0"/>
              <w:rPr>
                <w:sz w:val="20"/>
                <w:szCs w:val="20"/>
                <w:color w:val="auto"/>
              </w:rPr>
            </w:pPr>
            <w:r>
              <w:rPr>
                <w:rFonts w:ascii="Arial" w:cs="Arial" w:eastAsia="Arial" w:hAnsi="Arial"/>
                <w:sz w:val="14"/>
                <w:szCs w:val="14"/>
                <w:color w:val="auto"/>
              </w:rPr>
              <w:t>6,869,309</w:t>
            </w:r>
            <w:r>
              <w:rPr>
                <w:rFonts w:ascii="Arial" w:cs="Arial" w:eastAsia="Arial" w:hAnsi="Arial"/>
                <w:sz w:val="23"/>
                <w:szCs w:val="23"/>
                <w:color w:val="auto"/>
                <w:vertAlign w:val="superscript"/>
              </w:rPr>
              <w:t>(1)</w:t>
            </w:r>
          </w:p>
        </w:tc>
        <w:tc>
          <w:tcPr>
            <w:tcW w:w="1340" w:type="dxa"/>
            <w:vAlign w:val="bottom"/>
            <w:shd w:val="clear" w:color="auto" w:fill="EBEBEB"/>
          </w:tcPr>
          <w:p>
            <w:pPr>
              <w:jc w:val="right"/>
              <w:ind w:right="121"/>
              <w:spacing w:after="0"/>
              <w:rPr>
                <w:sz w:val="20"/>
                <w:szCs w:val="20"/>
                <w:color w:val="auto"/>
              </w:rPr>
            </w:pPr>
            <w:r>
              <w:rPr>
                <w:rFonts w:ascii="Arial" w:cs="Arial" w:eastAsia="Arial" w:hAnsi="Arial"/>
                <w:sz w:val="14"/>
                <w:szCs w:val="14"/>
                <w:color w:val="auto"/>
              </w:rPr>
              <w:t>$8.25</w:t>
            </w:r>
            <w:r>
              <w:rPr>
                <w:rFonts w:ascii="Arial" w:cs="Arial" w:eastAsia="Arial" w:hAnsi="Arial"/>
                <w:sz w:val="23"/>
                <w:szCs w:val="23"/>
                <w:color w:val="auto"/>
                <w:vertAlign w:val="superscript"/>
              </w:rPr>
              <w:t>(2)</w:t>
            </w:r>
          </w:p>
        </w:tc>
        <w:tc>
          <w:tcPr>
            <w:tcW w:w="1300" w:type="dxa"/>
            <w:vAlign w:val="bottom"/>
            <w:shd w:val="clear" w:color="auto" w:fill="EBEBEB"/>
          </w:tcPr>
          <w:p>
            <w:pPr>
              <w:jc w:val="right"/>
              <w:spacing w:after="0"/>
              <w:rPr>
                <w:sz w:val="20"/>
                <w:szCs w:val="20"/>
                <w:color w:val="auto"/>
              </w:rPr>
            </w:pPr>
            <w:r>
              <w:rPr>
                <w:rFonts w:ascii="Arial" w:cs="Arial" w:eastAsia="Arial" w:hAnsi="Arial"/>
                <w:sz w:val="14"/>
                <w:szCs w:val="14"/>
                <w:color w:val="auto"/>
              </w:rPr>
              <w:t>3,158,094</w:t>
            </w:r>
          </w:p>
        </w:tc>
      </w:tr>
      <w:tr>
        <w:trPr>
          <w:trHeight w:val="275"/>
        </w:trPr>
        <w:tc>
          <w:tcPr>
            <w:tcW w:w="5740" w:type="dxa"/>
            <w:vAlign w:val="bottom"/>
            <w:shd w:val="clear" w:color="auto" w:fill="FAFAFA"/>
          </w:tcPr>
          <w:p>
            <w:pPr>
              <w:ind w:left="240"/>
              <w:spacing w:after="0"/>
              <w:rPr>
                <w:sz w:val="20"/>
                <w:szCs w:val="20"/>
                <w:color w:val="auto"/>
              </w:rPr>
            </w:pPr>
            <w:r>
              <w:rPr>
                <w:rFonts w:ascii="Arial" w:cs="Arial" w:eastAsia="Arial" w:hAnsi="Arial"/>
                <w:sz w:val="14"/>
                <w:szCs w:val="14"/>
                <w:color w:val="auto"/>
              </w:rPr>
              <w:t>2020 Employee Stock Purchase Plan</w:t>
            </w:r>
          </w:p>
        </w:tc>
        <w:tc>
          <w:tcPr>
            <w:tcW w:w="1020" w:type="dxa"/>
            <w:vAlign w:val="bottom"/>
            <w:shd w:val="clear" w:color="auto" w:fill="FAFAFA"/>
          </w:tcPr>
          <w:p>
            <w:pPr>
              <w:jc w:val="right"/>
              <w:ind w:right="105"/>
              <w:spacing w:after="0"/>
              <w:rPr>
                <w:sz w:val="20"/>
                <w:szCs w:val="20"/>
                <w:color w:val="auto"/>
              </w:rPr>
            </w:pPr>
            <w:r>
              <w:rPr>
                <w:rFonts w:ascii="Arial" w:cs="Arial" w:eastAsia="Arial" w:hAnsi="Arial"/>
                <w:sz w:val="14"/>
                <w:szCs w:val="14"/>
                <w:color w:val="auto"/>
              </w:rPr>
              <w:t>—</w:t>
            </w:r>
          </w:p>
        </w:tc>
        <w:tc>
          <w:tcPr>
            <w:tcW w:w="1340" w:type="dxa"/>
            <w:vAlign w:val="bottom"/>
            <w:shd w:val="clear" w:color="auto" w:fill="FAFAFA"/>
          </w:tcPr>
          <w:p>
            <w:pPr>
              <w:jc w:val="right"/>
              <w:ind w:right="121"/>
              <w:spacing w:after="0"/>
              <w:rPr>
                <w:sz w:val="20"/>
                <w:szCs w:val="20"/>
                <w:color w:val="auto"/>
              </w:rPr>
            </w:pPr>
            <w:r>
              <w:rPr>
                <w:rFonts w:ascii="Arial" w:cs="Arial" w:eastAsia="Arial" w:hAnsi="Arial"/>
                <w:sz w:val="14"/>
                <w:szCs w:val="14"/>
                <w:color w:val="auto"/>
              </w:rPr>
              <w:t>—</w:t>
            </w:r>
          </w:p>
        </w:tc>
        <w:tc>
          <w:tcPr>
            <w:tcW w:w="1300" w:type="dxa"/>
            <w:vAlign w:val="bottom"/>
            <w:shd w:val="clear" w:color="auto" w:fill="FAFAFA"/>
          </w:tcPr>
          <w:p>
            <w:pPr>
              <w:jc w:val="right"/>
              <w:spacing w:after="0"/>
              <w:rPr>
                <w:sz w:val="20"/>
                <w:szCs w:val="20"/>
                <w:color w:val="auto"/>
              </w:rPr>
            </w:pPr>
            <w:r>
              <w:rPr>
                <w:rFonts w:ascii="Arial" w:cs="Arial" w:eastAsia="Arial" w:hAnsi="Arial"/>
                <w:sz w:val="14"/>
                <w:szCs w:val="14"/>
                <w:color w:val="auto"/>
              </w:rPr>
              <w:t>1,128,732</w:t>
            </w:r>
          </w:p>
        </w:tc>
      </w:tr>
      <w:tr>
        <w:trPr>
          <w:trHeight w:val="62"/>
        </w:trPr>
        <w:tc>
          <w:tcPr>
            <w:tcW w:w="5740" w:type="dxa"/>
            <w:vAlign w:val="bottom"/>
            <w:shd w:val="clear" w:color="auto" w:fill="FAFAFA"/>
          </w:tcPr>
          <w:p>
            <w:pPr>
              <w:spacing w:after="0"/>
              <w:rPr>
                <w:sz w:val="5"/>
                <w:szCs w:val="5"/>
                <w:color w:val="auto"/>
              </w:rPr>
            </w:pPr>
          </w:p>
        </w:tc>
        <w:tc>
          <w:tcPr>
            <w:tcW w:w="1020" w:type="dxa"/>
            <w:vAlign w:val="bottom"/>
            <w:shd w:val="clear" w:color="auto" w:fill="FAFAFA"/>
          </w:tcPr>
          <w:p>
            <w:pPr>
              <w:spacing w:after="0"/>
              <w:rPr>
                <w:sz w:val="5"/>
                <w:szCs w:val="5"/>
                <w:color w:val="auto"/>
              </w:rPr>
            </w:pPr>
          </w:p>
        </w:tc>
        <w:tc>
          <w:tcPr>
            <w:tcW w:w="1340" w:type="dxa"/>
            <w:vAlign w:val="bottom"/>
            <w:shd w:val="clear" w:color="auto" w:fill="FAFAFA"/>
          </w:tcPr>
          <w:p>
            <w:pPr>
              <w:spacing w:after="0"/>
              <w:rPr>
                <w:sz w:val="5"/>
                <w:szCs w:val="5"/>
                <w:color w:val="auto"/>
              </w:rPr>
            </w:pPr>
          </w:p>
        </w:tc>
        <w:tc>
          <w:tcPr>
            <w:tcW w:w="1300" w:type="dxa"/>
            <w:vAlign w:val="bottom"/>
            <w:shd w:val="clear" w:color="auto" w:fill="FAFAFA"/>
          </w:tcPr>
          <w:p>
            <w:pPr>
              <w:spacing w:after="0"/>
              <w:rPr>
                <w:sz w:val="5"/>
                <w:szCs w:val="5"/>
                <w:color w:val="auto"/>
              </w:rPr>
            </w:pPr>
          </w:p>
        </w:tc>
      </w:tr>
      <w:tr>
        <w:trPr>
          <w:trHeight w:val="275"/>
        </w:trPr>
        <w:tc>
          <w:tcPr>
            <w:tcW w:w="5740" w:type="dxa"/>
            <w:vAlign w:val="bottom"/>
            <w:shd w:val="clear" w:color="auto" w:fill="EBEBEB"/>
          </w:tcPr>
          <w:p>
            <w:pPr>
              <w:ind w:left="60"/>
              <w:spacing w:after="0"/>
              <w:rPr>
                <w:sz w:val="20"/>
                <w:szCs w:val="20"/>
                <w:color w:val="auto"/>
              </w:rPr>
            </w:pPr>
            <w:r>
              <w:rPr>
                <w:rFonts w:ascii="Arial" w:cs="Arial" w:eastAsia="Arial" w:hAnsi="Arial"/>
                <w:sz w:val="14"/>
                <w:szCs w:val="14"/>
                <w:color w:val="auto"/>
              </w:rPr>
              <w:t>Total</w:t>
            </w:r>
          </w:p>
        </w:tc>
        <w:tc>
          <w:tcPr>
            <w:tcW w:w="1020" w:type="dxa"/>
            <w:vAlign w:val="bottom"/>
            <w:shd w:val="clear" w:color="auto" w:fill="EBEBEB"/>
          </w:tcPr>
          <w:p>
            <w:pPr>
              <w:jc w:val="right"/>
              <w:ind w:right="105"/>
              <w:spacing w:after="0"/>
              <w:rPr>
                <w:sz w:val="20"/>
                <w:szCs w:val="20"/>
                <w:color w:val="auto"/>
              </w:rPr>
            </w:pPr>
            <w:r>
              <w:rPr>
                <w:rFonts w:ascii="Arial" w:cs="Arial" w:eastAsia="Arial" w:hAnsi="Arial"/>
                <w:sz w:val="14"/>
                <w:szCs w:val="14"/>
                <w:color w:val="auto"/>
              </w:rPr>
              <w:t>​7,128,956</w:t>
            </w:r>
          </w:p>
        </w:tc>
        <w:tc>
          <w:tcPr>
            <w:tcW w:w="1340" w:type="dxa"/>
            <w:vAlign w:val="bottom"/>
            <w:shd w:val="clear" w:color="auto" w:fill="EBEBEB"/>
          </w:tcPr>
          <w:p>
            <w:pPr>
              <w:spacing w:after="0"/>
              <w:rPr>
                <w:sz w:val="23"/>
                <w:szCs w:val="23"/>
                <w:color w:val="auto"/>
              </w:rPr>
            </w:pPr>
          </w:p>
        </w:tc>
        <w:tc>
          <w:tcPr>
            <w:tcW w:w="1300" w:type="dxa"/>
            <w:vAlign w:val="bottom"/>
            <w:shd w:val="clear" w:color="auto" w:fill="EBEBEB"/>
          </w:tcPr>
          <w:p>
            <w:pPr>
              <w:jc w:val="right"/>
              <w:spacing w:after="0"/>
              <w:rPr>
                <w:sz w:val="20"/>
                <w:szCs w:val="20"/>
                <w:color w:val="auto"/>
              </w:rPr>
            </w:pPr>
            <w:r>
              <w:rPr>
                <w:rFonts w:ascii="Arial" w:cs="Arial" w:eastAsia="Arial" w:hAnsi="Arial"/>
                <w:sz w:val="14"/>
                <w:szCs w:val="14"/>
                <w:color w:val="auto"/>
              </w:rPr>
              <w:t>4,286,826​</w:t>
            </w:r>
          </w:p>
        </w:tc>
      </w:tr>
      <w:tr>
        <w:trPr>
          <w:trHeight w:val="116"/>
        </w:trPr>
        <w:tc>
          <w:tcPr>
            <w:tcW w:w="5740" w:type="dxa"/>
            <w:vAlign w:val="bottom"/>
            <w:shd w:val="clear" w:color="auto" w:fill="EBEBEB"/>
          </w:tcPr>
          <w:p>
            <w:pPr>
              <w:spacing w:after="0"/>
              <w:rPr>
                <w:sz w:val="10"/>
                <w:szCs w:val="10"/>
                <w:color w:val="auto"/>
              </w:rPr>
            </w:pPr>
          </w:p>
        </w:tc>
        <w:tc>
          <w:tcPr>
            <w:tcW w:w="1020" w:type="dxa"/>
            <w:vAlign w:val="bottom"/>
            <w:shd w:val="clear" w:color="auto" w:fill="EBEBEB"/>
          </w:tcPr>
          <w:p>
            <w:pPr>
              <w:spacing w:after="0"/>
              <w:rPr>
                <w:sz w:val="10"/>
                <w:szCs w:val="10"/>
                <w:color w:val="auto"/>
              </w:rPr>
            </w:pPr>
          </w:p>
        </w:tc>
        <w:tc>
          <w:tcPr>
            <w:tcW w:w="1340" w:type="dxa"/>
            <w:vAlign w:val="bottom"/>
            <w:shd w:val="clear" w:color="auto" w:fill="EBEBEB"/>
          </w:tcPr>
          <w:p>
            <w:pPr>
              <w:spacing w:after="0"/>
              <w:rPr>
                <w:sz w:val="10"/>
                <w:szCs w:val="10"/>
                <w:color w:val="auto"/>
              </w:rPr>
            </w:pPr>
          </w:p>
        </w:tc>
        <w:tc>
          <w:tcPr>
            <w:tcW w:w="1300" w:type="dxa"/>
            <w:vAlign w:val="bottom"/>
            <w:shd w:val="clear" w:color="auto" w:fill="EBEBEB"/>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-247650</wp:posOffset>
            </wp:positionV>
            <wp:extent cx="596646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-462280</wp:posOffset>
            </wp:positionV>
            <wp:extent cx="596646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-694055</wp:posOffset>
            </wp:positionV>
            <wp:extent cx="596646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966460"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-908050</wp:posOffset>
            </wp:positionV>
            <wp:extent cx="596646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966460"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-1122045</wp:posOffset>
            </wp:positionV>
            <wp:extent cx="596646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33" w:lineRule="exact"/>
        <w:rPr>
          <w:sz w:val="20"/>
          <w:szCs w:val="20"/>
          <w:color w:val="auto"/>
        </w:rPr>
      </w:pPr>
    </w:p>
    <w:p>
      <w:pPr>
        <w:ind w:left="320" w:hanging="224"/>
        <w:spacing w:after="0"/>
        <w:tabs>
          <w:tab w:leader="none" w:pos="320" w:val="left"/>
        </w:tabs>
        <w:numPr>
          <w:ilvl w:val="0"/>
          <w:numId w:val="33"/>
        </w:numPr>
        <w:rPr>
          <w:rFonts w:ascii="Arial" w:cs="Arial" w:eastAsia="Arial" w:hAnsi="Arial"/>
          <w:sz w:val="14"/>
          <w:szCs w:val="14"/>
          <w:color w:val="255993"/>
        </w:rPr>
      </w:pPr>
      <w:r>
        <w:rPr>
          <w:rFonts w:ascii="Arial" w:cs="Arial" w:eastAsia="Arial" w:hAnsi="Arial"/>
          <w:sz w:val="14"/>
          <w:szCs w:val="14"/>
          <w:color w:val="255993"/>
        </w:rPr>
        <w:t>Includes both 6,561,222 outstanding options and 308,087 outstanding, unvested performance restricted stock units.</w:t>
      </w:r>
    </w:p>
    <w:p>
      <w:pPr>
        <w:spacing w:after="0" w:line="82" w:lineRule="exact"/>
        <w:rPr>
          <w:rFonts w:ascii="Arial" w:cs="Arial" w:eastAsia="Arial" w:hAnsi="Arial"/>
          <w:sz w:val="14"/>
          <w:szCs w:val="14"/>
          <w:color w:val="255993"/>
        </w:rPr>
      </w:pPr>
    </w:p>
    <w:p>
      <w:pPr>
        <w:ind w:left="320" w:right="380" w:hanging="224"/>
        <w:spacing w:after="0" w:line="285" w:lineRule="auto"/>
        <w:tabs>
          <w:tab w:leader="none" w:pos="320" w:val="left"/>
        </w:tabs>
        <w:numPr>
          <w:ilvl w:val="0"/>
          <w:numId w:val="33"/>
        </w:numPr>
        <w:rPr>
          <w:rFonts w:ascii="Arial" w:cs="Arial" w:eastAsia="Arial" w:hAnsi="Arial"/>
          <w:sz w:val="14"/>
          <w:szCs w:val="14"/>
          <w:color w:val="255993"/>
        </w:rPr>
      </w:pPr>
      <w:r>
        <w:rPr>
          <w:rFonts w:ascii="Arial" w:cs="Arial" w:eastAsia="Arial" w:hAnsi="Arial"/>
          <w:sz w:val="14"/>
          <w:szCs w:val="14"/>
          <w:color w:val="255993"/>
        </w:rPr>
        <w:t>Represents the outstanding options’ weighted-average exercise price and does not take into account the shares issuable upon vesting of outstanding performance restricted stock units, which do not have an exercise price.</w:t>
      </w:r>
    </w:p>
    <w:p>
      <w:pPr>
        <w:spacing w:after="0" w:line="36" w:lineRule="exact"/>
        <w:rPr>
          <w:rFonts w:ascii="Arial" w:cs="Arial" w:eastAsia="Arial" w:hAnsi="Arial"/>
          <w:sz w:val="14"/>
          <w:szCs w:val="14"/>
          <w:color w:val="255993"/>
        </w:rPr>
      </w:pPr>
    </w:p>
    <w:p>
      <w:pPr>
        <w:ind w:left="320" w:right="40" w:hanging="224"/>
        <w:spacing w:after="0" w:line="250" w:lineRule="auto"/>
        <w:tabs>
          <w:tab w:leader="none" w:pos="320" w:val="left"/>
        </w:tabs>
        <w:numPr>
          <w:ilvl w:val="0"/>
          <w:numId w:val="33"/>
        </w:numPr>
        <w:rPr>
          <w:rFonts w:ascii="Arial" w:cs="Arial" w:eastAsia="Arial" w:hAnsi="Arial"/>
          <w:sz w:val="14"/>
          <w:szCs w:val="14"/>
          <w:color w:val="255993"/>
        </w:rPr>
      </w:pPr>
      <w:r>
        <w:rPr>
          <w:rFonts w:ascii="Arial" w:cs="Arial" w:eastAsia="Arial" w:hAnsi="Arial"/>
          <w:sz w:val="14"/>
          <w:szCs w:val="14"/>
          <w:color w:val="255993"/>
        </w:rPr>
        <w:t>Our 2020 Equity Incentive Plan includes provisions providing for an annual increase in the number of securities available for future issuance on the first day of each fiscal year, equal to the least of: (1) 3,230,000 shares; (2) 5% of the outstanding shares of common stock as of the last day of the immediately preceding fiscal year; and (3) such lesser number of shares determined by the board of directors. Our 2020 Employee Stock Purchase Plan includes provisions providing for an annual increase in the number of securities available for future issuance on the first day of each fiscal year, equal to the least of: (1) 1% of the outstanding shares of common stock on the first day of such fiscal year; (2) 646,000 shares; and (3) such lesser number of shares determined by the board of directors.</w:t>
      </w:r>
    </w:p>
    <w:p>
      <w:pPr>
        <w:spacing w:after="0" w:line="109"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In February 2024, our board of directors adopted the 2024 Inducement Equity Incentive Plan, or the Inducement Plan, and, subject to the adjustment provisions of the Inducement Plan, reserved 750,000 shares of our common stock for issuance pursuant to equity awards granted under the Inducement Plan. The Inducement Plan was adopted without stockholder approval pursuant to Nasdaq Rule 5635(c)(4). The Inducement Plan provides for the grant of equity-based awards, including nonstatutory stock options, stock appreciation rights, restricted stock, restricted stock units, and performance awards, and its terms are substantially similar to our 2020 Equity Incentive Plan, including with respect to treatment of equity awards in the event of a “Change in Control” (as defined under the Inducement Plan) of the Company or a merger of the Company with or into another corporation or entity, but with such other terms and conditions intended to comply with the Nasdaq inducement award exception. However, the 2020 Equity Incentive Plan permits certain exchange programs (including repricings) without stockholder approval, while our Inducement Plan does not permit such exchange programs.</w:t>
      </w:r>
    </w:p>
    <w:p>
      <w:pPr>
        <w:spacing w:after="0" w:line="194" w:lineRule="exact"/>
        <w:rPr>
          <w:sz w:val="20"/>
          <w:szCs w:val="20"/>
          <w:color w:val="auto"/>
        </w:rPr>
      </w:pPr>
    </w:p>
    <w:p>
      <w:pPr>
        <w:spacing w:after="0"/>
        <w:tabs>
          <w:tab w:leader="none" w:pos="4600" w:val="left"/>
          <w:tab w:leader="none" w:pos="7960" w:val="left"/>
        </w:tabs>
        <w:rPr>
          <w:sz w:val="20"/>
          <w:szCs w:val="20"/>
          <w:color w:val="auto"/>
        </w:rPr>
      </w:pPr>
      <w:r>
        <w:rPr>
          <w:rFonts w:ascii="Arial" w:cs="Arial" w:eastAsia="Arial" w:hAnsi="Arial"/>
          <w:sz w:val="14"/>
          <w:szCs w:val="14"/>
          <w:color w:val="255993"/>
        </w:rPr>
        <w:t>Athira Pharma, Inc.</w:t>
      </w:r>
      <w:r>
        <w:rPr>
          <w:sz w:val="20"/>
          <w:szCs w:val="20"/>
          <w:color w:val="auto"/>
        </w:rPr>
        <w:tab/>
      </w:r>
      <w:r>
        <w:rPr>
          <w:rFonts w:ascii="Arial" w:cs="Arial" w:eastAsia="Arial" w:hAnsi="Arial"/>
          <w:sz w:val="14"/>
          <w:szCs w:val="14"/>
          <w:b w:val="1"/>
          <w:bCs w:val="1"/>
          <w:color w:val="255993"/>
        </w:rPr>
        <w:t>45</w:t>
      </w:r>
      <w:r>
        <w:rPr>
          <w:sz w:val="20"/>
          <w:szCs w:val="20"/>
          <w:color w:val="auto"/>
        </w:rPr>
        <w:tab/>
      </w:r>
      <w:r>
        <w:rPr>
          <w:rFonts w:ascii="Arial" w:cs="Arial" w:eastAsia="Arial" w:hAnsi="Arial"/>
          <w:sz w:val="14"/>
          <w:szCs w:val="14"/>
          <w:color w:val="255993"/>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118110</wp:posOffset>
            </wp:positionV>
            <wp:extent cx="699516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263" w:right="12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38" w:lineRule="exact"/>
        <w:rPr>
          <w:sz w:val="20"/>
          <w:szCs w:val="20"/>
          <w:color w:val="auto"/>
        </w:rPr>
      </w:pPr>
    </w:p>
    <w:p>
      <w:pPr>
        <w:spacing w:after="0"/>
        <w:rPr>
          <w:sz w:val="20"/>
          <w:szCs w:val="20"/>
          <w:color w:val="auto"/>
        </w:rPr>
      </w:pPr>
      <w:r>
        <w:rPr>
          <w:rFonts w:ascii="Arial" w:cs="Arial" w:eastAsia="Arial" w:hAnsi="Arial"/>
          <w:sz w:val="58"/>
          <w:szCs w:val="58"/>
          <w:color w:val="255993"/>
        </w:rPr>
        <w:t>Related Person Transactions</w:t>
      </w:r>
    </w:p>
    <w:p>
      <w:pPr>
        <w:spacing w:after="0" w:line="357" w:lineRule="exact"/>
        <w:rPr>
          <w:sz w:val="20"/>
          <w:szCs w:val="20"/>
          <w:color w:val="auto"/>
        </w:rPr>
      </w:pPr>
    </w:p>
    <w:p>
      <w:pPr>
        <w:ind w:right="240"/>
        <w:spacing w:after="0" w:line="259" w:lineRule="auto"/>
        <w:rPr>
          <w:sz w:val="20"/>
          <w:szCs w:val="20"/>
          <w:color w:val="auto"/>
        </w:rPr>
      </w:pPr>
      <w:r>
        <w:rPr>
          <w:rFonts w:ascii="Arial" w:cs="Arial" w:eastAsia="Arial" w:hAnsi="Arial"/>
          <w:sz w:val="16"/>
          <w:szCs w:val="16"/>
          <w:color w:val="auto"/>
        </w:rPr>
        <w:t>The following is a summary of transactions since January 1, 2022 to which we have been a party in which the amount involved exceeded $120,000 and in which any of our executive officers, directors, promoters or beneficial holders of more than 5% of our capital stock had or will have a direct or indirect material interest, other than compensation arrangements which are described under the section of this proxy statement titled “Executive Compensation.”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RELATED-PERSON TRANSACTIONS POLICY</w:t>
      </w:r>
    </w:p>
    <w:p>
      <w:pPr>
        <w:spacing w:after="0" w:line="108"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We have a formal, written policy that our executive officers, directors (including director nominees), holders of more than 5% of any class of our voting securities and any member of the immediate family of or any entities affiliated with any of the foregoing persons, are not permitted to enter into a related-person transaction with us without the prior approval or, in the case of pending or ongoing related-person transactions, ratification of our audit committee. For purposes of our policy, a related-person transaction is a transaction, arrangement or relationship where we were, are or will be involved and in which a related-person had, has or will have a direct or indirect material interest.</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Certain transactions with related persons, however, are exempted from pre-approval including, but not limited to:</w:t>
      </w:r>
    </w:p>
    <w:p>
      <w:pPr>
        <w:spacing w:after="0" w:line="113" w:lineRule="exact"/>
        <w:rPr>
          <w:sz w:val="20"/>
          <w:szCs w:val="20"/>
          <w:color w:val="auto"/>
        </w:rPr>
      </w:pPr>
    </w:p>
    <w:p>
      <w:pPr>
        <w:ind w:left="140" w:hanging="134"/>
        <w:spacing w:after="0"/>
        <w:tabs>
          <w:tab w:leader="none" w:pos="140" w:val="left"/>
        </w:tabs>
        <w:numPr>
          <w:ilvl w:val="0"/>
          <w:numId w:val="34"/>
        </w:numPr>
        <w:rPr>
          <w:rFonts w:ascii="Arial" w:cs="Arial" w:eastAsia="Arial" w:hAnsi="Arial"/>
          <w:sz w:val="16"/>
          <w:szCs w:val="16"/>
          <w:color w:val="255993"/>
        </w:rPr>
      </w:pPr>
      <w:r>
        <w:rPr>
          <w:rFonts w:ascii="Arial" w:cs="Arial" w:eastAsia="Arial" w:hAnsi="Arial"/>
          <w:sz w:val="16"/>
          <w:szCs w:val="16"/>
          <w:color w:val="auto"/>
        </w:rPr>
        <w:t>compensation of our executive officers and directors that is otherwise disclosed in our public filings with the SEC;</w:t>
      </w:r>
    </w:p>
    <w:p>
      <w:pPr>
        <w:spacing w:after="0" w:line="59" w:lineRule="exact"/>
        <w:rPr>
          <w:rFonts w:ascii="Arial" w:cs="Arial" w:eastAsia="Arial" w:hAnsi="Arial"/>
          <w:sz w:val="16"/>
          <w:szCs w:val="16"/>
          <w:color w:val="255993"/>
        </w:rPr>
      </w:pPr>
    </w:p>
    <w:p>
      <w:pPr>
        <w:ind w:left="140" w:hanging="134"/>
        <w:spacing w:after="0"/>
        <w:tabs>
          <w:tab w:leader="none" w:pos="140" w:val="left"/>
        </w:tabs>
        <w:numPr>
          <w:ilvl w:val="0"/>
          <w:numId w:val="34"/>
        </w:numPr>
        <w:rPr>
          <w:rFonts w:ascii="Arial" w:cs="Arial" w:eastAsia="Arial" w:hAnsi="Arial"/>
          <w:sz w:val="16"/>
          <w:szCs w:val="16"/>
          <w:color w:val="255993"/>
        </w:rPr>
      </w:pPr>
      <w:r>
        <w:rPr>
          <w:rFonts w:ascii="Arial" w:cs="Arial" w:eastAsia="Arial" w:hAnsi="Arial"/>
          <w:sz w:val="16"/>
          <w:szCs w:val="16"/>
          <w:color w:val="auto"/>
        </w:rPr>
        <w:t>compensation, benefits and other transactions available to all of our employees generally;</w:t>
      </w:r>
    </w:p>
    <w:p>
      <w:pPr>
        <w:spacing w:after="0" w:line="59" w:lineRule="exact"/>
        <w:rPr>
          <w:rFonts w:ascii="Arial" w:cs="Arial" w:eastAsia="Arial" w:hAnsi="Arial"/>
          <w:sz w:val="16"/>
          <w:szCs w:val="16"/>
          <w:color w:val="255993"/>
        </w:rPr>
      </w:pPr>
    </w:p>
    <w:p>
      <w:pPr>
        <w:ind w:left="140" w:right="140" w:hanging="134"/>
        <w:spacing w:after="0" w:line="281" w:lineRule="auto"/>
        <w:tabs>
          <w:tab w:leader="none" w:pos="140" w:val="left"/>
        </w:tabs>
        <w:numPr>
          <w:ilvl w:val="0"/>
          <w:numId w:val="34"/>
        </w:numPr>
        <w:rPr>
          <w:rFonts w:ascii="Arial" w:cs="Arial" w:eastAsia="Arial" w:hAnsi="Arial"/>
          <w:sz w:val="16"/>
          <w:szCs w:val="16"/>
          <w:color w:val="255993"/>
        </w:rPr>
      </w:pPr>
      <w:r>
        <w:rPr>
          <w:rFonts w:ascii="Arial" w:cs="Arial" w:eastAsia="Arial" w:hAnsi="Arial"/>
          <w:sz w:val="16"/>
          <w:szCs w:val="16"/>
          <w:color w:val="auto"/>
        </w:rPr>
        <w:t>transactions where a related-person’s interest derives solely from his or her service as a director of another entity that is a party to the transaction;</w:t>
      </w:r>
    </w:p>
    <w:p>
      <w:pPr>
        <w:spacing w:after="0" w:line="1" w:lineRule="exact"/>
        <w:rPr>
          <w:rFonts w:ascii="Arial" w:cs="Arial" w:eastAsia="Arial" w:hAnsi="Arial"/>
          <w:sz w:val="16"/>
          <w:szCs w:val="16"/>
          <w:color w:val="255993"/>
        </w:rPr>
      </w:pPr>
    </w:p>
    <w:p>
      <w:pPr>
        <w:ind w:left="140" w:right="160" w:hanging="134"/>
        <w:spacing w:after="0" w:line="281" w:lineRule="auto"/>
        <w:tabs>
          <w:tab w:leader="none" w:pos="140" w:val="left"/>
        </w:tabs>
        <w:numPr>
          <w:ilvl w:val="0"/>
          <w:numId w:val="34"/>
        </w:numPr>
        <w:rPr>
          <w:rFonts w:ascii="Arial" w:cs="Arial" w:eastAsia="Arial" w:hAnsi="Arial"/>
          <w:sz w:val="16"/>
          <w:szCs w:val="16"/>
          <w:color w:val="255993"/>
        </w:rPr>
      </w:pPr>
      <w:r>
        <w:rPr>
          <w:rFonts w:ascii="Arial" w:cs="Arial" w:eastAsia="Arial" w:hAnsi="Arial"/>
          <w:sz w:val="16"/>
          <w:szCs w:val="16"/>
          <w:color w:val="auto"/>
        </w:rPr>
        <w:t>transactions where a related-person’s interest derives solely from his or her ownership of less than 10% of the equity interest in another entity that is a party to the transaction; and</w:t>
      </w:r>
    </w:p>
    <w:p>
      <w:pPr>
        <w:spacing w:after="0" w:line="1" w:lineRule="exact"/>
        <w:rPr>
          <w:rFonts w:ascii="Arial" w:cs="Arial" w:eastAsia="Arial" w:hAnsi="Arial"/>
          <w:sz w:val="16"/>
          <w:szCs w:val="16"/>
          <w:color w:val="255993"/>
        </w:rPr>
      </w:pPr>
    </w:p>
    <w:p>
      <w:pPr>
        <w:ind w:left="140" w:right="160" w:hanging="134"/>
        <w:spacing w:after="0" w:line="286" w:lineRule="auto"/>
        <w:tabs>
          <w:tab w:leader="none" w:pos="140" w:val="left"/>
        </w:tabs>
        <w:numPr>
          <w:ilvl w:val="0"/>
          <w:numId w:val="34"/>
        </w:numPr>
        <w:rPr>
          <w:rFonts w:ascii="Arial" w:cs="Arial" w:eastAsia="Arial" w:hAnsi="Arial"/>
          <w:sz w:val="16"/>
          <w:szCs w:val="16"/>
          <w:color w:val="255993"/>
        </w:rPr>
      </w:pPr>
      <w:r>
        <w:rPr>
          <w:rFonts w:ascii="Arial" w:cs="Arial" w:eastAsia="Arial" w:hAnsi="Arial"/>
          <w:sz w:val="16"/>
          <w:szCs w:val="16"/>
          <w:color w:val="auto"/>
        </w:rPr>
        <w:t>transactions where a related-person’s interest derives solely from his or her ownership of a class of our equity securities and all holders of that class received the same benefit on a pro rata basis.</w:t>
      </w:r>
    </w:p>
    <w:p>
      <w:pPr>
        <w:spacing w:after="0" w:line="88"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No member of the audit committee may participate in any review, consideration or approval of any related-person transaction where such member or any of his or her immediate family members is the related-person. In approving or rejecting the proposed agreement or transaction, our audit committee shall consider the relevant facts and circumstances available and deemed relevant to the audit committee, including, but not limited to:</w:t>
      </w:r>
    </w:p>
    <w:p>
      <w:pPr>
        <w:spacing w:after="0" w:line="70" w:lineRule="exact"/>
        <w:rPr>
          <w:sz w:val="20"/>
          <w:szCs w:val="20"/>
          <w:color w:val="auto"/>
        </w:rPr>
      </w:pPr>
    </w:p>
    <w:p>
      <w:pPr>
        <w:ind w:left="140" w:hanging="134"/>
        <w:spacing w:after="0"/>
        <w:tabs>
          <w:tab w:leader="none" w:pos="140" w:val="left"/>
        </w:tabs>
        <w:numPr>
          <w:ilvl w:val="0"/>
          <w:numId w:val="35"/>
        </w:numPr>
        <w:rPr>
          <w:rFonts w:ascii="Arial" w:cs="Arial" w:eastAsia="Arial" w:hAnsi="Arial"/>
          <w:sz w:val="16"/>
          <w:szCs w:val="16"/>
          <w:color w:val="255993"/>
        </w:rPr>
      </w:pPr>
      <w:r>
        <w:rPr>
          <w:rFonts w:ascii="Arial" w:cs="Arial" w:eastAsia="Arial" w:hAnsi="Arial"/>
          <w:sz w:val="16"/>
          <w:szCs w:val="16"/>
          <w:color w:val="auto"/>
        </w:rPr>
        <w:t>the benefits and perceived benefits to us;</w:t>
      </w:r>
    </w:p>
    <w:p>
      <w:pPr>
        <w:spacing w:after="0" w:line="59" w:lineRule="exact"/>
        <w:rPr>
          <w:rFonts w:ascii="Arial" w:cs="Arial" w:eastAsia="Arial" w:hAnsi="Arial"/>
          <w:sz w:val="16"/>
          <w:szCs w:val="16"/>
          <w:color w:val="255993"/>
        </w:rPr>
      </w:pPr>
    </w:p>
    <w:p>
      <w:pPr>
        <w:ind w:left="140" w:hanging="134"/>
        <w:spacing w:after="0"/>
        <w:tabs>
          <w:tab w:leader="none" w:pos="140" w:val="left"/>
        </w:tabs>
        <w:numPr>
          <w:ilvl w:val="0"/>
          <w:numId w:val="35"/>
        </w:numPr>
        <w:rPr>
          <w:rFonts w:ascii="Arial" w:cs="Arial" w:eastAsia="Arial" w:hAnsi="Arial"/>
          <w:sz w:val="16"/>
          <w:szCs w:val="16"/>
          <w:color w:val="255993"/>
        </w:rPr>
      </w:pPr>
      <w:r>
        <w:rPr>
          <w:rFonts w:ascii="Arial" w:cs="Arial" w:eastAsia="Arial" w:hAnsi="Arial"/>
          <w:sz w:val="16"/>
          <w:szCs w:val="16"/>
          <w:color w:val="auto"/>
        </w:rPr>
        <w:t>the materiality and character of the related-person’s direct and indirect interest;</w:t>
      </w:r>
    </w:p>
    <w:p>
      <w:pPr>
        <w:spacing w:after="0" w:line="59" w:lineRule="exact"/>
        <w:rPr>
          <w:rFonts w:ascii="Arial" w:cs="Arial" w:eastAsia="Arial" w:hAnsi="Arial"/>
          <w:sz w:val="16"/>
          <w:szCs w:val="16"/>
          <w:color w:val="255993"/>
        </w:rPr>
      </w:pPr>
    </w:p>
    <w:p>
      <w:pPr>
        <w:ind w:left="140" w:hanging="134"/>
        <w:spacing w:after="0"/>
        <w:tabs>
          <w:tab w:leader="none" w:pos="140" w:val="left"/>
        </w:tabs>
        <w:numPr>
          <w:ilvl w:val="0"/>
          <w:numId w:val="35"/>
        </w:numPr>
        <w:rPr>
          <w:rFonts w:ascii="Arial" w:cs="Arial" w:eastAsia="Arial" w:hAnsi="Arial"/>
          <w:sz w:val="16"/>
          <w:szCs w:val="16"/>
          <w:color w:val="255993"/>
        </w:rPr>
      </w:pPr>
      <w:r>
        <w:rPr>
          <w:rFonts w:ascii="Arial" w:cs="Arial" w:eastAsia="Arial" w:hAnsi="Arial"/>
          <w:sz w:val="16"/>
          <w:szCs w:val="16"/>
          <w:color w:val="auto"/>
        </w:rPr>
        <w:t>the availability of other sources for comparable products or services;</w:t>
      </w:r>
    </w:p>
    <w:p>
      <w:pPr>
        <w:spacing w:after="0" w:line="59" w:lineRule="exact"/>
        <w:rPr>
          <w:rFonts w:ascii="Arial" w:cs="Arial" w:eastAsia="Arial" w:hAnsi="Arial"/>
          <w:sz w:val="16"/>
          <w:szCs w:val="16"/>
          <w:color w:val="255993"/>
        </w:rPr>
      </w:pPr>
    </w:p>
    <w:p>
      <w:pPr>
        <w:ind w:left="140" w:hanging="134"/>
        <w:spacing w:after="0"/>
        <w:tabs>
          <w:tab w:leader="none" w:pos="140" w:val="left"/>
        </w:tabs>
        <w:numPr>
          <w:ilvl w:val="0"/>
          <w:numId w:val="35"/>
        </w:numPr>
        <w:rPr>
          <w:rFonts w:ascii="Arial" w:cs="Arial" w:eastAsia="Arial" w:hAnsi="Arial"/>
          <w:sz w:val="16"/>
          <w:szCs w:val="16"/>
          <w:color w:val="255993"/>
        </w:rPr>
      </w:pPr>
      <w:r>
        <w:rPr>
          <w:rFonts w:ascii="Arial" w:cs="Arial" w:eastAsia="Arial" w:hAnsi="Arial"/>
          <w:sz w:val="16"/>
          <w:szCs w:val="16"/>
          <w:color w:val="auto"/>
        </w:rPr>
        <w:t>the terms of the transaction; and</w:t>
      </w:r>
    </w:p>
    <w:p>
      <w:pPr>
        <w:spacing w:after="0" w:line="59" w:lineRule="exact"/>
        <w:rPr>
          <w:rFonts w:ascii="Arial" w:cs="Arial" w:eastAsia="Arial" w:hAnsi="Arial"/>
          <w:sz w:val="16"/>
          <w:szCs w:val="16"/>
          <w:color w:val="255993"/>
        </w:rPr>
      </w:pPr>
    </w:p>
    <w:p>
      <w:pPr>
        <w:ind w:left="140" w:hanging="134"/>
        <w:spacing w:after="0"/>
        <w:tabs>
          <w:tab w:leader="none" w:pos="140" w:val="left"/>
        </w:tabs>
        <w:numPr>
          <w:ilvl w:val="0"/>
          <w:numId w:val="35"/>
        </w:numPr>
        <w:rPr>
          <w:rFonts w:ascii="Arial" w:cs="Arial" w:eastAsia="Arial" w:hAnsi="Arial"/>
          <w:sz w:val="16"/>
          <w:szCs w:val="16"/>
          <w:color w:val="255993"/>
        </w:rPr>
      </w:pPr>
      <w:r>
        <w:rPr>
          <w:rFonts w:ascii="Arial" w:cs="Arial" w:eastAsia="Arial" w:hAnsi="Arial"/>
          <w:sz w:val="16"/>
          <w:szCs w:val="16"/>
          <w:color w:val="auto"/>
        </w:rPr>
        <w:t>the terms available to unrelated third parties under the same or similar circumstances.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INVESTORS’ RIGHTS AGREEMENT</w:t>
      </w:r>
    </w:p>
    <w:p>
      <w:pPr>
        <w:spacing w:after="0" w:line="108"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We entered into an investors’ rights agreement on May 29, 2020 with certain of our stockholders, including Dr. Litton, our president and chief executive officer and a member of our board of directors, Mark Worthington, our general counsel and corporate secretary, Fluke Capital Management, L.P., of which John M. Fluke, Jr., a member of our board of directors, has a beneficial ownership interest, and Perceptive Life Sciences Master Fund Ltd., of which Joseph Edelman, a member of our board of directors, has a beneficial ownership interest. In addition, entities affiliated with RTW Investments, LP and entities affiliated with Franklin Templeton Investments, were parties to the agreement. Pursuant to the terms of the investors’ rights agreement, such holders were entitled to rights with respect to the registration of their outstanding shares, which rights expired pursuant to the terms of the investors’ rights agreement on the third anniversary of the Company’s initial public offering.</w:t>
      </w:r>
    </w:p>
    <w:p>
      <w:pPr>
        <w:spacing w:after="0" w:line="187" w:lineRule="exact"/>
        <w:rPr>
          <w:sz w:val="20"/>
          <w:szCs w:val="20"/>
          <w:color w:val="auto"/>
        </w:rPr>
      </w:pPr>
    </w:p>
    <w:p>
      <w:pPr>
        <w:spacing w:after="0"/>
        <w:tabs>
          <w:tab w:leader="none" w:pos="4600" w:val="left"/>
          <w:tab w:leader="none" w:pos="7960" w:val="left"/>
        </w:tabs>
        <w:rPr>
          <w:sz w:val="20"/>
          <w:szCs w:val="20"/>
          <w:color w:val="auto"/>
        </w:rPr>
      </w:pPr>
      <w:r>
        <w:rPr>
          <w:rFonts w:ascii="Arial" w:cs="Arial" w:eastAsia="Arial" w:hAnsi="Arial"/>
          <w:sz w:val="14"/>
          <w:szCs w:val="14"/>
          <w:color w:val="255993"/>
        </w:rPr>
        <w:t>Athira Pharma, Inc.</w:t>
      </w:r>
      <w:r>
        <w:rPr>
          <w:sz w:val="20"/>
          <w:szCs w:val="20"/>
          <w:color w:val="auto"/>
        </w:rPr>
        <w:tab/>
      </w:r>
      <w:r>
        <w:rPr>
          <w:rFonts w:ascii="Arial" w:cs="Arial" w:eastAsia="Arial" w:hAnsi="Arial"/>
          <w:sz w:val="14"/>
          <w:szCs w:val="14"/>
          <w:b w:val="1"/>
          <w:bCs w:val="1"/>
          <w:color w:val="255993"/>
        </w:rPr>
        <w:t>46</w:t>
      </w:r>
      <w:r>
        <w:rPr>
          <w:sz w:val="20"/>
          <w:szCs w:val="20"/>
          <w:color w:val="auto"/>
        </w:rPr>
        <w:tab/>
      </w:r>
      <w:r>
        <w:rPr>
          <w:rFonts w:ascii="Arial" w:cs="Arial" w:eastAsia="Arial" w:hAnsi="Arial"/>
          <w:sz w:val="14"/>
          <w:szCs w:val="14"/>
          <w:color w:val="255993"/>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126365</wp:posOffset>
            </wp:positionV>
            <wp:extent cx="699516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263" w:right="12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jc w:val="right"/>
        <w:spacing w:after="0"/>
        <w:rPr>
          <w:sz w:val="20"/>
          <w:szCs w:val="20"/>
          <w:color w:val="auto"/>
        </w:rPr>
      </w:pPr>
      <w:r>
        <w:rPr>
          <w:rFonts w:ascii="Arial" w:cs="Arial" w:eastAsia="Arial" w:hAnsi="Arial"/>
          <w:sz w:val="14"/>
          <w:szCs w:val="14"/>
          <w:color w:val="255993"/>
        </w:rPr>
        <w:t>Related Person Transactions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OTHER TRANSACTIONS</w:t>
      </w:r>
    </w:p>
    <w:p>
      <w:pPr>
        <w:spacing w:after="0" w:line="108"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We have entered into employment offer letters and change in control and severance agreements with our executive officers. For a description of these agreements with our named executive officers, see the section of this proxy statement titled “Executive Compensation – Executive Employment Arrangements.”</w:t>
      </w:r>
    </w:p>
    <w:p>
      <w:pPr>
        <w:spacing w:after="0" w:line="104"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We have granted stock options and/or performance-based restricted stock units, and issued common stock in connection therewith as applicable, to our executive officers and our non-employee directors. For a description of these grants and issuances, see the sections of this proxy statement titled “Board of Directors and Corporate Governance – Director Compensation” and “Executive Compensation.”</w:t>
      </w:r>
    </w:p>
    <w:p>
      <w:pPr>
        <w:spacing w:after="0" w:line="110"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We have entered into indemnification agreements with our directors and executive officers which provide for the indemnification for certain expenses and liabilities incurred in connection with any action, suit, proceeding or alternative dispute resolution mechanism, or hearing, inquiry or investigation that may lead to the foregoing, to which they are a party, or are threatened to be made a party, by reason of the fact that they are or were a director, officer, employee, agent or fiduciary of us, or any of our subsidiaries, by reason of any action or inaction by them while serving as a director, officer, employee, agent or fiduciary, or by reason of the fact that they were serving at our request as a director, officer, employee, agent or fiduciary of another entity. In the case of an action or proceeding by or in the right of us or any of our subsidiaries, no indemnification will be provided for any claim where a court determines that the indemnified party is prohibited from receiving indemnification. We believe that these indemnification agreements are necessary to attract and retain qualified persons as directors and officers. We also maintain directors’ and officers’ liability insurance.</w:t>
      </w:r>
    </w:p>
    <w:p>
      <w:pPr>
        <w:spacing w:after="0" w:line="194" w:lineRule="exact"/>
        <w:rPr>
          <w:sz w:val="20"/>
          <w:szCs w:val="20"/>
          <w:color w:val="auto"/>
        </w:rPr>
      </w:pPr>
    </w:p>
    <w:p>
      <w:pPr>
        <w:spacing w:after="0"/>
        <w:tabs>
          <w:tab w:leader="none" w:pos="4600" w:val="left"/>
          <w:tab w:leader="none" w:pos="7960" w:val="left"/>
        </w:tabs>
        <w:rPr>
          <w:sz w:val="20"/>
          <w:szCs w:val="20"/>
          <w:color w:val="auto"/>
        </w:rPr>
      </w:pPr>
      <w:r>
        <w:rPr>
          <w:rFonts w:ascii="Arial" w:cs="Arial" w:eastAsia="Arial" w:hAnsi="Arial"/>
          <w:sz w:val="14"/>
          <w:szCs w:val="14"/>
          <w:color w:val="255993"/>
        </w:rPr>
        <w:t>Athira Pharma, Inc.</w:t>
      </w:r>
      <w:r>
        <w:rPr>
          <w:sz w:val="20"/>
          <w:szCs w:val="20"/>
          <w:color w:val="auto"/>
        </w:rPr>
        <w:tab/>
      </w:r>
      <w:r>
        <w:rPr>
          <w:rFonts w:ascii="Arial" w:cs="Arial" w:eastAsia="Arial" w:hAnsi="Arial"/>
          <w:sz w:val="14"/>
          <w:szCs w:val="14"/>
          <w:b w:val="1"/>
          <w:bCs w:val="1"/>
          <w:color w:val="255993"/>
        </w:rPr>
        <w:t>47</w:t>
      </w:r>
      <w:r>
        <w:rPr>
          <w:sz w:val="20"/>
          <w:szCs w:val="20"/>
          <w:color w:val="auto"/>
        </w:rPr>
        <w:tab/>
      </w:r>
      <w:r>
        <w:rPr>
          <w:rFonts w:ascii="Arial" w:cs="Arial" w:eastAsia="Arial" w:hAnsi="Arial"/>
          <w:sz w:val="14"/>
          <w:szCs w:val="14"/>
          <w:color w:val="255993"/>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118110</wp:posOffset>
            </wp:positionV>
            <wp:extent cx="699516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263" w:right="12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38" w:lineRule="exact"/>
        <w:rPr>
          <w:sz w:val="20"/>
          <w:szCs w:val="20"/>
          <w:color w:val="auto"/>
        </w:rPr>
      </w:pPr>
    </w:p>
    <w:p>
      <w:pPr>
        <w:spacing w:after="0"/>
        <w:rPr>
          <w:sz w:val="20"/>
          <w:szCs w:val="20"/>
          <w:color w:val="auto"/>
        </w:rPr>
      </w:pPr>
      <w:r>
        <w:rPr>
          <w:rFonts w:ascii="Arial" w:cs="Arial" w:eastAsia="Arial" w:hAnsi="Arial"/>
          <w:sz w:val="58"/>
          <w:szCs w:val="58"/>
          <w:color w:val="255993"/>
        </w:rPr>
        <w:t>Other Matters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AVAILABILITY OF BYLAWS</w:t>
      </w:r>
    </w:p>
    <w:p>
      <w:pPr>
        <w:spacing w:after="0" w:line="108" w:lineRule="exact"/>
        <w:rPr>
          <w:sz w:val="20"/>
          <w:szCs w:val="20"/>
          <w:color w:val="auto"/>
        </w:rPr>
      </w:pPr>
    </w:p>
    <w:p>
      <w:pPr>
        <w:jc w:val="both"/>
        <w:ind w:right="280"/>
        <w:spacing w:after="0" w:line="266" w:lineRule="auto"/>
        <w:rPr>
          <w:sz w:val="20"/>
          <w:szCs w:val="20"/>
          <w:color w:val="auto"/>
        </w:rPr>
      </w:pPr>
      <w:r>
        <w:rPr>
          <w:rFonts w:ascii="Arial" w:cs="Arial" w:eastAsia="Arial" w:hAnsi="Arial"/>
          <w:sz w:val="16"/>
          <w:szCs w:val="16"/>
          <w:color w:val="auto"/>
        </w:rPr>
        <w:t xml:space="preserve">A copy of the Bylaws may be obtained by accessing our filings on the SEC’s website at </w:t>
      </w:r>
      <w:r>
        <w:rPr>
          <w:rFonts w:ascii="Arial" w:cs="Arial" w:eastAsia="Arial" w:hAnsi="Arial"/>
          <w:sz w:val="16"/>
          <w:szCs w:val="16"/>
          <w:i w:val="1"/>
          <w:iCs w:val="1"/>
          <w:color w:val="auto"/>
        </w:rPr>
        <w:t>www.sec.gov</w:t>
      </w:r>
      <w:r>
        <w:rPr>
          <w:rFonts w:ascii="Arial" w:cs="Arial" w:eastAsia="Arial" w:hAnsi="Arial"/>
          <w:sz w:val="16"/>
          <w:szCs w:val="16"/>
          <w:color w:val="auto"/>
        </w:rPr>
        <w:t>. You may also contact our corporate secretary at our principal executive offices for a copy of the relevant Bylaw provisions regarding the requirements for making stockholder proposals and nominating director candidates.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2023 ANNUAL REPORT</w:t>
      </w:r>
    </w:p>
    <w:p>
      <w:pPr>
        <w:spacing w:after="0" w:line="108"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 xml:space="preserve">Our financial statements for our fiscal year ended December 31, 2023, are included in our Annual Report on Form 10-K, filed with the SEC on February 22, 2024, which we will make available to stockholders at the same time as this proxy statement. Our proxy materials and our annual report are posted on our website at </w:t>
      </w:r>
      <w:r>
        <w:rPr>
          <w:rFonts w:ascii="Arial" w:cs="Arial" w:eastAsia="Arial" w:hAnsi="Arial"/>
          <w:sz w:val="16"/>
          <w:szCs w:val="16"/>
          <w:i w:val="1"/>
          <w:iCs w:val="1"/>
          <w:color w:val="auto"/>
        </w:rPr>
        <w:t>www.athira.com</w:t>
      </w:r>
      <w:r>
        <w:rPr>
          <w:rFonts w:ascii="Arial" w:cs="Arial" w:eastAsia="Arial" w:hAnsi="Arial"/>
          <w:sz w:val="16"/>
          <w:szCs w:val="16"/>
          <w:color w:val="auto"/>
        </w:rPr>
        <w:t xml:space="preserve"> and are available from the SEC at its website at </w:t>
      </w:r>
      <w:r>
        <w:rPr>
          <w:rFonts w:ascii="Arial" w:cs="Arial" w:eastAsia="Arial" w:hAnsi="Arial"/>
          <w:sz w:val="16"/>
          <w:szCs w:val="16"/>
          <w:i w:val="1"/>
          <w:iCs w:val="1"/>
          <w:color w:val="auto"/>
        </w:rPr>
        <w:t>www.sec. gov</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255993"/>
        </w:rPr>
        <w:t>You may also obtain a copy of our annual report, free of charge, by sending a written request to Athira</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255993"/>
        </w:rPr>
        <w:t>Pharma, Inc., 18706 North Creek Parkway, Suite 104, Bothell, Washington 98011, Attention: Investor Relations.</w:t>
      </w:r>
    </w:p>
    <w:p>
      <w:pPr>
        <w:spacing w:after="0" w:line="101"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Information contained on, or that can be accessed through, our website is not intended to be incorporated by reference into this proxy statement, and references to our website address in this proxy statement are inactive textual references only.</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 *</w:t>
      </w:r>
    </w:p>
    <w:p>
      <w:pPr>
        <w:spacing w:after="0" w:line="140" w:lineRule="exact"/>
        <w:rPr>
          <w:sz w:val="20"/>
          <w:szCs w:val="20"/>
          <w:color w:val="auto"/>
        </w:rPr>
      </w:pPr>
    </w:p>
    <w:p>
      <w:pPr>
        <w:ind w:right="200"/>
        <w:spacing w:after="0" w:line="266" w:lineRule="auto"/>
        <w:rPr>
          <w:sz w:val="20"/>
          <w:szCs w:val="20"/>
          <w:color w:val="auto"/>
        </w:rPr>
      </w:pPr>
      <w:r>
        <w:rPr>
          <w:rFonts w:ascii="Arial" w:cs="Arial" w:eastAsia="Arial" w:hAnsi="Arial"/>
          <w:sz w:val="16"/>
          <w:szCs w:val="16"/>
          <w:color w:val="auto"/>
        </w:rPr>
        <w:t>The board of directors does not know of any other matters to be presented at the Annual Meeting. If any additional matters are properly presented at the Annual Meeting, the persons named in the proxy will have discretion to vote the shares of our common stock they represent in accordance with their own judgment on such matters.</w:t>
      </w:r>
    </w:p>
    <w:p>
      <w:pPr>
        <w:spacing w:after="0" w:line="104"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It is important that your shares be represented at the Annual Meeting, regardless of the number of shares that you hold. You are, therefore, urged to vote as promptly as possible to ensure your vote is recorded.</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THE BOARD OF DIRECTORS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Bothell, Washington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April 9, 2024</w:t>
      </w:r>
    </w:p>
    <w:p>
      <w:pPr>
        <w:spacing w:after="0" w:line="210" w:lineRule="exact"/>
        <w:rPr>
          <w:sz w:val="20"/>
          <w:szCs w:val="20"/>
          <w:color w:val="auto"/>
        </w:rPr>
      </w:pPr>
    </w:p>
    <w:p>
      <w:pPr>
        <w:spacing w:after="0"/>
        <w:tabs>
          <w:tab w:leader="none" w:pos="4600" w:val="left"/>
          <w:tab w:leader="none" w:pos="7960" w:val="left"/>
        </w:tabs>
        <w:rPr>
          <w:sz w:val="20"/>
          <w:szCs w:val="20"/>
          <w:color w:val="auto"/>
        </w:rPr>
      </w:pPr>
      <w:r>
        <w:rPr>
          <w:rFonts w:ascii="Arial" w:cs="Arial" w:eastAsia="Arial" w:hAnsi="Arial"/>
          <w:sz w:val="14"/>
          <w:szCs w:val="14"/>
          <w:color w:val="255993"/>
        </w:rPr>
        <w:t>Athira Pharma, Inc.</w:t>
      </w:r>
      <w:r>
        <w:rPr>
          <w:sz w:val="20"/>
          <w:szCs w:val="20"/>
          <w:color w:val="auto"/>
        </w:rPr>
        <w:tab/>
      </w:r>
      <w:r>
        <w:rPr>
          <w:rFonts w:ascii="Arial" w:cs="Arial" w:eastAsia="Arial" w:hAnsi="Arial"/>
          <w:sz w:val="14"/>
          <w:szCs w:val="14"/>
          <w:b w:val="1"/>
          <w:bCs w:val="1"/>
          <w:color w:val="255993"/>
        </w:rPr>
        <w:t>48</w:t>
      </w:r>
      <w:r>
        <w:rPr>
          <w:sz w:val="20"/>
          <w:szCs w:val="20"/>
          <w:color w:val="auto"/>
        </w:rPr>
        <w:tab/>
      </w:r>
      <w:r>
        <w:rPr>
          <w:rFonts w:ascii="Arial" w:cs="Arial" w:eastAsia="Arial" w:hAnsi="Arial"/>
          <w:sz w:val="14"/>
          <w:szCs w:val="14"/>
          <w:color w:val="255993"/>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118110</wp:posOffset>
            </wp:positionV>
            <wp:extent cx="699516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263" w:right="12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38" w:lineRule="exact"/>
        <w:rPr>
          <w:sz w:val="20"/>
          <w:szCs w:val="20"/>
          <w:color w:val="auto"/>
        </w:rPr>
      </w:pPr>
    </w:p>
    <w:p>
      <w:pPr>
        <w:spacing w:after="0"/>
        <w:rPr>
          <w:sz w:val="20"/>
          <w:szCs w:val="20"/>
          <w:color w:val="auto"/>
        </w:rPr>
      </w:pPr>
      <w:r>
        <w:rPr>
          <w:rFonts w:ascii="Arial" w:cs="Arial" w:eastAsia="Arial" w:hAnsi="Arial"/>
          <w:sz w:val="58"/>
          <w:szCs w:val="58"/>
          <w:color w:val="255993"/>
        </w:rPr>
        <w:t>Annex A</w:t>
      </w:r>
    </w:p>
    <w:p>
      <w:pPr>
        <w:spacing w:after="0" w:line="276"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CERTIFICATE OF AMENDMENT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TO THE</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AMENDED AND RESTATED CERTIFICATE OF INCORPORATION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ATHIRA PHARMA, INC.</w:t>
      </w:r>
    </w:p>
    <w:p>
      <w:pPr>
        <w:spacing w:after="0" w:line="92" w:lineRule="exact"/>
        <w:rPr>
          <w:sz w:val="20"/>
          <w:szCs w:val="20"/>
          <w:color w:val="auto"/>
        </w:rPr>
      </w:pPr>
    </w:p>
    <w:p>
      <w:pPr>
        <w:ind w:right="940" w:firstLine="360"/>
        <w:spacing w:after="0" w:line="271" w:lineRule="auto"/>
        <w:rPr>
          <w:sz w:val="20"/>
          <w:szCs w:val="20"/>
          <w:color w:val="auto"/>
        </w:rPr>
      </w:pPr>
      <w:r>
        <w:rPr>
          <w:rFonts w:ascii="Arial" w:cs="Arial" w:eastAsia="Arial" w:hAnsi="Arial"/>
          <w:sz w:val="18"/>
          <w:szCs w:val="18"/>
          <w:color w:val="auto"/>
        </w:rPr>
        <w:t>Athira Pharma, Inc., a corporation organized and existing under the laws of the State of Delaware (the “Company”), does hereby certify as follows:</w:t>
      </w:r>
    </w:p>
    <w:p>
      <w:pPr>
        <w:spacing w:after="0" w:line="46" w:lineRule="exact"/>
        <w:rPr>
          <w:sz w:val="20"/>
          <w:szCs w:val="20"/>
          <w:color w:val="auto"/>
        </w:rPr>
      </w:pPr>
    </w:p>
    <w:p>
      <w:pPr>
        <w:ind w:left="360" w:right="340" w:firstLine="360"/>
        <w:spacing w:after="0" w:line="253" w:lineRule="auto"/>
        <w:rPr>
          <w:sz w:val="20"/>
          <w:szCs w:val="20"/>
          <w:color w:val="auto"/>
        </w:rPr>
      </w:pPr>
      <w:r>
        <w:rPr>
          <w:rFonts w:ascii="Arial" w:cs="Arial" w:eastAsia="Arial" w:hAnsi="Arial"/>
          <w:sz w:val="18"/>
          <w:szCs w:val="18"/>
          <w:color w:val="auto"/>
        </w:rPr>
        <w:t>1.  The Company was originally incorporated under the name of M3 Biotechnology, Inc., and the original Certificate of Incorporation of the Company was filed with the Secretary of State of the State of Delaware on October 27, 2015.</w:t>
      </w:r>
    </w:p>
    <w:p>
      <w:pPr>
        <w:spacing w:after="0" w:line="61" w:lineRule="exact"/>
        <w:rPr>
          <w:sz w:val="20"/>
          <w:szCs w:val="20"/>
          <w:color w:val="auto"/>
        </w:rPr>
      </w:pPr>
    </w:p>
    <w:p>
      <w:pPr>
        <w:jc w:val="both"/>
        <w:ind w:left="360" w:firstLine="360"/>
        <w:spacing w:after="0" w:line="253" w:lineRule="auto"/>
        <w:rPr>
          <w:sz w:val="20"/>
          <w:szCs w:val="20"/>
          <w:color w:val="auto"/>
        </w:rPr>
      </w:pPr>
      <w:r>
        <w:rPr>
          <w:rFonts w:ascii="Arial" w:cs="Arial" w:eastAsia="Arial" w:hAnsi="Arial"/>
          <w:sz w:val="18"/>
          <w:szCs w:val="18"/>
          <w:color w:val="auto"/>
        </w:rPr>
        <w:t>2.  This Certificate of Amendment to the Amended and Restated Certificate of Incorporation of the Company was duly adopted in accordance with Section 242 of the General Corporation Law of the State of Delaware by the Board of Directors of the Company and the stockholders of the Company.</w:t>
      </w:r>
    </w:p>
    <w:p>
      <w:pPr>
        <w:spacing w:after="0" w:line="61" w:lineRule="exact"/>
        <w:rPr>
          <w:sz w:val="20"/>
          <w:szCs w:val="20"/>
          <w:color w:val="auto"/>
        </w:rPr>
      </w:pPr>
    </w:p>
    <w:p>
      <w:pPr>
        <w:ind w:left="360" w:right="300" w:firstLine="360"/>
        <w:spacing w:after="0" w:line="271" w:lineRule="auto"/>
        <w:rPr>
          <w:sz w:val="20"/>
          <w:szCs w:val="20"/>
          <w:color w:val="auto"/>
        </w:rPr>
      </w:pPr>
      <w:r>
        <w:rPr>
          <w:rFonts w:ascii="Arial" w:cs="Arial" w:eastAsia="Arial" w:hAnsi="Arial"/>
          <w:sz w:val="18"/>
          <w:szCs w:val="18"/>
          <w:color w:val="auto"/>
        </w:rPr>
        <w:t>3.  Section 1 of Article IX of the Company’s Amended and Restated Certificate of Incorporation is hereby amended and restated in its entirety to read as follows:</w:t>
      </w:r>
    </w:p>
    <w:p>
      <w:pPr>
        <w:spacing w:after="0" w:line="46" w:lineRule="exact"/>
        <w:rPr>
          <w:sz w:val="20"/>
          <w:szCs w:val="20"/>
          <w:color w:val="auto"/>
        </w:rPr>
      </w:pPr>
    </w:p>
    <w:p>
      <w:pPr>
        <w:ind w:left="720" w:right="100" w:firstLine="360"/>
        <w:spacing w:after="0" w:line="242" w:lineRule="auto"/>
        <w:rPr>
          <w:sz w:val="20"/>
          <w:szCs w:val="20"/>
          <w:color w:val="auto"/>
        </w:rPr>
      </w:pPr>
      <w:r>
        <w:rPr>
          <w:rFonts w:ascii="Arial" w:cs="Arial" w:eastAsia="Arial" w:hAnsi="Arial"/>
          <w:sz w:val="18"/>
          <w:szCs w:val="18"/>
          <w:color w:val="auto"/>
        </w:rPr>
        <w:t>“Section 1.  To the fullest extent permitted by the DGCL as the same exists or as may hereafter be amended from time to time, a director or officer of the Company shall not be personally liable to the Company or its stockholders for monetary damages for breach of fiduciary duty as a director or officer, as applicable. If the DGCL is amended to authorize corporate action further eliminating or limiting the personal liability of directors or officers, then the liability of a director or officer of the Company, as applicable, shall be eliminated or limited to the fullest extent permitted by the DGCL, as so amended.”</w:t>
      </w:r>
    </w:p>
    <w:p>
      <w:pPr>
        <w:spacing w:after="0" w:line="71" w:lineRule="exact"/>
        <w:rPr>
          <w:sz w:val="20"/>
          <w:szCs w:val="20"/>
          <w:color w:val="auto"/>
        </w:rPr>
      </w:pPr>
    </w:p>
    <w:p>
      <w:pPr>
        <w:ind w:right="40" w:firstLine="360"/>
        <w:spacing w:after="0" w:line="253" w:lineRule="auto"/>
        <w:rPr>
          <w:sz w:val="20"/>
          <w:szCs w:val="20"/>
          <w:color w:val="auto"/>
        </w:rPr>
      </w:pPr>
      <w:r>
        <w:rPr>
          <w:rFonts w:ascii="Arial" w:cs="Arial" w:eastAsia="Arial" w:hAnsi="Arial"/>
          <w:sz w:val="18"/>
          <w:szCs w:val="18"/>
          <w:color w:val="auto"/>
        </w:rPr>
        <w:t>IN WITNESS WHEREOF, the Company has caused this Certificate of Amendment to the Amended and Restated Certificate of Incorporation of the Company to be signed by a duly authorized officer of the Company, on       , 2024.</w:t>
      </w:r>
    </w:p>
    <w:p>
      <w:pPr>
        <w:spacing w:after="0" w:line="287" w:lineRule="exact"/>
        <w:rPr>
          <w:sz w:val="20"/>
          <w:szCs w:val="20"/>
          <w:color w:val="auto"/>
        </w:rPr>
      </w:pPr>
    </w:p>
    <w:p>
      <w:pPr>
        <w:ind w:left="4440"/>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3269615</wp:posOffset>
            </wp:positionH>
            <wp:positionV relativeFrom="paragraph">
              <wp:posOffset>49530</wp:posOffset>
            </wp:positionV>
            <wp:extent cx="270002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700020" cy="8890"/>
                    </a:xfrm>
                    <a:prstGeom prst="rect">
                      <a:avLst/>
                    </a:prstGeom>
                    <a:noFill/>
                  </pic:spPr>
                </pic:pic>
              </a:graphicData>
            </a:graphic>
          </wp:anchor>
        </w:drawing>
      </w:r>
    </w:p>
    <w:p>
      <w:pPr>
        <w:spacing w:after="0" w:line="116" w:lineRule="exact"/>
        <w:rPr>
          <w:sz w:val="20"/>
          <w:szCs w:val="20"/>
          <w:color w:val="auto"/>
        </w:rPr>
      </w:pPr>
    </w:p>
    <w:p>
      <w:pPr>
        <w:ind w:left="4440"/>
        <w:spacing w:after="0"/>
        <w:rPr>
          <w:sz w:val="20"/>
          <w:szCs w:val="20"/>
          <w:color w:val="auto"/>
        </w:rPr>
      </w:pPr>
      <w:r>
        <w:rPr>
          <w:rFonts w:ascii="Arial" w:cs="Arial" w:eastAsia="Arial" w:hAnsi="Arial"/>
          <w:sz w:val="14"/>
          <w:szCs w:val="14"/>
          <w:color w:val="auto"/>
        </w:rPr>
        <w:t>[NAME]</w:t>
      </w:r>
    </w:p>
    <w:p>
      <w:pPr>
        <w:spacing w:after="0" w:line="109" w:lineRule="exact"/>
        <w:rPr>
          <w:sz w:val="20"/>
          <w:szCs w:val="20"/>
          <w:color w:val="auto"/>
        </w:rPr>
      </w:pPr>
    </w:p>
    <w:p>
      <w:pPr>
        <w:ind w:left="4440"/>
        <w:spacing w:after="0"/>
        <w:rPr>
          <w:sz w:val="20"/>
          <w:szCs w:val="20"/>
          <w:color w:val="auto"/>
        </w:rPr>
      </w:pPr>
      <w:r>
        <w:rPr>
          <w:rFonts w:ascii="Arial" w:cs="Arial" w:eastAsia="Arial" w:hAnsi="Arial"/>
          <w:sz w:val="14"/>
          <w:szCs w:val="14"/>
          <w:color w:val="auto"/>
        </w:rPr>
        <w:t>[TITLE]</w:t>
      </w:r>
    </w:p>
    <w:p>
      <w:pPr>
        <w:spacing w:after="0" w:line="325" w:lineRule="exact"/>
        <w:rPr>
          <w:sz w:val="20"/>
          <w:szCs w:val="20"/>
          <w:color w:val="auto"/>
        </w:rPr>
      </w:pPr>
    </w:p>
    <w:p>
      <w:pPr>
        <w:spacing w:after="0"/>
        <w:tabs>
          <w:tab w:leader="none" w:pos="4600" w:val="left"/>
          <w:tab w:leader="none" w:pos="7960" w:val="left"/>
        </w:tabs>
        <w:rPr>
          <w:sz w:val="20"/>
          <w:szCs w:val="20"/>
          <w:color w:val="auto"/>
        </w:rPr>
      </w:pPr>
      <w:r>
        <w:rPr>
          <w:rFonts w:ascii="Arial" w:cs="Arial" w:eastAsia="Arial" w:hAnsi="Arial"/>
          <w:sz w:val="14"/>
          <w:szCs w:val="14"/>
          <w:color w:val="255993"/>
        </w:rPr>
        <w:t>Athira Pharma, Inc.</w:t>
      </w:r>
      <w:r>
        <w:rPr>
          <w:sz w:val="20"/>
          <w:szCs w:val="20"/>
          <w:color w:val="auto"/>
        </w:rPr>
        <w:tab/>
      </w:r>
      <w:r>
        <w:rPr>
          <w:rFonts w:ascii="Arial" w:cs="Arial" w:eastAsia="Arial" w:hAnsi="Arial"/>
          <w:sz w:val="14"/>
          <w:szCs w:val="14"/>
          <w:b w:val="1"/>
          <w:bCs w:val="1"/>
          <w:color w:val="255993"/>
        </w:rPr>
        <w:t>49</w:t>
      </w:r>
      <w:r>
        <w:rPr>
          <w:sz w:val="20"/>
          <w:szCs w:val="20"/>
          <w:color w:val="auto"/>
        </w:rPr>
        <w:tab/>
      </w:r>
      <w:r>
        <w:rPr>
          <w:rFonts w:ascii="Arial" w:cs="Arial" w:eastAsia="Arial" w:hAnsi="Arial"/>
          <w:sz w:val="14"/>
          <w:szCs w:val="14"/>
          <w:color w:val="255993"/>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118110</wp:posOffset>
            </wp:positionV>
            <wp:extent cx="699516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263" w:right="12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93345</wp:posOffset>
            </wp:positionV>
            <wp:extent cx="6643370" cy="85979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643370" cy="8597900"/>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128905</wp:posOffset>
            </wp:positionV>
            <wp:extent cx="699516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93345</wp:posOffset>
            </wp:positionV>
            <wp:extent cx="6643370" cy="85979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643370" cy="8597900"/>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 </w:t>
      </w:r>
    </w:p>
    <w:sectPr>
      <w:pgSz w:w="11900" w:h="16838" w:orient="portrait"/>
      <w:cols w:equalWidth="0" w:num="1">
        <w:col w:w="10039"/>
      </w:cols>
      <w:pgMar w:left="420" w:top="26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1"/>
      <w:numFmt w:val="bullet"/>
      <w:start w:val="1"/>
    </w:lvl>
  </w:abstractNum>
  <w:abstractNum w:abstractNumId="1">
    <w:nsid w:val="3F2DBA31"/>
    <w:multiLevelType w:val="hybridMultilevel"/>
    <w:lvl w:ilvl="0">
      <w:lvlJc w:val="left"/>
      <w:lvlText w:val="2"/>
      <w:numFmt w:val="bullet"/>
      <w:start w:val="1"/>
    </w:lvl>
  </w:abstractNum>
  <w:abstractNum w:abstractNumId="2">
    <w:nsid w:val="7C83E458"/>
    <w:multiLevelType w:val="hybridMultilevel"/>
    <w:lvl w:ilvl="0">
      <w:lvlJc w:val="left"/>
      <w:lvlText w:val="3"/>
      <w:numFmt w:val="bullet"/>
      <w:start w:val="1"/>
    </w:lvl>
  </w:abstractNum>
  <w:abstractNum w:abstractNumId="3">
    <w:nsid w:val="257130A3"/>
    <w:multiLevelType w:val="hybridMultilevel"/>
    <w:lvl w:ilvl="0">
      <w:lvlJc w:val="left"/>
      <w:lvlText w:val="4"/>
      <w:numFmt w:val="bullet"/>
      <w:start w:val="1"/>
    </w:lvl>
  </w:abstractNum>
  <w:abstractNum w:abstractNumId="4">
    <w:nsid w:val="62BBD95A"/>
    <w:multiLevelType w:val="hybridMultilevel"/>
    <w:lvl w:ilvl="0">
      <w:lvlJc w:val="left"/>
      <w:lvlText w:val="%1."/>
      <w:numFmt w:val="lowerLetter"/>
      <w:start w:val="75"/>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1)"/>
      <w:numFmt w:val="decimal"/>
      <w:start w:val="1"/>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1)"/>
      <w:numFmt w:val="decimal"/>
      <w:start w:val="1"/>
    </w:lvl>
  </w:abstractNum>
  <w:abstractNum w:abstractNumId="18">
    <w:nsid w:val="54E49EB4"/>
    <w:multiLevelType w:val="hybridMultilevel"/>
    <w:lvl w:ilvl="0">
      <w:lvlJc w:val="left"/>
      <w:lvlText w:val="(%1)"/>
      <w:numFmt w:val="decimal"/>
      <w:start w:val="3"/>
    </w:lvl>
  </w:abstractNum>
  <w:abstractNum w:abstractNumId="19">
    <w:nsid w:val="71F32454"/>
    <w:multiLevelType w:val="hybridMultilevel"/>
    <w:lvl w:ilvl="0">
      <w:lvlJc w:val="left"/>
      <w:lvlText w:val="•"/>
      <w:numFmt w:val="bullet"/>
      <w:start w:val="1"/>
    </w:lvl>
  </w:abstractNum>
  <w:abstractNum w:abstractNumId="20">
    <w:nsid w:val="2CA88611"/>
    <w:multiLevelType w:val="hybridMultilevel"/>
    <w:lvl w:ilvl="0">
      <w:lvlJc w:val="left"/>
      <w:lvlText w:val="(%1)"/>
      <w:numFmt w:val="decimal"/>
      <w:start w:val="1"/>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1)"/>
      <w:numFmt w:val="decimal"/>
      <w:start w:val="1"/>
    </w:lvl>
  </w:abstractNum>
  <w:abstractNum w:abstractNumId="25">
    <w:nsid w:val="1E7FF521"/>
    <w:multiLevelType w:val="hybridMultilevel"/>
    <w:lvl w:ilvl="0">
      <w:lvlJc w:val="left"/>
      <w:lvlText w:val="(%1)"/>
      <w:numFmt w:val="decimal"/>
      <w:start w:val="1"/>
    </w:lvl>
  </w:abstractNum>
  <w:abstractNum w:abstractNumId="26">
    <w:nsid w:val="7C3DBD3D"/>
    <w:multiLevelType w:val="hybridMultilevel"/>
    <w:lvl w:ilvl="0">
      <w:lvlJc w:val="left"/>
      <w:lvlText w:val="•"/>
      <w:numFmt w:val="bullet"/>
      <w:start w:val="1"/>
    </w:lvl>
  </w:abstractNum>
  <w:abstractNum w:abstractNumId="27">
    <w:nsid w:val="737B8DDC"/>
    <w:multiLevelType w:val="hybridMultilevel"/>
    <w:lvl w:ilvl="0">
      <w:lvlJc w:val="left"/>
      <w:lvlText w:val="(%1)"/>
      <w:numFmt w:val="decimal"/>
      <w:start w:val="2"/>
    </w:lvl>
  </w:abstractNum>
  <w:abstractNum w:abstractNumId="28">
    <w:nsid w:val="6CEAF087"/>
    <w:multiLevelType w:val="hybridMultilevel"/>
    <w:lvl w:ilvl="0">
      <w:lvlJc w:val="left"/>
      <w:lvlText w:val="•"/>
      <w:numFmt w:val="bullet"/>
      <w:start w:val="1"/>
    </w:lvl>
  </w:abstractNum>
  <w:abstractNum w:abstractNumId="29">
    <w:nsid w:val="22221A70"/>
    <w:multiLevelType w:val="hybridMultilevel"/>
    <w:lvl w:ilvl="0">
      <w:lvlJc w:val="left"/>
      <w:lvlText w:val="•"/>
      <w:numFmt w:val="bullet"/>
      <w:start w:val="1"/>
    </w:lvl>
  </w:abstractNum>
  <w:abstractNum w:abstractNumId="30">
    <w:nsid w:val="4516DDE9"/>
    <w:multiLevelType w:val="hybridMultilevel"/>
    <w:lvl w:ilvl="0">
      <w:lvlJc w:val="left"/>
      <w:lvlText w:val="*"/>
      <w:numFmt w:val="bullet"/>
      <w:start w:val="1"/>
    </w:lvl>
  </w:abstractNum>
  <w:abstractNum w:abstractNumId="31">
    <w:nsid w:val="3006C83E"/>
    <w:multiLevelType w:val="hybridMultilevel"/>
    <w:lvl w:ilvl="0">
      <w:lvlJc w:val="left"/>
      <w:lvlText w:val="(%1)"/>
      <w:numFmt w:val="decimal"/>
      <w:start w:val="1"/>
    </w:lvl>
  </w:abstractNum>
  <w:abstractNum w:abstractNumId="32">
    <w:nsid w:val="614FD4A1"/>
    <w:multiLevelType w:val="hybridMultilevel"/>
    <w:lvl w:ilvl="0">
      <w:lvlJc w:val="left"/>
      <w:lvlText w:val="(%1)"/>
      <w:numFmt w:val="decimal"/>
      <w:start w:val="1"/>
    </w:lvl>
  </w:abstractNum>
  <w:abstractNum w:abstractNumId="33">
    <w:nsid w:val="419AC241"/>
    <w:multiLevelType w:val="hybridMultilevel"/>
    <w:lvl w:ilvl="0">
      <w:lvlJc w:val="left"/>
      <w:lvlText w:val="•"/>
      <w:numFmt w:val="bullet"/>
      <w:start w:val="1"/>
    </w:lvl>
  </w:abstractNum>
  <w:abstractNum w:abstractNumId="34">
    <w:nsid w:val="5577F8E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2024-04-09T07:36:20Z</dcterms:created>
  <dcterms:modified xsi:type="dcterms:W3CDTF">2024-04-09T07:36:20Z</dcterms:modified>
</cp:coreProperties>
</file>