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13G</w:t>
      </w:r>
    </w:p>
    <w:p>
      <w:pPr>
        <w:spacing w:after="0" w:line="225"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(Amendment No. )*</w:t>
      </w:r>
    </w:p>
    <w:p>
      <w:pPr>
        <w:spacing w:after="0" w:line="196"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25"/>
          <w:szCs w:val="25"/>
          <w:b w:val="1"/>
          <w:bCs w:val="1"/>
          <w:color w:val="auto"/>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803275</wp:posOffset>
            </wp:positionH>
            <wp:positionV relativeFrom="paragraph">
              <wp:posOffset>19685</wp:posOffset>
            </wp:positionV>
            <wp:extent cx="46374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11"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803275</wp:posOffset>
            </wp:positionH>
            <wp:positionV relativeFrom="paragraph">
              <wp:posOffset>19685</wp:posOffset>
            </wp:positionV>
            <wp:extent cx="4637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37405" cy="8890"/>
                    </a:xfrm>
                    <a:prstGeom prst="rect">
                      <a:avLst/>
                    </a:prstGeom>
                    <a:noFill/>
                  </pic:spPr>
                </pic:pic>
              </a:graphicData>
            </a:graphic>
          </wp:anchor>
        </w:drawing>
      </w:r>
    </w:p>
    <w:p>
      <w:pPr>
        <w:spacing w:after="0" w:line="11"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2"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Check the appropriate box to designate the rule pursuant to which this Schedule is filed:</w:t>
      </w:r>
    </w:p>
    <w:p>
      <w:pPr>
        <w:spacing w:after="0" w:line="188"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Rule 13d-1(b)</w:t>
      </w:r>
    </w:p>
    <w:p>
      <w:pPr>
        <w:spacing w:after="0" w:line="225"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Rule 13d-1(c)</w:t>
      </w:r>
    </w:p>
    <w:p>
      <w:pPr>
        <w:spacing w:after="0" w:line="225" w:lineRule="exact"/>
        <w:rPr>
          <w:sz w:val="24"/>
          <w:szCs w:val="24"/>
          <w:color w:val="auto"/>
        </w:rPr>
      </w:pPr>
    </w:p>
    <w:p>
      <w:pPr>
        <w:ind w:left="6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Rule 13d-1(d)</w:t>
      </w:r>
    </w:p>
    <w:p>
      <w:pPr>
        <w:spacing w:after="0" w:line="262" w:lineRule="exact"/>
        <w:rPr>
          <w:sz w:val="24"/>
          <w:szCs w:val="24"/>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1" w:lineRule="exact"/>
        <w:rPr>
          <w:sz w:val="24"/>
          <w:szCs w:val="24"/>
          <w:color w:val="auto"/>
        </w:rPr>
      </w:pPr>
    </w:p>
    <w:p>
      <w:pPr>
        <w:jc w:val="both"/>
        <w:ind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122555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147955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593725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80"/>
          </w:cols>
          <w:pgMar w:left="980" w:top="752"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04746L104</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46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870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7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Baker Bros. Advisors LP</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0"/>
                <w:szCs w:val="20"/>
                <w:color w:val="auto"/>
              </w:rPr>
            </w:pPr>
          </w:p>
        </w:tc>
        <w:tc>
          <w:tcPr>
            <w:tcW w:w="8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194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4"/>
                <w:szCs w:val="24"/>
                <w:color w:val="auto"/>
              </w:rPr>
            </w:pPr>
          </w:p>
        </w:tc>
        <w:tc>
          <w:tcPr>
            <w:tcW w:w="8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7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580" w:type="dxa"/>
            <w:vAlign w:val="bottom"/>
            <w:tcBorders>
              <w:left w:val="single" w:sz="8" w:color="auto"/>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7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3"/>
                <w:szCs w:val="13"/>
                <w:color w:val="auto"/>
              </w:rPr>
            </w:pPr>
          </w:p>
        </w:tc>
        <w:tc>
          <w:tcPr>
            <w:tcW w:w="460" w:type="dxa"/>
            <w:vAlign w:val="bottom"/>
            <w:tcBorders>
              <w:right w:val="single" w:sz="8" w:color="auto"/>
            </w:tcBorders>
            <w:vMerge w:val="continue"/>
          </w:tcPr>
          <w:p>
            <w:pPr>
              <w:spacing w:after="0"/>
              <w:rPr>
                <w:sz w:val="13"/>
                <w:szCs w:val="13"/>
                <w:color w:val="auto"/>
              </w:rPr>
            </w:pPr>
          </w:p>
        </w:tc>
        <w:tc>
          <w:tcPr>
            <w:tcW w:w="7180" w:type="dxa"/>
            <w:vAlign w:val="bottom"/>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8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718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18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8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7180" w:type="dxa"/>
            <w:vAlign w:val="bottom"/>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tcBorders>
          </w:tcPr>
          <w:p>
            <w:pPr>
              <w:spacing w:after="0"/>
              <w:rPr>
                <w:sz w:val="15"/>
                <w:szCs w:val="15"/>
                <w:color w:val="auto"/>
              </w:rPr>
            </w:pPr>
          </w:p>
        </w:tc>
        <w:tc>
          <w:tcPr>
            <w:tcW w:w="1120" w:type="dxa"/>
            <w:vAlign w:val="bottom"/>
            <w:tcBorders>
              <w:right w:val="single" w:sz="8" w:color="auto"/>
            </w:tcBorders>
            <w:gridSpan w:val="2"/>
          </w:tcPr>
          <w:p>
            <w:pPr>
              <w:jc w:val="center"/>
              <w:ind w:right="3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80" w:type="dxa"/>
            <w:vAlign w:val="bottom"/>
          </w:tcPr>
          <w:p>
            <w:pPr>
              <w:spacing w:after="0"/>
              <w:rPr>
                <w:sz w:val="15"/>
                <w:szCs w:val="15"/>
                <w:color w:val="auto"/>
              </w:rPr>
            </w:pPr>
          </w:p>
        </w:tc>
        <w:tc>
          <w:tcPr>
            <w:tcW w:w="46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7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8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80" w:type="dxa"/>
            <w:vAlign w:val="bottom"/>
            <w:tcBorders>
              <w:left w:val="single" w:sz="8" w:color="auto"/>
              <w:right w:val="single" w:sz="8" w:color="auto"/>
            </w:tcBorders>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718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1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1120" w:type="dxa"/>
            <w:vAlign w:val="bottom"/>
            <w:tcBorders>
              <w:right w:val="single" w:sz="8" w:color="auto"/>
            </w:tcBorders>
            <w:gridSpan w:val="2"/>
            <w:vMerge w:val="restart"/>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WITH</w:t>
            </w: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7180" w:type="dxa"/>
            <w:vAlign w:val="bottom"/>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120" w:type="dxa"/>
            <w:vAlign w:val="bottom"/>
            <w:tcBorders>
              <w:right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gridSpan w:val="2"/>
          </w:tcPr>
          <w:p>
            <w:pPr>
              <w:spacing w:after="0"/>
              <w:rPr>
                <w:sz w:val="7"/>
                <w:szCs w:val="7"/>
                <w:color w:val="auto"/>
              </w:rPr>
            </w:pPr>
          </w:p>
        </w:tc>
        <w:tc>
          <w:tcPr>
            <w:tcW w:w="540" w:type="dxa"/>
            <w:vAlign w:val="bottom"/>
            <w:tcBorders>
              <w:bottom w:val="single" w:sz="8" w:color="auto"/>
              <w:right w:val="single" w:sz="8" w:color="auto"/>
            </w:tcBorders>
            <w:gridSpan w:val="2"/>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4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940" w:type="dxa"/>
            <w:vAlign w:val="bottom"/>
            <w:tcBorders>
              <w:right w:val="single" w:sz="8" w:color="auto"/>
            </w:tcBorders>
          </w:tcPr>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tcPr>
          <w:p>
            <w:pPr>
              <w:spacing w:after="0"/>
              <w:rPr>
                <w:sz w:val="20"/>
                <w:szCs w:val="20"/>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718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8.3% (1)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IA, PN</w:t>
            </w:r>
          </w:p>
        </w:tc>
        <w:tc>
          <w:tcPr>
            <w:tcW w:w="4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hanging="332"/>
        <w:spacing w:after="0" w:line="282"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38,054,583 shares of common stock (“Common Stock”) of Athira Pharma, Inc. (the “Issuer”) outstanding as of November 6, 2023, as reported in the Issuer’s Form 10-Q filed with the Securities and Exchange Commission (“SEC”) on November 9,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04746L104</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46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870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87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Baker Bros. Advisors (GP) LLC</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0"/>
                <w:szCs w:val="20"/>
                <w:color w:val="auto"/>
              </w:rPr>
            </w:pPr>
          </w:p>
        </w:tc>
        <w:tc>
          <w:tcPr>
            <w:tcW w:w="8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194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4"/>
                <w:szCs w:val="24"/>
                <w:color w:val="auto"/>
              </w:rPr>
            </w:pPr>
          </w:p>
        </w:tc>
        <w:tc>
          <w:tcPr>
            <w:tcW w:w="8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7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580" w:type="dxa"/>
            <w:vAlign w:val="bottom"/>
            <w:tcBorders>
              <w:left w:val="single" w:sz="8" w:color="auto"/>
              <w:right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7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80" w:type="dxa"/>
            <w:vAlign w:val="bottom"/>
          </w:tcPr>
          <w:p>
            <w:pPr>
              <w:spacing w:after="0"/>
              <w:rPr>
                <w:sz w:val="13"/>
                <w:szCs w:val="13"/>
                <w:color w:val="auto"/>
              </w:rPr>
            </w:pPr>
          </w:p>
        </w:tc>
        <w:tc>
          <w:tcPr>
            <w:tcW w:w="460" w:type="dxa"/>
            <w:vAlign w:val="bottom"/>
            <w:tcBorders>
              <w:right w:val="single" w:sz="8" w:color="auto"/>
            </w:tcBorders>
            <w:vMerge w:val="continue"/>
          </w:tcPr>
          <w:p>
            <w:pPr>
              <w:spacing w:after="0"/>
              <w:rPr>
                <w:sz w:val="13"/>
                <w:szCs w:val="13"/>
                <w:color w:val="auto"/>
              </w:rPr>
            </w:pPr>
          </w:p>
        </w:tc>
        <w:tc>
          <w:tcPr>
            <w:tcW w:w="7180" w:type="dxa"/>
            <w:vAlign w:val="bottom"/>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80" w:type="dxa"/>
            <w:vAlign w:val="bottom"/>
            <w:tcBorders>
              <w:left w:val="single" w:sz="8" w:color="auto"/>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718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18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80" w:type="dxa"/>
            <w:vAlign w:val="bottom"/>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7180" w:type="dxa"/>
            <w:vAlign w:val="bottom"/>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tcBorders>
          </w:tcPr>
          <w:p>
            <w:pPr>
              <w:spacing w:after="0"/>
              <w:rPr>
                <w:sz w:val="15"/>
                <w:szCs w:val="15"/>
                <w:color w:val="auto"/>
              </w:rPr>
            </w:pPr>
          </w:p>
        </w:tc>
        <w:tc>
          <w:tcPr>
            <w:tcW w:w="1120" w:type="dxa"/>
            <w:vAlign w:val="bottom"/>
            <w:tcBorders>
              <w:right w:val="single" w:sz="8" w:color="auto"/>
            </w:tcBorders>
            <w:gridSpan w:val="2"/>
          </w:tcPr>
          <w:p>
            <w:pPr>
              <w:jc w:val="center"/>
              <w:ind w:right="3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80" w:type="dxa"/>
            <w:vAlign w:val="bottom"/>
          </w:tcPr>
          <w:p>
            <w:pPr>
              <w:spacing w:after="0"/>
              <w:rPr>
                <w:sz w:val="15"/>
                <w:szCs w:val="15"/>
                <w:color w:val="auto"/>
              </w:rPr>
            </w:pPr>
          </w:p>
        </w:tc>
        <w:tc>
          <w:tcPr>
            <w:tcW w:w="46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7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80" w:type="dxa"/>
            <w:vAlign w:val="bottom"/>
          </w:tcPr>
          <w:p>
            <w:pPr>
              <w:spacing w:after="0"/>
              <w:rPr>
                <w:sz w:val="10"/>
                <w:szCs w:val="10"/>
                <w:color w:val="auto"/>
              </w:rPr>
            </w:pPr>
          </w:p>
        </w:tc>
        <w:tc>
          <w:tcPr>
            <w:tcW w:w="460" w:type="dxa"/>
            <w:vAlign w:val="bottom"/>
            <w:tcBorders>
              <w:right w:val="single" w:sz="8" w:color="auto"/>
            </w:tcBorders>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80" w:type="dxa"/>
            <w:vAlign w:val="bottom"/>
            <w:tcBorders>
              <w:left w:val="single" w:sz="8" w:color="auto"/>
              <w:right w:val="single" w:sz="8" w:color="auto"/>
            </w:tcBorders>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Borders>
              <w:right w:val="single" w:sz="8" w:color="auto"/>
            </w:tcBorders>
          </w:tcPr>
          <w:p>
            <w:pPr>
              <w:spacing w:after="0"/>
              <w:rPr>
                <w:sz w:val="8"/>
                <w:szCs w:val="8"/>
                <w:color w:val="auto"/>
              </w:rPr>
            </w:pPr>
          </w:p>
        </w:tc>
        <w:tc>
          <w:tcPr>
            <w:tcW w:w="718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71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1120" w:type="dxa"/>
            <w:vAlign w:val="bottom"/>
            <w:tcBorders>
              <w:right w:val="single" w:sz="8" w:color="auto"/>
            </w:tcBorders>
            <w:gridSpan w:val="2"/>
            <w:vMerge w:val="restart"/>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WITH</w:t>
            </w:r>
          </w:p>
        </w:tc>
        <w:tc>
          <w:tcPr>
            <w:tcW w:w="80" w:type="dxa"/>
            <w:vAlign w:val="bottom"/>
          </w:tcPr>
          <w:p>
            <w:pPr>
              <w:spacing w:after="0"/>
              <w:rPr>
                <w:sz w:val="10"/>
                <w:szCs w:val="10"/>
                <w:color w:val="auto"/>
              </w:rPr>
            </w:pPr>
          </w:p>
        </w:tc>
        <w:tc>
          <w:tcPr>
            <w:tcW w:w="460" w:type="dxa"/>
            <w:vAlign w:val="bottom"/>
            <w:tcBorders>
              <w:right w:val="single" w:sz="8" w:color="auto"/>
            </w:tcBorders>
          </w:tcPr>
          <w:p>
            <w:pPr>
              <w:spacing w:after="0"/>
              <w:rPr>
                <w:sz w:val="10"/>
                <w:szCs w:val="10"/>
                <w:color w:val="auto"/>
              </w:rPr>
            </w:pPr>
          </w:p>
        </w:tc>
        <w:tc>
          <w:tcPr>
            <w:tcW w:w="7180" w:type="dxa"/>
            <w:vAlign w:val="bottom"/>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120" w:type="dxa"/>
            <w:vAlign w:val="bottom"/>
            <w:tcBorders>
              <w:right w:val="single" w:sz="8" w:color="auto"/>
            </w:tcBorders>
            <w:gridSpan w:val="2"/>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right w:val="single" w:sz="8" w:color="auto"/>
            </w:tcBorders>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gridSpan w:val="2"/>
          </w:tcPr>
          <w:p>
            <w:pPr>
              <w:spacing w:after="0"/>
              <w:rPr>
                <w:sz w:val="7"/>
                <w:szCs w:val="7"/>
                <w:color w:val="auto"/>
              </w:rPr>
            </w:pPr>
          </w:p>
        </w:tc>
        <w:tc>
          <w:tcPr>
            <w:tcW w:w="540" w:type="dxa"/>
            <w:vAlign w:val="bottom"/>
            <w:tcBorders>
              <w:bottom w:val="single" w:sz="8" w:color="auto"/>
              <w:right w:val="single" w:sz="8" w:color="auto"/>
            </w:tcBorders>
            <w:gridSpan w:val="2"/>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20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4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940" w:type="dxa"/>
            <w:vAlign w:val="bottom"/>
            <w:tcBorders>
              <w:right w:val="single" w:sz="8" w:color="auto"/>
            </w:tcBorders>
          </w:tcPr>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tcPr>
          <w:p>
            <w:pPr>
              <w:spacing w:after="0"/>
              <w:rPr>
                <w:sz w:val="20"/>
                <w:szCs w:val="20"/>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718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8.3% (1)</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HC, OO</w:t>
            </w:r>
          </w:p>
        </w:tc>
        <w:tc>
          <w:tcPr>
            <w:tcW w:w="46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hanging="332"/>
        <w:spacing w:after="0" w:line="282" w:lineRule="auto"/>
        <w:tabs>
          <w:tab w:leader="none" w:pos="9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38,054,583 shares of Common Stock outstanding as of November 6, 2023, as reported in the Issuer’s Form 10-Q filed with the SEC on November 9,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04746L104</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46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870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Felix J. Baker</w:t>
            </w:r>
          </w:p>
        </w:tc>
        <w:tc>
          <w:tcPr>
            <w:tcW w:w="4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0"/>
                <w:szCs w:val="20"/>
                <w:color w:val="auto"/>
              </w:rPr>
            </w:pPr>
          </w:p>
        </w:tc>
        <w:tc>
          <w:tcPr>
            <w:tcW w:w="8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194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4"/>
                <w:szCs w:val="24"/>
                <w:color w:val="auto"/>
              </w:rPr>
            </w:pPr>
          </w:p>
        </w:tc>
        <w:tc>
          <w:tcPr>
            <w:tcW w:w="8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580" w:type="dxa"/>
            <w:vAlign w:val="bottom"/>
            <w:tcBorders>
              <w:left w:val="single" w:sz="8" w:color="auto"/>
              <w:right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7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3"/>
                <w:szCs w:val="13"/>
                <w:color w:val="auto"/>
              </w:rPr>
            </w:pPr>
          </w:p>
        </w:tc>
        <w:tc>
          <w:tcPr>
            <w:tcW w:w="400" w:type="dxa"/>
            <w:vAlign w:val="bottom"/>
            <w:tcBorders>
              <w:right w:val="single" w:sz="8" w:color="auto"/>
            </w:tcBorders>
            <w:vMerge w:val="continue"/>
          </w:tcPr>
          <w:p>
            <w:pPr>
              <w:spacing w:after="0"/>
              <w:rPr>
                <w:sz w:val="13"/>
                <w:szCs w:val="13"/>
                <w:color w:val="auto"/>
              </w:rPr>
            </w:pPr>
          </w:p>
        </w:tc>
        <w:tc>
          <w:tcPr>
            <w:tcW w:w="7180" w:type="dxa"/>
            <w:vAlign w:val="bottom"/>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80" w:type="dxa"/>
            <w:vAlign w:val="bottom"/>
            <w:tcBorders>
              <w:left w:val="single" w:sz="8" w:color="auto"/>
              <w:right w:val="single" w:sz="8" w:color="auto"/>
            </w:tcBorders>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718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18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4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7180" w:type="dxa"/>
            <w:vAlign w:val="bottom"/>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gridSpan w:val="3"/>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tcBorders>
          </w:tcPr>
          <w:p>
            <w:pPr>
              <w:spacing w:after="0"/>
              <w:rPr>
                <w:sz w:val="15"/>
                <w:szCs w:val="15"/>
                <w:color w:val="auto"/>
              </w:rPr>
            </w:pPr>
          </w:p>
        </w:tc>
        <w:tc>
          <w:tcPr>
            <w:tcW w:w="1120" w:type="dxa"/>
            <w:vAlign w:val="bottom"/>
            <w:tcBorders>
              <w:right w:val="single" w:sz="8" w:color="auto"/>
            </w:tcBorders>
            <w:gridSpan w:val="2"/>
          </w:tcPr>
          <w:p>
            <w:pPr>
              <w:jc w:val="center"/>
              <w:ind w:right="3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140" w:type="dxa"/>
            <w:vAlign w:val="bottom"/>
          </w:tcPr>
          <w:p>
            <w:pPr>
              <w:spacing w:after="0"/>
              <w:rPr>
                <w:sz w:val="15"/>
                <w:szCs w:val="15"/>
                <w:color w:val="auto"/>
              </w:rPr>
            </w:pPr>
          </w:p>
        </w:tc>
        <w:tc>
          <w:tcPr>
            <w:tcW w:w="40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7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40" w:type="dxa"/>
            <w:vAlign w:val="bottom"/>
          </w:tcPr>
          <w:p>
            <w:pPr>
              <w:spacing w:after="0"/>
              <w:rPr>
                <w:sz w:val="10"/>
                <w:szCs w:val="10"/>
                <w:color w:val="auto"/>
              </w:rPr>
            </w:pPr>
          </w:p>
        </w:tc>
        <w:tc>
          <w:tcPr>
            <w:tcW w:w="400" w:type="dxa"/>
            <w:vAlign w:val="bottom"/>
            <w:tcBorders>
              <w:right w:val="single" w:sz="8" w:color="auto"/>
            </w:tcBorders>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80" w:type="dxa"/>
            <w:vAlign w:val="bottom"/>
            <w:tcBorders>
              <w:left w:val="single" w:sz="8" w:color="auto"/>
              <w:right w:val="single" w:sz="8" w:color="auto"/>
            </w:tcBorders>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718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40" w:type="dxa"/>
            <w:vAlign w:val="bottom"/>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71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1120" w:type="dxa"/>
            <w:vAlign w:val="bottom"/>
            <w:tcBorders>
              <w:right w:val="single" w:sz="8" w:color="auto"/>
            </w:tcBorders>
            <w:gridSpan w:val="2"/>
            <w:vMerge w:val="restart"/>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WITH</w:t>
            </w:r>
          </w:p>
        </w:tc>
        <w:tc>
          <w:tcPr>
            <w:tcW w:w="14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7180" w:type="dxa"/>
            <w:vAlign w:val="bottom"/>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120" w:type="dxa"/>
            <w:vAlign w:val="bottom"/>
            <w:tcBorders>
              <w:right w:val="single" w:sz="8" w:color="auto"/>
            </w:tcBorders>
            <w:gridSpan w:val="2"/>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gridSpan w:val="2"/>
          </w:tcPr>
          <w:p>
            <w:pPr>
              <w:spacing w:after="0"/>
              <w:rPr>
                <w:sz w:val="7"/>
                <w:szCs w:val="7"/>
                <w:color w:val="auto"/>
              </w:rPr>
            </w:pPr>
          </w:p>
        </w:tc>
        <w:tc>
          <w:tcPr>
            <w:tcW w:w="540" w:type="dxa"/>
            <w:vAlign w:val="bottom"/>
            <w:tcBorders>
              <w:bottom w:val="single" w:sz="8" w:color="auto"/>
              <w:right w:val="single" w:sz="8" w:color="auto"/>
            </w:tcBorders>
            <w:gridSpan w:val="2"/>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4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940" w:type="dxa"/>
            <w:vAlign w:val="bottom"/>
            <w:tcBorders>
              <w:right w:val="single" w:sz="8" w:color="auto"/>
            </w:tcBorders>
          </w:tcPr>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tcPr>
          <w:p>
            <w:pPr>
              <w:spacing w:after="0"/>
              <w:rPr>
                <w:sz w:val="20"/>
                <w:szCs w:val="20"/>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718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8.3% (1)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 HC</w:t>
            </w:r>
          </w:p>
        </w:tc>
        <w:tc>
          <w:tcPr>
            <w:tcW w:w="40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hanging="332"/>
        <w:spacing w:after="0" w:line="282" w:lineRule="auto"/>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38,054,583 shares of Common Stock outstanding as of November 6, 2023, as reported in the Issuer’s Form 10-Q filed with the SEC on November 9, 2023.</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b w:val="1"/>
          <w:bCs w:val="1"/>
          <w:u w:val="single" w:color="auto"/>
          <w:color w:val="auto"/>
        </w:rPr>
        <w:t>04746L104</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460" w:type="dxa"/>
            <w:vAlign w:val="bottom"/>
            <w:tcBorders>
              <w:top w:val="single" w:sz="8" w:color="auto"/>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1</w:t>
            </w:r>
          </w:p>
        </w:tc>
        <w:tc>
          <w:tcPr>
            <w:tcW w:w="140" w:type="dxa"/>
            <w:vAlign w:val="bottom"/>
            <w:tcBorders>
              <w:top w:val="single" w:sz="8" w:color="auto"/>
              <w:right w:val="single" w:sz="8" w:color="auto"/>
            </w:tcBorders>
          </w:tcPr>
          <w:p>
            <w:pPr>
              <w:spacing w:after="0"/>
              <w:rPr>
                <w:sz w:val="24"/>
                <w:szCs w:val="24"/>
                <w:color w:val="auto"/>
              </w:rPr>
            </w:pPr>
          </w:p>
        </w:tc>
        <w:tc>
          <w:tcPr>
            <w:tcW w:w="8700" w:type="dxa"/>
            <w:vAlign w:val="bottom"/>
            <w:tcBorders>
              <w:top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4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Julian C. Baker</w:t>
            </w: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gridSpan w:val="2"/>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w:t>
            </w:r>
          </w:p>
        </w:tc>
        <w:tc>
          <w:tcPr>
            <w:tcW w:w="140" w:type="dxa"/>
            <w:vAlign w:val="bottom"/>
            <w:tcBorders>
              <w:right w:val="single" w:sz="8" w:color="auto"/>
            </w:tcBorders>
          </w:tcPr>
          <w:p>
            <w:pPr>
              <w:spacing w:after="0"/>
              <w:rPr>
                <w:sz w:val="20"/>
                <w:szCs w:val="20"/>
                <w:color w:val="auto"/>
              </w:rPr>
            </w:pPr>
          </w:p>
        </w:tc>
        <w:tc>
          <w:tcPr>
            <w:tcW w:w="8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 (See Instructions)</w:t>
            </w:r>
          </w:p>
        </w:tc>
        <w:tc>
          <w:tcPr>
            <w:tcW w:w="194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303"/>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jc w:val="right"/>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140" w:type="dxa"/>
            <w:vAlign w:val="bottom"/>
            <w:tcBorders>
              <w:bottom w:val="single" w:sz="8" w:color="auto"/>
              <w:right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gridSpan w:val="2"/>
          </w:tcPr>
          <w:p>
            <w:pPr>
              <w:spacing w:after="0"/>
              <w:rPr>
                <w:sz w:val="4"/>
                <w:szCs w:val="4"/>
                <w:color w:val="auto"/>
              </w:rPr>
            </w:pPr>
          </w:p>
        </w:tc>
        <w:tc>
          <w:tcPr>
            <w:tcW w:w="7180" w:type="dxa"/>
            <w:vAlign w:val="bottom"/>
            <w:tcBorders>
              <w:bottom w:val="single" w:sz="8" w:color="auto"/>
            </w:tcBorders>
          </w:tcPr>
          <w:p>
            <w:pPr>
              <w:spacing w:after="0"/>
              <w:rPr>
                <w:sz w:val="4"/>
                <w:szCs w:val="4"/>
                <w:color w:val="auto"/>
              </w:rPr>
            </w:pPr>
          </w:p>
        </w:tc>
        <w:tc>
          <w:tcPr>
            <w:tcW w:w="19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right w:val="single" w:sz="8" w:color="auto"/>
            </w:tcBorders>
          </w:tcPr>
          <w:p>
            <w:pPr>
              <w:spacing w:after="0"/>
              <w:rPr>
                <w:sz w:val="24"/>
                <w:szCs w:val="24"/>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7180" w:type="dxa"/>
            <w:vAlign w:val="bottom"/>
            <w:tcBorders>
              <w:bottom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4</w:t>
            </w:r>
          </w:p>
        </w:tc>
        <w:tc>
          <w:tcPr>
            <w:tcW w:w="140" w:type="dxa"/>
            <w:vAlign w:val="bottom"/>
            <w:tcBorders>
              <w:right w:val="single" w:sz="8" w:color="auto"/>
            </w:tcBorders>
          </w:tcPr>
          <w:p>
            <w:pPr>
              <w:spacing w:after="0"/>
              <w:rPr>
                <w:sz w:val="24"/>
                <w:szCs w:val="24"/>
                <w:color w:val="auto"/>
              </w:rPr>
            </w:pPr>
          </w:p>
        </w:tc>
        <w:tc>
          <w:tcPr>
            <w:tcW w:w="87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1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580" w:type="dxa"/>
            <w:vAlign w:val="bottom"/>
            <w:tcBorders>
              <w:left w:val="single" w:sz="8" w:color="auto"/>
              <w:right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w:t>
            </w:r>
          </w:p>
        </w:tc>
        <w:tc>
          <w:tcPr>
            <w:tcW w:w="7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0" w:type="dxa"/>
            <w:vAlign w:val="bottom"/>
          </w:tcPr>
          <w:p>
            <w:pPr>
              <w:spacing w:after="0"/>
              <w:rPr>
                <w:sz w:val="13"/>
                <w:szCs w:val="13"/>
                <w:color w:val="auto"/>
              </w:rPr>
            </w:pPr>
          </w:p>
        </w:tc>
        <w:tc>
          <w:tcPr>
            <w:tcW w:w="420" w:type="dxa"/>
            <w:vAlign w:val="bottom"/>
            <w:tcBorders>
              <w:right w:val="single" w:sz="8" w:color="auto"/>
            </w:tcBorders>
            <w:vMerge w:val="continue"/>
          </w:tcPr>
          <w:p>
            <w:pPr>
              <w:spacing w:after="0"/>
              <w:rPr>
                <w:sz w:val="13"/>
                <w:szCs w:val="13"/>
                <w:color w:val="auto"/>
              </w:rPr>
            </w:pPr>
          </w:p>
        </w:tc>
        <w:tc>
          <w:tcPr>
            <w:tcW w:w="7180" w:type="dxa"/>
            <w:vAlign w:val="bottom"/>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1580" w:type="dxa"/>
            <w:vAlign w:val="bottom"/>
            <w:tcBorders>
              <w:left w:val="single" w:sz="8" w:color="auto"/>
              <w:right w:val="single" w:sz="8" w:color="auto"/>
            </w:tcBorders>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right w:val="single" w:sz="8" w:color="auto"/>
            </w:tcBorders>
          </w:tcPr>
          <w:p>
            <w:pPr>
              <w:spacing w:after="0"/>
              <w:rPr>
                <w:sz w:val="5"/>
                <w:szCs w:val="5"/>
                <w:color w:val="auto"/>
              </w:rPr>
            </w:pPr>
          </w:p>
        </w:tc>
        <w:tc>
          <w:tcPr>
            <w:tcW w:w="7180" w:type="dxa"/>
            <w:vAlign w:val="bottom"/>
          </w:tcPr>
          <w:p>
            <w:pPr>
              <w:spacing w:after="0"/>
              <w:rPr>
                <w:sz w:val="5"/>
                <w:szCs w:val="5"/>
                <w:color w:val="auto"/>
              </w:rPr>
            </w:pPr>
          </w:p>
        </w:tc>
        <w:tc>
          <w:tcPr>
            <w:tcW w:w="19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180" w:type="dxa"/>
            <w:vAlign w:val="bottom"/>
            <w:vMerge w:val="restart"/>
          </w:tcPr>
          <w:p>
            <w:pPr>
              <w:ind w:left="60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OWNED BY</w:t>
            </w:r>
          </w:p>
        </w:tc>
        <w:tc>
          <w:tcPr>
            <w:tcW w:w="120" w:type="dxa"/>
            <w:vAlign w:val="bottom"/>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7180" w:type="dxa"/>
            <w:vAlign w:val="bottom"/>
            <w:vMerge w:val="continue"/>
          </w:tcPr>
          <w:p>
            <w:pPr>
              <w:spacing w:after="0"/>
              <w:rPr>
                <w:sz w:val="13"/>
                <w:szCs w:val="13"/>
                <w:color w:val="auto"/>
              </w:rPr>
            </w:pPr>
          </w:p>
        </w:tc>
        <w:tc>
          <w:tcPr>
            <w:tcW w:w="19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580" w:type="dxa"/>
            <w:vAlign w:val="bottom"/>
            <w:tcBorders>
              <w:left w:val="single" w:sz="8" w:color="auto"/>
              <w:right w:val="single" w:sz="8" w:color="auto"/>
            </w:tcBorders>
            <w:gridSpan w:val="3"/>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60" w:type="dxa"/>
            <w:vAlign w:val="bottom"/>
            <w:tcBorders>
              <w:left w:val="single" w:sz="8" w:color="auto"/>
            </w:tcBorders>
          </w:tcPr>
          <w:p>
            <w:pPr>
              <w:spacing w:after="0"/>
              <w:rPr>
                <w:sz w:val="15"/>
                <w:szCs w:val="15"/>
                <w:color w:val="auto"/>
              </w:rPr>
            </w:pPr>
          </w:p>
        </w:tc>
        <w:tc>
          <w:tcPr>
            <w:tcW w:w="1120" w:type="dxa"/>
            <w:vAlign w:val="bottom"/>
            <w:tcBorders>
              <w:right w:val="single" w:sz="8" w:color="auto"/>
            </w:tcBorders>
            <w:gridSpan w:val="2"/>
          </w:tcPr>
          <w:p>
            <w:pPr>
              <w:jc w:val="center"/>
              <w:ind w:right="3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EACH</w:t>
            </w:r>
          </w:p>
        </w:tc>
        <w:tc>
          <w:tcPr>
            <w:tcW w:w="120" w:type="dxa"/>
            <w:vAlign w:val="bottom"/>
          </w:tcPr>
          <w:p>
            <w:pPr>
              <w:spacing w:after="0"/>
              <w:rPr>
                <w:sz w:val="15"/>
                <w:szCs w:val="15"/>
                <w:color w:val="auto"/>
              </w:rPr>
            </w:pPr>
          </w:p>
        </w:tc>
        <w:tc>
          <w:tcPr>
            <w:tcW w:w="42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w:t>
            </w:r>
          </w:p>
        </w:tc>
        <w:tc>
          <w:tcPr>
            <w:tcW w:w="718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58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20" w:type="dxa"/>
            <w:vAlign w:val="bottom"/>
          </w:tcPr>
          <w:p>
            <w:pPr>
              <w:spacing w:after="0"/>
              <w:rPr>
                <w:sz w:val="10"/>
                <w:szCs w:val="10"/>
                <w:color w:val="auto"/>
              </w:rPr>
            </w:pPr>
          </w:p>
        </w:tc>
        <w:tc>
          <w:tcPr>
            <w:tcW w:w="420" w:type="dxa"/>
            <w:vAlign w:val="bottom"/>
            <w:tcBorders>
              <w:right w:val="single" w:sz="8" w:color="auto"/>
            </w:tcBorders>
            <w:vMerge w:val="continue"/>
          </w:tcPr>
          <w:p>
            <w:pPr>
              <w:spacing w:after="0"/>
              <w:rPr>
                <w:sz w:val="10"/>
                <w:szCs w:val="10"/>
                <w:color w:val="auto"/>
              </w:rPr>
            </w:pPr>
          </w:p>
        </w:tc>
        <w:tc>
          <w:tcPr>
            <w:tcW w:w="7180" w:type="dxa"/>
            <w:vAlign w:val="bottom"/>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580" w:type="dxa"/>
            <w:vAlign w:val="bottom"/>
            <w:tcBorders>
              <w:left w:val="single" w:sz="8" w:color="auto"/>
              <w:right w:val="single" w:sz="8" w:color="auto"/>
            </w:tcBorders>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7180" w:type="dxa"/>
            <w:vAlign w:val="bottom"/>
          </w:tcPr>
          <w:p>
            <w:pPr>
              <w:spacing w:after="0"/>
              <w:rPr>
                <w:sz w:val="8"/>
                <w:szCs w:val="8"/>
                <w:color w:val="auto"/>
              </w:rPr>
            </w:pPr>
          </w:p>
        </w:tc>
        <w:tc>
          <w:tcPr>
            <w:tcW w:w="19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8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12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718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1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460" w:type="dxa"/>
            <w:vAlign w:val="bottom"/>
            <w:tcBorders>
              <w:left w:val="single" w:sz="8" w:color="auto"/>
            </w:tcBorders>
          </w:tcPr>
          <w:p>
            <w:pPr>
              <w:spacing w:after="0"/>
              <w:rPr>
                <w:sz w:val="10"/>
                <w:szCs w:val="10"/>
                <w:color w:val="auto"/>
              </w:rPr>
            </w:pPr>
          </w:p>
        </w:tc>
        <w:tc>
          <w:tcPr>
            <w:tcW w:w="1120" w:type="dxa"/>
            <w:vAlign w:val="bottom"/>
            <w:tcBorders>
              <w:right w:val="single" w:sz="8" w:color="auto"/>
            </w:tcBorders>
            <w:gridSpan w:val="2"/>
            <w:vMerge w:val="restart"/>
          </w:tcPr>
          <w:p>
            <w:pPr>
              <w:ind w:left="40"/>
              <w:spacing w:after="0" w:line="198" w:lineRule="exact"/>
              <w:rPr>
                <w:sz w:val="20"/>
                <w:szCs w:val="20"/>
                <w:color w:val="auto"/>
              </w:rPr>
            </w:pPr>
            <w:r>
              <w:rPr>
                <w:rFonts w:ascii="Times New Roman" w:cs="Times New Roman" w:eastAsia="Times New Roman" w:hAnsi="Times New Roman"/>
                <w:sz w:val="18"/>
                <w:szCs w:val="18"/>
                <w:b w:val="1"/>
                <w:bCs w:val="1"/>
                <w:color w:val="auto"/>
              </w:rPr>
              <w:t>WITH</w:t>
            </w:r>
          </w:p>
        </w:tc>
        <w:tc>
          <w:tcPr>
            <w:tcW w:w="120" w:type="dxa"/>
            <w:vAlign w:val="bottom"/>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7180" w:type="dxa"/>
            <w:vAlign w:val="bottom"/>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tcPr>
          <w:p>
            <w:pPr>
              <w:spacing w:after="0"/>
              <w:rPr>
                <w:sz w:val="7"/>
                <w:szCs w:val="7"/>
                <w:color w:val="auto"/>
              </w:rPr>
            </w:pPr>
          </w:p>
        </w:tc>
        <w:tc>
          <w:tcPr>
            <w:tcW w:w="1120" w:type="dxa"/>
            <w:vAlign w:val="bottom"/>
            <w:tcBorders>
              <w:right w:val="single" w:sz="8" w:color="auto"/>
            </w:tcBorders>
            <w:gridSpan w:val="2"/>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w:t>
            </w:r>
          </w:p>
        </w:tc>
        <w:tc>
          <w:tcPr>
            <w:tcW w:w="71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7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-0-</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tcBorders>
          </w:tcPr>
          <w:p>
            <w:pPr>
              <w:spacing w:after="0"/>
              <w:rPr>
                <w:sz w:val="7"/>
                <w:szCs w:val="7"/>
                <w:color w:val="auto"/>
              </w:rPr>
            </w:pPr>
          </w:p>
        </w:tc>
        <w:tc>
          <w:tcPr>
            <w:tcW w:w="1120" w:type="dxa"/>
            <w:vAlign w:val="bottom"/>
            <w:tcBorders>
              <w:bottom w:val="single" w:sz="8" w:color="auto"/>
              <w:right w:val="single" w:sz="8" w:color="auto"/>
            </w:tcBorders>
            <w:gridSpan w:val="2"/>
          </w:tcPr>
          <w:p>
            <w:pPr>
              <w:spacing w:after="0"/>
              <w:rPr>
                <w:sz w:val="7"/>
                <w:szCs w:val="7"/>
                <w:color w:val="auto"/>
              </w:rPr>
            </w:pPr>
          </w:p>
        </w:tc>
        <w:tc>
          <w:tcPr>
            <w:tcW w:w="540" w:type="dxa"/>
            <w:vAlign w:val="bottom"/>
            <w:tcBorders>
              <w:bottom w:val="single" w:sz="8" w:color="auto"/>
              <w:right w:val="single" w:sz="8" w:color="auto"/>
            </w:tcBorders>
            <w:gridSpan w:val="2"/>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9</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2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3,153,807</w:t>
            </w:r>
          </w:p>
        </w:tc>
        <w:tc>
          <w:tcPr>
            <w:tcW w:w="4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10</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(9) EXCLUDES CERTAIN SHARES</w:t>
            </w:r>
          </w:p>
        </w:tc>
        <w:tc>
          <w:tcPr>
            <w:tcW w:w="1940" w:type="dxa"/>
            <w:vAlign w:val="bottom"/>
            <w:tcBorders>
              <w:right w:val="single" w:sz="8" w:color="auto"/>
            </w:tcBorders>
          </w:tcPr>
          <w:p>
            <w:pPr>
              <w:jc w:val="right"/>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8"/>
        </w:trPr>
        <w:tc>
          <w:tcPr>
            <w:tcW w:w="460" w:type="dxa"/>
            <w:vAlign w:val="bottom"/>
            <w:tcBorders>
              <w:left w:val="single" w:sz="8" w:color="auto"/>
              <w:right w:val="single" w:sz="8" w:color="auto"/>
            </w:tcBorders>
          </w:tcPr>
          <w:p>
            <w:pPr>
              <w:spacing w:after="0"/>
              <w:rPr>
                <w:sz w:val="20"/>
                <w:szCs w:val="20"/>
                <w:color w:val="auto"/>
              </w:rPr>
            </w:pPr>
          </w:p>
        </w:tc>
        <w:tc>
          <w:tcPr>
            <w:tcW w:w="16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7180" w:type="dxa"/>
            <w:vAlign w:val="bottom"/>
          </w:tcPr>
          <w:p>
            <w:pPr>
              <w:spacing w:after="0"/>
              <w:rPr>
                <w:sz w:val="20"/>
                <w:szCs w:val="20"/>
                <w:color w:val="auto"/>
              </w:rPr>
            </w:pPr>
          </w:p>
        </w:tc>
        <w:tc>
          <w:tcPr>
            <w:tcW w:w="19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8.3% (1)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8840" w:type="dxa"/>
            <w:vAlign w:val="bottom"/>
            <w:tcBorders>
              <w:bottom w:val="single" w:sz="8" w:color="auto"/>
            </w:tcBorders>
            <w:gridSpan w:val="5"/>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12</w:t>
            </w:r>
          </w:p>
        </w:tc>
        <w:tc>
          <w:tcPr>
            <w:tcW w:w="884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Borders>
              <w:left w:val="single" w:sz="8" w:color="auto"/>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 HC</w:t>
            </w:r>
          </w:p>
        </w:tc>
        <w:tc>
          <w:tcPr>
            <w:tcW w:w="4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7180" w:type="dxa"/>
            <w:vAlign w:val="bottom"/>
            <w:tcBorders>
              <w:bottom w:val="single" w:sz="8" w:color="auto"/>
            </w:tcBorders>
          </w:tcPr>
          <w:p>
            <w:pPr>
              <w:spacing w:after="0"/>
              <w:rPr>
                <w:sz w:val="7"/>
                <w:szCs w:val="7"/>
                <w:color w:val="auto"/>
              </w:rPr>
            </w:pPr>
          </w:p>
        </w:tc>
        <w:tc>
          <w:tcPr>
            <w:tcW w:w="1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hanging="332"/>
        <w:spacing w:after="0" w:line="282" w:lineRule="auto"/>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38,054,583 shares of Common Stock outstanding as of November 6, 2023, as reported in the Issuer’s Form 10-Q filed with the SEC on November 9,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0220" w:type="dxa"/>
            <w:vAlign w:val="bottom"/>
          </w:tcPr>
          <w:p>
            <w:pPr>
              <w:ind w:left="4080"/>
              <w:spacing w:after="0"/>
              <w:rPr>
                <w:sz w:val="20"/>
                <w:szCs w:val="20"/>
                <w:color w:val="auto"/>
              </w:rPr>
            </w:pPr>
            <w:r>
              <w:rPr>
                <w:rFonts w:ascii="Times New Roman" w:cs="Times New Roman" w:eastAsia="Times New Roman" w:hAnsi="Times New Roman"/>
                <w:sz w:val="18"/>
                <w:szCs w:val="18"/>
                <w:b w:val="1"/>
                <w:bCs w:val="1"/>
                <w:color w:val="auto"/>
              </w:rPr>
              <w:t>Schedule 13G</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Name of Issuer: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Athira Pharma, Inc. (the “Issuer”)</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Address of Issuer’s Principal Executive Offices: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18706 North Creek Parkway, Suite 104</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Bothell, WA 98011</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2(a)</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Name of Person Filing:</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This Schedule 13G is being filed jointly by the Baker Bros. Advisors LP (the “Adviser”), Baker Bros. Advisors (GP) LLC (the “Adviser</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GP”), Felix J. Baker and Julian C. Baker (collectively, the “Reporting Persons”).</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2(b)</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Address of Principal Business Office or, if None, Residence:</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business address of each of the Reporting Persons is: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 Baker Bros. Advisors LP</w:t>
            </w:r>
          </w:p>
        </w:tc>
      </w:tr>
      <w:tr>
        <w:trPr>
          <w:trHeight w:val="595"/>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860 Washington Street,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Floor</w:t>
            </w:r>
          </w:p>
        </w:tc>
      </w:tr>
      <w:tr>
        <w:trPr>
          <w:trHeight w:val="309"/>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New York, NY 10014</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(212) 339-5690</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2(c)</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414"/>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 Adviser is a limited partnership organized under the laws of the State of Delaware. The Adviser GP is a limited liability company</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organized under the laws of the State of Delaware. The citizenship of each of Julian C. Baker and Felix J. Baker is the United States of</w:t>
            </w:r>
          </w:p>
        </w:tc>
      </w:tr>
      <w:tr>
        <w:trPr>
          <w:trHeight w:val="234"/>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America.</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2(d)</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Common Stock, $0.0001 par value per share (“Common Stock”)</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2(e)</w:t>
            </w: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CUSIP Number:</w:t>
            </w:r>
          </w:p>
        </w:tc>
      </w:tr>
      <w:tr>
        <w:trPr>
          <w:trHeight w:val="432"/>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04746L104</w:t>
            </w:r>
          </w:p>
        </w:tc>
      </w:tr>
      <w:tr>
        <w:trPr>
          <w:trHeight w:val="648"/>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color w:val="auto"/>
              </w:rPr>
              <w:t>Page 5 of 11 Pages</w:t>
            </w: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(c), check whether the person filing is a:</w:t>
      </w:r>
    </w:p>
    <w:p>
      <w:pPr>
        <w:spacing w:after="0" w:line="188" w:lineRule="exact"/>
        <w:rPr>
          <w:sz w:val="20"/>
          <w:szCs w:val="20"/>
          <w:color w:val="auto"/>
        </w:rPr>
      </w:pPr>
    </w:p>
    <w:p>
      <w:pPr>
        <w:ind w:left="920" w:hanging="332"/>
        <w:spacing w:after="0" w:line="207" w:lineRule="exact"/>
        <w:tabs>
          <w:tab w:leader="none" w:pos="9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920" w:hanging="332"/>
        <w:spacing w:after="0" w:line="207" w:lineRule="exact"/>
        <w:tabs>
          <w:tab w:leader="none" w:pos="9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920" w:hanging="332"/>
        <w:spacing w:after="0" w:line="207" w:lineRule="exact"/>
        <w:tabs>
          <w:tab w:leader="none" w:pos="9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920" w:hanging="332"/>
        <w:spacing w:after="0" w:line="207" w:lineRule="exact"/>
        <w:tabs>
          <w:tab w:leader="none" w:pos="9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Investment company registered under section 8 of the Investment Company Act of 1940.</w:t>
      </w:r>
    </w:p>
    <w:p>
      <w:pPr>
        <w:spacing w:after="0" w:line="225" w:lineRule="exact"/>
        <w:rPr>
          <w:rFonts w:ascii="Times New Roman" w:cs="Times New Roman" w:eastAsia="Times New Roman" w:hAnsi="Times New Roman"/>
          <w:sz w:val="18"/>
          <w:szCs w:val="18"/>
          <w:color w:val="auto"/>
        </w:rPr>
      </w:pPr>
    </w:p>
    <w:p>
      <w:pPr>
        <w:ind w:left="920" w:hanging="332"/>
        <w:spacing w:after="0" w:line="207" w:lineRule="exact"/>
        <w:tabs>
          <w:tab w:leader="none" w:pos="9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920" w:hanging="332"/>
        <w:spacing w:after="0" w:line="207" w:lineRule="exact"/>
        <w:tabs>
          <w:tab w:leader="none" w:pos="9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920" w:hanging="332"/>
        <w:spacing w:after="0" w:line="207" w:lineRule="exact"/>
        <w:tabs>
          <w:tab w:leader="none" w:pos="9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parent holding company or control person in accordance with Rule 13d-1(b)(1)(ii)(G).</w:t>
      </w:r>
    </w:p>
    <w:p>
      <w:pPr>
        <w:spacing w:after="0" w:line="225" w:lineRule="exact"/>
        <w:rPr>
          <w:rFonts w:ascii="Times New Roman" w:cs="Times New Roman" w:eastAsia="Times New Roman" w:hAnsi="Times New Roman"/>
          <w:sz w:val="18"/>
          <w:szCs w:val="18"/>
          <w:color w:val="auto"/>
        </w:rPr>
      </w:pPr>
    </w:p>
    <w:p>
      <w:pPr>
        <w:ind w:left="920" w:hanging="332"/>
        <w:spacing w:after="0" w:line="207" w:lineRule="exact"/>
        <w:tabs>
          <w:tab w:leader="none" w:pos="9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260" w:hanging="672"/>
        <w:spacing w:after="0" w:line="245" w:lineRule="exact"/>
        <w:tabs>
          <w:tab w:leader="none" w:pos="909"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spacing w:after="0" w:line="158" w:lineRule="exact"/>
        <w:rPr>
          <w:rFonts w:ascii="Times New Roman" w:cs="Times New Roman" w:eastAsia="Times New Roman" w:hAnsi="Times New Roman"/>
          <w:sz w:val="18"/>
          <w:szCs w:val="18"/>
          <w:color w:val="auto"/>
        </w:rPr>
      </w:pPr>
    </w:p>
    <w:p>
      <w:pPr>
        <w:ind w:left="920" w:hanging="332"/>
        <w:spacing w:after="0" w:line="207" w:lineRule="exact"/>
        <w:tabs>
          <w:tab w:leader="none" w:pos="92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13d-1(b)(1)(ii)(J).</w:t>
      </w:r>
    </w:p>
    <w:p>
      <w:pPr>
        <w:spacing w:after="0" w:line="56"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Items 5 through 9 and 11 of each of the cover pages to this Schedule 13G are incorporated herein by reference. Set forth below is the aggregate number of shares of Common Stock directly held by each of Baker Brothers Life Sciences, L.P. (“Life Sciences”) and 667, L.P. (“667”, and together with Life Sciences, the “Funds”). The information set forth below is based on 38,054,583 shares of Common Stock outstanding as of November 6, 2023 as reported in the Issuer’s Form 10-Q filed with the Securities and Exchange Commission (the “SEC”) on November 9, 2023. Such percentage figures are calculated in accordance with Rule 13d-3 under the Securities Exchange Act of 1934, as amended.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6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Number of shares of</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Common</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Stock we own or have the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Percent of</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right to acquire within 60</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Class</w:t>
            </w:r>
          </w:p>
        </w:tc>
        <w:tc>
          <w:tcPr>
            <w:tcW w:w="0" w:type="dxa"/>
            <w:vAlign w:val="bottom"/>
          </w:tcPr>
          <w:p>
            <w:pPr>
              <w:spacing w:after="0"/>
              <w:rPr>
                <w:sz w:val="1"/>
                <w:szCs w:val="1"/>
                <w:color w:val="auto"/>
              </w:rPr>
            </w:pPr>
          </w:p>
        </w:tc>
      </w:tr>
      <w:tr>
        <w:trPr>
          <w:trHeight w:val="234"/>
        </w:trPr>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80" w:type="dxa"/>
            <w:vAlign w:val="bottom"/>
            <w:tcBorders>
              <w:bottom w:val="single" w:sz="8" w:color="CCEEFF"/>
            </w:tcBorders>
          </w:tcPr>
          <w:p>
            <w:pPr>
              <w:spacing w:after="0"/>
              <w:rPr>
                <w:sz w:val="20"/>
                <w:szCs w:val="20"/>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days</w:t>
            </w:r>
          </w:p>
        </w:tc>
        <w:tc>
          <w:tcPr>
            <w:tcW w:w="1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Outstanding</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667, L.P.</w:t>
            </w:r>
          </w:p>
        </w:tc>
        <w:tc>
          <w:tcPr>
            <w:tcW w:w="8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273,483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Baker Brothers Life Sciences, L.P.</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2,880,324</w:t>
            </w:r>
          </w:p>
        </w:tc>
        <w:tc>
          <w:tcPr>
            <w:tcW w:w="1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50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gridSpan w:val="2"/>
            <w:vMerge w:val="continue"/>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3,153,807</w:t>
            </w:r>
          </w:p>
        </w:tc>
        <w:tc>
          <w:tcPr>
            <w:tcW w:w="160" w:type="dxa"/>
            <w:vAlign w:val="bottom"/>
            <w:vMerge w:val="continue"/>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agreements, as amended, among the Adviser, the Funds and their respective general partners, the Funds’ respective general partners relinquished to the Adviser all discretion and authority with respect to the investment and voting power of the securities held by the Funds, and thus the Adviser has complete and unlimited discretion and authority with respect to the Funds’ investments and voting power over investments.</w:t>
      </w:r>
    </w:p>
    <w:p>
      <w:pPr>
        <w:spacing w:after="0" w:line="176"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The Adviser GP is the sole general partner of the Adviser. The Adviser GP, Felix J. Baker and Julian C. Baker as managing members of the Adviser GP, and the Adviser may be deemed to be beneficial owners of securities of the Issuer directly held by the Funds.</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 N/A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32"/>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N/A</w:t>
            </w:r>
          </w:p>
        </w:tc>
      </w:tr>
      <w:tr>
        <w:trPr>
          <w:trHeight w:val="410"/>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900" w:type="dxa"/>
            <w:vAlign w:val="bottom"/>
          </w:tcPr>
          <w:p>
            <w:pPr>
              <w:spacing w:after="0"/>
              <w:rPr>
                <w:sz w:val="20"/>
                <w:szCs w:val="20"/>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432"/>
        </w:trPr>
        <w:tc>
          <w:tcPr>
            <w:tcW w:w="900" w:type="dxa"/>
            <w:vAlign w:val="bottom"/>
          </w:tcPr>
          <w:p>
            <w:pPr>
              <w:spacing w:after="0"/>
              <w:rPr>
                <w:sz w:val="24"/>
                <w:szCs w:val="24"/>
                <w:color w:val="auto"/>
              </w:rPr>
            </w:pPr>
          </w:p>
        </w:tc>
        <w:tc>
          <w:tcPr>
            <w:tcW w:w="10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information in Item 4 is incorporated herein by reference.</w:t>
            </w:r>
          </w:p>
        </w:tc>
      </w:tr>
      <w:tr>
        <w:trPr>
          <w:trHeight w:val="648"/>
        </w:trPr>
        <w:tc>
          <w:tcPr>
            <w:tcW w:w="90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ind w:left="4040"/>
              <w:spacing w:after="0"/>
              <w:rPr>
                <w:sz w:val="20"/>
                <w:szCs w:val="20"/>
                <w:color w:val="auto"/>
              </w:rPr>
            </w:pPr>
            <w:r>
              <w:rPr>
                <w:rFonts w:ascii="Times New Roman" w:cs="Times New Roman" w:eastAsia="Times New Roman" w:hAnsi="Times New Roman"/>
                <w:sz w:val="18"/>
                <w:szCs w:val="18"/>
                <w:color w:val="auto"/>
              </w:rPr>
              <w:t>Page 7 of 11 Pages</w:t>
            </w:r>
          </w:p>
        </w:tc>
      </w:tr>
    </w:tbl>
    <w:p>
      <w:pPr>
        <w:sectPr>
          <w:pgSz w:w="11900" w:h="16838" w:orient="portrait"/>
          <w:cols w:equalWidth="0" w:num="1">
            <w:col w:w="11240"/>
          </w:cols>
          <w:pgMar w:left="320" w:top="90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w:t>
            </w:r>
          </w:p>
        </w:tc>
      </w:tr>
      <w:tr>
        <w:trPr>
          <w:trHeight w:val="432"/>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10</w:t>
            </w: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Certification:</w:t>
            </w:r>
          </w:p>
        </w:tc>
      </w:tr>
      <w:tr>
        <w:trPr>
          <w:trHeight w:val="414"/>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ordinary course of business and were not acquired and are not held for the purpose of or with the effect of changing or influencing the</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control of the issuer of the securities and were not acquired and are not held in connection with or as a participant in any transaction</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having that purpose or effect.</w:t>
            </w:r>
          </w:p>
        </w:tc>
      </w:tr>
      <w:tr>
        <w:trPr>
          <w:trHeight w:val="648"/>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ind w:left="4000"/>
              <w:spacing w:after="0"/>
              <w:rPr>
                <w:sz w:val="20"/>
                <w:szCs w:val="20"/>
                <w:color w:val="auto"/>
              </w:rPr>
            </w:pPr>
            <w:r>
              <w:rPr>
                <w:rFonts w:ascii="Times New Roman" w:cs="Times New Roman" w:eastAsia="Times New Roman" w:hAnsi="Times New Roman"/>
                <w:sz w:val="18"/>
                <w:szCs w:val="18"/>
                <w:color w:val="auto"/>
              </w:rPr>
              <w:t>Page 8 of 11 Pages</w:t>
            </w:r>
          </w:p>
        </w:tc>
      </w:tr>
    </w:tbl>
    <w:p>
      <w:pPr>
        <w:sectPr>
          <w:pgSz w:w="11900" w:h="16838" w:orient="portrait"/>
          <w:cols w:equalWidth="0" w:num="1">
            <w:col w:w="11240"/>
          </w:cols>
          <w:pgMar w:left="320" w:top="900" w:right="339" w:bottom="1440" w:gutter="0" w:footer="0" w:header="0"/>
        </w:sectPr>
      </w:pPr>
    </w:p>
    <w:bookmarkStart w:id="9" w:name="page10"/>
    <w:bookmarkEnd w:id="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BAKER BROS. ADVISORS LP</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Baker Bros. Advisors (GP) LLC, its general partner</w:t>
      </w:r>
    </w:p>
    <w:p>
      <w:pPr>
        <w:spacing w:after="0" w:line="2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Scott L. Lessing</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BAKER BROS. ADVISORS (GP) LLC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Scott L. Lessing</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Julian C. Baker</w:t>
      </w:r>
    </w:p>
    <w:p>
      <w:pPr>
        <w:spacing w:after="0" w:line="22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Felix J. Baker</w:t>
      </w: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Page 9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900" w:right="5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undersigned hereby agree that this Statement on Schedule 13G relating to the Common Stock of Athira Pharma, Inc. is being filed with the Securities and Exchange Commission on behalf of each of them.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BAKER BROS. ADVISORS LP</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Baker Bros. Advisors (GP) LLC,</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Scott L. Lessing</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BAKER BROS. ADVISORS (GP) LLC</w:t>
      </w:r>
    </w:p>
    <w:p>
      <w:pPr>
        <w:spacing w:after="0" w:line="22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By:/s/ Scott L. Lessing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17145</wp:posOffset>
            </wp:positionV>
            <wp:extent cx="34118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Scott L. Lessing</w:t>
      </w:r>
    </w:p>
    <w:p>
      <w:pPr>
        <w:spacing w:after="0" w:line="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Julian C. Baker</w:t>
      </w:r>
    </w:p>
    <w:p>
      <w:pPr>
        <w:spacing w:after="0" w:line="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Julian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-127635</wp:posOffset>
            </wp:positionV>
            <wp:extent cx="3411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0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/s/ Felix J. Baker</w:t>
      </w:r>
    </w:p>
    <w:p>
      <w:pPr>
        <w:spacing w:after="0" w:line="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Felix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-127635</wp:posOffset>
            </wp:positionV>
            <wp:extent cx="34118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118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2024-02-14T16:21:38Z</dcterms:created>
  <dcterms:modified xsi:type="dcterms:W3CDTF">2024-02-14T16:21:38Z</dcterms:modified>
</cp:coreProperties>
</file>