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CHURCH KEVIN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Athira Pharma,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ATHA</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Arial" w:cs="Arial" w:eastAsia="Arial" w:hAnsi="Arial"/>
                <w:sz w:val="17"/>
                <w:szCs w:val="17"/>
                <w:color w:val="0000FF"/>
              </w:rPr>
              <w:t>01/18/2022</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85"/>
        <w:spacing w:after="0"/>
        <w:rPr>
          <w:sz w:val="20"/>
          <w:szCs w:val="20"/>
          <w:color w:val="auto"/>
        </w:rPr>
      </w:pPr>
      <w:r>
        <w:rPr>
          <w:rFonts w:ascii="Arial" w:cs="Arial" w:eastAsia="Arial" w:hAnsi="Arial"/>
          <w:sz w:val="17"/>
          <w:szCs w:val="17"/>
          <w:color w:val="0000FF"/>
        </w:rPr>
        <w:t>Executive VP, Research</w:t>
      </w:r>
    </w:p>
    <w:p>
      <w:pPr>
        <w:spacing w:after="0" w:line="382"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BOTHELL</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98011</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1"/>
                <w:szCs w:val="21"/>
                <w:color w:val="008000"/>
                <w:w w:val="91"/>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11/18/2021</w:t>
            </w:r>
          </w:p>
        </w:tc>
        <w:tc>
          <w:tcPr>
            <w:tcW w:w="700" w:type="dxa"/>
            <w:vAlign w:val="bottom"/>
            <w:tcBorders>
              <w:bottom w:val="single" w:sz="8" w:color="2C2C2C"/>
            </w:tcBorders>
          </w:tcPr>
          <w:p>
            <w:pPr>
              <w:ind w:left="420"/>
              <w:spacing w:after="0"/>
              <w:rPr>
                <w:sz w:val="20"/>
                <w:szCs w:val="20"/>
                <w:color w:val="auto"/>
              </w:rPr>
            </w:pPr>
            <w:r>
              <w:rPr>
                <w:rFonts w:ascii="Arial" w:cs="Arial" w:eastAsia="Arial" w:hAnsi="Arial"/>
                <w:sz w:val="11"/>
                <w:szCs w:val="11"/>
                <w:color w:val="008000"/>
              </w:rPr>
              <w:t>(2)</w:t>
            </w: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96</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12.51</w:t>
            </w:r>
            <w:r>
              <w:rPr>
                <w:rFonts w:ascii="Arial" w:cs="Arial" w:eastAsia="Arial" w:hAnsi="Arial"/>
                <w:sz w:val="21"/>
                <w:szCs w:val="21"/>
                <w:color w:val="008000"/>
                <w:w w:val="80"/>
                <w:vertAlign w:val="superscript"/>
              </w:rPr>
              <w:t>(3)</w:t>
            </w: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44,414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10.64</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100,000</w:t>
            </w:r>
          </w:p>
        </w:tc>
        <w:tc>
          <w:tcPr>
            <w:tcW w:w="26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01/17/2032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2021 through November 18, 2021. This transaction is also exempt under Rule 16b-3(c).</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November 18, 2021 and is the Purchase Period comprising the Offering Period (as defined in the ESPP) that began May 18,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on November 18,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forty-eighth (1/48th) of the shares subject to the option will vest on February 18, 2022, and one forty-eighth of the shares subject to the option will vest each month thereafter.</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Glenna Mileson,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1259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in-fact on behalf of Kevin</w:t>
      </w:r>
      <w:r>
        <w:rPr>
          <w:sz w:val="20"/>
          <w:szCs w:val="20"/>
          <w:color w:val="auto"/>
        </w:rPr>
        <w:tab/>
      </w:r>
      <w:r>
        <w:rPr>
          <w:rFonts w:ascii="Arial" w:cs="Arial" w:eastAsia="Arial" w:hAnsi="Arial"/>
          <w:sz w:val="14"/>
          <w:szCs w:val="14"/>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2022-01-20T16:26:31Z</dcterms:created>
  <dcterms:modified xsi:type="dcterms:W3CDTF">2022-01-20T16:26:31Z</dcterms:modified>
</cp:coreProperties>
</file>