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090322.xml.htm"/>
      <w:bookmarkStart w:id="1" w:name="ksform403042025_0903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Renninger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ATHIRA 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18706 NORTH CREEK PARKWAY, SUITE 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BOTHELL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Athira 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and Accounting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0.3762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0.3762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73,350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73,350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fourth (1/4th) of shares subject to the option shall be scheduled to vest on the one (1)-year anniversary of the anniversary of the grant date, and one thirty-sixth (1/36th) of the Shares subject to the Option each month thereafter on the same day of the month as the grant date subject to the optionee continuing to be a Service Provider (as defined in the Issuer's 2020 Equity Incentive Plan) through the applicable vesting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("RSU") represents a contingent right to receive one (1)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100% of the RSUs shall vest on the one (1) year anniversary of the grant date, subject to the Reporting Person continuing to be a Service Provider (as defined in the Issuer's 2020 Equity Incentive Plan (the "Plan"))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Worthington Attorney-in-Fact for Robert Renninger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968" TargetMode="External"/><Relationship Id="rId5" Type="http://schemas.openxmlformats.org/officeDocument/2006/relationships/hyperlink" Target="http://www.sec.gov/cgi-bin/browse-edgar?action=getcompany&amp;CIK=00016204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798</Words>
  <Characters>4221</Characters>
  <CharactersWithSpaces>4936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