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Gengos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ATHIRA PHARMA,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Athira 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ATHA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68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01/04/2024</w:t>
            </w:r>
          </w:p>
        </w:tc>
        <w:tc>
          <w:tcPr>
            <w:tcW w:w="2060" w:type="dxa"/>
            <w:vAlign w:val="bottom"/>
          </w:tcPr>
          <w:p>
            <w:pPr>
              <w:spacing w:after="0"/>
              <w:rPr>
                <w:sz w:val="19"/>
                <w:szCs w:val="19"/>
                <w:color w:val="auto"/>
              </w:rPr>
            </w:pPr>
          </w:p>
        </w:tc>
        <w:tc>
          <w:tcPr>
            <w:tcW w:w="33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CFO AND CHIEF BUSINESS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33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176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01/08/2024</w:t>
            </w:r>
          </w:p>
        </w:tc>
        <w:tc>
          <w:tcPr>
            <w:tcW w:w="206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01/04/2024</w:t>
            </w:r>
            <w:r>
              <w:rPr>
                <w:rFonts w:ascii="Times New Roman" w:cs="Times New Roman" w:eastAsia="Times New Roman" w:hAnsi="Times New Roman"/>
                <w:sz w:val="22"/>
                <w:szCs w:val="22"/>
                <w:color w:val="008000"/>
                <w:vertAlign w:val="superscript"/>
              </w:rPr>
              <w:t>(1)(2)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5,000</w:t>
            </w:r>
            <w:r>
              <w:rPr>
                <w:rFonts w:ascii="Times New Roman" w:cs="Times New Roman" w:eastAsia="Times New Roman" w:hAnsi="Times New Roman"/>
                <w:sz w:val="22"/>
                <w:szCs w:val="22"/>
                <w:color w:val="008000"/>
                <w:vertAlign w:val="superscript"/>
              </w:rPr>
              <w:t>(3)</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85,012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right="40"/>
              <w:spacing w:after="0"/>
              <w:rPr>
                <w:sz w:val="20"/>
                <w:szCs w:val="20"/>
                <w:color w:val="auto"/>
              </w:rPr>
            </w:pPr>
            <w:r>
              <w:rPr>
                <w:rFonts w:ascii="Times New Roman" w:cs="Times New Roman" w:eastAsia="Times New Roman" w:hAnsi="Times New Roman"/>
                <w:sz w:val="17"/>
                <w:szCs w:val="17"/>
                <w:color w:val="0000FF"/>
              </w:rPr>
              <w:t>01/05/2024</w:t>
            </w:r>
            <w:r>
              <w:rPr>
                <w:rFonts w:ascii="Times New Roman" w:cs="Times New Roman" w:eastAsia="Times New Roman" w:hAnsi="Times New Roman"/>
                <w:sz w:val="22"/>
                <w:szCs w:val="22"/>
                <w:color w:val="008000"/>
                <w:vertAlign w:val="superscript"/>
              </w:rPr>
              <w:t>(4)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(5)</w:t>
            </w:r>
          </w:p>
        </w:tc>
        <w:tc>
          <w:tcPr>
            <w:tcW w:w="74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1,208</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2.91</w:t>
            </w:r>
            <w:r>
              <w:rPr>
                <w:rFonts w:ascii="Times New Roman" w:cs="Times New Roman" w:eastAsia="Times New Roman" w:hAnsi="Times New Roman"/>
                <w:sz w:val="22"/>
                <w:szCs w:val="22"/>
                <w:color w:val="008000"/>
                <w:w w:val="92"/>
                <w:vertAlign w:val="superscript"/>
              </w:rPr>
              <w:t>(6)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83,804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18, 2023, the reporting person was granted restricted stock units ("RSUs") representing 10,000 shares of Common Stock of the Issuer. The RSUs were scheduled to vest according to the following amended schedule: (1) fifty percent (50%) of the shares subject to the RSU award vest as of the date the the Compensation Committee (the "Committee" determines that enrollment of the Company's LIFT-AD Phase 2/3 clinical trial has been completed, and (2) the remaining fifty percent (50%) of the shares subject to the RSUs shall vest at the completion of the public readout of topline results of the Company's LIFT-AD Phase 2/3 clinical trial, in each case subject to continued service with the Issuer through the applicable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incorrectly reported the transaction date as 01/04/2023.</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4, 2024, the Committee determined that enrollment of the Company's LIFT-AD Phase 2/3 clinical trial had been completed and 5,000 RSUs vested and settled on such date. The original Form 4 incorrectly reported the determination date as January 4, 2023.</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incorrectly reported the transaction date as 01/05/2023.</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cover the Issuer's tax withholding obligations in connection with the vesting of RSUs. Such sale was made pursuant to an Issuer-mandated policy and was not subject to discretion.</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$2.84 to $3.01,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7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790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Andrew</w:t>
        <w:tab/>
        <w:t>02/16/2024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Gengos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63623"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2024-02-16T15:48:48Z</dcterms:created>
  <dcterms:modified xsi:type="dcterms:W3CDTF">2024-02-16T15:48:48Z</dcterms:modified>
</cp:coreProperties>
</file>