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color w:val="auto"/>
        </w:rPr>
        <w:t>January 15, 2021</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VIA EDGAR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U.S. Securities and Exchange Commission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Division of Corporation Finance</w:t>
      </w:r>
    </w:p>
    <w:p>
      <w:pPr>
        <w:spacing w:after="0"/>
        <w:rPr>
          <w:sz w:val="20"/>
          <w:szCs w:val="20"/>
          <w:color w:val="auto"/>
        </w:rPr>
      </w:pPr>
      <w:r>
        <w:rPr>
          <w:rFonts w:ascii="Times New Roman" w:cs="Times New Roman" w:eastAsia="Times New Roman" w:hAnsi="Times New Roman"/>
          <w:sz w:val="20"/>
          <w:szCs w:val="20"/>
          <w:color w:val="auto"/>
        </w:rPr>
        <w:t>Office of Life Sciences</w:t>
      </w:r>
    </w:p>
    <w:p>
      <w:pPr>
        <w:spacing w:after="0"/>
        <w:rPr>
          <w:sz w:val="20"/>
          <w:szCs w:val="20"/>
          <w:color w:val="auto"/>
        </w:rPr>
      </w:pPr>
      <w:r>
        <w:rPr>
          <w:rFonts w:ascii="Times New Roman" w:cs="Times New Roman" w:eastAsia="Times New Roman" w:hAnsi="Times New Roman"/>
          <w:sz w:val="20"/>
          <w:szCs w:val="20"/>
          <w:color w:val="auto"/>
        </w:rPr>
        <w:t>100 F Street, N.E.</w:t>
      </w:r>
    </w:p>
    <w:p>
      <w:pPr>
        <w:spacing w:after="0"/>
        <w:rPr>
          <w:sz w:val="20"/>
          <w:szCs w:val="20"/>
          <w:color w:val="auto"/>
        </w:rPr>
      </w:pPr>
      <w:r>
        <w:rPr>
          <w:rFonts w:ascii="Times New Roman" w:cs="Times New Roman" w:eastAsia="Times New Roman" w:hAnsi="Times New Roman"/>
          <w:sz w:val="20"/>
          <w:szCs w:val="20"/>
          <w:color w:val="auto"/>
        </w:rPr>
        <w:t>Washington, D.C. 20549-3720</w:t>
      </w:r>
    </w:p>
    <w:p>
      <w:pPr>
        <w:sectPr>
          <w:pgSz w:w="11900" w:h="16838" w:orient="portrait"/>
          <w:cols w:equalWidth="0" w:num="1">
            <w:col w:w="11240"/>
          </w:cols>
          <w:pgMar w:left="320" w:top="468"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Attention: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David Gessert</w:t>
      </w:r>
    </w:p>
    <w:p>
      <w:pPr>
        <w:spacing w:after="0" w:line="200" w:lineRule="exact"/>
        <w:rPr>
          <w:sz w:val="24"/>
          <w:szCs w:val="24"/>
          <w:color w:val="auto"/>
        </w:rPr>
      </w:pPr>
    </w:p>
    <w:p>
      <w:pPr>
        <w:sectPr>
          <w:pgSz w:w="11900" w:h="16838" w:orient="portrait"/>
          <w:cols w:equalWidth="0" w:num="2">
            <w:col w:w="1380" w:space="720"/>
            <w:col w:w="9140"/>
          </w:cols>
          <w:pgMar w:left="320" w:top="468" w:right="339" w:bottom="1440" w:gutter="0" w:footer="0" w:header="0"/>
          <w:type w:val="continuous"/>
        </w:sectPr>
      </w:pPr>
    </w:p>
    <w:p>
      <w:pPr>
        <w:spacing w:after="0" w:line="24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Re:</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Athira Pharma, Inc.</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Draft Registration Statement on Form S-1 Submitted January 6, 2021</w:t>
      </w:r>
    </w:p>
    <w:p>
      <w:pPr>
        <w:spacing w:after="0" w:line="1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Registration Statement on Form S-1 to be filed on January 19, 2021</w:t>
      </w:r>
    </w:p>
    <w:p>
      <w:pPr>
        <w:ind w:left="40"/>
        <w:spacing w:after="0"/>
        <w:tabs>
          <w:tab w:leader="none" w:pos="1700" w:val="left"/>
        </w:tabs>
        <w:rPr>
          <w:sz w:val="20"/>
          <w:szCs w:val="20"/>
          <w:color w:val="auto"/>
        </w:rPr>
      </w:pPr>
      <w:r>
        <w:rPr>
          <w:rFonts w:ascii="Times New Roman" w:cs="Times New Roman" w:eastAsia="Times New Roman" w:hAnsi="Times New Roman"/>
          <w:sz w:val="20"/>
          <w:szCs w:val="20"/>
          <w:b w:val="1"/>
          <w:bCs w:val="1"/>
          <w:color w:val="auto"/>
        </w:rPr>
        <w:t>(File No. 333-</w:t>
      </w:r>
      <w:r>
        <w:rPr>
          <w:sz w:val="20"/>
          <w:szCs w:val="20"/>
          <w:color w:val="auto"/>
        </w:rPr>
        <w:tab/>
      </w:r>
      <w:r>
        <w:rPr>
          <w:rFonts w:ascii="Times New Roman" w:cs="Times New Roman" w:eastAsia="Times New Roman" w:hAnsi="Times New Roman"/>
          <w:sz w:val="18"/>
          <w:szCs w:val="18"/>
          <w:b w:val="1"/>
          <w:bCs w:val="1"/>
          <w:color w:val="auto"/>
        </w:rPr>
        <w:t>)</w:t>
      </w:r>
    </w:p>
    <w:p>
      <w:pPr>
        <w:spacing w:after="0" w:line="82" w:lineRule="exact"/>
        <w:rPr>
          <w:sz w:val="24"/>
          <w:szCs w:val="24"/>
          <w:color w:val="auto"/>
        </w:rPr>
      </w:pPr>
    </w:p>
    <w:p>
      <w:pPr>
        <w:sectPr>
          <w:pgSz w:w="11900" w:h="16838" w:orient="portrait"/>
          <w:cols w:equalWidth="0" w:num="2">
            <w:col w:w="1160" w:space="540"/>
            <w:col w:w="9540"/>
          </w:cols>
          <w:pgMar w:left="320" w:top="468" w:right="33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20"/>
          <w:szCs w:val="20"/>
          <w:b w:val="1"/>
          <w:bCs w:val="1"/>
          <w:color w:val="auto"/>
        </w:rPr>
        <w:t>Acceleration Request</w:t>
      </w:r>
    </w:p>
    <w:p>
      <w:pPr>
        <w:spacing w:after="0" w:line="25"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20"/>
          <w:szCs w:val="20"/>
          <w:b w:val="1"/>
          <w:bCs w:val="1"/>
          <w:color w:val="auto"/>
        </w:rPr>
        <w:t>Requested Date:Wednesday, January 20, 2021</w:t>
      </w:r>
    </w:p>
    <w:p>
      <w:pPr>
        <w:ind w:left="1700"/>
        <w:spacing w:after="0"/>
        <w:rPr>
          <w:sz w:val="20"/>
          <w:szCs w:val="20"/>
          <w:color w:val="auto"/>
        </w:rPr>
      </w:pPr>
      <w:r>
        <w:rPr>
          <w:rFonts w:ascii="Times New Roman" w:cs="Times New Roman" w:eastAsia="Times New Roman" w:hAnsi="Times New Roman"/>
          <w:sz w:val="20"/>
          <w:szCs w:val="20"/>
          <w:b w:val="1"/>
          <w:bCs w:val="1"/>
          <w:color w:val="auto"/>
        </w:rPr>
        <w:t>Requested Time:4:30 P.M. Eastern Daylight Time</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2"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9"/>
          <w:szCs w:val="19"/>
          <w:color w:val="auto"/>
        </w:rPr>
        <w:t>Pursuant to Rule 461 under the Securities Act of 1933, as amended, Athira Pharma,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hereby requests that the</w:t>
      </w:r>
    </w:p>
    <w:p>
      <w:pPr>
        <w:spacing w:after="0" w:line="37"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above-referenced Registration Statement on Form S-1 (File No. 333- ) (the “</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be declared effective at the “Requested Date” and “Requested Time” set forth above or at such later time as the Company or its counsel may orally request via telephone call to the staff of the Division of Corporation Finance of the Securities and Exchange Commission. Once the Registration Statement has been declared effective, please orally confirm that event with our counsel, Wilson Sonsini Goodrich &amp; Rosati, P.C., by calling Michael Nordtvedt at (206) 883-2524 or Bryan King at (206) 883-2535.</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976630</wp:posOffset>
            </wp:positionV>
            <wp:extent cx="71494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15, 2021</w:t>
      </w: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Sincerely,</w:t>
      </w:r>
    </w:p>
    <w:p>
      <w:pPr>
        <w:spacing w:after="0" w:line="2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ATHIRA PHARMA, INC.</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/s/ Leen Kawas</w:t>
      </w:r>
    </w:p>
    <w:p>
      <w:pPr>
        <w:spacing w:after="0" w:line="2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Leen Kawas</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i w:val="1"/>
          <w:iCs w:val="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Enclosures</w:t>
      </w:r>
    </w:p>
    <w:p>
      <w:pPr>
        <w:spacing w:after="0" w:line="229" w:lineRule="exact"/>
        <w:rPr>
          <w:sz w:val="20"/>
          <w:szCs w:val="20"/>
          <w:color w:val="auto"/>
        </w:rPr>
      </w:pPr>
    </w:p>
    <w:p>
      <w:pPr>
        <w:ind w:left="880" w:hanging="872"/>
        <w:spacing w:after="0"/>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Glenna Mileson, Athira Pharma, Inc.</w:t>
      </w:r>
    </w:p>
    <w:p>
      <w:pPr>
        <w:spacing w:after="0" w:line="21" w:lineRule="exact"/>
        <w:rPr>
          <w:rFonts w:ascii="Times New Roman" w:cs="Times New Roman" w:eastAsia="Times New Roman" w:hAnsi="Times New Roman"/>
          <w:sz w:val="20"/>
          <w:szCs w:val="20"/>
          <w:color w:val="auto"/>
        </w:rPr>
      </w:pPr>
    </w:p>
    <w:p>
      <w:pPr>
        <w:ind w:left="880" w:right="4539"/>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Michael Nordtvedt, Wilson Sonsini Goodrich &amp; Rosati P.C. Bryan D. King, Wilson Sonsini Goodrich &amp; Rosati P.C. Charles S. Kim, Cooley LLP</w:t>
      </w:r>
    </w:p>
    <w:p>
      <w:pPr>
        <w:spacing w:after="0" w:line="1" w:lineRule="exact"/>
        <w:rPr>
          <w:rFonts w:ascii="Times New Roman" w:cs="Times New Roman" w:eastAsia="Times New Roman" w:hAnsi="Times New Roman"/>
          <w:sz w:val="20"/>
          <w:szCs w:val="20"/>
          <w:color w:val="auto"/>
        </w:rPr>
      </w:pPr>
    </w:p>
    <w:p>
      <w:pPr>
        <w:ind w:left="880" w:right="6319"/>
        <w:spacing w:after="0" w:line="27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Alan D. Hambelton, Cooley LLP Oren Lang-Furr, Ernst &amp; Young LLP</w:t>
      </w:r>
    </w:p>
    <w:sectPr>
      <w:pgSz w:w="11900" w:h="16838" w:orient="portrait"/>
      <w:cols w:equalWidth="0" w:num="1">
        <w:col w:w="10139"/>
      </w:cols>
      <w:pgMar w:left="32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2021-02-18T23:04:33Z</dcterms:created>
  <dcterms:modified xsi:type="dcterms:W3CDTF">2021-02-18T23:04:33Z</dcterms:modified>
</cp:coreProperties>
</file>