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4"/>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80" w:type="dxa"/>
            <w:vAlign w:val="bottom"/>
            <w:gridSpan w:val="3"/>
          </w:tcPr>
          <w:p>
            <w:pPr>
              <w:ind w:left="60"/>
              <w:spacing w:after="0"/>
              <w:rPr>
                <w:sz w:val="20"/>
                <w:szCs w:val="20"/>
                <w:color w:val="auto"/>
              </w:rPr>
            </w:pPr>
            <w:r>
              <w:rPr>
                <w:rFonts w:ascii="Arial" w:cs="Arial" w:eastAsia="Arial" w:hAnsi="Arial"/>
                <w:sz w:val="23"/>
                <w:szCs w:val="23"/>
                <w:b w:val="1"/>
                <w:bCs w:val="1"/>
                <w:color w:val="auto"/>
              </w:rPr>
              <w:t>FORM 4</w:t>
            </w:r>
          </w:p>
        </w:tc>
        <w:tc>
          <w:tcPr>
            <w:tcW w:w="6200" w:type="dxa"/>
            <w:vAlign w:val="bottom"/>
            <w:gridSpan w:val="22"/>
          </w:tcPr>
          <w:p>
            <w:pPr>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0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6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gridSpan w:val="5"/>
            <w:vMerge w:val="restart"/>
          </w:tcPr>
          <w:p>
            <w:pPr>
              <w:jc w:val="center"/>
              <w:spacing w:after="0" w:line="141" w:lineRule="exact"/>
              <w:rPr>
                <w:sz w:val="20"/>
                <w:szCs w:val="20"/>
                <w:color w:val="auto"/>
              </w:rPr>
            </w:pPr>
            <w:r>
              <w:rPr>
                <w:rFonts w:ascii="Arial" w:cs="Arial" w:eastAsia="Arial" w:hAnsi="Arial"/>
                <w:sz w:val="13"/>
                <w:szCs w:val="13"/>
                <w:color w:val="auto"/>
                <w:w w:val="98"/>
              </w:rPr>
              <w:t>Washington, D.C. 20549</w:t>
            </w: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0" w:type="dxa"/>
            <w:vAlign w:val="bottom"/>
            <w:gridSpan w:val="5"/>
            <w:vMerge w:val="continue"/>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4"/>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2"/>
            <w:vMerge w:val="restart"/>
          </w:tcPr>
          <w:p>
            <w:pPr>
              <w:jc w:val="center"/>
              <w:ind w:right="79"/>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6200" w:type="dxa"/>
            <w:vAlign w:val="bottom"/>
            <w:gridSpan w:val="22"/>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gridSpan w:val="4"/>
          </w:tcPr>
          <w:p>
            <w:pPr>
              <w:ind w:left="240"/>
              <w:spacing w:after="0"/>
              <w:rPr>
                <w:sz w:val="20"/>
                <w:szCs w:val="20"/>
                <w:color w:val="auto"/>
              </w:rPr>
            </w:pPr>
            <w:r>
              <w:rPr>
                <w:rFonts w:ascii="Arial" w:cs="Arial" w:eastAsia="Arial" w:hAnsi="Arial"/>
                <w:sz w:val="12"/>
                <w:szCs w:val="12"/>
                <w:color w:val="auto"/>
              </w:rPr>
              <w:t>Section 16. Form 4 or Form 5</w:t>
            </w: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gridSpan w:val="4"/>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1020" w:type="dxa"/>
            <w:vAlign w:val="bottom"/>
          </w:tcPr>
          <w:p>
            <w:pPr>
              <w:spacing w:after="0"/>
              <w:rPr>
                <w:sz w:val="11"/>
                <w:szCs w:val="11"/>
                <w:color w:val="auto"/>
              </w:rPr>
            </w:pPr>
          </w:p>
        </w:tc>
        <w:tc>
          <w:tcPr>
            <w:tcW w:w="4020" w:type="dxa"/>
            <w:vAlign w:val="bottom"/>
            <w:gridSpan w:val="16"/>
            <w:vMerge w:val="restart"/>
          </w:tcPr>
          <w:p>
            <w:pPr>
              <w:jc w:val="center"/>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2"/>
              <w:spacing w:after="0" w:line="133"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20" w:type="dxa"/>
            <w:vAlign w:val="bottom"/>
            <w:gridSpan w:val="16"/>
            <w:vMerge w:val="continue"/>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20" w:type="dxa"/>
            <w:vAlign w:val="bottom"/>
            <w:gridSpan w:val="16"/>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40" w:type="dxa"/>
            <w:vAlign w:val="bottom"/>
            <w:gridSpan w:val="10"/>
          </w:tcPr>
          <w:p>
            <w:pPr>
              <w:jc w:val="center"/>
              <w:ind w:right="142"/>
              <w:spacing w:after="0"/>
              <w:rPr>
                <w:sz w:val="20"/>
                <w:szCs w:val="20"/>
                <w:color w:val="auto"/>
              </w:rPr>
            </w:pPr>
            <w:r>
              <w:rPr>
                <w:rFonts w:ascii="Arial" w:cs="Arial" w:eastAsia="Arial" w:hAnsi="Arial"/>
                <w:sz w:val="13"/>
                <w:szCs w:val="13"/>
                <w:color w:val="auto"/>
                <w:w w:val="98"/>
              </w:rPr>
              <w:t>or Section 30(h) of the Investment Company Act of 1940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4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20" w:type="dxa"/>
            <w:vAlign w:val="bottom"/>
            <w:tcBorders>
              <w:bottom w:val="single" w:sz="8" w:color="2C2C2C"/>
            </w:tcBorders>
            <w:gridSpan w:val="9"/>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40" w:type="dxa"/>
            <w:vAlign w:val="bottom"/>
            <w:gridSpan w:val="6"/>
          </w:tcPr>
          <w:p>
            <w:pPr>
              <w:ind w:left="60"/>
              <w:spacing w:after="0" w:line="206"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4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gridSpan w:val="3"/>
            <w:vMerge w:val="restart"/>
          </w:tcPr>
          <w:p>
            <w:pPr>
              <w:spacing w:after="0" w:line="238" w:lineRule="exact"/>
              <w:rPr>
                <w:rFonts w:ascii="Arial" w:cs="Arial" w:eastAsia="Arial" w:hAnsi="Arial"/>
                <w:sz w:val="21"/>
                <w:szCs w:val="21"/>
                <w:color w:val="0000EE"/>
                <w:w w:val="87"/>
              </w:rPr>
            </w:pPr>
            <w:hyperlink r:id="rId8">
              <w:r>
                <w:rPr>
                  <w:rFonts w:ascii="Arial" w:cs="Arial" w:eastAsia="Arial" w:hAnsi="Arial"/>
                  <w:sz w:val="21"/>
                  <w:szCs w:val="21"/>
                  <w:color w:val="0000EE"/>
                  <w:w w:val="87"/>
                </w:rPr>
                <w:t>Gengos Andrew</w:t>
              </w:r>
            </w:hyperlink>
          </w:p>
        </w:tc>
        <w:tc>
          <w:tcPr>
            <w:tcW w:w="1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360" w:type="dxa"/>
            <w:vAlign w:val="bottom"/>
            <w:gridSpan w:val="9"/>
          </w:tcPr>
          <w:p>
            <w:pPr>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Athira Pharma,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ATHA</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4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40" w:type="dxa"/>
            <w:vAlign w:val="bottom"/>
            <w:gridSpan w:val="3"/>
            <w:vMerge w:val="continue"/>
          </w:tcPr>
          <w:p>
            <w:pPr>
              <w:spacing w:after="0"/>
              <w:rPr>
                <w:sz w:val="4"/>
                <w:szCs w:val="4"/>
                <w:color w:val="auto"/>
              </w:rPr>
            </w:pPr>
          </w:p>
        </w:tc>
        <w:tc>
          <w:tcPr>
            <w:tcW w:w="1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7"/>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3"/>
            <w:vMerge w:val="continu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52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6"/>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40" w:type="dxa"/>
            <w:vAlign w:val="bottom"/>
            <w:tcBorders>
              <w:bottom w:val="single" w:sz="8" w:color="0000EE"/>
            </w:tcBorders>
            <w:gridSpan w:val="3"/>
            <w:vMerge w:val="continue"/>
          </w:tcPr>
          <w:p>
            <w:pPr>
              <w:spacing w:after="0"/>
              <w:rPr>
                <w:sz w:val="4"/>
                <w:szCs w:val="4"/>
                <w:color w:val="auto"/>
              </w:rPr>
            </w:pPr>
          </w:p>
        </w:tc>
        <w:tc>
          <w:tcPr>
            <w:tcW w:w="1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340" w:type="dxa"/>
            <w:vAlign w:val="bottom"/>
            <w:gridSpan w:val="3"/>
          </w:tcPr>
          <w:p>
            <w:pPr>
              <w:spacing w:after="0"/>
              <w:rPr>
                <w:sz w:val="3"/>
                <w:szCs w:val="3"/>
                <w:color w:val="auto"/>
              </w:rPr>
            </w:pPr>
          </w:p>
        </w:tc>
        <w:tc>
          <w:tcPr>
            <w:tcW w:w="1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gridSpan w:val="2"/>
            <w:vMerge w:val="restart"/>
          </w:tcPr>
          <w:p>
            <w:pPr>
              <w:ind w:left="260"/>
              <w:spacing w:after="0"/>
              <w:rPr>
                <w:sz w:val="20"/>
                <w:szCs w:val="20"/>
                <w:color w:val="auto"/>
              </w:rPr>
            </w:pPr>
            <w:r>
              <w:rPr>
                <w:rFonts w:ascii="Arial" w:cs="Arial" w:eastAsia="Arial" w:hAnsi="Arial"/>
                <w:sz w:val="17"/>
                <w:szCs w:val="17"/>
                <w:color w:val="0000FF"/>
                <w:w w:val="87"/>
              </w:rPr>
              <w:t>X</w:t>
            </w:r>
          </w:p>
        </w:tc>
        <w:tc>
          <w:tcPr>
            <w:tcW w:w="80" w:type="dxa"/>
            <w:vAlign w:val="bottom"/>
            <w:vMerge w:val="restart"/>
          </w:tcPr>
          <w:p>
            <w:pPr>
              <w:spacing w:after="0"/>
              <w:rPr>
                <w:sz w:val="7"/>
                <w:szCs w:val="7"/>
                <w:color w:val="auto"/>
              </w:rPr>
            </w:pPr>
          </w:p>
        </w:tc>
        <w:tc>
          <w:tcPr>
            <w:tcW w:w="1180" w:type="dxa"/>
            <w:vAlign w:val="bottom"/>
            <w:gridSpan w:val="4"/>
            <w:vMerge w:val="restart"/>
          </w:tcPr>
          <w:p>
            <w:pPr>
              <w:ind w:left="120"/>
              <w:spacing w:after="0" w:line="144"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6"/>
            <w:vMerge w:val="restart"/>
          </w:tcPr>
          <w:p>
            <w:pPr>
              <w:ind w:left="220"/>
              <w:spacing w:after="0" w:line="144"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4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gridSpan w:val="2"/>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180" w:type="dxa"/>
            <w:vAlign w:val="bottom"/>
            <w:gridSpan w:val="4"/>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EEEEEE"/>
            </w:tcBorders>
          </w:tcPr>
          <w:p>
            <w:pPr>
              <w:spacing w:after="0"/>
              <w:rPr>
                <w:sz w:val="10"/>
                <w:szCs w:val="10"/>
                <w:color w:val="auto"/>
              </w:rPr>
            </w:pPr>
          </w:p>
        </w:tc>
        <w:tc>
          <w:tcPr>
            <w:tcW w:w="56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660" w:type="dxa"/>
            <w:vAlign w:val="bottom"/>
            <w:tcBorders>
              <w:top w:val="single" w:sz="8" w:color="EEEEEE"/>
            </w:tcBorders>
          </w:tcPr>
          <w:p>
            <w:pPr>
              <w:spacing w:after="0"/>
              <w:rPr>
                <w:sz w:val="10"/>
                <w:szCs w:val="10"/>
                <w:color w:val="auto"/>
              </w:rPr>
            </w:pPr>
          </w:p>
        </w:tc>
        <w:tc>
          <w:tcPr>
            <w:tcW w:w="122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(First)</w:t>
            </w:r>
          </w:p>
        </w:tc>
        <w:tc>
          <w:tcPr>
            <w:tcW w:w="10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40" w:type="dxa"/>
            <w:vAlign w:val="bottom"/>
            <w:tcBorders>
              <w:top w:val="single" w:sz="8" w:color="EEEEEE"/>
            </w:tcBorders>
          </w:tcPr>
          <w:p>
            <w:pPr>
              <w:spacing w:after="0"/>
              <w:rPr>
                <w:sz w:val="10"/>
                <w:szCs w:val="10"/>
                <w:color w:val="auto"/>
              </w:rPr>
            </w:pPr>
          </w:p>
        </w:tc>
        <w:tc>
          <w:tcPr>
            <w:tcW w:w="140" w:type="dxa"/>
            <w:vAlign w:val="bottom"/>
            <w:tcBorders>
              <w:top w:val="single" w:sz="8" w:color="EEEEEE"/>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40" w:type="dxa"/>
            <w:vAlign w:val="bottom"/>
            <w:gridSpan w:val="10"/>
            <w:vMerge w:val="continue"/>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20"/>
              <w:spacing w:after="0" w:line="124" w:lineRule="exact"/>
              <w:rPr>
                <w:sz w:val="20"/>
                <w:szCs w:val="20"/>
                <w:color w:val="auto"/>
              </w:rPr>
            </w:pPr>
            <w:r>
              <w:rPr>
                <w:rFonts w:ascii="Arial" w:cs="Arial" w:eastAsia="Arial" w:hAnsi="Arial"/>
                <w:sz w:val="13"/>
                <w:szCs w:val="13"/>
                <w:color w:val="auto"/>
              </w:rPr>
              <w:t>below)</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4"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300" w:type="dxa"/>
            <w:vAlign w:val="bottom"/>
            <w:gridSpan w:val="8"/>
          </w:tcPr>
          <w:p>
            <w:pPr>
              <w:ind w:left="340"/>
              <w:spacing w:after="0"/>
              <w:rPr>
                <w:sz w:val="20"/>
                <w:szCs w:val="20"/>
                <w:color w:val="auto"/>
              </w:rPr>
            </w:pPr>
            <w:r>
              <w:rPr>
                <w:rFonts w:ascii="Arial" w:cs="Arial" w:eastAsia="Arial" w:hAnsi="Arial"/>
                <w:sz w:val="17"/>
                <w:szCs w:val="17"/>
                <w:color w:val="0000FF"/>
              </w:rPr>
              <w:t>05/18/2023</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See Below</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40" w:type="dxa"/>
            <w:vAlign w:val="bottom"/>
            <w:gridSpan w:val="4"/>
            <w:vMerge w:val="restart"/>
          </w:tcPr>
          <w:p>
            <w:pPr>
              <w:spacing w:after="0" w:line="176" w:lineRule="exact"/>
              <w:rPr>
                <w:sz w:val="20"/>
                <w:szCs w:val="20"/>
                <w:color w:val="auto"/>
              </w:rPr>
            </w:pPr>
            <w:r>
              <w:rPr>
                <w:rFonts w:ascii="Arial" w:cs="Arial" w:eastAsia="Arial" w:hAnsi="Arial"/>
                <w:sz w:val="17"/>
                <w:szCs w:val="17"/>
                <w:color w:val="0000FF"/>
              </w:rPr>
              <w:t>C/O ATHIRA PHARMA, INC.</w:t>
            </w: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360" w:type="dxa"/>
            <w:vAlign w:val="bottom"/>
            <w:gridSpan w:val="3"/>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60" w:type="dxa"/>
            <w:vAlign w:val="bottom"/>
            <w:gridSpan w:val="5"/>
          </w:tcPr>
          <w:p>
            <w:pPr>
              <w:spacing w:after="0"/>
              <w:rPr>
                <w:sz w:val="20"/>
                <w:szCs w:val="20"/>
                <w:color w:val="auto"/>
              </w:rPr>
            </w:pPr>
            <w:r>
              <w:rPr>
                <w:rFonts w:ascii="Arial" w:cs="Arial" w:eastAsia="Arial" w:hAnsi="Arial"/>
                <w:sz w:val="17"/>
                <w:szCs w:val="17"/>
                <w:color w:val="0000FF"/>
                <w:w w:val="96"/>
              </w:rPr>
              <w:t>18706 NORTH CREEK PARKWAY, SUITE 104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80" w:type="dxa"/>
            <w:vAlign w:val="bottom"/>
            <w:gridSpan w:val="11"/>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ind w:left="60"/>
              <w:spacing w:after="0" w:line="146" w:lineRule="exact"/>
              <w:rPr>
                <w:sz w:val="20"/>
                <w:szCs w:val="20"/>
                <w:color w:val="auto"/>
              </w:rPr>
            </w:pPr>
            <w:r>
              <w:rPr>
                <w:rFonts w:ascii="Arial" w:cs="Arial" w:eastAsia="Arial" w:hAnsi="Arial"/>
                <w:sz w:val="13"/>
                <w:szCs w:val="13"/>
                <w:color w:val="auto"/>
              </w:rPr>
              <w:t>Line)</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110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vMerge w:val="restart"/>
          </w:tcPr>
          <w:p>
            <w:pPr>
              <w:spacing w:after="0"/>
              <w:rPr>
                <w:sz w:val="4"/>
                <w:szCs w:val="4"/>
                <w:color w:val="auto"/>
              </w:rPr>
            </w:pPr>
          </w:p>
        </w:tc>
        <w:tc>
          <w:tcPr>
            <w:tcW w:w="3400" w:type="dxa"/>
            <w:vAlign w:val="bottom"/>
            <w:gridSpan w:val="1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3400" w:type="dxa"/>
            <w:vAlign w:val="bottom"/>
            <w:gridSpan w:val="1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40" w:type="dxa"/>
            <w:vAlign w:val="bottom"/>
            <w:gridSpan w:val="11"/>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BOTHELL</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WA</w:t>
            </w:r>
          </w:p>
        </w:tc>
        <w:tc>
          <w:tcPr>
            <w:tcW w:w="1020" w:type="dxa"/>
            <w:vAlign w:val="bottom"/>
            <w:vMerge w:val="restart"/>
          </w:tcPr>
          <w:p>
            <w:pPr>
              <w:ind w:left="20"/>
              <w:spacing w:after="0"/>
              <w:rPr>
                <w:sz w:val="20"/>
                <w:szCs w:val="20"/>
                <w:color w:val="auto"/>
              </w:rPr>
            </w:pPr>
            <w:r>
              <w:rPr>
                <w:rFonts w:ascii="Arial" w:cs="Arial" w:eastAsia="Arial" w:hAnsi="Arial"/>
                <w:sz w:val="17"/>
                <w:szCs w:val="17"/>
                <w:color w:val="0000FF"/>
              </w:rPr>
              <w:t>98011</w:t>
            </w: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4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gridSpan w:val="4"/>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3480" w:type="dxa"/>
            <w:vAlign w:val="bottom"/>
            <w:gridSpan w:val="11"/>
            <w:vMerge w:val="restart"/>
          </w:tcPr>
          <w:p>
            <w:pPr>
              <w:spacing w:after="0"/>
              <w:rPr>
                <w:sz w:val="20"/>
                <w:szCs w:val="20"/>
                <w:color w:val="auto"/>
              </w:rPr>
            </w:pPr>
            <w:r>
              <w:rPr>
                <w:rFonts w:ascii="Arial" w:cs="Arial" w:eastAsia="Arial" w:hAnsi="Arial"/>
                <w:sz w:val="21"/>
                <w:szCs w:val="21"/>
                <w:color w:val="auto"/>
                <w:w w:val="98"/>
              </w:rPr>
              <w:t>Rule 10b5-1(c) Transaction Indication</w:t>
            </w: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9"/>
                <w:szCs w:val="19"/>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02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3480" w:type="dxa"/>
            <w:vAlign w:val="bottom"/>
            <w:gridSpan w:val="11"/>
            <w:vMerge w:val="continue"/>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80" w:type="dxa"/>
            <w:vAlign w:val="bottom"/>
            <w:gridSpan w:val="15"/>
          </w:tcPr>
          <w:p>
            <w:pPr>
              <w:ind w:left="80"/>
              <w:spacing w:after="0" w:line="122"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23"/>
          </w:tcPr>
          <w:p>
            <w:pPr>
              <w:ind w:left="8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40" w:type="dxa"/>
            <w:vAlign w:val="bottom"/>
            <w:tcBorders>
              <w:bottom w:val="single" w:sz="8" w:color="2C2C2C"/>
            </w:tcBorders>
            <w:gridSpan w:val="4"/>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gridSpan w:val="3"/>
          </w:tcPr>
          <w:p>
            <w:pPr>
              <w:spacing w:after="0"/>
              <w:rPr>
                <w:sz w:val="2"/>
                <w:szCs w:val="2"/>
                <w:color w:val="auto"/>
              </w:rPr>
            </w:pPr>
          </w:p>
        </w:tc>
        <w:tc>
          <w:tcPr>
            <w:tcW w:w="4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4"/>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8"/>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3"/>
          </w:tcPr>
          <w:p>
            <w:pPr>
              <w:ind w:left="18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8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ind w:left="760"/>
              <w:spacing w:after="0" w:line="126" w:lineRule="exact"/>
              <w:rPr>
                <w:sz w:val="20"/>
                <w:szCs w:val="20"/>
                <w:color w:val="auto"/>
              </w:rPr>
            </w:pPr>
            <w:r>
              <w:rPr>
                <w:rFonts w:ascii="Arial" w:cs="Arial" w:eastAsia="Arial" w:hAnsi="Arial"/>
                <w:sz w:val="12"/>
                <w:szCs w:val="12"/>
                <w:b w:val="1"/>
                <w:bCs w:val="1"/>
                <w:color w:val="auto"/>
                <w:w w:val="92"/>
              </w:rPr>
              <w:t>Date</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w w:val="95"/>
              </w:rPr>
              <w:t>Execution Date,</w:t>
            </w:r>
          </w:p>
        </w:tc>
        <w:tc>
          <w:tcPr>
            <w:tcW w:w="120" w:type="dxa"/>
            <w:vAlign w:val="bottom"/>
          </w:tcPr>
          <w:p>
            <w:pPr>
              <w:spacing w:after="0"/>
              <w:rPr>
                <w:sz w:val="10"/>
                <w:szCs w:val="10"/>
                <w:color w:val="auto"/>
              </w:rPr>
            </w:pPr>
          </w:p>
        </w:tc>
        <w:tc>
          <w:tcPr>
            <w:tcW w:w="88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6"/>
          </w:tcPr>
          <w:p>
            <w:pPr>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0" w:type="dxa"/>
            <w:vAlign w:val="bottom"/>
            <w:gridSpan w:val="8"/>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0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5"/>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840" w:type="dxa"/>
            <w:vAlign w:val="bottom"/>
            <w:gridSpan w:val="2"/>
          </w:tcPr>
          <w:p>
            <w:pPr>
              <w:ind w:left="340"/>
              <w:spacing w:after="0" w:line="129"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64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gridSpan w:val="3"/>
          </w:tcPr>
          <w:p>
            <w:pPr>
              <w:spacing w:after="0"/>
              <w:rPr>
                <w:sz w:val="7"/>
                <w:szCs w:val="7"/>
                <w:color w:val="auto"/>
              </w:rPr>
            </w:pPr>
          </w:p>
        </w:tc>
        <w:tc>
          <w:tcPr>
            <w:tcW w:w="148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7"/>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7300" w:type="dxa"/>
            <w:vAlign w:val="bottom"/>
            <w:tcBorders>
              <w:top w:val="single" w:sz="8" w:color="2C2C2C"/>
            </w:tcBorders>
            <w:gridSpan w:val="23"/>
          </w:tcPr>
          <w:p>
            <w:pPr>
              <w:ind w:left="10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500" w:type="dxa"/>
            <w:vAlign w:val="bottom"/>
            <w:gridSpan w:val="20"/>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4"/>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280" w:type="dxa"/>
            <w:vAlign w:val="bottom"/>
            <w:gridSpan w:val="3"/>
          </w:tcPr>
          <w:p>
            <w:pPr>
              <w:ind w:left="10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8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28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7"/>
              </w:rPr>
              <w:t>(Instr. 3 and 4)</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Options</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2.84</w:t>
            </w:r>
          </w:p>
        </w:tc>
        <w:tc>
          <w:tcPr>
            <w:tcW w:w="120" w:type="dxa"/>
            <w:vAlign w:val="bottom"/>
          </w:tcPr>
          <w:p>
            <w:pPr>
              <w:spacing w:after="0"/>
              <w:rPr>
                <w:sz w:val="17"/>
                <w:szCs w:val="17"/>
                <w:color w:val="auto"/>
              </w:rPr>
            </w:pPr>
          </w:p>
        </w:tc>
        <w:tc>
          <w:tcPr>
            <w:tcW w:w="1100" w:type="dxa"/>
            <w:vAlign w:val="bottom"/>
          </w:tcPr>
          <w:p>
            <w:pPr>
              <w:jc w:val="right"/>
              <w:ind w:right="192"/>
              <w:spacing w:after="0"/>
              <w:rPr>
                <w:sz w:val="20"/>
                <w:szCs w:val="20"/>
                <w:color w:val="auto"/>
              </w:rPr>
            </w:pPr>
            <w:r>
              <w:rPr>
                <w:rFonts w:ascii="Arial" w:cs="Arial" w:eastAsia="Arial" w:hAnsi="Arial"/>
                <w:sz w:val="13"/>
                <w:szCs w:val="13"/>
                <w:color w:val="0000FF"/>
              </w:rPr>
              <w:t>05/18/2023</w:t>
            </w: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5"/>
          </w:tcPr>
          <w:p>
            <w:pPr>
              <w:ind w:left="60"/>
              <w:spacing w:after="0"/>
              <w:rPr>
                <w:sz w:val="20"/>
                <w:szCs w:val="20"/>
                <w:color w:val="auto"/>
              </w:rPr>
            </w:pPr>
            <w:r>
              <w:rPr>
                <w:rFonts w:ascii="Arial" w:cs="Arial" w:eastAsia="Arial" w:hAnsi="Arial"/>
                <w:sz w:val="13"/>
                <w:szCs w:val="13"/>
                <w:color w:val="0000FF"/>
              </w:rPr>
              <w:t>A</w:t>
            </w:r>
          </w:p>
        </w:tc>
        <w:tc>
          <w:tcPr>
            <w:tcW w:w="520" w:type="dxa"/>
            <w:vAlign w:val="bottom"/>
          </w:tcPr>
          <w:p>
            <w:pPr>
              <w:ind w:left="100"/>
              <w:spacing w:after="0"/>
              <w:rPr>
                <w:sz w:val="20"/>
                <w:szCs w:val="20"/>
                <w:color w:val="auto"/>
              </w:rPr>
            </w:pPr>
            <w:r>
              <w:rPr>
                <w:rFonts w:ascii="Arial" w:cs="Arial" w:eastAsia="Arial" w:hAnsi="Arial"/>
                <w:sz w:val="13"/>
                <w:szCs w:val="13"/>
                <w:color w:val="0000FF"/>
                <w:w w:val="85"/>
              </w:rPr>
              <w:t>400,000</w:t>
            </w:r>
          </w:p>
        </w:tc>
        <w:tc>
          <w:tcPr>
            <w:tcW w:w="400" w:type="dxa"/>
            <w:vAlign w:val="bottom"/>
          </w:tcPr>
          <w:p>
            <w:pPr>
              <w:spacing w:after="0"/>
              <w:rPr>
                <w:sz w:val="17"/>
                <w:szCs w:val="17"/>
                <w:color w:val="auto"/>
              </w:rPr>
            </w:pPr>
          </w:p>
        </w:tc>
        <w:tc>
          <w:tcPr>
            <w:tcW w:w="780" w:type="dxa"/>
            <w:vAlign w:val="bottom"/>
            <w:gridSpan w:val="3"/>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20"/>
              <w:spacing w:after="0"/>
              <w:rPr>
                <w:sz w:val="20"/>
                <w:szCs w:val="20"/>
                <w:color w:val="auto"/>
              </w:rPr>
            </w:pPr>
            <w:r>
              <w:rPr>
                <w:rFonts w:ascii="Arial" w:cs="Arial" w:eastAsia="Arial" w:hAnsi="Arial"/>
                <w:sz w:val="13"/>
                <w:szCs w:val="13"/>
                <w:color w:val="0000FF"/>
              </w:rPr>
              <w:t>05/17/2033</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600" w:type="dxa"/>
            <w:vAlign w:val="bottom"/>
            <w:gridSpan w:val="3"/>
          </w:tcPr>
          <w:p>
            <w:pPr>
              <w:spacing w:after="0"/>
              <w:rPr>
                <w:sz w:val="20"/>
                <w:szCs w:val="20"/>
                <w:color w:val="auto"/>
              </w:rPr>
            </w:pPr>
            <w:r>
              <w:rPr>
                <w:rFonts w:ascii="Arial" w:cs="Arial" w:eastAsia="Arial" w:hAnsi="Arial"/>
                <w:sz w:val="17"/>
                <w:szCs w:val="17"/>
                <w:color w:val="0000FF"/>
                <w:w w:val="94"/>
              </w:rPr>
              <w:t>400,000</w:t>
            </w:r>
          </w:p>
        </w:tc>
        <w:tc>
          <w:tcPr>
            <w:tcW w:w="60" w:type="dxa"/>
            <w:vAlign w:val="bottom"/>
          </w:tcPr>
          <w:p>
            <w:pPr>
              <w:spacing w:after="0"/>
              <w:rPr>
                <w:sz w:val="17"/>
                <w:szCs w:val="17"/>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40" w:type="dxa"/>
            <w:vAlign w:val="bottom"/>
            <w:gridSpan w:val="4"/>
          </w:tcPr>
          <w:p>
            <w:pPr>
              <w:ind w:left="180"/>
              <w:spacing w:after="0"/>
              <w:rPr>
                <w:sz w:val="20"/>
                <w:szCs w:val="20"/>
                <w:color w:val="auto"/>
              </w:rPr>
            </w:pPr>
            <w:r>
              <w:rPr>
                <w:rFonts w:ascii="Arial" w:cs="Arial" w:eastAsia="Arial" w:hAnsi="Arial"/>
                <w:sz w:val="13"/>
                <w:szCs w:val="13"/>
                <w:color w:val="0000FF"/>
              </w:rPr>
              <w:t>400,000</w:t>
            </w: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0" w:type="dxa"/>
            <w:vAlign w:val="bottom"/>
            <w:gridSpan w:val="3"/>
          </w:tcPr>
          <w:p>
            <w:pPr>
              <w:ind w:left="60"/>
              <w:spacing w:after="0" w:line="92"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ind w:left="120"/>
              <w:spacing w:after="0" w:line="92" w:lineRule="exact"/>
              <w:rPr>
                <w:sz w:val="20"/>
                <w:szCs w:val="20"/>
                <w:color w:val="auto"/>
              </w:rPr>
            </w:pPr>
            <w:r>
              <w:rPr>
                <w:rFonts w:ascii="Arial" w:cs="Arial" w:eastAsia="Arial" w:hAnsi="Arial"/>
                <w:sz w:val="10"/>
                <w:szCs w:val="10"/>
                <w:color w:val="0000FF"/>
              </w:rPr>
              <w:t>Stock</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-5353685</wp:posOffset>
            </wp:positionV>
            <wp:extent cx="7046595" cy="5505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6595" cy="550545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160" w:firstLine="2"/>
        <w:spacing w:after="0" w:line="234"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One-third (1/3) of the shares subject to the option shall be scheduled to vest on May 18, 2024, the one (1) year anniversary of May 18, 2023, and the remaining shares subject to the option shall be scheduled to vest monthly over the next 36 months on the 18th of each month, subject to the Reporting Person continuing to be a Service Provider (as defined in Athira Pharma, Inc.'s 2020 Equity Incentive Plan) through the applicable vesting dates, as follows: one-third (1/3) of the shares subject to the option shall be scheduled to vest in equal monthly amounts over the next 12 months; one-sixth (1/6) of the shares subject to the option shall be scheduled to vest in equal monthly amounts over the subsequent 12 months; and the remaining one-sixth (1/6) of the shares subject to the option shall be scheduled to vest in equal monthly amounts over the final 12 months.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Chief Financial Officer and Chief Business Officer</w:t>
      </w:r>
    </w:p>
    <w:p>
      <w:pPr>
        <w:spacing w:after="0" w:line="70"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Mark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-11430</wp:posOffset>
            </wp:positionV>
            <wp:extent cx="9436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943610" cy="8255"/>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7"/>
          <w:szCs w:val="17"/>
          <w:color w:val="0000FF"/>
        </w:rPr>
        <w:t>Attorney-in-fact for Andrew</w:t>
      </w:r>
      <w:r>
        <w:rPr>
          <w:sz w:val="20"/>
          <w:szCs w:val="20"/>
          <w:color w:val="auto"/>
        </w:rPr>
        <w:tab/>
      </w:r>
      <w:r>
        <w:rPr>
          <w:rFonts w:ascii="Arial" w:cs="Arial" w:eastAsia="Arial" w:hAnsi="Arial"/>
          <w:sz w:val="15"/>
          <w:szCs w:val="15"/>
          <w:color w:val="0000FF"/>
        </w:rPr>
        <w:t>05/22/2023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18815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Gengos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3251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25120" cy="8255"/>
                    </a:xfrm>
                    <a:prstGeom prst="rect">
                      <a:avLst/>
                    </a:prstGeom>
                    <a:noFill/>
                  </pic:spPr>
                </pic:pic>
              </a:graphicData>
            </a:graphic>
          </wp:anchor>
        </w:drawing>
      </w:r>
    </w:p>
    <w:p>
      <w:pPr>
        <w:spacing w:after="0" w:line="3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4" w:lineRule="exact"/>
        <w:rPr>
          <w:sz w:val="20"/>
          <w:szCs w:val="20"/>
          <w:color w:val="auto"/>
        </w:rPr>
      </w:pPr>
    </w:p>
    <w:p>
      <w:pPr>
        <w:ind w:right="2139"/>
        <w:spacing w:after="0" w:line="253" w:lineRule="auto"/>
        <w:rPr>
          <w:sz w:val="20"/>
          <w:szCs w:val="20"/>
          <w:color w:val="auto"/>
        </w:rPr>
      </w:pPr>
      <w:r>
        <w:rPr>
          <w:rFonts w:ascii="Courier New" w:cs="Courier New" w:eastAsia="Courier New" w:hAnsi="Courier New"/>
          <w:sz w:val="17"/>
          <w:szCs w:val="17"/>
          <w:color w:val="auto"/>
        </w:rPr>
        <w:t>The undersigned, as a Section 16 reporting person of Athira Pharma, Inc. (the "Company"), hereby constitutes and appoints Mark Worthington, Barbara Mery and each of the responsible attorneys and paralegals of Wilson Sonsini Goodrich &amp; Rosati, Professional Corporation, the undersigned's true and lawful attorney-in-fact to:</w:t>
      </w:r>
    </w:p>
    <w:p>
      <w:pPr>
        <w:spacing w:after="0" w:line="144" w:lineRule="exact"/>
        <w:rPr>
          <w:sz w:val="20"/>
          <w:szCs w:val="20"/>
          <w:color w:val="auto"/>
        </w:rPr>
      </w:pPr>
    </w:p>
    <w:p>
      <w:pPr>
        <w:ind w:right="1419" w:firstLine="3"/>
        <w:spacing w:after="0" w:line="247" w:lineRule="auto"/>
        <w:tabs>
          <w:tab w:leader="none" w:pos="80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and execute Forms ID, 3, 4, and 5 and other forms and all amendments thereto as such attorney-in-fact shall in his or her discretion determine to be required or advisable pursuant to Section 16 of the Securities Exchange Act of</w:t>
      </w:r>
    </w:p>
    <w:p>
      <w:pPr>
        <w:spacing w:after="0" w:line="1" w:lineRule="exact"/>
        <w:rPr>
          <w:rFonts w:ascii="Courier New" w:cs="Courier New" w:eastAsia="Courier New" w:hAnsi="Courier New"/>
          <w:sz w:val="17"/>
          <w:szCs w:val="17"/>
          <w:color w:val="auto"/>
        </w:rPr>
      </w:pPr>
    </w:p>
    <w:p>
      <w:pPr>
        <w:ind w:right="1939"/>
        <w:spacing w:after="0" w:line="25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1934 (as amended) and the rules and regulations promulgated thereunder, or any successor laws and regulations, as a consequence of the undersigned's ownership, acquisition or disposition of securities of the Company; and</w:t>
      </w:r>
    </w:p>
    <w:p>
      <w:pPr>
        <w:spacing w:after="0" w:line="140" w:lineRule="exact"/>
        <w:rPr>
          <w:rFonts w:ascii="Courier New" w:cs="Courier New" w:eastAsia="Courier New" w:hAnsi="Courier New"/>
          <w:sz w:val="17"/>
          <w:szCs w:val="17"/>
          <w:color w:val="auto"/>
        </w:rPr>
      </w:pPr>
    </w:p>
    <w:p>
      <w:pPr>
        <w:ind w:right="1839" w:firstLine="3"/>
        <w:spacing w:after="0" w:line="257" w:lineRule="auto"/>
        <w:tabs>
          <w:tab w:leader="none" w:pos="80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all acts necessary in order to file such forms with the Securities and Exchange Commission, any securities exchange or national association, the Company and such other person or agency as the attorney-in-fact shall deem appropriate.</w:t>
      </w:r>
    </w:p>
    <w:p>
      <w:pPr>
        <w:spacing w:after="0" w:line="141" w:lineRule="exact"/>
        <w:rPr>
          <w:sz w:val="20"/>
          <w:szCs w:val="20"/>
          <w:color w:val="auto"/>
        </w:rPr>
      </w:pPr>
    </w:p>
    <w:p>
      <w:pPr>
        <w:ind w:right="1939"/>
        <w:spacing w:after="0" w:line="250"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49" w:lineRule="exact"/>
        <w:rPr>
          <w:sz w:val="20"/>
          <w:szCs w:val="20"/>
          <w:color w:val="auto"/>
        </w:rPr>
      </w:pPr>
    </w:p>
    <w:p>
      <w:pPr>
        <w:ind w:right="1939"/>
        <w:spacing w:after="0" w:line="253"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ID, 3, 4 and 5 with respect to the undersigned's holdings of and transactions in securities issued by the Company, unless earlier revoked by the undersigned in a signed writing delivered to the Company and the foregoing attorneys-in-fact.</w:t>
      </w:r>
    </w:p>
    <w:p>
      <w:pPr>
        <w:spacing w:after="0" w:line="144" w:lineRule="exact"/>
        <w:rPr>
          <w:sz w:val="20"/>
          <w:szCs w:val="20"/>
          <w:color w:val="auto"/>
        </w:rPr>
      </w:pPr>
    </w:p>
    <w:p>
      <w:pPr>
        <w:ind w:right="2439"/>
        <w:spacing w:after="0" w:line="29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May 11, 2023 .</w:t>
      </w:r>
    </w:p>
    <w:p>
      <w:pPr>
        <w:spacing w:after="0" w:line="200" w:lineRule="exact"/>
        <w:rPr>
          <w:sz w:val="20"/>
          <w:szCs w:val="20"/>
          <w:color w:val="auto"/>
        </w:rPr>
      </w:pPr>
    </w:p>
    <w:p>
      <w:pPr>
        <w:spacing w:after="0" w:line="299" w:lineRule="exact"/>
        <w:rPr>
          <w:sz w:val="20"/>
          <w:szCs w:val="20"/>
          <w:color w:val="auto"/>
        </w:rPr>
      </w:pPr>
    </w:p>
    <w:p>
      <w:pPr>
        <w:jc w:val="center"/>
        <w:ind w:right="7079"/>
        <w:spacing w:after="0"/>
        <w:tabs>
          <w:tab w:leader="none" w:pos="18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6"/>
          <w:szCs w:val="16"/>
          <w:color w:val="auto"/>
        </w:rPr>
        <w:t>/s/ Andrew Gengos</w:t>
      </w:r>
    </w:p>
    <w:p>
      <w:pPr>
        <w:spacing w:after="0" w:line="17"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7"/>
          <w:szCs w:val="17"/>
          <w:color w:val="auto"/>
        </w:rPr>
        <w:t>Andrew Gengos</w:t>
      </w:r>
    </w:p>
    <w:sectPr>
      <w:pgSz w:w="11900" w:h="16838" w:orient="portrait"/>
      <w:cols w:equalWidth="0" w:num="1">
        <w:col w:w="9999"/>
      </w:cols>
      <w:pgMar w:left="460" w:top="2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563623" TargetMode="External"/><Relationship Id="rId9"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2023-05-22T16:56:35Z</dcterms:created>
  <dcterms:modified xsi:type="dcterms:W3CDTF">2023-05-22T16:56:35Z</dcterms:modified>
</cp:coreProperties>
</file>