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Athira Pharma,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9512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Athira Issues Statement in Response to Richard A. Kayne’s Suspension of His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Contest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Athira Board Unanimously Recommends Shareholders Vote “FOR” its Highly Qualified Nominees – Joseph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Edelman, John M. Fluke, Jr. and Grant Pickering – on the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i w:val="1"/>
          <w:iCs w:val="1"/>
          <w:color w:val="auto"/>
        </w:rPr>
        <w:t xml:space="preserve"> proxy card</w:t>
      </w:r>
    </w:p>
    <w:p>
      <w:pPr>
        <w:spacing w:after="0" w:line="20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BOTHELL, WA, May 16,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Athira Pharma,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ATHA), a late clinical-stage biopharmaceutical company focused on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small molecules to restore neuronal health and slow neurodegeneration, today issued the following statement in response to Richard A. Kayne’s suspension of his proxy contest:</w:t>
      </w:r>
    </w:p>
    <w:p>
      <w:pPr>
        <w:spacing w:after="0" w:line="72"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 xml:space="preserve">We appreciate the strong support of our shareholders throughout this process and their recognition of the incredible talent and commitment of the people across Athira. We continue to urge shareholders to vote “FOR” Athira’s three director nominees on the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w:t>
      </w:r>
    </w:p>
    <w:p>
      <w:pPr>
        <w:spacing w:after="0" w:line="16" w:lineRule="exact"/>
        <w:rPr>
          <w:sz w:val="20"/>
          <w:szCs w:val="20"/>
          <w:color w:val="auto"/>
        </w:rPr>
      </w:pPr>
    </w:p>
    <w:p>
      <w:pPr>
        <w:ind w:left="440"/>
        <w:spacing w:after="0" w:line="296" w:lineRule="auto"/>
        <w:rPr>
          <w:sz w:val="20"/>
          <w:szCs w:val="20"/>
          <w:color w:val="auto"/>
        </w:rPr>
      </w:pPr>
      <w:r>
        <w:rPr>
          <w:rFonts w:ascii="Arial" w:cs="Arial" w:eastAsia="Arial" w:hAnsi="Arial"/>
          <w:sz w:val="16"/>
          <w:szCs w:val="16"/>
          <w:color w:val="auto"/>
        </w:rPr>
        <w:t>The Athira board is highly qualified and actively engaged in the development and execution of Athira’s strategy. It has been purpose-built for this phase in the company’s evolution. We have the right strategy, as well as the right leadership team and board of directors, to drive Athira’s success. As we enter a pivotal chapter, with topline results from the Phase 2 ACT-AD study expected by the end of the second quarter of 2022 and multiple other upcoming clinical milestones, the company will remain focused on doing what is right for Athira, our shareholders, and our patients and their caregivers. We look forward to an ongoing dialogue with our shareholders as we execute our strategy.</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Athira’s board urges shareholders to vote today “FOR” Athira’s three director nominees – Joseph Edelman, John M. Fluke, Jr. and Grant Pickering –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 is serving as financial advisor to Athira. Wilson Sonsini Goodrich &amp; Rosati, P.C. is serving as legal advisor to Athira.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Arial" w:cs="Arial" w:eastAsia="Arial" w:hAnsi="Arial"/>
          <w:sz w:val="16"/>
          <w:szCs w:val="16"/>
          <w:u w:val="single" w:color="auto"/>
          <w:color w:val="auto"/>
        </w:rPr>
        <w:t>www.athira.com</w:t>
      </w:r>
      <w:r>
        <w:rPr>
          <w:rFonts w:ascii="Arial" w:cs="Arial" w:eastAsia="Arial" w:hAnsi="Arial"/>
          <w:sz w:val="16"/>
          <w:szCs w:val="16"/>
          <w:color w:val="auto"/>
        </w:rPr>
        <w:t xml:space="preserve">. You can also follow Athira on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@athirapharma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Instagram</w:t>
      </w:r>
      <w:r>
        <w:rPr>
          <w:rFonts w:ascii="Arial" w:cs="Arial" w:eastAsia="Arial" w:hAnsi="Arial"/>
          <w:sz w:val="16"/>
          <w:szCs w:val="16"/>
          <w:color w:val="auto"/>
        </w:rPr>
        <w:t>.</w:t>
      </w:r>
    </w:p>
    <w:p>
      <w:pPr>
        <w:sectPr>
          <w:pgSz w:w="11900" w:h="16838" w:orient="portrait"/>
          <w:cols w:equalWidth="0" w:num="1">
            <w:col w:w="11000"/>
          </w:cols>
          <w:pgMar w:left="440" w:top="144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Andy Brimmer / Jamie Moser / Melissa Johnson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212-355-4449</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2022-05-17T05:16:53Z</dcterms:created>
  <dcterms:modified xsi:type="dcterms:W3CDTF">2022-05-17T05:16:53Z</dcterms:modified>
</cp:coreProperties>
</file>