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432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324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Renninger Robert</w:t>
              </w:r>
            </w:hyperlink>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Athira 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4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340" w:type="dxa"/>
            <w:vAlign w:val="bottom"/>
          </w:tcPr>
          <w:p>
            <w:pPr>
              <w:spacing w:after="0"/>
              <w:rPr>
                <w:sz w:val="19"/>
                <w:szCs w:val="19"/>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12/31/2025</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80" w:type="dxa"/>
            <w:vAlign w:val="bottom"/>
            <w:gridSpan w:val="3"/>
            <w:vMerge w:val="continue"/>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7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98011</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(1)(2)</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3"/>
              </w:rPr>
              <w:t>11/18/2025</w:t>
            </w:r>
            <w:r>
              <w:rPr>
                <w:rFonts w:ascii="Times New Roman" w:cs="Times New Roman" w:eastAsia="Times New Roman" w:hAnsi="Times New Roman"/>
                <w:sz w:val="21"/>
                <w:szCs w:val="21"/>
                <w:color w:val="008000"/>
                <w:w w:val="93"/>
                <w:vertAlign w:val="superscript"/>
              </w:rPr>
              <w:t>(3)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580" w:type="dxa"/>
            <w:vAlign w:val="bottom"/>
            <w:tcBorders>
              <w:bottom w:val="single" w:sz="8" w:color="2C2C2C"/>
            </w:tcBorders>
          </w:tcPr>
          <w:p>
            <w:pPr>
              <w:jc w:val="center"/>
              <w:ind w:left="132"/>
              <w:spacing w:after="0"/>
              <w:rPr>
                <w:sz w:val="20"/>
                <w:szCs w:val="20"/>
                <w:color w:val="auto"/>
              </w:rPr>
            </w:pPr>
            <w:r>
              <w:rPr>
                <w:rFonts w:ascii="Times New Roman" w:cs="Times New Roman" w:eastAsia="Times New Roman" w:hAnsi="Times New Roman"/>
                <w:sz w:val="17"/>
                <w:szCs w:val="17"/>
                <w:color w:val="0000FF"/>
                <w:w w:val="99"/>
              </w:rPr>
              <w:t>1,000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2.31</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11,918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12/31/2025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60" w:type="dxa"/>
            <w:vAlign w:val="bottom"/>
          </w:tcPr>
          <w:p>
            <w:pPr>
              <w:spacing w:after="0"/>
              <w:rPr>
                <w:sz w:val="22"/>
                <w:szCs w:val="22"/>
                <w:color w:val="auto"/>
              </w:rPr>
            </w:pPr>
          </w:p>
        </w:tc>
        <w:tc>
          <w:tcPr>
            <w:tcW w:w="580" w:type="dxa"/>
            <w:vAlign w:val="bottom"/>
          </w:tcPr>
          <w:p>
            <w:pPr>
              <w:jc w:val="center"/>
              <w:ind w:left="132"/>
              <w:spacing w:after="0"/>
              <w:rPr>
                <w:sz w:val="20"/>
                <w:szCs w:val="20"/>
                <w:color w:val="auto"/>
              </w:rPr>
            </w:pPr>
            <w:r>
              <w:rPr>
                <w:rFonts w:ascii="Times New Roman" w:cs="Times New Roman" w:eastAsia="Times New Roman" w:hAnsi="Times New Roman"/>
                <w:sz w:val="17"/>
                <w:szCs w:val="17"/>
                <w:color w:val="0000FF"/>
                <w:w w:val="99"/>
              </w:rPr>
              <w:t>1,236</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13,154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01/02/2026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(5)</w:t>
            </w: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3"/>
              </w:rPr>
              <w:t>297</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6.88</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12,857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2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Exercisable  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1,236</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12/31/2025</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1,236</w:t>
            </w:r>
          </w:p>
        </w:tc>
        <w:tc>
          <w:tcPr>
            <w:tcW w:w="560" w:type="dxa"/>
            <w:vAlign w:val="bottom"/>
            <w:gridSpan w:val="2"/>
          </w:tcPr>
          <w:p>
            <w:pPr>
              <w:jc w:val="center"/>
              <w:ind w:left="62"/>
              <w:spacing w:after="0"/>
              <w:rPr>
                <w:sz w:val="20"/>
                <w:szCs w:val="20"/>
                <w:color w:val="auto"/>
              </w:rPr>
            </w:pPr>
            <w:r>
              <w:rPr>
                <w:rFonts w:ascii="Times New Roman" w:cs="Times New Roman" w:eastAsia="Times New Roman" w:hAnsi="Times New Roman"/>
                <w:sz w:val="11"/>
                <w:szCs w:val="11"/>
                <w:color w:val="008000"/>
                <w:w w:val="93"/>
              </w:rPr>
              <w:t>(9)</w:t>
            </w:r>
          </w:p>
        </w:tc>
        <w:tc>
          <w:tcPr>
            <w:tcW w:w="3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(9)</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(7)</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May 19, 2025 through November 18, 2025. This transaction is also exempt under Rule 16b-3(c).</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number of shares in this Form 4 has been adjusted to reflect the impact of the Issuer's 10-for-1 reverse stock split completed on September 17, 2025 (the "Reverse Stock Split").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November 18, 2025 and is the Purchase Period comprising the Offering Period (as defined in the ESPP) that began May 19,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November 18, 2025.</w:t>
      </w:r>
    </w:p>
    <w:p>
      <w:pPr>
        <w:spacing w:after="0" w:line="45" w:lineRule="exact"/>
        <w:rPr>
          <w:rFonts w:ascii="Times New Roman" w:cs="Times New Roman" w:eastAsia="Times New Roman" w:hAnsi="Times New Roman"/>
          <w:sz w:val="13"/>
          <w:szCs w:val="13"/>
          <w:color w:val="008000"/>
        </w:rPr>
      </w:pPr>
    </w:p>
    <w:p>
      <w:pPr>
        <w:ind w:left="40" w:right="14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 No additional shares of common stock were sold by the reporting person and the shares of common stock received upon settlement of the RSUs are subject to a lock-up agreement with Cantor Fitzgerald &amp;amp; Co. entered into in connection with the Issuer's private placement in December 2025.</w:t>
      </w:r>
    </w:p>
    <w:p>
      <w:pPr>
        <w:spacing w:after="0" w:line="28"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$6.60 to $7.56,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 2024, the reporting person was granted 3,707 RSUs. One-third (1/3rd) of the RSUs vest on each of December 31, 2024, June 30, 2025 and December 31, 2025, subject to the reporting person continuing to be a Service Provider (as defined in the Issuer's 2020 Equity Incentive Plan (the "Plan")) through the applicable vesting dates.</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54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01/05/2026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Robert Renninger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65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5810"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7968"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2026-01-05T19:57:29Z</dcterms:created>
  <dcterms:modified xsi:type="dcterms:W3CDTF">2026-01-05T19:57:29Z</dcterms:modified>
</cp:coreProperties>
</file>