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201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201545"/>
                    </a:xfrm>
                    <a:prstGeom prst="rect">
                      <a:avLst/>
                    </a:prstGeom>
                    <a:noFill/>
                  </pic:spPr>
                </pic:pic>
              </a:graphicData>
            </a:graphic>
          </wp:anchor>
        </w:drawing>
      </w:r>
    </w:p>
    <w:p>
      <w:pPr>
        <w:sectPr>
          <w:pgSz w:w="11900" w:h="16838" w:orient="portrait"/>
          <w:cols w:equalWidth="0" w:num="1">
            <w:col w:w="10940"/>
          </w:cols>
          <w:pgMar w:left="480" w:top="230" w:right="479" w:bottom="28"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3020" w:type="dxa"/>
            <w:vAlign w:val="bottom"/>
            <w:gridSpan w:val="3"/>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PERCEPTIVE ADVISORS</w:t>
              </w:r>
            </w:hyperlink>
          </w:p>
        </w:tc>
        <w:tc>
          <w:tcPr>
            <w:tcW w:w="1560" w:type="dxa"/>
            <w:vAlign w:val="bottom"/>
          </w:tcPr>
          <w:p>
            <w:pPr>
              <w:ind w:left="20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3020" w:type="dxa"/>
            <w:vAlign w:val="bottom"/>
            <w:gridSpan w:val="3"/>
            <w:vMerge w:val="continue"/>
          </w:tcPr>
          <w:p>
            <w:pPr>
              <w:spacing w:after="0"/>
              <w:rPr>
                <w:sz w:val="14"/>
                <w:szCs w:val="14"/>
                <w:color w:val="auto"/>
              </w:rPr>
            </w:pPr>
          </w:p>
        </w:tc>
        <w:tc>
          <w:tcPr>
            <w:tcW w:w="1560" w:type="dxa"/>
            <w:vAlign w:val="bottom"/>
          </w:tcPr>
          <w:p>
            <w:pPr>
              <w:ind w:left="200"/>
              <w:spacing w:after="0" w:line="169"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680" w:type="dxa"/>
            <w:vAlign w:val="bottom"/>
            <w:tcBorders>
              <w:top w:val="single" w:sz="8" w:color="0000EE"/>
            </w:tcBorders>
            <w:gridSpan w:val="2"/>
          </w:tcPr>
          <w:p>
            <w:pPr>
              <w:spacing w:after="0" w:line="250"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LLC</w:t>
              </w:r>
            </w:hyperlink>
          </w:p>
        </w:tc>
        <w:tc>
          <w:tcPr>
            <w:tcW w:w="340" w:type="dxa"/>
            <w:vAlign w:val="bottom"/>
          </w:tcPr>
          <w:p>
            <w:pPr>
              <w:spacing w:after="0"/>
              <w:rPr>
                <w:sz w:val="21"/>
                <w:szCs w:val="21"/>
                <w:color w:val="auto"/>
              </w:rPr>
            </w:pPr>
          </w:p>
        </w:tc>
        <w:tc>
          <w:tcPr>
            <w:tcW w:w="156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09/17/2020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21" w:lineRule="exact"/>
        <w:rPr>
          <w:sz w:val="20"/>
          <w:szCs w:val="20"/>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Athira Pharma,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ATHA</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4" w:lineRule="exact"/>
        <w:rPr>
          <w:sz w:val="20"/>
          <w:szCs w:val="20"/>
          <w:color w:val="auto"/>
        </w:rPr>
      </w:pPr>
    </w:p>
    <w:p>
      <w:pPr>
        <w:sectPr>
          <w:pgSz w:w="11900" w:h="16838" w:orient="portrait"/>
          <w:cols w:equalWidth="0" w:num="2">
            <w:col w:w="4720" w:space="280"/>
            <w:col w:w="5940"/>
          </w:cols>
          <w:pgMar w:left="480" w:top="230" w:right="479" w:bottom="28" w:gutter="0" w:footer="0" w:header="0"/>
          <w:type w:val="continuous"/>
        </w:sectPr>
      </w:pPr>
    </w:p>
    <w:p>
      <w:pPr>
        <w:spacing w:after="0" w:line="315" w:lineRule="exact"/>
        <w:rPr>
          <w:sz w:val="20"/>
          <w:szCs w:val="20"/>
          <w:color w:val="auto"/>
        </w:rPr>
      </w:pPr>
    </w:p>
    <w:tbl>
      <w:tblPr>
        <w:tblLayout w:type="fixed"/>
        <w:tblInd w:w="100" w:type="dxa"/>
        <w:tblCellMar>
          <w:top w:w="0" w:type="dxa"/>
          <w:left w:w="0" w:type="dxa"/>
          <w:bottom w:w="0" w:type="dxa"/>
          <w:right w:w="0" w:type="dxa"/>
        </w:tblCellMar>
      </w:tblPr>
      <w:tr>
        <w:trPr>
          <w:trHeight w:val="202"/>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40" w:type="dxa"/>
            <w:vAlign w:val="bottom"/>
          </w:tcPr>
          <w:p>
            <w:pPr>
              <w:ind w:left="24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51 ASTOR PLACE, 10TH FLOOR</w:t>
            </w:r>
          </w:p>
        </w:tc>
        <w:tc>
          <w:tcPr>
            <w:tcW w:w="0" w:type="dxa"/>
            <w:vAlign w:val="bottom"/>
          </w:tcPr>
          <w:p>
            <w:pPr>
              <w:spacing w:after="0"/>
              <w:rPr>
                <w:sz w:val="1"/>
                <w:szCs w:val="1"/>
                <w:color w:val="auto"/>
              </w:rPr>
            </w:pPr>
          </w:p>
        </w:tc>
      </w:tr>
      <w:tr>
        <w:trPr>
          <w:trHeight w:val="237"/>
        </w:trPr>
        <w:tc>
          <w:tcPr>
            <w:tcW w:w="820" w:type="dxa"/>
            <w:vAlign w:val="bottom"/>
            <w:tcBorders>
              <w:bottom w:val="single" w:sz="8" w:color="9A9A9A"/>
            </w:tcBorders>
          </w:tcPr>
          <w:p>
            <w:pPr>
              <w:spacing w:after="0"/>
              <w:rPr>
                <w:sz w:val="20"/>
                <w:szCs w:val="20"/>
                <w:color w:val="auto"/>
              </w:rPr>
            </w:pPr>
          </w:p>
        </w:tc>
        <w:tc>
          <w:tcPr>
            <w:tcW w:w="94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w:t>
            </w: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NY</w:t>
            </w: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10003</w:t>
            </w:r>
          </w:p>
        </w:tc>
        <w:tc>
          <w:tcPr>
            <w:tcW w:w="0" w:type="dxa"/>
            <w:vAlign w:val="bottom"/>
          </w:tcPr>
          <w:p>
            <w:pPr>
              <w:spacing w:after="0"/>
              <w:rPr>
                <w:sz w:val="1"/>
                <w:szCs w:val="1"/>
                <w:color w:val="auto"/>
              </w:rPr>
            </w:pPr>
          </w:p>
        </w:tc>
      </w:tr>
      <w:tr>
        <w:trPr>
          <w:trHeight w:val="134"/>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YORK</w:t>
            </w:r>
          </w:p>
        </w:tc>
        <w:tc>
          <w:tcPr>
            <w:tcW w:w="94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0"/>
          <w:szCs w:val="20"/>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67"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1"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7"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55" w:lineRule="auto"/>
        <w:rPr>
          <w:sz w:val="20"/>
          <w:szCs w:val="20"/>
          <w:color w:val="auto"/>
        </w:rPr>
      </w:pPr>
      <w:r>
        <w:rPr>
          <w:rFonts w:ascii="Arial" w:cs="Arial" w:eastAsia="Arial" w:hAnsi="Arial"/>
          <w:sz w:val="15"/>
          <w:szCs w:val="15"/>
          <w:color w:val="auto"/>
        </w:rPr>
        <w:t>Form filed by One Reporting Person</w:t>
      </w:r>
    </w:p>
    <w:p>
      <w:pPr>
        <w:spacing w:after="0" w:line="24" w:lineRule="exact"/>
        <w:rPr>
          <w:sz w:val="20"/>
          <w:szCs w:val="20"/>
          <w:color w:val="auto"/>
        </w:rPr>
      </w:pPr>
    </w:p>
    <w:p>
      <w:pPr>
        <w:ind w:left="451" w:right="32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More than One Reporting Person</w:t>
      </w:r>
    </w:p>
    <w:p>
      <w:pPr>
        <w:spacing w:after="0" w:line="255" w:lineRule="exact"/>
        <w:rPr>
          <w:sz w:val="20"/>
          <w:szCs w:val="20"/>
          <w:color w:val="auto"/>
        </w:rPr>
      </w:pPr>
    </w:p>
    <w:p>
      <w:pPr>
        <w:sectPr>
          <w:pgSz w:w="11900" w:h="16838" w:orient="portrait"/>
          <w:cols w:equalWidth="0" w:num="3">
            <w:col w:w="4277" w:space="720"/>
            <w:col w:w="3003" w:space="269"/>
            <w:col w:w="2671"/>
          </w:cols>
          <w:pgMar w:left="480" w:top="230" w:right="479" w:bottom="28" w:gutter="0" w:footer="0" w:header="0"/>
          <w:type w:val="continuous"/>
        </w:sectPr>
      </w:pPr>
    </w:p>
    <w:p>
      <w:pPr>
        <w:spacing w:after="0" w:line="143"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gridSpan w:val="3"/>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20" w:type="dxa"/>
            <w:vAlign w:val="bottom"/>
          </w:tcPr>
          <w:p>
            <w:pPr>
              <w:ind w:left="80"/>
              <w:spacing w:after="0"/>
              <w:rPr>
                <w:sz w:val="20"/>
                <w:szCs w:val="20"/>
                <w:color w:val="auto"/>
              </w:rPr>
            </w:pPr>
            <w:r>
              <w:rPr>
                <w:rFonts w:ascii="Arial" w:cs="Arial" w:eastAsia="Arial" w:hAnsi="Arial"/>
                <w:sz w:val="15"/>
                <w:szCs w:val="15"/>
                <w:b w:val="1"/>
                <w:bCs w:val="1"/>
                <w:color w:val="auto"/>
              </w:rPr>
              <w:t>2. Amount of Securities</w:t>
            </w:r>
          </w:p>
        </w:tc>
        <w:tc>
          <w:tcPr>
            <w:tcW w:w="1520" w:type="dxa"/>
            <w:vAlign w:val="bottom"/>
            <w:gridSpan w:val="2"/>
          </w:tcPr>
          <w:p>
            <w:pPr>
              <w:ind w:left="34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3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52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(D) or Indirect</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520" w:type="dxa"/>
            <w:vAlign w:val="bottom"/>
            <w:gridSpan w:val="2"/>
          </w:tcPr>
          <w:p>
            <w:pPr>
              <w:ind w:left="340"/>
              <w:spacing w:after="0"/>
              <w:rPr>
                <w:sz w:val="20"/>
                <w:szCs w:val="20"/>
                <w:color w:val="auto"/>
              </w:rPr>
            </w:pPr>
            <w:r>
              <w:rPr>
                <w:rFonts w:ascii="Arial" w:cs="Arial" w:eastAsia="Arial" w:hAnsi="Arial"/>
                <w:sz w:val="15"/>
                <w:szCs w:val="15"/>
                <w:b w:val="1"/>
                <w:bCs w:val="1"/>
                <w:color w:val="auto"/>
              </w:rPr>
              <w:t>(I) (Instr. 5)</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13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ind w:left="720"/>
              <w:spacing w:after="0"/>
              <w:rPr>
                <w:sz w:val="20"/>
                <w:szCs w:val="20"/>
                <w:color w:val="auto"/>
              </w:rPr>
            </w:pPr>
            <w:r>
              <w:rPr>
                <w:rFonts w:ascii="Times New Roman" w:cs="Times New Roman" w:eastAsia="Times New Roman" w:hAnsi="Times New Roman"/>
                <w:sz w:val="20"/>
                <w:szCs w:val="20"/>
                <w:color w:val="0000FF"/>
              </w:rPr>
              <w:t>411,196</w:t>
            </w:r>
          </w:p>
        </w:tc>
        <w:tc>
          <w:tcPr>
            <w:tcW w:w="920" w:type="dxa"/>
            <w:vAlign w:val="bottom"/>
            <w:tcBorders>
              <w:bottom w:val="single" w:sz="8" w:color="2C2C2C"/>
            </w:tcBorders>
          </w:tcPr>
          <w:p>
            <w:pPr>
              <w:ind w:left="820"/>
              <w:spacing w:after="0"/>
              <w:rPr>
                <w:sz w:val="20"/>
                <w:szCs w:val="20"/>
                <w:color w:val="auto"/>
              </w:rPr>
            </w:pPr>
            <w:r>
              <w:rPr>
                <w:rFonts w:ascii="Times New Roman" w:cs="Times New Roman" w:eastAsia="Times New Roman" w:hAnsi="Times New Roman"/>
                <w:sz w:val="20"/>
                <w:szCs w:val="20"/>
                <w:color w:val="0000FF"/>
              </w:rPr>
              <w:t>I</w:t>
            </w:r>
          </w:p>
        </w:tc>
        <w:tc>
          <w:tcPr>
            <w:tcW w:w="60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w:t>
            </w:r>
          </w:p>
        </w:tc>
        <w:tc>
          <w:tcPr>
            <w:tcW w:w="1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300" w:type="dxa"/>
            <w:vAlign w:val="bottom"/>
            <w:tcBorders>
              <w:top w:val="single" w:sz="8" w:color="2C2C2C"/>
            </w:tcBorders>
          </w:tcPr>
          <w:p>
            <w:pPr>
              <w:spacing w:after="0"/>
              <w:rPr>
                <w:sz w:val="21"/>
                <w:szCs w:val="21"/>
                <w:color w:val="auto"/>
              </w:rPr>
            </w:pPr>
          </w:p>
        </w:tc>
        <w:tc>
          <w:tcPr>
            <w:tcW w:w="136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5200" w:type="dxa"/>
            <w:vAlign w:val="bottom"/>
            <w:tcBorders>
              <w:top w:val="single" w:sz="8" w:color="2C2C2C"/>
            </w:tcBorders>
            <w:gridSpan w:val="7"/>
          </w:tcPr>
          <w:p>
            <w:pPr>
              <w:ind w:left="22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80" w:type="dxa"/>
            <w:vAlign w:val="bottom"/>
            <w:tcBorders>
              <w:top w:val="single" w:sz="8" w:color="2C2C2C"/>
            </w:tcBorders>
          </w:tcPr>
          <w:p>
            <w:pPr>
              <w:spacing w:after="0"/>
              <w:rPr>
                <w:sz w:val="21"/>
                <w:szCs w:val="21"/>
                <w:color w:val="auto"/>
              </w:rPr>
            </w:pPr>
          </w:p>
        </w:tc>
        <w:tc>
          <w:tcPr>
            <w:tcW w:w="940" w:type="dxa"/>
            <w:vAlign w:val="bottom"/>
            <w:tcBorders>
              <w:top w:val="single" w:sz="8" w:color="2C2C2C"/>
            </w:tcBorders>
          </w:tcPr>
          <w:p>
            <w:pPr>
              <w:spacing w:after="0"/>
              <w:rPr>
                <w:sz w:val="21"/>
                <w:szCs w:val="21"/>
                <w:color w:val="auto"/>
              </w:rPr>
            </w:pPr>
          </w:p>
        </w:tc>
        <w:tc>
          <w:tcPr>
            <w:tcW w:w="14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5380" w:type="dxa"/>
            <w:vAlign w:val="bottom"/>
            <w:gridSpan w:val="8"/>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7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760" w:type="dxa"/>
            <w:vAlign w:val="bottom"/>
            <w:gridSpan w:val="3"/>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180" w:type="dxa"/>
            <w:vAlign w:val="bottom"/>
          </w:tcPr>
          <w:p>
            <w:pPr>
              <w:spacing w:after="0"/>
              <w:rPr>
                <w:sz w:val="17"/>
                <w:szCs w:val="17"/>
                <w:color w:val="auto"/>
              </w:rPr>
            </w:pPr>
          </w:p>
        </w:tc>
        <w:tc>
          <w:tcPr>
            <w:tcW w:w="1860" w:type="dxa"/>
            <w:vAlign w:val="bottom"/>
            <w:gridSpan w:val="4"/>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6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7"/>
                <w:szCs w:val="17"/>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20" w:type="dxa"/>
            <w:vAlign w:val="bottom"/>
          </w:tcPr>
          <w:p>
            <w:pPr>
              <w:spacing w:after="0"/>
              <w:rPr>
                <w:sz w:val="4"/>
                <w:szCs w:val="4"/>
                <w:color w:val="auto"/>
              </w:rPr>
            </w:pPr>
          </w:p>
        </w:tc>
        <w:tc>
          <w:tcPr>
            <w:tcW w:w="92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Amount or</w:t>
            </w:r>
          </w:p>
        </w:tc>
        <w:tc>
          <w:tcPr>
            <w:tcW w:w="980" w:type="dxa"/>
            <w:vAlign w:val="bottom"/>
            <w:gridSpan w:val="2"/>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880" w:type="dxa"/>
            <w:vAlign w:val="bottom"/>
            <w:gridSpan w:val="3"/>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8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980" w:type="dxa"/>
            <w:vAlign w:val="bottom"/>
            <w:gridSpan w:val="2"/>
          </w:tcPr>
          <w:p>
            <w:pPr>
              <w:ind w:left="8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8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vMerge w:val="continue"/>
          </w:tcPr>
          <w:p>
            <w:pPr>
              <w:spacing w:after="0"/>
              <w:rPr>
                <w:sz w:val="18"/>
                <w:szCs w:val="18"/>
                <w:color w:val="auto"/>
              </w:rPr>
            </w:pPr>
          </w:p>
        </w:tc>
        <w:tc>
          <w:tcPr>
            <w:tcW w:w="920" w:type="dxa"/>
            <w:vAlign w:val="bottom"/>
          </w:tcPr>
          <w:p>
            <w:pPr>
              <w:ind w:left="60"/>
              <w:spacing w:after="0"/>
              <w:rPr>
                <w:sz w:val="20"/>
                <w:szCs w:val="20"/>
                <w:color w:val="auto"/>
              </w:rPr>
            </w:pPr>
            <w:r>
              <w:rPr>
                <w:rFonts w:ascii="Arial" w:cs="Arial" w:eastAsia="Arial" w:hAnsi="Arial"/>
                <w:sz w:val="15"/>
                <w:szCs w:val="15"/>
                <w:b w:val="1"/>
                <w:bCs w:val="1"/>
                <w:color w:val="auto"/>
              </w:rPr>
              <w:t>Shares</w:t>
            </w: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Series B Preferrred Stock</w:t>
            </w:r>
          </w:p>
        </w:tc>
        <w:tc>
          <w:tcPr>
            <w:tcW w:w="116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Borders>
              <w:bottom w:val="single" w:sz="8" w:color="2C2C2C"/>
            </w:tcBorders>
            <w:gridSpan w:val="3"/>
          </w:tcPr>
          <w:p>
            <w:pPr>
              <w:jc w:val="right"/>
              <w:ind w:right="360"/>
              <w:spacing w:after="0"/>
              <w:rPr>
                <w:sz w:val="20"/>
                <w:szCs w:val="20"/>
                <w:color w:val="auto"/>
              </w:rPr>
            </w:pPr>
            <w:r>
              <w:rPr>
                <w:rFonts w:ascii="Times New Roman" w:cs="Times New Roman" w:eastAsia="Times New Roman" w:hAnsi="Times New Roman"/>
                <w:sz w:val="13"/>
                <w:szCs w:val="13"/>
                <w:color w:val="008000"/>
              </w:rPr>
              <w:t>(2)</w:t>
            </w:r>
          </w:p>
        </w:tc>
        <w:tc>
          <w:tcPr>
            <w:tcW w:w="18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9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20"/>
                <w:szCs w:val="20"/>
                <w:color w:val="0000FF"/>
              </w:rPr>
              <w:t>1,644,785</w:t>
            </w:r>
          </w:p>
        </w:tc>
        <w:tc>
          <w:tcPr>
            <w:tcW w:w="6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3"/>
                <w:szCs w:val="13"/>
                <w:color w:val="008000"/>
              </w:rPr>
              <w:t>(2)</w:t>
            </w:r>
          </w:p>
        </w:tc>
        <w:tc>
          <w:tcPr>
            <w:tcW w:w="3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Stock Options (Right to Buy)</w:t>
            </w:r>
          </w:p>
        </w:tc>
        <w:tc>
          <w:tcPr>
            <w:tcW w:w="116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Borders>
              <w:bottom w:val="single" w:sz="8" w:color="2C2C2C"/>
            </w:tcBorders>
            <w:gridSpan w:val="3"/>
          </w:tcPr>
          <w:p>
            <w:pPr>
              <w:jc w:val="right"/>
              <w:ind w:right="80"/>
              <w:spacing w:after="0"/>
              <w:rPr>
                <w:sz w:val="20"/>
                <w:szCs w:val="20"/>
                <w:color w:val="auto"/>
              </w:rPr>
            </w:pPr>
            <w:r>
              <w:rPr>
                <w:rFonts w:ascii="Times New Roman" w:cs="Times New Roman" w:eastAsia="Times New Roman" w:hAnsi="Times New Roman"/>
                <w:sz w:val="15"/>
                <w:szCs w:val="15"/>
                <w:color w:val="0000FF"/>
              </w:rPr>
              <w:t>09/16/2030</w:t>
            </w:r>
          </w:p>
        </w:tc>
        <w:tc>
          <w:tcPr>
            <w:tcW w:w="18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Common Stock</w:t>
            </w:r>
          </w:p>
        </w:tc>
        <w:tc>
          <w:tcPr>
            <w:tcW w:w="920" w:type="dxa"/>
            <w:vAlign w:val="bottom"/>
            <w:tcBorders>
              <w:bottom w:val="single" w:sz="8" w:color="2C2C2C"/>
            </w:tcBorders>
          </w:tcPr>
          <w:p>
            <w:pPr>
              <w:jc w:val="right"/>
              <w:ind w:right="117"/>
              <w:spacing w:after="0"/>
              <w:rPr>
                <w:sz w:val="20"/>
                <w:szCs w:val="20"/>
                <w:color w:val="auto"/>
              </w:rPr>
            </w:pPr>
            <w:r>
              <w:rPr>
                <w:rFonts w:ascii="Times New Roman" w:cs="Times New Roman" w:eastAsia="Times New Roman" w:hAnsi="Times New Roman"/>
                <w:sz w:val="20"/>
                <w:szCs w:val="20"/>
                <w:color w:val="0000FF"/>
              </w:rPr>
              <w:t>27,742</w:t>
            </w:r>
          </w:p>
        </w:tc>
        <w:tc>
          <w:tcPr>
            <w:tcW w:w="6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20"/>
                <w:szCs w:val="20"/>
                <w:color w:val="0000FF"/>
              </w:rPr>
              <w:t>17</w:t>
            </w:r>
          </w:p>
        </w:tc>
        <w:tc>
          <w:tcPr>
            <w:tcW w:w="3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6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20"/>
                <w:szCs w:val="20"/>
                <w:color w:val="0000FF"/>
              </w:rPr>
              <w:t>See footnote</w:t>
            </w:r>
            <w:r>
              <w:rPr>
                <w:rFonts w:ascii="Times New Roman" w:cs="Times New Roman" w:eastAsia="Times New Roman" w:hAnsi="Times New Roman"/>
                <w:sz w:val="25"/>
                <w:szCs w:val="25"/>
                <w:color w:val="008000"/>
                <w:vertAlign w:val="superscript"/>
              </w:rPr>
              <w:t>(4)</w:t>
            </w: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3920" w:type="dxa"/>
            <w:vAlign w:val="bottom"/>
            <w:tcBorders>
              <w:top w:val="single" w:sz="8" w:color="2C2C2C"/>
            </w:tcBorders>
            <w:gridSpan w:val="5"/>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30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46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gridSpan w:val="4"/>
          </w:tcPr>
          <w:p>
            <w:pPr>
              <w:ind w:left="2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PERCEPTIVE ADVISORS LLC</w:t>
              </w:r>
            </w:hyperlink>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gridSpan w:val="2"/>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(Last)</w:t>
            </w:r>
          </w:p>
        </w:tc>
        <w:tc>
          <w:tcPr>
            <w:tcW w:w="1360" w:type="dxa"/>
            <w:vAlign w:val="bottom"/>
          </w:tcPr>
          <w:p>
            <w:pPr>
              <w:ind w:left="100"/>
              <w:spacing w:after="0"/>
              <w:rPr>
                <w:sz w:val="20"/>
                <w:szCs w:val="20"/>
                <w:color w:val="auto"/>
              </w:rPr>
            </w:pPr>
            <w:r>
              <w:rPr>
                <w:rFonts w:ascii="Arial" w:cs="Arial" w:eastAsia="Arial" w:hAnsi="Arial"/>
                <w:sz w:val="15"/>
                <w:szCs w:val="15"/>
                <w:color w:val="auto"/>
              </w:rPr>
              <w:t>(First)</w:t>
            </w:r>
          </w:p>
        </w:tc>
        <w:tc>
          <w:tcPr>
            <w:tcW w:w="1160" w:type="dxa"/>
            <w:vAlign w:val="bottom"/>
            <w:gridSpan w:val="2"/>
          </w:tcPr>
          <w:p>
            <w:pPr>
              <w:ind w:left="120"/>
              <w:spacing w:after="0"/>
              <w:rPr>
                <w:sz w:val="20"/>
                <w:szCs w:val="20"/>
                <w:color w:val="auto"/>
              </w:rPr>
            </w:pPr>
            <w:r>
              <w:rPr>
                <w:rFonts w:ascii="Arial" w:cs="Arial" w:eastAsia="Arial" w:hAnsi="Arial"/>
                <w:sz w:val="15"/>
                <w:szCs w:val="15"/>
                <w:color w:val="auto"/>
              </w:rPr>
              <w:t>(Middle)</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20" w:type="dxa"/>
            <w:vAlign w:val="bottom"/>
            <w:gridSpan w:val="4"/>
          </w:tcPr>
          <w:p>
            <w:pPr>
              <w:ind w:left="20"/>
              <w:spacing w:after="0"/>
              <w:rPr>
                <w:sz w:val="20"/>
                <w:szCs w:val="20"/>
                <w:color w:val="auto"/>
              </w:rPr>
            </w:pPr>
            <w:r>
              <w:rPr>
                <w:rFonts w:ascii="Times New Roman" w:cs="Times New Roman" w:eastAsia="Times New Roman" w:hAnsi="Times New Roman"/>
                <w:sz w:val="20"/>
                <w:szCs w:val="20"/>
                <w:color w:val="0000FF"/>
              </w:rPr>
              <w:t>51 ASTOR PLACE, 10TH FLOOR</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c>
          <w:tcPr>
            <w:tcW w:w="1360" w:type="dxa"/>
            <w:vAlign w:val="bottom"/>
            <w:tcBorders>
              <w:bottom w:val="single" w:sz="8" w:color="9A9A9A"/>
            </w:tcBorders>
          </w:tcPr>
          <w:p>
            <w:pPr>
              <w:spacing w:after="0"/>
              <w:rPr>
                <w:sz w:val="20"/>
                <w:szCs w:val="20"/>
                <w:color w:val="auto"/>
              </w:rPr>
            </w:pPr>
          </w:p>
        </w:tc>
        <w:tc>
          <w:tcPr>
            <w:tcW w:w="18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0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NEW YORK</w:t>
            </w:r>
          </w:p>
        </w:tc>
        <w:tc>
          <w:tcPr>
            <w:tcW w:w="136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NY</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0000FF"/>
              </w:rPr>
              <w:t>10003</w:t>
            </w: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gridSpan w:val="2"/>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(City)</w:t>
            </w:r>
          </w:p>
        </w:tc>
        <w:tc>
          <w:tcPr>
            <w:tcW w:w="1360" w:type="dxa"/>
            <w:vAlign w:val="bottom"/>
          </w:tcPr>
          <w:p>
            <w:pPr>
              <w:ind w:left="100"/>
              <w:spacing w:after="0"/>
              <w:rPr>
                <w:sz w:val="20"/>
                <w:szCs w:val="20"/>
                <w:color w:val="auto"/>
              </w:rPr>
            </w:pPr>
            <w:r>
              <w:rPr>
                <w:rFonts w:ascii="Arial" w:cs="Arial" w:eastAsia="Arial" w:hAnsi="Arial"/>
                <w:sz w:val="15"/>
                <w:szCs w:val="15"/>
                <w:color w:val="auto"/>
              </w:rPr>
              <w:t>(State)</w:t>
            </w:r>
          </w:p>
        </w:tc>
        <w:tc>
          <w:tcPr>
            <w:tcW w:w="1160" w:type="dxa"/>
            <w:vAlign w:val="bottom"/>
            <w:gridSpan w:val="2"/>
          </w:tcPr>
          <w:p>
            <w:pPr>
              <w:ind w:left="120"/>
              <w:spacing w:after="0"/>
              <w:rPr>
                <w:sz w:val="20"/>
                <w:szCs w:val="20"/>
                <w:color w:val="auto"/>
              </w:rPr>
            </w:pPr>
            <w:r>
              <w:rPr>
                <w:rFonts w:ascii="Arial" w:cs="Arial" w:eastAsia="Arial" w:hAnsi="Arial"/>
                <w:sz w:val="15"/>
                <w:szCs w:val="15"/>
                <w:color w:val="auto"/>
              </w:rPr>
              <w:t>(Zip)</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-3517265</wp:posOffset>
            </wp:positionV>
            <wp:extent cx="6946900" cy="5631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5631815"/>
                    </a:xfrm>
                    <a:prstGeom prst="rect">
                      <a:avLst/>
                    </a:prstGeom>
                    <a:noFill/>
                  </pic:spPr>
                </pic:pic>
              </a:graphicData>
            </a:graphic>
          </wp:anchor>
        </w:drawing>
      </w:r>
    </w:p>
    <w:p>
      <w:pPr>
        <w:spacing w:after="0" w:line="121"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line="234" w:lineRule="auto"/>
        <w:rPr>
          <w:rFonts w:ascii="Times New Roman" w:cs="Times New Roman" w:eastAsia="Times New Roman" w:hAnsi="Times New Roman"/>
          <w:sz w:val="24"/>
          <w:szCs w:val="24"/>
          <w:u w:val="single" w:color="auto"/>
          <w:color w:val="0000EE"/>
        </w:rPr>
      </w:pPr>
      <w:hyperlink r:id="rId14">
        <w:r>
          <w:rPr>
            <w:rFonts w:ascii="Times New Roman" w:cs="Times New Roman" w:eastAsia="Times New Roman" w:hAnsi="Times New Roman"/>
            <w:sz w:val="24"/>
            <w:szCs w:val="24"/>
            <w:u w:val="single" w:color="auto"/>
            <w:color w:val="0000EE"/>
          </w:rPr>
          <w:t>PERCEPTIVE LIFE SCIENCES</w:t>
        </w:r>
      </w:hyperlink>
    </w:p>
    <w:p>
      <w:pPr>
        <w:spacing w:after="0" w:line="1" w:lineRule="exact"/>
        <w:rPr>
          <w:sz w:val="20"/>
          <w:szCs w:val="20"/>
          <w:color w:val="auto"/>
        </w:rPr>
      </w:pPr>
    </w:p>
    <w:p>
      <w:pPr>
        <w:ind w:left="140"/>
        <w:spacing w:after="0"/>
        <w:rPr>
          <w:rFonts w:ascii="Times New Roman" w:cs="Times New Roman" w:eastAsia="Times New Roman" w:hAnsi="Times New Roman"/>
          <w:sz w:val="24"/>
          <w:szCs w:val="24"/>
          <w:u w:val="single" w:color="auto"/>
          <w:color w:val="0000EE"/>
        </w:rPr>
      </w:pPr>
      <w:hyperlink r:id="rId14">
        <w:r>
          <w:rPr>
            <w:rFonts w:ascii="Times New Roman" w:cs="Times New Roman" w:eastAsia="Times New Roman" w:hAnsi="Times New Roman"/>
            <w:sz w:val="24"/>
            <w:szCs w:val="24"/>
            <w:u w:val="single" w:color="auto"/>
            <w:color w:val="0000EE"/>
          </w:rPr>
          <w:t>MASTER FUND LTD</w:t>
        </w:r>
      </w:hyperlink>
    </w:p>
    <w:p>
      <w:pPr>
        <w:spacing w:after="0" w:line="339"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PERCEPTIVE ADVISORS LLC</w:t>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51 ASTOR PLACE, 10TH FLOOR</w:t>
      </w:r>
    </w:p>
    <w:p>
      <w:pPr>
        <w:spacing w:after="0" w:line="322"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(Street)</w:t>
      </w:r>
    </w:p>
    <w:p>
      <w:pPr>
        <w:sectPr>
          <w:pgSz w:w="11900" w:h="16838" w:orient="portrait"/>
          <w:cols w:equalWidth="0" w:num="1">
            <w:col w:w="10940"/>
          </w:cols>
          <w:pgMar w:left="480" w:top="230" w:right="479" w:bottom="28" w:gutter="0" w:footer="0" w:header="0"/>
          <w:type w:val="continuous"/>
        </w:sectPr>
      </w:pPr>
    </w:p>
    <w:p>
      <w:pPr>
        <w:spacing w:after="0" w:line="41" w:lineRule="exact"/>
        <w:rPr>
          <w:sz w:val="20"/>
          <w:szCs w:val="20"/>
          <w:color w:val="auto"/>
        </w:rPr>
      </w:pPr>
    </w:p>
    <w:p>
      <w:pPr>
        <w:ind w:left="140"/>
        <w:spacing w:after="0"/>
        <w:tabs>
          <w:tab w:leader="none" w:pos="1500" w:val="left"/>
          <w:tab w:leader="none" w:pos="2880" w:val="left"/>
        </w:tabs>
        <w:rPr>
          <w:sz w:val="20"/>
          <w:szCs w:val="20"/>
          <w:color w:val="auto"/>
        </w:rPr>
      </w:pPr>
      <w:r>
        <w:rPr>
          <w:rFonts w:ascii="Times New Roman" w:cs="Times New Roman" w:eastAsia="Times New Roman" w:hAnsi="Times New Roman"/>
          <w:sz w:val="20"/>
          <w:szCs w:val="20"/>
          <w:color w:val="0000FF"/>
        </w:rPr>
        <w:t>NEW YORK</w:t>
      </w:r>
      <w:r>
        <w:rPr>
          <w:sz w:val="20"/>
          <w:szCs w:val="20"/>
          <w:color w:val="auto"/>
        </w:rPr>
        <w:tab/>
      </w:r>
      <w:r>
        <w:rPr>
          <w:rFonts w:ascii="Times New Roman" w:cs="Times New Roman" w:eastAsia="Times New Roman" w:hAnsi="Times New Roman"/>
          <w:sz w:val="20"/>
          <w:szCs w:val="20"/>
          <w:color w:val="0000FF"/>
        </w:rPr>
        <w:t>NY</w:t>
      </w:r>
      <w:r>
        <w:rPr>
          <w:sz w:val="20"/>
          <w:szCs w:val="20"/>
          <w:color w:val="auto"/>
        </w:rPr>
        <w:tab/>
      </w:r>
      <w:r>
        <w:rPr>
          <w:rFonts w:ascii="Times New Roman" w:cs="Times New Roman" w:eastAsia="Times New Roman" w:hAnsi="Times New Roman"/>
          <w:sz w:val="18"/>
          <w:szCs w:val="18"/>
          <w:color w:val="0000FF"/>
        </w:rPr>
        <w:t>10003</w:t>
      </w:r>
    </w:p>
    <w:p>
      <w:pPr>
        <w:sectPr>
          <w:pgSz w:w="11900" w:h="16838" w:orient="portrait"/>
          <w:cols w:equalWidth="0" w:num="1">
            <w:col w:w="10940"/>
          </w:cols>
          <w:pgMar w:left="480" w:top="230" w:right="479" w:bottom="28" w:gutter="0" w:footer="0" w:header="0"/>
          <w:type w:val="continuous"/>
        </w:sectPr>
      </w:pPr>
    </w:p>
    <w:bookmarkStart w:id="1" w:name="page2"/>
    <w:bookmarkEnd w:id="1"/>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-95885</wp:posOffset>
            </wp:positionV>
            <wp:extent cx="2773045" cy="190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773045" cy="19050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59" w:lineRule="exact"/>
        <w:rPr>
          <w:sz w:val="20"/>
          <w:szCs w:val="20"/>
          <w:color w:val="auto"/>
        </w:rPr>
      </w:pPr>
    </w:p>
    <w:p>
      <w:pPr>
        <w:ind w:right="20" w:firstLine="5"/>
        <w:spacing w:after="0" w:line="239"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securities are directly held by Perceptive Life Sciences Master Fund Ltd. (the "Master Fund"). Perceptive Advisors LLC (the "Advisor") serves as the investment manager of the Master Fund. The Advisor disclaims, for purposes of Section 16 of the Securities Exchange Act of 1934, beneficial ownership of such securities, except to the extent of its indirect pecuniary interest therein, and this report shall not be deemed an admission that the Advisor is the beneficial owner of such securities for purposes of Section 16 or for any other purposes. Joseph Edelman, the managing member of the Advisor, serves as a director of the Issuer and has filed a separate Form 3.</w:t>
      </w:r>
    </w:p>
    <w:p>
      <w:pPr>
        <w:spacing w:after="0" w:line="33" w:lineRule="exact"/>
        <w:rPr>
          <w:rFonts w:ascii="Times New Roman" w:cs="Times New Roman" w:eastAsia="Times New Roman" w:hAnsi="Times New Roman"/>
          <w:sz w:val="15"/>
          <w:szCs w:val="15"/>
          <w:color w:val="008000"/>
        </w:rPr>
      </w:pPr>
    </w:p>
    <w:p>
      <w:pPr>
        <w:ind w:right="160" w:firstLine="5"/>
        <w:spacing w:after="0" w:line="259"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Series B Preferred Stock is convertible into shares of the Issuer's Common Stock on a 1-for-1 basis, and will automatically convert to shares of the Issuer's Common Stock upon the closing of the Issuer's initial public offering. These shares have no expiration date.</w:t>
      </w:r>
    </w:p>
    <w:p>
      <w:pPr>
        <w:spacing w:after="0" w:line="17" w:lineRule="exact"/>
        <w:rPr>
          <w:rFonts w:ascii="Times New Roman" w:cs="Times New Roman" w:eastAsia="Times New Roman" w:hAnsi="Times New Roman"/>
          <w:sz w:val="15"/>
          <w:szCs w:val="15"/>
          <w:color w:val="008000"/>
        </w:rPr>
      </w:pPr>
    </w:p>
    <w:p>
      <w:pPr>
        <w:ind w:left="160" w:hanging="155"/>
        <w:spacing w:after="0"/>
        <w:tabs>
          <w:tab w:leader="none" w:pos="16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One-thirty-sixth of the shares subject to the option will vest on October 17, 2020 and thereafter one-thirty-sixth of the shares subject to the option will vest each month.</w:t>
      </w:r>
    </w:p>
    <w:p>
      <w:pPr>
        <w:spacing w:after="0" w:line="52" w:lineRule="exact"/>
        <w:rPr>
          <w:rFonts w:ascii="Times New Roman" w:cs="Times New Roman" w:eastAsia="Times New Roman" w:hAnsi="Times New Roman"/>
          <w:sz w:val="15"/>
          <w:szCs w:val="15"/>
          <w:color w:val="008000"/>
        </w:rPr>
      </w:pPr>
    </w:p>
    <w:p>
      <w:pPr>
        <w:ind w:firstLine="5"/>
        <w:spacing w:after="0" w:line="237"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Consists of options to purchase shares of the Issuer's common stock awarded to Mr. Edelman in connection with his role as a member of the Issuer's board of directors. The Advisor may be deemed to have an indirect pecuniary interest in the options to purchase common stock of the Issuer reported herein because the Advisor has the right to receive the director compensation provided in respect of Mr. Edelman's board service through a partial management fee offset. The Advisor disclaims, for purposes of Section 16 of the Securities Exchange Act of 1934, beneficial ownership of such securities, except to the extent of its indirect pecuniary interest therein, and this report shall not be deemed an admission that the Advisor is the beneficial owner of such securities for purposes of Section 16 or for any other purposes.</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152"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 Perceptive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90805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90805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Sciences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9410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09410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Ltd., By: Perceptive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9758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997585" cy="9525"/>
                    </a:xfrm>
                    <a:prstGeom prst="rect">
                      <a:avLst/>
                    </a:prstGeom>
                    <a:noFill/>
                  </pic:spPr>
                </pic:pic>
              </a:graphicData>
            </a:graphic>
          </wp:anchor>
        </w:drawing>
      </w:r>
    </w:p>
    <w:p>
      <w:pPr>
        <w:ind w:left="6540"/>
        <w:spacing w:after="0"/>
        <w:tabs>
          <w:tab w:leader="none" w:pos="8700" w:val="left"/>
        </w:tabs>
        <w:rPr>
          <w:sz w:val="20"/>
          <w:szCs w:val="20"/>
          <w:color w:val="auto"/>
        </w:rPr>
      </w:pPr>
      <w:r>
        <w:rPr>
          <w:rFonts w:ascii="Times New Roman" w:cs="Times New Roman" w:eastAsia="Times New Roman" w:hAnsi="Times New Roman"/>
          <w:sz w:val="20"/>
          <w:szCs w:val="20"/>
          <w:color w:val="0000FF"/>
        </w:rPr>
        <w:t>Advisors LLC, its</w:t>
      </w:r>
      <w:r>
        <w:rPr>
          <w:sz w:val="20"/>
          <w:szCs w:val="20"/>
          <w:color w:val="auto"/>
        </w:rPr>
        <w:tab/>
      </w:r>
      <w:r>
        <w:rPr>
          <w:rFonts w:ascii="Times New Roman" w:cs="Times New Roman" w:eastAsia="Times New Roman" w:hAnsi="Times New Roman"/>
          <w:sz w:val="18"/>
          <w:szCs w:val="18"/>
          <w:color w:val="0000FF"/>
        </w:rPr>
        <w:t>09/17/2020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95580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investment manager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1094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21094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Joseph Edelman,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8742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98742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2519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92519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/s/ Perceptive 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14871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148715"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LLC, By: Joseph Edelman, 09/17/2020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955800"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its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7315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073150" cy="9525"/>
                    </a:xfrm>
                    <a:prstGeom prst="rect">
                      <a:avLst/>
                    </a:prstGeom>
                    <a:noFill/>
                  </pic:spPr>
                </pic:pic>
              </a:graphicData>
            </a:graphic>
          </wp:anchor>
        </w:drawing>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12"/>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both"/>
        <w:ind w:right="218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right="2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20" w:top="12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10" Type="http://schemas.openxmlformats.org/officeDocument/2006/relationships/hyperlink" Target="http://www.sec.gov/cgi-bin/browse-edgar?action=getcompany&amp;CIK=0001224962" TargetMode="External"/><Relationship Id="rId11" Type="http://schemas.openxmlformats.org/officeDocument/2006/relationships/hyperlink" Target="http://www.sec.gov/cgi-bin/browse-edgar?action=getcompany&amp;CIK=0001620463" TargetMode="External"/><Relationship Id="rId14" Type="http://schemas.openxmlformats.org/officeDocument/2006/relationships/hyperlink" Target="http://www.sec.gov/cgi-bin/browse-edgar?action=getcompany&amp;CIK=00012496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2020-09-17T20:06:51Z</dcterms:created>
  <dcterms:modified xsi:type="dcterms:W3CDTF">2020-09-17T20:06:51Z</dcterms:modified>
</cp:coreProperties>
</file>