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-215265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178435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12,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Athira Pharma,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150495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2140" w:type="dxa"/>
            <w:vAlign w:val="bottom"/>
          </w:tcPr>
          <w:p>
            <w:pPr>
              <w:jc w:val="center"/>
              <w:ind w:right="422"/>
              <w:spacing w:after="0"/>
              <w:rPr>
                <w:sz w:val="20"/>
                <w:szCs w:val="20"/>
                <w:color w:val="auto"/>
              </w:rPr>
            </w:pPr>
            <w:r>
              <w:rPr>
                <w:rFonts w:ascii="Arial" w:cs="Arial" w:eastAsia="Arial" w:hAnsi="Arial"/>
                <w:sz w:val="18"/>
                <w:szCs w:val="18"/>
                <w:b w:val="1"/>
                <w:bCs w:val="1"/>
                <w:color w:val="auto"/>
                <w:w w:val="91"/>
              </w:rPr>
              <w:t>Delaware</w:t>
            </w:r>
          </w:p>
        </w:tc>
        <w:tc>
          <w:tcPr>
            <w:tcW w:w="4940" w:type="dxa"/>
            <w:vAlign w:val="bottom"/>
          </w:tcPr>
          <w:p>
            <w:pPr>
              <w:ind w:left="2060"/>
              <w:spacing w:after="0"/>
              <w:rPr>
                <w:sz w:val="20"/>
                <w:szCs w:val="20"/>
                <w:color w:val="auto"/>
              </w:rPr>
            </w:pPr>
            <w:r>
              <w:rPr>
                <w:rFonts w:ascii="Arial" w:cs="Arial" w:eastAsia="Arial" w:hAnsi="Arial"/>
                <w:sz w:val="18"/>
                <w:szCs w:val="18"/>
                <w:b w:val="1"/>
                <w:bCs w:val="1"/>
                <w:color w:val="auto"/>
              </w:rPr>
              <w:t>001-39503</w:t>
            </w:r>
          </w:p>
        </w:tc>
        <w:tc>
          <w:tcPr>
            <w:tcW w:w="1780" w:type="dxa"/>
            <w:vAlign w:val="bottom"/>
          </w:tcPr>
          <w:p>
            <w:pPr>
              <w:jc w:val="center"/>
              <w:ind w:left="562"/>
              <w:spacing w:after="0"/>
              <w:rPr>
                <w:sz w:val="20"/>
                <w:szCs w:val="20"/>
                <w:color w:val="auto"/>
              </w:rPr>
            </w:pPr>
            <w:r>
              <w:rPr>
                <w:rFonts w:ascii="Arial" w:cs="Arial" w:eastAsia="Arial" w:hAnsi="Arial"/>
                <w:sz w:val="18"/>
                <w:szCs w:val="18"/>
                <w:b w:val="1"/>
                <w:bCs w:val="1"/>
                <w:color w:val="auto"/>
                <w:w w:val="89"/>
              </w:rPr>
              <w:t>45-3368487</w:t>
            </w:r>
          </w:p>
        </w:tc>
      </w:tr>
      <w:tr>
        <w:trPr>
          <w:trHeight w:val="166"/>
        </w:trPr>
        <w:tc>
          <w:tcPr>
            <w:tcW w:w="2140" w:type="dxa"/>
            <w:vAlign w:val="bottom"/>
          </w:tcPr>
          <w:p>
            <w:pPr>
              <w:jc w:val="center"/>
              <w:ind w:right="422"/>
              <w:spacing w:after="0"/>
              <w:rPr>
                <w:sz w:val="20"/>
                <w:szCs w:val="20"/>
                <w:color w:val="auto"/>
              </w:rPr>
            </w:pPr>
            <w:r>
              <w:rPr>
                <w:rFonts w:ascii="Arial" w:cs="Arial" w:eastAsia="Arial" w:hAnsi="Arial"/>
                <w:sz w:val="14"/>
                <w:szCs w:val="14"/>
                <w:b w:val="1"/>
                <w:bCs w:val="1"/>
                <w:color w:val="auto"/>
                <w:w w:val="93"/>
              </w:rPr>
              <w:t>(State or other jurisdiction</w:t>
            </w:r>
          </w:p>
        </w:tc>
        <w:tc>
          <w:tcPr>
            <w:tcW w:w="4940" w:type="dxa"/>
            <w:vAlign w:val="bottom"/>
          </w:tcPr>
          <w:p>
            <w:pPr>
              <w:ind w:left="2040"/>
              <w:spacing w:after="0"/>
              <w:rPr>
                <w:sz w:val="20"/>
                <w:szCs w:val="20"/>
                <w:color w:val="auto"/>
              </w:rPr>
            </w:pPr>
            <w:r>
              <w:rPr>
                <w:rFonts w:ascii="Arial" w:cs="Arial" w:eastAsia="Arial" w:hAnsi="Arial"/>
                <w:sz w:val="14"/>
                <w:szCs w:val="14"/>
                <w:b w:val="1"/>
                <w:bCs w:val="1"/>
                <w:color w:val="auto"/>
              </w:rPr>
              <w:t>(Commission</w:t>
            </w:r>
          </w:p>
        </w:tc>
        <w:tc>
          <w:tcPr>
            <w:tcW w:w="1780" w:type="dxa"/>
            <w:vAlign w:val="bottom"/>
          </w:tcPr>
          <w:p>
            <w:pPr>
              <w:jc w:val="center"/>
              <w:ind w:left="56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140" w:type="dxa"/>
            <w:vAlign w:val="bottom"/>
          </w:tcPr>
          <w:p>
            <w:pPr>
              <w:jc w:val="center"/>
              <w:ind w:right="422"/>
              <w:spacing w:after="0"/>
              <w:rPr>
                <w:sz w:val="20"/>
                <w:szCs w:val="20"/>
                <w:color w:val="auto"/>
              </w:rPr>
            </w:pPr>
            <w:r>
              <w:rPr>
                <w:rFonts w:ascii="Arial" w:cs="Arial" w:eastAsia="Arial" w:hAnsi="Arial"/>
                <w:sz w:val="14"/>
                <w:szCs w:val="14"/>
                <w:b w:val="1"/>
                <w:bCs w:val="1"/>
                <w:color w:val="auto"/>
                <w:w w:val="92"/>
              </w:rPr>
              <w:t>of incorporation)</w:t>
            </w:r>
          </w:p>
        </w:tc>
        <w:tc>
          <w:tcPr>
            <w:tcW w:w="4940" w:type="dxa"/>
            <w:vAlign w:val="bottom"/>
          </w:tcPr>
          <w:p>
            <w:pPr>
              <w:ind w:left="2040"/>
              <w:spacing w:after="0"/>
              <w:rPr>
                <w:sz w:val="20"/>
                <w:szCs w:val="20"/>
                <w:color w:val="auto"/>
              </w:rPr>
            </w:pPr>
            <w:r>
              <w:rPr>
                <w:rFonts w:ascii="Arial" w:cs="Arial" w:eastAsia="Arial" w:hAnsi="Arial"/>
                <w:sz w:val="14"/>
                <w:szCs w:val="14"/>
                <w:b w:val="1"/>
                <w:bCs w:val="1"/>
                <w:color w:val="auto"/>
              </w:rPr>
              <w:t>File Number)</w:t>
            </w:r>
          </w:p>
        </w:tc>
        <w:tc>
          <w:tcPr>
            <w:tcW w:w="1780" w:type="dxa"/>
            <w:vAlign w:val="bottom"/>
          </w:tcPr>
          <w:p>
            <w:pPr>
              <w:jc w:val="center"/>
              <w:ind w:left="562"/>
              <w:spacing w:after="0"/>
              <w:rPr>
                <w:sz w:val="20"/>
                <w:szCs w:val="20"/>
                <w:color w:val="auto"/>
              </w:rPr>
            </w:pPr>
            <w:r>
              <w:rPr>
                <w:rFonts w:ascii="Arial" w:cs="Arial" w:eastAsia="Arial" w:hAnsi="Arial"/>
                <w:sz w:val="14"/>
                <w:szCs w:val="14"/>
                <w:b w:val="1"/>
                <w:bCs w:val="1"/>
                <w:color w:val="auto"/>
                <w:w w:val="96"/>
              </w:rPr>
              <w:t>Identification No.)</w:t>
            </w:r>
          </w:p>
        </w:tc>
      </w:tr>
      <w:tr>
        <w:trPr>
          <w:trHeight w:val="493"/>
        </w:trPr>
        <w:tc>
          <w:tcPr>
            <w:tcW w:w="2140" w:type="dxa"/>
            <w:vAlign w:val="bottom"/>
          </w:tcPr>
          <w:p>
            <w:pPr>
              <w:spacing w:after="0"/>
              <w:rPr>
                <w:sz w:val="24"/>
                <w:szCs w:val="24"/>
                <w:color w:val="auto"/>
              </w:rPr>
            </w:pPr>
          </w:p>
        </w:tc>
        <w:tc>
          <w:tcPr>
            <w:tcW w:w="4940" w:type="dxa"/>
            <w:vAlign w:val="bottom"/>
          </w:tcPr>
          <w:p>
            <w:pPr>
              <w:jc w:val="center"/>
              <w:ind w:right="100"/>
              <w:spacing w:after="0"/>
              <w:rPr>
                <w:sz w:val="20"/>
                <w:szCs w:val="20"/>
                <w:color w:val="auto"/>
              </w:rPr>
            </w:pPr>
            <w:r>
              <w:rPr>
                <w:rFonts w:ascii="Arial" w:cs="Arial" w:eastAsia="Arial" w:hAnsi="Arial"/>
                <w:sz w:val="18"/>
                <w:szCs w:val="18"/>
                <w:b w:val="1"/>
                <w:bCs w:val="1"/>
                <w:color w:val="auto"/>
                <w:w w:val="89"/>
              </w:rPr>
              <w:t>400 Mason Road, Suite 300</w:t>
            </w:r>
          </w:p>
        </w:tc>
        <w:tc>
          <w:tcPr>
            <w:tcW w:w="1780" w:type="dxa"/>
            <w:vAlign w:val="bottom"/>
          </w:tcPr>
          <w:p>
            <w:pPr>
              <w:spacing w:after="0"/>
              <w:rPr>
                <w:sz w:val="24"/>
                <w:szCs w:val="24"/>
                <w:color w:val="auto"/>
              </w:rPr>
            </w:pPr>
          </w:p>
        </w:tc>
      </w:tr>
      <w:tr>
        <w:trPr>
          <w:trHeight w:val="212"/>
        </w:trPr>
        <w:tc>
          <w:tcPr>
            <w:tcW w:w="2140" w:type="dxa"/>
            <w:vAlign w:val="bottom"/>
          </w:tcPr>
          <w:p>
            <w:pPr>
              <w:spacing w:after="0"/>
              <w:rPr>
                <w:sz w:val="18"/>
                <w:szCs w:val="18"/>
                <w:color w:val="auto"/>
              </w:rPr>
            </w:pPr>
          </w:p>
        </w:tc>
        <w:tc>
          <w:tcPr>
            <w:tcW w:w="4940" w:type="dxa"/>
            <w:vAlign w:val="bottom"/>
          </w:tcPr>
          <w:p>
            <w:pPr>
              <w:jc w:val="center"/>
              <w:ind w:right="100"/>
              <w:spacing w:after="0"/>
              <w:rPr>
                <w:sz w:val="20"/>
                <w:szCs w:val="20"/>
                <w:color w:val="auto"/>
              </w:rPr>
            </w:pPr>
            <w:r>
              <w:rPr>
                <w:rFonts w:ascii="Arial" w:cs="Arial" w:eastAsia="Arial" w:hAnsi="Arial"/>
                <w:sz w:val="18"/>
                <w:szCs w:val="18"/>
                <w:b w:val="1"/>
                <w:bCs w:val="1"/>
                <w:color w:val="auto"/>
                <w:w w:val="90"/>
              </w:rPr>
              <w:t>Seattle, WA 98195</w:t>
            </w:r>
          </w:p>
        </w:tc>
        <w:tc>
          <w:tcPr>
            <w:tcW w:w="1780" w:type="dxa"/>
            <w:vAlign w:val="bottom"/>
          </w:tcPr>
          <w:p>
            <w:pPr>
              <w:spacing w:after="0"/>
              <w:rPr>
                <w:sz w:val="18"/>
                <w:szCs w:val="18"/>
                <w:color w:val="auto"/>
              </w:rPr>
            </w:pPr>
          </w:p>
        </w:tc>
      </w:tr>
      <w:tr>
        <w:trPr>
          <w:trHeight w:val="186"/>
        </w:trPr>
        <w:tc>
          <w:tcPr>
            <w:tcW w:w="2140" w:type="dxa"/>
            <w:vAlign w:val="bottom"/>
          </w:tcPr>
          <w:p>
            <w:pPr>
              <w:spacing w:after="0"/>
              <w:rPr>
                <w:sz w:val="16"/>
                <w:szCs w:val="16"/>
                <w:color w:val="auto"/>
              </w:rPr>
            </w:pPr>
          </w:p>
        </w:tc>
        <w:tc>
          <w:tcPr>
            <w:tcW w:w="4940" w:type="dxa"/>
            <w:vAlign w:val="bottom"/>
          </w:tcPr>
          <w:p>
            <w:pPr>
              <w:jc w:val="center"/>
              <w:ind w:right="80"/>
              <w:spacing w:after="0"/>
              <w:rPr>
                <w:sz w:val="20"/>
                <w:szCs w:val="20"/>
                <w:color w:val="auto"/>
              </w:rPr>
            </w:pPr>
            <w:r>
              <w:rPr>
                <w:rFonts w:ascii="Arial" w:cs="Arial" w:eastAsia="Arial" w:hAnsi="Arial"/>
                <w:sz w:val="14"/>
                <w:szCs w:val="14"/>
                <w:b w:val="1"/>
                <w:bCs w:val="1"/>
                <w:color w:val="auto"/>
                <w:w w:val="91"/>
              </w:rPr>
              <w:t>(Address of principal executive officers, including zip code)</w:t>
            </w:r>
          </w:p>
        </w:tc>
        <w:tc>
          <w:tcPr>
            <w:tcW w:w="1780" w:type="dxa"/>
            <w:vAlign w:val="bottom"/>
          </w:tcPr>
          <w:p>
            <w:pPr>
              <w:spacing w:after="0"/>
              <w:rPr>
                <w:sz w:val="16"/>
                <w:szCs w:val="16"/>
                <w:color w:val="auto"/>
              </w:rPr>
            </w:pPr>
          </w:p>
        </w:tc>
      </w:tr>
      <w:tr>
        <w:trPr>
          <w:trHeight w:val="394"/>
        </w:trPr>
        <w:tc>
          <w:tcPr>
            <w:tcW w:w="2140" w:type="dxa"/>
            <w:vAlign w:val="bottom"/>
          </w:tcPr>
          <w:p>
            <w:pPr>
              <w:spacing w:after="0"/>
              <w:rPr>
                <w:sz w:val="24"/>
                <w:szCs w:val="24"/>
                <w:color w:val="auto"/>
              </w:rPr>
            </w:pPr>
          </w:p>
        </w:tc>
        <w:tc>
          <w:tcPr>
            <w:tcW w:w="4940" w:type="dxa"/>
            <w:vAlign w:val="bottom"/>
          </w:tcPr>
          <w:p>
            <w:pPr>
              <w:jc w:val="center"/>
              <w:ind w:right="100"/>
              <w:spacing w:after="0"/>
              <w:rPr>
                <w:sz w:val="20"/>
                <w:szCs w:val="20"/>
                <w:color w:val="auto"/>
              </w:rPr>
            </w:pPr>
            <w:r>
              <w:rPr>
                <w:rFonts w:ascii="Arial" w:cs="Arial" w:eastAsia="Arial" w:hAnsi="Arial"/>
                <w:sz w:val="18"/>
                <w:szCs w:val="18"/>
                <w:b w:val="1"/>
                <w:bCs w:val="1"/>
                <w:color w:val="auto"/>
                <w:w w:val="90"/>
              </w:rPr>
              <w:t>(206) 221-8112</w:t>
            </w:r>
          </w:p>
        </w:tc>
        <w:tc>
          <w:tcPr>
            <w:tcW w:w="1780" w:type="dxa"/>
            <w:vAlign w:val="bottom"/>
          </w:tcPr>
          <w:p>
            <w:pPr>
              <w:spacing w:after="0"/>
              <w:rPr>
                <w:sz w:val="24"/>
                <w:szCs w:val="24"/>
                <w:color w:val="auto"/>
              </w:rPr>
            </w:pPr>
          </w:p>
        </w:tc>
      </w:tr>
      <w:tr>
        <w:trPr>
          <w:trHeight w:val="186"/>
        </w:trPr>
        <w:tc>
          <w:tcPr>
            <w:tcW w:w="2140" w:type="dxa"/>
            <w:vAlign w:val="bottom"/>
          </w:tcPr>
          <w:p>
            <w:pPr>
              <w:spacing w:after="0"/>
              <w:rPr>
                <w:sz w:val="16"/>
                <w:szCs w:val="16"/>
                <w:color w:val="auto"/>
              </w:rPr>
            </w:pPr>
          </w:p>
        </w:tc>
        <w:tc>
          <w:tcPr>
            <w:tcW w:w="4940" w:type="dxa"/>
            <w:vAlign w:val="bottom"/>
          </w:tcPr>
          <w:p>
            <w:pPr>
              <w:jc w:val="center"/>
              <w:ind w:right="1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80" w:type="dxa"/>
            <w:vAlign w:val="bottom"/>
          </w:tcPr>
          <w:p>
            <w:pPr>
              <w:spacing w:after="0"/>
              <w:rPr>
                <w:sz w:val="16"/>
                <w:szCs w:val="16"/>
                <w:color w:val="auto"/>
              </w:rPr>
            </w:pPr>
          </w:p>
        </w:tc>
      </w:tr>
      <w:tr>
        <w:trPr>
          <w:trHeight w:val="297"/>
        </w:trPr>
        <w:tc>
          <w:tcPr>
            <w:tcW w:w="2140" w:type="dxa"/>
            <w:vAlign w:val="bottom"/>
          </w:tcPr>
          <w:p>
            <w:pPr>
              <w:spacing w:after="0"/>
              <w:rPr>
                <w:sz w:val="24"/>
                <w:szCs w:val="24"/>
                <w:color w:val="auto"/>
              </w:rPr>
            </w:pPr>
          </w:p>
        </w:tc>
        <w:tc>
          <w:tcPr>
            <w:tcW w:w="4940" w:type="dxa"/>
            <w:vAlign w:val="bottom"/>
          </w:tcPr>
          <w:p>
            <w:pPr>
              <w:jc w:val="center"/>
              <w:ind w:right="1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144780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3"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6" w:lineRule="exact"/>
        <w:rPr>
          <w:sz w:val="24"/>
          <w:szCs w:val="24"/>
          <w:color w:val="auto"/>
        </w:rPr>
      </w:pPr>
    </w:p>
    <w:tbl>
      <w:tblPr>
        <w:tblLayout w:type="fixed"/>
        <w:tblInd w:w="820" w:type="dxa"/>
        <w:tblCellMar>
          <w:top w:w="0" w:type="dxa"/>
          <w:left w:w="0" w:type="dxa"/>
          <w:bottom w:w="0" w:type="dxa"/>
          <w:right w:w="0" w:type="dxa"/>
        </w:tblCellMar>
      </w:tblPr>
      <w:tr>
        <w:trPr>
          <w:trHeight w:val="161"/>
        </w:trPr>
        <w:tc>
          <w:tcPr>
            <w:tcW w:w="3840" w:type="dxa"/>
            <w:vAlign w:val="bottom"/>
          </w:tcPr>
          <w:p>
            <w:pPr>
              <w:jc w:val="center"/>
              <w:ind w:right="884"/>
              <w:spacing w:after="0"/>
              <w:rPr>
                <w:sz w:val="20"/>
                <w:szCs w:val="20"/>
                <w:color w:val="auto"/>
              </w:rPr>
            </w:pPr>
            <w:r>
              <w:rPr>
                <w:rFonts w:ascii="Arial" w:cs="Arial" w:eastAsia="Arial" w:hAnsi="Arial"/>
                <w:sz w:val="14"/>
                <w:szCs w:val="14"/>
                <w:b w:val="1"/>
                <w:bCs w:val="1"/>
                <w:color w:val="auto"/>
                <w:w w:val="89"/>
              </w:rPr>
              <w:t>Title of each class</w:t>
            </w:r>
          </w:p>
        </w:tc>
        <w:tc>
          <w:tcPr>
            <w:tcW w:w="2840" w:type="dxa"/>
            <w:vAlign w:val="bottom"/>
          </w:tcPr>
          <w:p>
            <w:pPr>
              <w:jc w:val="center"/>
              <w:ind w:left="159"/>
              <w:spacing w:after="0"/>
              <w:rPr>
                <w:sz w:val="20"/>
                <w:szCs w:val="20"/>
                <w:color w:val="auto"/>
              </w:rPr>
            </w:pPr>
            <w:r>
              <w:rPr>
                <w:rFonts w:ascii="Arial" w:cs="Arial" w:eastAsia="Arial" w:hAnsi="Arial"/>
                <w:sz w:val="14"/>
                <w:szCs w:val="14"/>
                <w:b w:val="1"/>
                <w:bCs w:val="1"/>
                <w:color w:val="auto"/>
                <w:w w:val="94"/>
              </w:rPr>
              <w:t>Trading Symbol(s)</w:t>
            </w:r>
          </w:p>
        </w:tc>
        <w:tc>
          <w:tcPr>
            <w:tcW w:w="3400" w:type="dxa"/>
            <w:vAlign w:val="bottom"/>
          </w:tcPr>
          <w:p>
            <w:pPr>
              <w:jc w:val="center"/>
              <w:ind w:left="642"/>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30"/>
        </w:trPr>
        <w:tc>
          <w:tcPr>
            <w:tcW w:w="3840" w:type="dxa"/>
            <w:vAlign w:val="bottom"/>
          </w:tcPr>
          <w:p>
            <w:pPr>
              <w:jc w:val="center"/>
              <w:ind w:right="884"/>
              <w:spacing w:after="0"/>
              <w:rPr>
                <w:sz w:val="20"/>
                <w:szCs w:val="20"/>
                <w:color w:val="auto"/>
              </w:rPr>
            </w:pPr>
            <w:r>
              <w:rPr>
                <w:rFonts w:ascii="Arial" w:cs="Arial" w:eastAsia="Arial" w:hAnsi="Arial"/>
                <w:sz w:val="16"/>
                <w:szCs w:val="16"/>
                <w:color w:val="auto"/>
                <w:w w:val="90"/>
              </w:rPr>
              <w:t>Common Stock, $0.0001 par value per share</w:t>
            </w:r>
          </w:p>
        </w:tc>
        <w:tc>
          <w:tcPr>
            <w:tcW w:w="2840" w:type="dxa"/>
            <w:vAlign w:val="bottom"/>
          </w:tcPr>
          <w:p>
            <w:pPr>
              <w:jc w:val="center"/>
              <w:ind w:left="159"/>
              <w:spacing w:after="0"/>
              <w:rPr>
                <w:sz w:val="20"/>
                <w:szCs w:val="20"/>
                <w:color w:val="auto"/>
              </w:rPr>
            </w:pPr>
            <w:r>
              <w:rPr>
                <w:rFonts w:ascii="Arial" w:cs="Arial" w:eastAsia="Arial" w:hAnsi="Arial"/>
                <w:sz w:val="18"/>
                <w:szCs w:val="18"/>
                <w:color w:val="auto"/>
                <w:w w:val="99"/>
              </w:rPr>
              <w:t>ATHA</w:t>
            </w:r>
          </w:p>
        </w:tc>
        <w:tc>
          <w:tcPr>
            <w:tcW w:w="3400" w:type="dxa"/>
            <w:vAlign w:val="bottom"/>
          </w:tcPr>
          <w:p>
            <w:pPr>
              <w:jc w:val="center"/>
              <w:ind w:left="642"/>
              <w:spacing w:after="0"/>
              <w:rPr>
                <w:sz w:val="20"/>
                <w:szCs w:val="20"/>
                <w:color w:val="auto"/>
              </w:rPr>
            </w:pPr>
            <w:r>
              <w:rPr>
                <w:rFonts w:ascii="Arial" w:cs="Arial" w:eastAsia="Arial" w:hAnsi="Arial"/>
                <w:sz w:val="16"/>
                <w:szCs w:val="16"/>
                <w:color w:val="auto"/>
                <w:w w:val="93"/>
              </w:rPr>
              <w:t>The Nasdaq Stock Market LLC</w:t>
            </w:r>
          </w:p>
        </w:tc>
      </w:tr>
      <w:tr>
        <w:trPr>
          <w:trHeight w:val="210"/>
        </w:trPr>
        <w:tc>
          <w:tcPr>
            <w:tcW w:w="38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400" w:type="dxa"/>
            <w:vAlign w:val="bottom"/>
          </w:tcPr>
          <w:p>
            <w:pPr>
              <w:jc w:val="center"/>
              <w:ind w:left="642"/>
              <w:spacing w:after="0"/>
              <w:rPr>
                <w:sz w:val="20"/>
                <w:szCs w:val="20"/>
                <w:color w:val="auto"/>
              </w:rPr>
            </w:pPr>
            <w:r>
              <w:rPr>
                <w:rFonts w:ascii="Arial" w:cs="Arial" w:eastAsia="Arial" w:hAnsi="Arial"/>
                <w:sz w:val="16"/>
                <w:szCs w:val="16"/>
                <w:color w:val="auto"/>
                <w:w w:val="92"/>
              </w:rPr>
              <w:t>(The Nasdaq Global Select Market)</w:t>
            </w:r>
          </w:p>
        </w:tc>
      </w:tr>
    </w:tbl>
    <w:p>
      <w:pPr>
        <w:spacing w:after="0" w:line="208"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60"/>
        <w:spacing w:after="0" w:line="207" w:lineRule="exact"/>
        <w:tabs>
          <w:tab w:leader="none" w:pos="27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27" w:lineRule="exact"/>
        <w:rPr>
          <w:sz w:val="24"/>
          <w:szCs w:val="24"/>
          <w:color w:val="auto"/>
        </w:rPr>
      </w:pPr>
    </w:p>
    <w:p>
      <w:pPr>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830580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20" w:firstLine="749"/>
        <w:spacing w:after="0" w:line="277" w:lineRule="auto"/>
        <w:rPr>
          <w:sz w:val="20"/>
          <w:szCs w:val="20"/>
          <w:color w:val="auto"/>
        </w:rPr>
      </w:pPr>
      <w:r>
        <w:rPr>
          <w:rFonts w:ascii="Arial" w:cs="Arial" w:eastAsia="Arial" w:hAnsi="Arial"/>
          <w:sz w:val="18"/>
          <w:szCs w:val="18"/>
          <w:color w:val="auto"/>
        </w:rPr>
        <w:t>On November 12, 2020, Athira Pharma, Inc. (the “Company”) issued a press release reporting its financial results for the third quarter of 2020. A copy of the press release is furnished herewith as Exhibit 99.1.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The Company announces material information to the public through a variety of means, including filings with the Securities and Exchange Commission, press releases, public conference calls, the Company’s website (www.athira.com), its investor relations website (investors.athira.com), and its news site (investors.athira.com/news-and-events/press-releases). The Company uses these channels, as well as social media, including its Twitter account (@athirapharma), LinkedIn account (www.linkedin.com/company/athirapharma), and Facebook page (www.facebook.com/athirapharmainc), to communicate with investors and the public about the Company, its product candidates, and other matters. Therefore, the Company encourages investors, the media, and others interested in the Company to review the information it makes public in these locations, as such information could be deemed to be material information.</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00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398"/>
        </w:trPr>
        <w:tc>
          <w:tcPr>
            <w:tcW w:w="1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24"/>
                <w:szCs w:val="24"/>
                <w:color w:val="auto"/>
              </w:rPr>
            </w:pPr>
          </w:p>
        </w:tc>
        <w:tc>
          <w:tcPr>
            <w:tcW w:w="10080" w:type="dxa"/>
            <w:vAlign w:val="bottom"/>
            <w:tcBorders>
              <w:top w:val="single" w:sz="8" w:color="auto"/>
            </w:tcBorders>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November 12, 2020</w:t>
              </w:r>
            </w:hyperlink>
          </w:p>
        </w:tc>
      </w:tr>
    </w:tbl>
    <w:p>
      <w:pPr>
        <w:spacing w:after="0" w:line="242" w:lineRule="exact"/>
        <w:rPr>
          <w:sz w:val="20"/>
          <w:szCs w:val="20"/>
          <w:color w:val="auto"/>
        </w:rPr>
      </w:pPr>
    </w:p>
    <w:p>
      <w:pPr>
        <w:ind w:right="400" w:firstLine="749"/>
        <w:spacing w:after="0" w:line="286" w:lineRule="auto"/>
        <w:rPr>
          <w:sz w:val="20"/>
          <w:szCs w:val="20"/>
          <w:color w:val="auto"/>
        </w:rPr>
      </w:pPr>
      <w:r>
        <w:rPr>
          <w:rFonts w:ascii="Arial" w:cs="Arial" w:eastAsia="Arial" w:hAnsi="Arial"/>
          <w:sz w:val="17"/>
          <w:szCs w:val="17"/>
          <w:color w:val="auto"/>
        </w:rPr>
        <w:t>The information furnished in this Current Report under Items 2.02 and 7.01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480" w:type="dxa"/>
            <w:vAlign w:val="bottom"/>
            <w:gridSpan w:val="2"/>
          </w:tcPr>
          <w:p>
            <w:pPr>
              <w:ind w:left="2440"/>
              <w:spacing w:after="0"/>
              <w:rPr>
                <w:sz w:val="20"/>
                <w:szCs w:val="20"/>
                <w:color w:val="auto"/>
              </w:rPr>
            </w:pPr>
            <w:r>
              <w:rPr>
                <w:rFonts w:ascii="Arial" w:cs="Arial" w:eastAsia="Arial" w:hAnsi="Arial"/>
                <w:sz w:val="18"/>
                <w:szCs w:val="18"/>
                <w:b w:val="1"/>
                <w:bCs w:val="1"/>
                <w:color w:val="auto"/>
              </w:rPr>
              <w:t>Athira Pharma, Inc.</w:t>
            </w:r>
          </w:p>
        </w:tc>
      </w:tr>
      <w:tr>
        <w:trPr>
          <w:trHeight w:val="459"/>
        </w:trPr>
        <w:tc>
          <w:tcPr>
            <w:tcW w:w="3760" w:type="dxa"/>
            <w:vAlign w:val="bottom"/>
          </w:tcPr>
          <w:p>
            <w:pPr>
              <w:spacing w:after="0"/>
              <w:rPr>
                <w:sz w:val="20"/>
                <w:szCs w:val="20"/>
                <w:color w:val="auto"/>
              </w:rPr>
            </w:pPr>
            <w:r>
              <w:rPr>
                <w:rFonts w:ascii="Arial" w:cs="Arial" w:eastAsia="Arial" w:hAnsi="Arial"/>
                <w:sz w:val="18"/>
                <w:szCs w:val="18"/>
                <w:color w:val="auto"/>
              </w:rPr>
              <w:t>Date: November 12, 2020</w:t>
            </w:r>
          </w:p>
        </w:tc>
        <w:tc>
          <w:tcPr>
            <w:tcW w:w="7480" w:type="dxa"/>
            <w:vAlign w:val="bottom"/>
            <w:gridSpan w:val="2"/>
          </w:tcPr>
          <w:p>
            <w:pPr>
              <w:ind w:left="2440"/>
              <w:spacing w:after="0"/>
              <w:rPr>
                <w:sz w:val="20"/>
                <w:szCs w:val="20"/>
                <w:color w:val="auto"/>
              </w:rPr>
            </w:pPr>
            <w:r>
              <w:rPr>
                <w:rFonts w:ascii="Arial" w:cs="Arial" w:eastAsia="Arial" w:hAnsi="Arial"/>
                <w:sz w:val="18"/>
                <w:szCs w:val="18"/>
                <w:color w:val="auto"/>
              </w:rPr>
              <w:t>By:   /s/ Leen Kawas</w:t>
            </w:r>
          </w:p>
        </w:tc>
      </w:tr>
      <w:tr>
        <w:trPr>
          <w:trHeight w:val="222"/>
        </w:trPr>
        <w:tc>
          <w:tcPr>
            <w:tcW w:w="37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Leen Kawas</w:t>
            </w:r>
          </w:p>
        </w:tc>
      </w:tr>
      <w:tr>
        <w:trPr>
          <w:trHeight w:val="230"/>
        </w:trPr>
        <w:tc>
          <w:tcPr>
            <w:tcW w:w="37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48"/>
        </w:trPr>
        <w:tc>
          <w:tcPr>
            <w:tcW w:w="3760" w:type="dxa"/>
            <w:vAlign w:val="bottom"/>
          </w:tcPr>
          <w:p>
            <w:pPr>
              <w:spacing w:after="0"/>
              <w:rPr>
                <w:sz w:val="24"/>
                <w:szCs w:val="24"/>
                <w:color w:val="auto"/>
              </w:rPr>
            </w:pPr>
          </w:p>
        </w:tc>
        <w:tc>
          <w:tcPr>
            <w:tcW w:w="2960" w:type="dxa"/>
            <w:vAlign w:val="bottom"/>
          </w:tcPr>
          <w:p>
            <w:pPr>
              <w:jc w:val="right"/>
              <w:ind w:right="970"/>
              <w:spacing w:after="0"/>
              <w:rPr>
                <w:sz w:val="20"/>
                <w:szCs w:val="20"/>
                <w:color w:val="auto"/>
              </w:rPr>
            </w:pPr>
            <w:r>
              <w:rPr>
                <w:rFonts w:ascii="Arial" w:cs="Arial" w:eastAsia="Arial" w:hAnsi="Arial"/>
                <w:sz w:val="18"/>
                <w:szCs w:val="18"/>
                <w:color w:val="auto"/>
              </w:rPr>
              <w:t>3</w:t>
            </w:r>
          </w:p>
        </w:tc>
        <w:tc>
          <w:tcPr>
            <w:tcW w:w="452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26035</wp:posOffset>
            </wp:positionV>
            <wp:extent cx="1722755" cy="8483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22755"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Athira Pharma Reports Third Quarter 2020 Financial Results and Provides Business Highlights</w:t>
      </w:r>
    </w:p>
    <w:p>
      <w:pPr>
        <w:spacing w:after="0" w:line="270" w:lineRule="exact"/>
        <w:rPr>
          <w:sz w:val="20"/>
          <w:szCs w:val="20"/>
          <w:color w:val="auto"/>
        </w:rPr>
      </w:pPr>
    </w:p>
    <w:p>
      <w:pPr>
        <w:ind w:left="220" w:hanging="111"/>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LIFT-AD clinical trial evaluating ATH-1017, a once-daily investigational drug for the treatment of mild-to-moderate Alzheimer’s disease,</w:t>
      </w:r>
    </w:p>
    <w:p>
      <w:pPr>
        <w:spacing w:after="0" w:line="38" w:lineRule="exact"/>
        <w:rPr>
          <w:rFonts w:ascii="Arial" w:cs="Arial" w:eastAsia="Arial" w:hAnsi="Arial"/>
          <w:sz w:val="18"/>
          <w:szCs w:val="18"/>
          <w:color w:val="auto"/>
        </w:rPr>
      </w:pPr>
    </w:p>
    <w:p>
      <w:pPr>
        <w:ind w:left="4940"/>
        <w:spacing w:after="0"/>
        <w:rPr>
          <w:rFonts w:ascii="Arial" w:cs="Arial" w:eastAsia="Arial" w:hAnsi="Arial"/>
          <w:sz w:val="18"/>
          <w:szCs w:val="18"/>
          <w:color w:val="auto"/>
        </w:rPr>
      </w:pPr>
      <w:r>
        <w:rPr>
          <w:rFonts w:ascii="Arial" w:cs="Arial" w:eastAsia="Arial" w:hAnsi="Arial"/>
          <w:sz w:val="20"/>
          <w:szCs w:val="20"/>
          <w:i w:val="1"/>
          <w:iCs w:val="1"/>
          <w:color w:val="auto"/>
        </w:rPr>
        <w:t>actively enrolling</w:t>
      </w:r>
    </w:p>
    <w:p>
      <w:pPr>
        <w:spacing w:after="0" w:line="226" w:lineRule="exact"/>
        <w:rPr>
          <w:rFonts w:ascii="Arial" w:cs="Arial" w:eastAsia="Arial" w:hAnsi="Arial"/>
          <w:sz w:val="18"/>
          <w:szCs w:val="18"/>
          <w:color w:val="auto"/>
        </w:rPr>
      </w:pPr>
    </w:p>
    <w:p>
      <w:pPr>
        <w:ind w:left="1780" w:hanging="114"/>
        <w:spacing w:after="0"/>
        <w:tabs>
          <w:tab w:leader="none" w:pos="1780" w:val="left"/>
        </w:tabs>
        <w:numPr>
          <w:ilvl w:val="1"/>
          <w:numId w:val="2"/>
        </w:numPr>
        <w:rPr>
          <w:rFonts w:ascii="Arial" w:cs="Arial" w:eastAsia="Arial" w:hAnsi="Arial"/>
          <w:sz w:val="20"/>
          <w:szCs w:val="20"/>
          <w:color w:val="auto"/>
        </w:rPr>
      </w:pPr>
      <w:r>
        <w:rPr>
          <w:rFonts w:ascii="Arial" w:cs="Arial" w:eastAsia="Arial" w:hAnsi="Arial"/>
          <w:sz w:val="20"/>
          <w:szCs w:val="20"/>
          <w:i w:val="1"/>
          <w:iCs w:val="1"/>
          <w:color w:val="auto"/>
        </w:rPr>
        <w:t>Strong cash, cash equivalents and investments balance of $259.9 million as of September 30, 2020</w:t>
      </w:r>
    </w:p>
    <w:p>
      <w:pPr>
        <w:spacing w:after="0" w:line="237"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b w:val="1"/>
          <w:bCs w:val="1"/>
          <w:color w:val="auto"/>
        </w:rPr>
        <w:t xml:space="preserve">SEATTLE, Nov. 12, 2020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Athira Pharma, Inc.</w:t>
      </w:r>
      <w:r>
        <w:rPr>
          <w:rFonts w:ascii="Arial" w:cs="Arial" w:eastAsia="Arial" w:hAnsi="Arial"/>
          <w:sz w:val="20"/>
          <w:szCs w:val="20"/>
          <w:b w:val="1"/>
          <w:bCs w:val="1"/>
          <w:color w:val="auto"/>
        </w:rPr>
        <w:t xml:space="preserve"> </w:t>
      </w:r>
      <w:r>
        <w:rPr>
          <w:rFonts w:ascii="Arial" w:cs="Arial" w:eastAsia="Arial" w:hAnsi="Arial"/>
          <w:sz w:val="20"/>
          <w:szCs w:val="20"/>
          <w:color w:val="auto"/>
        </w:rPr>
        <w:t>(NASDAQ: ATHA), a late clinical-stage biopharmaceutical company focused on</w:t>
      </w:r>
      <w:r>
        <w:rPr>
          <w:rFonts w:ascii="Arial" w:cs="Arial" w:eastAsia="Arial" w:hAnsi="Arial"/>
          <w:sz w:val="20"/>
          <w:szCs w:val="20"/>
          <w:b w:val="1"/>
          <w:bCs w:val="1"/>
          <w:color w:val="auto"/>
        </w:rPr>
        <w:t xml:space="preserve"> </w:t>
      </w:r>
      <w:r>
        <w:rPr>
          <w:rFonts w:ascii="Arial" w:cs="Arial" w:eastAsia="Arial" w:hAnsi="Arial"/>
          <w:sz w:val="20"/>
          <w:szCs w:val="20"/>
          <w:color w:val="auto"/>
        </w:rPr>
        <w:t>developing small molecules to restore neuronal health and stop neurodegeneration, today reported financial results for the third quarter ended September 30, 2020 and provided recent business highlights.</w:t>
      </w:r>
    </w:p>
    <w:p>
      <w:pPr>
        <w:spacing w:after="0" w:line="197" w:lineRule="exact"/>
        <w:rPr>
          <w:sz w:val="20"/>
          <w:szCs w:val="20"/>
          <w:color w:val="auto"/>
        </w:rPr>
      </w:pPr>
    </w:p>
    <w:p>
      <w:pPr>
        <w:ind w:right="200"/>
        <w:spacing w:after="0" w:line="260" w:lineRule="auto"/>
        <w:rPr>
          <w:sz w:val="20"/>
          <w:szCs w:val="20"/>
          <w:color w:val="auto"/>
        </w:rPr>
      </w:pPr>
      <w:r>
        <w:rPr>
          <w:rFonts w:ascii="Arial" w:cs="Arial" w:eastAsia="Arial" w:hAnsi="Arial"/>
          <w:sz w:val="19"/>
          <w:szCs w:val="19"/>
          <w:color w:val="auto"/>
        </w:rPr>
        <w:t xml:space="preserve">"At Athira, we are continuing to execute on our mission to restore neuronal health for those suffering from neurological diseases, including Alzheimer’s, and we have successfully begun enrollment in our Phase 2/3 clinical study, </w:t>
      </w:r>
      <w:r>
        <w:rPr>
          <w:rFonts w:ascii="Arial" w:cs="Arial" w:eastAsia="Arial" w:hAnsi="Arial"/>
          <w:sz w:val="19"/>
          <w:szCs w:val="19"/>
          <w:u w:val="single" w:color="auto"/>
          <w:color w:val="auto"/>
        </w:rPr>
        <w:t>LIFT-AD</w:t>
      </w:r>
      <w:r>
        <w:rPr>
          <w:rFonts w:ascii="Arial" w:cs="Arial" w:eastAsia="Arial" w:hAnsi="Arial"/>
          <w:sz w:val="19"/>
          <w:szCs w:val="19"/>
          <w:color w:val="auto"/>
        </w:rPr>
        <w:t>, evaluating our lead product candidate ATH-1017 in individuals with mild-to-moderate Alzheimer’s disease.,” said Leen Kawas, Ph.D., President and Chief Executive Officer at Athira. "Supported by a strong cash position from our Series B financing in June and our initial public offering in September, we remain focused on advancing the development of ATH-1017 and our other pipeline programs.”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Business Highlights and Updates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Pipeline</w:t>
      </w:r>
    </w:p>
    <w:p>
      <w:pPr>
        <w:spacing w:after="0" w:line="223" w:lineRule="exact"/>
        <w:rPr>
          <w:sz w:val="20"/>
          <w:szCs w:val="20"/>
          <w:color w:val="auto"/>
        </w:rPr>
      </w:pPr>
    </w:p>
    <w:p>
      <w:pPr>
        <w:ind w:left="880" w:right="100" w:hanging="440"/>
        <w:spacing w:after="0" w:line="245" w:lineRule="auto"/>
        <w:tabs>
          <w:tab w:leader="none" w:pos="88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Initiated patient dosing for the LIFT-AD study. </w:t>
      </w:r>
      <w:r>
        <w:rPr>
          <w:rFonts w:ascii="Arial" w:cs="Arial" w:eastAsia="Arial" w:hAnsi="Arial"/>
          <w:sz w:val="20"/>
          <w:szCs w:val="20"/>
          <w:color w:val="auto"/>
        </w:rPr>
        <w:t>In September 2020, Athira initiated patient dosing in a randomized, double-blind, placebo-controlled Phase 2/3 clinical trial evaluating the safety, efficacy and tolerability of two dose levels of ATH-1017 in individuals with mild-to-moderate Alzheimer’s disease. Clinical efficacy will be measured by improvement in cognition and global/functional assessments comparing treatment arms to placebo. Up to approximately 300 patients will be randomized across two dose groups and one placebo group on a 1:1:1 basis to receive a daily subcutaneous injection of ATH-1017 or placebo over a treatment course of 26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i w:val="1"/>
          <w:iCs w:val="1"/>
          <w:color w:val="auto"/>
        </w:rPr>
        <w:t>Corporate</w:t>
      </w:r>
    </w:p>
    <w:p>
      <w:pPr>
        <w:spacing w:after="0" w:line="224" w:lineRule="exact"/>
        <w:rPr>
          <w:sz w:val="20"/>
          <w:szCs w:val="20"/>
          <w:color w:val="auto"/>
        </w:rPr>
      </w:pPr>
    </w:p>
    <w:p>
      <w:pPr>
        <w:ind w:left="880" w:right="20" w:hanging="440"/>
        <w:spacing w:after="0" w:line="260" w:lineRule="auto"/>
        <w:tabs>
          <w:tab w:leader="none" w:pos="88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 xml:space="preserve">Completed initial public offering (IPO). </w:t>
      </w:r>
      <w:r>
        <w:rPr>
          <w:rFonts w:ascii="Arial" w:cs="Arial" w:eastAsia="Arial" w:hAnsi="Arial"/>
          <w:sz w:val="19"/>
          <w:szCs w:val="19"/>
          <w:color w:val="auto"/>
        </w:rPr>
        <w:t>In September 2020, Athira completed its IPO of 12,000,000 shares of common stock at</w:t>
      </w:r>
      <w:r>
        <w:rPr>
          <w:rFonts w:ascii="Arial" w:cs="Arial" w:eastAsia="Arial" w:hAnsi="Arial"/>
          <w:sz w:val="19"/>
          <w:szCs w:val="19"/>
          <w:b w:val="1"/>
          <w:bCs w:val="1"/>
          <w:color w:val="auto"/>
        </w:rPr>
        <w:t xml:space="preserve"> </w:t>
      </w:r>
      <w:r>
        <w:rPr>
          <w:rFonts w:ascii="Arial" w:cs="Arial" w:eastAsia="Arial" w:hAnsi="Arial"/>
          <w:sz w:val="19"/>
          <w:szCs w:val="19"/>
          <w:color w:val="auto"/>
        </w:rPr>
        <w:t>a public offering price of $17.00 per share, generating gross proceeds of $204.0 million before deducting underwriting discounts and commissions and estimated offering expenses. In October 2020, Athira sold an additional 1,397,712 shares of common stock to the underwriters of the IPO upon partial exercise of the underwriters’ option to purchase additional shares at the initial public offering price, resulting in gross proceeds of approximately $23.8 million before deducting underwriting discounts and commissions and estimated offering expenses.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2020 Financial Results</w:t>
      </w:r>
    </w:p>
    <w:p>
      <w:pPr>
        <w:spacing w:after="0" w:line="229" w:lineRule="exact"/>
        <w:rPr>
          <w:sz w:val="20"/>
          <w:szCs w:val="20"/>
          <w:color w:val="auto"/>
        </w:rPr>
      </w:pPr>
    </w:p>
    <w:p>
      <w:pPr>
        <w:ind w:left="880" w:right="80" w:hanging="440"/>
        <w:spacing w:after="0" w:line="250"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 xml:space="preserve">Liquidity Position. </w:t>
      </w:r>
      <w:r>
        <w:rPr>
          <w:rFonts w:ascii="Arial" w:cs="Arial" w:eastAsia="Arial" w:hAnsi="Arial"/>
          <w:sz w:val="20"/>
          <w:szCs w:val="20"/>
          <w:color w:val="auto"/>
        </w:rPr>
        <w:t>Cash, cash equivalents and investments were $259.9 million as of September 30, 2020, as compared to $85.2</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as of June 30, 2020.</w:t>
      </w:r>
    </w:p>
    <w:p>
      <w:pPr>
        <w:spacing w:after="0" w:line="1" w:lineRule="exact"/>
        <w:rPr>
          <w:rFonts w:ascii="Arial" w:cs="Arial" w:eastAsia="Arial" w:hAnsi="Arial"/>
          <w:sz w:val="18"/>
          <w:szCs w:val="18"/>
          <w:color w:val="auto"/>
        </w:rPr>
      </w:pPr>
    </w:p>
    <w:p>
      <w:pPr>
        <w:ind w:left="880" w:right="220" w:hanging="440"/>
        <w:spacing w:after="0" w:line="266" w:lineRule="auto"/>
        <w:tabs>
          <w:tab w:leader="none" w:pos="880" w:val="left"/>
        </w:tabs>
        <w:numPr>
          <w:ilvl w:val="0"/>
          <w:numId w:val="5"/>
        </w:numPr>
        <w:rPr>
          <w:rFonts w:ascii="Arial" w:cs="Arial" w:eastAsia="Arial" w:hAnsi="Arial"/>
          <w:sz w:val="16"/>
          <w:szCs w:val="16"/>
          <w:color w:val="auto"/>
        </w:rPr>
      </w:pPr>
      <w:r>
        <w:rPr>
          <w:rFonts w:ascii="Arial" w:cs="Arial" w:eastAsia="Arial" w:hAnsi="Arial"/>
          <w:sz w:val="18"/>
          <w:szCs w:val="18"/>
          <w:b w:val="1"/>
          <w:bCs w:val="1"/>
          <w:color w:val="auto"/>
        </w:rPr>
        <w:t xml:space="preserve">Research and Development (R&amp;D) Expenses. </w:t>
      </w:r>
      <w:r>
        <w:rPr>
          <w:rFonts w:ascii="Arial" w:cs="Arial" w:eastAsia="Arial" w:hAnsi="Arial"/>
          <w:sz w:val="18"/>
          <w:szCs w:val="18"/>
          <w:color w:val="auto"/>
        </w:rPr>
        <w:t>R&amp;D expenses were $5.8 million for the quarter ended September 30, 2020,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$1.0 million for the same period in 2019. The increase was driven primarily by start-up activities by our clinical research organization and clinical drug supply manufacturers for Phase 2 Alzheimer’s clinical trials of ATH-1017.</w:t>
      </w:r>
    </w:p>
    <w:p>
      <w:pPr>
        <w:ind w:left="880" w:right="120" w:hanging="440"/>
        <w:spacing w:after="0" w:line="252" w:lineRule="auto"/>
        <w:tabs>
          <w:tab w:leader="none" w:pos="880" w:val="left"/>
        </w:tabs>
        <w:numPr>
          <w:ilvl w:val="0"/>
          <w:numId w:val="5"/>
        </w:numPr>
        <w:rPr>
          <w:rFonts w:ascii="Arial" w:cs="Arial" w:eastAsia="Arial" w:hAnsi="Arial"/>
          <w:sz w:val="17"/>
          <w:szCs w:val="17"/>
          <w:color w:val="auto"/>
        </w:rPr>
      </w:pPr>
      <w:r>
        <w:rPr>
          <w:rFonts w:ascii="Arial" w:cs="Arial" w:eastAsia="Arial" w:hAnsi="Arial"/>
          <w:sz w:val="19"/>
          <w:szCs w:val="19"/>
          <w:b w:val="1"/>
          <w:bCs w:val="1"/>
          <w:color w:val="auto"/>
        </w:rPr>
        <w:t xml:space="preserve">General and Administrative (G&amp;A) Expenses. </w:t>
      </w:r>
      <w:r>
        <w:rPr>
          <w:rFonts w:ascii="Arial" w:cs="Arial" w:eastAsia="Arial" w:hAnsi="Arial"/>
          <w:sz w:val="19"/>
          <w:szCs w:val="19"/>
          <w:color w:val="auto"/>
        </w:rPr>
        <w:t>G&amp;A expenses were $1.6 million for the quarter ended September 30, 2020, as</w:t>
      </w:r>
      <w:r>
        <w:rPr>
          <w:rFonts w:ascii="Arial" w:cs="Arial" w:eastAsia="Arial" w:hAnsi="Arial"/>
          <w:sz w:val="19"/>
          <w:szCs w:val="19"/>
          <w:b w:val="1"/>
          <w:bCs w:val="1"/>
          <w:color w:val="auto"/>
        </w:rPr>
        <w:t xml:space="preserve"> </w:t>
      </w:r>
      <w:r>
        <w:rPr>
          <w:rFonts w:ascii="Arial" w:cs="Arial" w:eastAsia="Arial" w:hAnsi="Arial"/>
          <w:sz w:val="19"/>
          <w:szCs w:val="19"/>
          <w:color w:val="auto"/>
        </w:rPr>
        <w:t>compared to $0.5 million for the same period in 2019. The increase was primarily due to legal, accounting, technical and consulting services and personnel-related costs to support the increase in clinical activities.</w:t>
      </w:r>
    </w:p>
    <w:p>
      <w:pPr>
        <w:ind w:left="880" w:right="520" w:hanging="440"/>
        <w:spacing w:after="0" w:line="244"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was $8.5 million, or $1.12 loss per share, for the quarter ended September 30, 2020, as compared to $1.5</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or $0.43 loss per share, for the same period in 2019.</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Athira Pharma, Inc.</w:t>
      </w:r>
    </w:p>
    <w:p>
      <w:pPr>
        <w:spacing w:after="0" w:line="22" w:lineRule="exact"/>
        <w:rPr>
          <w:sz w:val="20"/>
          <w:szCs w:val="20"/>
          <w:color w:val="auto"/>
        </w:rPr>
      </w:pPr>
    </w:p>
    <w:p>
      <w:pPr>
        <w:ind w:right="120"/>
        <w:spacing w:after="0"/>
        <w:rPr>
          <w:sz w:val="20"/>
          <w:szCs w:val="20"/>
          <w:color w:val="auto"/>
        </w:rPr>
      </w:pPr>
      <w:r>
        <w:rPr>
          <w:rFonts w:ascii="Arial" w:cs="Arial" w:eastAsia="Arial" w:hAnsi="Arial"/>
          <w:sz w:val="20"/>
          <w:szCs w:val="20"/>
          <w:color w:val="auto"/>
        </w:rPr>
        <w:t xml:space="preserve">Athira, headquartered in Seattle, is a late clinical-stage biopharmaceutical company focused on developing small molecules to restore neuronal health and stop neurodegeneration. Athira aims to provide rapid cognitive improvement and alter the course of neurological diseases with Athira’s novel mechanism of action. Athira is currently advancing its lead therapeutic candidate, ATH-1017, a novel small molecule for Alzheimer’s and Parkinson’s dementia. For more information, visit </w:t>
      </w:r>
      <w:r>
        <w:rPr>
          <w:rFonts w:ascii="Arial" w:cs="Arial" w:eastAsia="Arial" w:hAnsi="Arial"/>
          <w:sz w:val="20"/>
          <w:szCs w:val="20"/>
          <w:u w:val="single" w:color="auto"/>
          <w:color w:val="auto"/>
        </w:rPr>
        <w:t>www.athira.com.</w:t>
      </w:r>
      <w:r>
        <w:rPr>
          <w:rFonts w:ascii="Arial" w:cs="Arial" w:eastAsia="Arial" w:hAnsi="Arial"/>
          <w:sz w:val="20"/>
          <w:szCs w:val="20"/>
          <w:color w:val="auto"/>
        </w:rPr>
        <w:t xml:space="preserve"> You can also follow Athira on </w:t>
      </w:r>
      <w:r>
        <w:rPr>
          <w:rFonts w:ascii="Arial" w:cs="Arial" w:eastAsia="Arial" w:hAnsi="Arial"/>
          <w:sz w:val="20"/>
          <w:szCs w:val="20"/>
          <w:u w:val="single" w:color="auto"/>
          <w:color w:val="auto"/>
        </w:rPr>
        <w:t>Facebook</w:t>
      </w:r>
      <w:r>
        <w:rPr>
          <w:rFonts w:ascii="Arial" w:cs="Arial" w:eastAsia="Arial" w:hAnsi="Arial"/>
          <w:sz w:val="20"/>
          <w:szCs w:val="20"/>
          <w:color w:val="auto"/>
        </w:rPr>
        <w:t xml:space="preserve">, </w:t>
      </w:r>
      <w:r>
        <w:rPr>
          <w:rFonts w:ascii="Arial" w:cs="Arial" w:eastAsia="Arial" w:hAnsi="Arial"/>
          <w:sz w:val="20"/>
          <w:szCs w:val="20"/>
          <w:u w:val="single" w:color="auto"/>
          <w:color w:val="auto"/>
        </w:rPr>
        <w:t>LinkedIn</w:t>
      </w:r>
      <w:r>
        <w:rPr>
          <w:rFonts w:ascii="Arial" w:cs="Arial" w:eastAsia="Arial" w:hAnsi="Arial"/>
          <w:sz w:val="20"/>
          <w:szCs w:val="20"/>
          <w:color w:val="auto"/>
        </w:rPr>
        <w:t xml:space="preserve"> and @athirapharma on </w:t>
      </w:r>
      <w:r>
        <w:rPr>
          <w:rFonts w:ascii="Arial" w:cs="Arial" w:eastAsia="Arial" w:hAnsi="Arial"/>
          <w:sz w:val="20"/>
          <w:szCs w:val="20"/>
          <w:u w:val="single" w:color="auto"/>
          <w:color w:val="auto"/>
        </w:rPr>
        <w:t>Twitter</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Instagram</w:t>
      </w:r>
      <w:r>
        <w:rPr>
          <w:rFonts w:ascii="Arial" w:cs="Arial" w:eastAsia="Arial" w:hAnsi="Arial"/>
          <w:sz w:val="20"/>
          <w:szCs w:val="20"/>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This release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ATH-1017 as a potential treatment for Alzheimer’s and other dementias; Athira’s platform technology and potential therapies; future development plans; clinical and regulatory objectives and the timing thereof; anticipated design of planned clinical trials; expectations regarding the potential efficacy and commercial potential of Athira’s product candidates, including ATH-1017;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 w:name="page6"/>
    <w:bookmarkEnd w:id="5"/>
    <w:p>
      <w:pPr>
        <w:spacing w:after="0" w:line="268" w:lineRule="auto"/>
        <w:rPr>
          <w:sz w:val="20"/>
          <w:szCs w:val="20"/>
          <w:color w:val="auto"/>
        </w:rPr>
      </w:pPr>
      <w:r>
        <w:rPr>
          <w:rFonts w:ascii="Arial" w:cs="Arial" w:eastAsia="Arial" w:hAnsi="Arial"/>
          <w:sz w:val="18"/>
          <w:szCs w:val="18"/>
          <w:color w:val="auto"/>
        </w:rPr>
        <w:t>anticipated presentation of data; the results of Athira’s research and development efforts and Athira’s ability to advance its product candidates into later stages of development. Forward-looking statements generally include statements that are predictive in nature and depend upon or refer to future events or conditions, and include words such as "may," "will," "should," "would," "expect," "plan," "believe," "intend," "pursue," and other similar expressions among others.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preliminary data for Athira’s ATH-1017 product candidate from the Phase 1a/b trials will not continue or persist; cessation or delay of any of the ongoing clinical trials and/or Athira’s development of ATH-1017 may occur; future potential regulatory milestones of ATH-1017, including those related to current and planned clinical studies may be insufficient to support regulatory submissions or approval; the impact of the COVID-19 pandemic on Athira’s business, research and clinical development plans and timelines and results of operations, including impact on our clinical trial sites and contractors who act for or on our behalf, may be more severe and more prolonged than currently anticipated; clinical trials may not demonstrate safety and efficacy of any of Athira’s product candidates; Athira’s assumptions regarding its planned expenditures and sufficiency of its cash, cash equivalents and investments to fund operations may be incorrect; Athira’s research and development efforts and its ability to advance product candidates into later stages of development may fail; any one or more of Athira’s product candidates may not be successfully developed, approved or commercialized; adverse conditions in the general domestic and global economic markets; political and regulatory uncertainty following the results of the U.S. election in November 2020; regulatory agencies may be delayed in reviewing, commenting on or approving any of Athira’s clinical development plans as a result of the COVID-19 pandemic, which could further delay development timelines; the impact of competition; the impact of expanded product development and clinical activities on operating expenses; impact of new or changing laws and regulations; as well as the other risks detailed in Athira’s filings with the Securities and Exchange Commission.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p>
      <w:pPr>
        <w:spacing w:after="0" w:line="195"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“Athira,” “Athira Pharma” and the Athira logo are registered trademarks or trademarks of Athira Pharma, Inc. in various jurisdictions. All other trademarks belong to their respective owner.</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r>
        <w:rPr>
          <w:rFonts w:ascii="Arial" w:cs="Arial" w:eastAsia="Arial" w:hAnsi="Arial"/>
          <w:sz w:val="20"/>
          <w:szCs w:val="20"/>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Julie Rathbun</w:t>
      </w:r>
    </w:p>
    <w:p>
      <w:pPr>
        <w:spacing w:after="0"/>
        <w:rPr>
          <w:sz w:val="20"/>
          <w:szCs w:val="20"/>
          <w:color w:val="auto"/>
        </w:rPr>
      </w:pPr>
      <w:r>
        <w:rPr>
          <w:rFonts w:ascii="Arial" w:cs="Arial" w:eastAsia="Arial" w:hAnsi="Arial"/>
          <w:sz w:val="20"/>
          <w:szCs w:val="20"/>
          <w:color w:val="auto"/>
        </w:rPr>
        <w:t>Athira Pharma, Inc.</w:t>
      </w:r>
    </w:p>
    <w:p>
      <w:pPr>
        <w:spacing w:after="0"/>
        <w:rPr>
          <w:sz w:val="20"/>
          <w:szCs w:val="20"/>
          <w:color w:val="auto"/>
        </w:rPr>
      </w:pPr>
      <w:r>
        <w:rPr>
          <w:rFonts w:ascii="Arial" w:cs="Arial" w:eastAsia="Arial" w:hAnsi="Arial"/>
          <w:sz w:val="20"/>
          <w:szCs w:val="20"/>
          <w:u w:val="single" w:color="auto"/>
          <w:color w:val="auto"/>
        </w:rPr>
        <w:t>Julie.rathbun@athira.com</w:t>
      </w:r>
    </w:p>
    <w:p>
      <w:pPr>
        <w:spacing w:after="0"/>
        <w:rPr>
          <w:sz w:val="20"/>
          <w:szCs w:val="20"/>
          <w:color w:val="auto"/>
        </w:rPr>
      </w:pPr>
      <w:r>
        <w:rPr>
          <w:rFonts w:ascii="Arial" w:cs="Arial" w:eastAsia="Arial" w:hAnsi="Arial"/>
          <w:sz w:val="20"/>
          <w:szCs w:val="20"/>
          <w:color w:val="auto"/>
        </w:rPr>
        <w:t>206-769-9219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22"/>
          <w:szCs w:val="22"/>
          <w:b w:val="1"/>
          <w:bCs w:val="1"/>
          <w:color w:val="auto"/>
        </w:rPr>
        <w:t>Athira Pharma, Inc.</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Condensed Consolidated Balance Sheets</w:t>
      </w:r>
    </w:p>
    <w:p>
      <w:pPr>
        <w:jc w:val="center"/>
        <w:ind w:right="20"/>
        <w:spacing w:after="0"/>
        <w:rPr>
          <w:sz w:val="20"/>
          <w:szCs w:val="20"/>
          <w:color w:val="auto"/>
        </w:rPr>
      </w:pPr>
      <w:r>
        <w:rPr>
          <w:rFonts w:ascii="Arial" w:cs="Arial" w:eastAsia="Arial" w:hAnsi="Arial"/>
          <w:sz w:val="18"/>
          <w:szCs w:val="18"/>
          <w:color w:val="auto"/>
        </w:rPr>
        <w:t>(Unaudited)</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(Amounts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165,725</w:t>
            </w:r>
          </w:p>
        </w:tc>
        <w:tc>
          <w:tcPr>
            <w:tcW w:w="36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2,056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60,547</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00"/>
              <w:spacing w:after="0"/>
              <w:rPr>
                <w:sz w:val="20"/>
                <w:szCs w:val="20"/>
                <w:color w:val="auto"/>
              </w:rPr>
            </w:pPr>
            <w:r>
              <w:rPr>
                <w:rFonts w:ascii="Arial" w:cs="Arial" w:eastAsia="Arial" w:hAnsi="Arial"/>
                <w:sz w:val="18"/>
                <w:szCs w:val="18"/>
                <w:color w:val="auto"/>
              </w:rPr>
              <w:t>Other short-term assets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5,994</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Long-term investments</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33,656</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Other long-term assets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267,939</w:t>
            </w:r>
          </w:p>
        </w:tc>
        <w:tc>
          <w:tcPr>
            <w:tcW w:w="3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2,189</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7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7,554</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00"/>
              <w:spacing w:after="0"/>
              <w:rPr>
                <w:sz w:val="20"/>
                <w:szCs w:val="20"/>
                <w:color w:val="auto"/>
              </w:rPr>
            </w:pPr>
            <w:r>
              <w:rPr>
                <w:rFonts w:ascii="Arial" w:cs="Arial" w:eastAsia="Arial" w:hAnsi="Arial"/>
                <w:sz w:val="18"/>
                <w:szCs w:val="18"/>
                <w:color w:val="auto"/>
              </w:rPr>
              <w:t>Long-term liabilities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915</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3,588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8,469</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200" w:type="dxa"/>
            <w:vAlign w:val="bottom"/>
          </w:tcPr>
          <w:p>
            <w:pPr>
              <w:spacing w:after="0"/>
              <w:rPr>
                <w:sz w:val="19"/>
                <w:szCs w:val="19"/>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17,051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 (deficit)</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259,470</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(19,723)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liabilities and stockholders' equity (deficit)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267,939</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77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Athira Pharma,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56"/>
        </w:trPr>
        <w:tc>
          <w:tcPr>
            <w:tcW w:w="75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5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5,830</w:t>
            </w:r>
          </w:p>
        </w:tc>
        <w:tc>
          <w:tcPr>
            <w:tcW w:w="240" w:type="dxa"/>
            <w:vAlign w:val="bottom"/>
          </w:tcPr>
          <w:p>
            <w:pPr>
              <w:spacing w:after="0"/>
              <w:rPr>
                <w:sz w:val="19"/>
                <w:szCs w:val="19"/>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1,567</w:t>
            </w:r>
          </w:p>
        </w:tc>
        <w:tc>
          <w:tcPr>
            <w:tcW w:w="2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7,397</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(7,397)</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(1,059)</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8"/>
                <w:szCs w:val="18"/>
                <w:color w:val="auto"/>
              </w:rPr>
              <w:t>Unrealized (loss)/gain on available-for-sale securities</w:t>
            </w: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tcBorders>
              <w:bottom w:val="single" w:sz="8" w:color="CFF0FC"/>
            </w:tcBorders>
            <w:vMerge w:val="continue"/>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 attributable to common shareholders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(8,449)</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56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(1.12)</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196"/>
        </w:trPr>
        <w:tc>
          <w:tcPr>
            <w:tcW w:w="756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Weighted-average shares used in computing net loss per</w:t>
            </w:r>
          </w:p>
        </w:tc>
        <w:tc>
          <w:tcPr>
            <w:tcW w:w="36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 attributable to common stockholders, basic</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and diluted</w:t>
            </w: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7,564,538</w:t>
            </w:r>
          </w:p>
        </w:tc>
        <w:tc>
          <w:tcPr>
            <w:tcW w:w="2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3,554,345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2020-11-12T15:28:35Z</dcterms:created>
  <dcterms:modified xsi:type="dcterms:W3CDTF">2020-11-12T15:28:35Z</dcterms:modified>
</cp:coreProperties>
</file>