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right="320" w:hanging="2363"/>
        <w:spacing w:after="0" w:line="229" w:lineRule="auto"/>
        <w:rPr>
          <w:sz w:val="20"/>
          <w:szCs w:val="20"/>
          <w:color w:val="auto"/>
        </w:rPr>
      </w:pPr>
      <w:r>
        <w:rPr>
          <w:rFonts w:ascii="Arial" w:cs="Arial" w:eastAsia="Arial" w:hAnsi="Arial"/>
          <w:sz w:val="13"/>
          <w:szCs w:val="13"/>
          <w:b w:val="1"/>
          <w:bCs w:val="1"/>
          <w:color w:val="auto"/>
        </w:rPr>
        <w:t>As confidentially submitted with the Securities and Exchange Commission on July 24, 2020.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6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53340</wp:posOffset>
            </wp:positionV>
            <wp:extent cx="1954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37" w:lineRule="exact"/>
        <w:rPr>
          <w:sz w:val="24"/>
          <w:szCs w:val="24"/>
          <w:color w:val="auto"/>
        </w:rPr>
      </w:pPr>
    </w:p>
    <w:p>
      <w:pPr>
        <w:jc w:val="center"/>
        <w:ind w:right="-19"/>
        <w:spacing w:after="0" w:line="311" w:lineRule="exact"/>
        <w:rPr>
          <w:sz w:val="20"/>
          <w:szCs w:val="20"/>
          <w:color w:val="auto"/>
        </w:rPr>
      </w:pPr>
      <w:r>
        <w:rPr>
          <w:rFonts w:ascii="Arial" w:cs="Arial" w:eastAsia="Arial" w:hAnsi="Arial"/>
          <w:sz w:val="27"/>
          <w:szCs w:val="27"/>
          <w:b w:val="1"/>
          <w:bCs w:val="1"/>
          <w:color w:val="auto"/>
        </w:rPr>
        <w:t>FORM S</w:t>
      </w:r>
      <w:r>
        <w:rPr>
          <w:rFonts w:ascii="MS PGothic" w:cs="MS PGothic" w:eastAsia="MS PGothic" w:hAnsi="MS PGothic"/>
          <w:sz w:val="27"/>
          <w:szCs w:val="27"/>
          <w:b w:val="1"/>
          <w:bCs w:val="1"/>
          <w:color w:val="auto"/>
        </w:rPr>
        <w:t>‑</w:t>
      </w:r>
      <w:r>
        <w:rPr>
          <w:rFonts w:ascii="Arial" w:cs="Arial" w:eastAsia="Arial" w:hAnsi="Arial"/>
          <w:sz w:val="27"/>
          <w:szCs w:val="27"/>
          <w:b w:val="1"/>
          <w:bCs w:val="1"/>
          <w:color w:val="auto"/>
        </w:rPr>
        <w:t>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REGISTRATION STATEMENT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36195</wp:posOffset>
            </wp:positionV>
            <wp:extent cx="1954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ATHIRA PHARMA,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62230</wp:posOffset>
            </wp:positionV>
            <wp:extent cx="1954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86" w:lineRule="exact"/>
        <w:rPr>
          <w:sz w:val="24"/>
          <w:szCs w:val="24"/>
          <w:color w:val="auto"/>
        </w:rPr>
      </w:pPr>
    </w:p>
    <w:tbl>
      <w:tblPr>
        <w:tblLayout w:type="fixed"/>
        <w:tblInd w:w="860" w:type="dxa"/>
        <w:tblCellMar>
          <w:top w:w="0" w:type="dxa"/>
          <w:left w:w="0" w:type="dxa"/>
          <w:bottom w:w="0" w:type="dxa"/>
          <w:right w:w="0" w:type="dxa"/>
        </w:tblCellMar>
      </w:tblPr>
      <w:tr>
        <w:trPr>
          <w:trHeight w:val="162"/>
        </w:trPr>
        <w:tc>
          <w:tcPr>
            <w:tcW w:w="2160" w:type="dxa"/>
            <w:vAlign w:val="bottom"/>
          </w:tcPr>
          <w:p>
            <w:pPr>
              <w:jc w:val="center"/>
              <w:ind w:right="751"/>
              <w:spacing w:after="0"/>
              <w:rPr>
                <w:sz w:val="20"/>
                <w:szCs w:val="20"/>
                <w:color w:val="auto"/>
              </w:rPr>
            </w:pPr>
            <w:r>
              <w:rPr>
                <w:rFonts w:ascii="Arial" w:cs="Arial" w:eastAsia="Arial" w:hAnsi="Arial"/>
                <w:sz w:val="14"/>
                <w:szCs w:val="14"/>
                <w:b w:val="1"/>
                <w:bCs w:val="1"/>
                <w:color w:val="auto"/>
              </w:rPr>
              <w:t>Delaware</w:t>
            </w:r>
          </w:p>
        </w:tc>
        <w:tc>
          <w:tcPr>
            <w:tcW w:w="4140" w:type="dxa"/>
            <w:vAlign w:val="bottom"/>
            <w:gridSpan w:val="2"/>
          </w:tcPr>
          <w:p>
            <w:pPr>
              <w:jc w:val="right"/>
              <w:ind w:right="1312"/>
              <w:spacing w:after="0"/>
              <w:rPr>
                <w:sz w:val="20"/>
                <w:szCs w:val="20"/>
                <w:color w:val="auto"/>
              </w:rPr>
            </w:pPr>
            <w:r>
              <w:rPr>
                <w:rFonts w:ascii="Arial" w:cs="Arial" w:eastAsia="Arial" w:hAnsi="Arial"/>
                <w:sz w:val="14"/>
                <w:szCs w:val="14"/>
                <w:b w:val="1"/>
                <w:bCs w:val="1"/>
                <w:color w:val="auto"/>
              </w:rPr>
              <w:t>2836</w:t>
            </w:r>
          </w:p>
        </w:tc>
        <w:tc>
          <w:tcPr>
            <w:tcW w:w="1120" w:type="dxa"/>
            <w:vAlign w:val="bottom"/>
          </w:tcPr>
          <w:p>
            <w:pPr>
              <w:spacing w:after="0"/>
              <w:rPr>
                <w:sz w:val="14"/>
                <w:szCs w:val="14"/>
                <w:color w:val="auto"/>
              </w:rPr>
            </w:pPr>
          </w:p>
        </w:tc>
        <w:tc>
          <w:tcPr>
            <w:tcW w:w="2280" w:type="dxa"/>
            <w:vAlign w:val="bottom"/>
          </w:tcPr>
          <w:p>
            <w:pPr>
              <w:jc w:val="center"/>
              <w:ind w:left="532"/>
              <w:spacing w:after="0"/>
              <w:rPr>
                <w:sz w:val="20"/>
                <w:szCs w:val="20"/>
                <w:color w:val="auto"/>
              </w:rPr>
            </w:pPr>
            <w:r>
              <w:rPr>
                <w:rFonts w:ascii="Arial" w:cs="Arial" w:eastAsia="Arial" w:hAnsi="Arial"/>
                <w:sz w:val="14"/>
                <w:szCs w:val="14"/>
                <w:b w:val="1"/>
                <w:bCs w:val="1"/>
                <w:color w:val="auto"/>
              </w:rPr>
              <w:t>45-3368487</w:t>
            </w:r>
          </w:p>
        </w:tc>
        <w:tc>
          <w:tcPr>
            <w:tcW w:w="0" w:type="dxa"/>
            <w:vAlign w:val="bottom"/>
          </w:tcPr>
          <w:p>
            <w:pPr>
              <w:spacing w:after="0"/>
              <w:rPr>
                <w:sz w:val="1"/>
                <w:szCs w:val="1"/>
                <w:color w:val="auto"/>
              </w:rPr>
            </w:pPr>
          </w:p>
        </w:tc>
      </w:tr>
      <w:tr>
        <w:trPr>
          <w:trHeight w:val="122"/>
        </w:trPr>
        <w:tc>
          <w:tcPr>
            <w:tcW w:w="2160" w:type="dxa"/>
            <w:vAlign w:val="bottom"/>
          </w:tcPr>
          <w:p>
            <w:pPr>
              <w:jc w:val="center"/>
              <w:ind w:right="771"/>
              <w:spacing w:after="0" w:line="122" w:lineRule="exact"/>
              <w:rPr>
                <w:sz w:val="20"/>
                <w:szCs w:val="20"/>
                <w:color w:val="auto"/>
              </w:rPr>
            </w:pPr>
            <w:r>
              <w:rPr>
                <w:rFonts w:ascii="Arial" w:cs="Arial" w:eastAsia="Arial" w:hAnsi="Arial"/>
                <w:sz w:val="11"/>
                <w:szCs w:val="11"/>
                <w:b w:val="1"/>
                <w:bCs w:val="1"/>
                <w:color w:val="auto"/>
                <w:w w:val="84"/>
              </w:rPr>
              <w:t>(State or other jurisdiction of</w:t>
            </w:r>
          </w:p>
        </w:tc>
        <w:tc>
          <w:tcPr>
            <w:tcW w:w="1060" w:type="dxa"/>
            <w:vAlign w:val="bottom"/>
          </w:tcPr>
          <w:p>
            <w:pPr>
              <w:spacing w:after="0"/>
              <w:rPr>
                <w:sz w:val="10"/>
                <w:szCs w:val="10"/>
                <w:color w:val="auto"/>
              </w:rPr>
            </w:pPr>
          </w:p>
        </w:tc>
        <w:tc>
          <w:tcPr>
            <w:tcW w:w="4200" w:type="dxa"/>
            <w:vAlign w:val="bottom"/>
            <w:gridSpan w:val="2"/>
          </w:tcPr>
          <w:p>
            <w:pPr>
              <w:jc w:val="center"/>
              <w:ind w:right="1140"/>
              <w:spacing w:after="0" w:line="122" w:lineRule="exact"/>
              <w:rPr>
                <w:sz w:val="20"/>
                <w:szCs w:val="20"/>
                <w:color w:val="auto"/>
              </w:rPr>
            </w:pPr>
            <w:r>
              <w:rPr>
                <w:rFonts w:ascii="Arial" w:cs="Arial" w:eastAsia="Arial" w:hAnsi="Arial"/>
                <w:sz w:val="11"/>
                <w:szCs w:val="11"/>
                <w:b w:val="1"/>
                <w:bCs w:val="1"/>
                <w:color w:val="auto"/>
                <w:w w:val="90"/>
              </w:rPr>
              <w:t>(Primary Standard Industrial</w:t>
            </w:r>
          </w:p>
        </w:tc>
        <w:tc>
          <w:tcPr>
            <w:tcW w:w="2280" w:type="dxa"/>
            <w:vAlign w:val="bottom"/>
          </w:tcPr>
          <w:p>
            <w:pPr>
              <w:jc w:val="center"/>
              <w:ind w:left="512"/>
              <w:spacing w:after="0" w:line="122" w:lineRule="exact"/>
              <w:rPr>
                <w:sz w:val="20"/>
                <w:szCs w:val="20"/>
                <w:color w:val="auto"/>
              </w:rPr>
            </w:pPr>
            <w:r>
              <w:rPr>
                <w:rFonts w:ascii="Arial" w:cs="Arial" w:eastAsia="Arial" w:hAnsi="Arial"/>
                <w:sz w:val="11"/>
                <w:szCs w:val="11"/>
                <w:b w:val="1"/>
                <w:bCs w:val="1"/>
                <w:color w:val="auto"/>
                <w:w w:val="87"/>
              </w:rPr>
              <w:t>(I.R.S. Employer</w:t>
            </w:r>
          </w:p>
        </w:tc>
        <w:tc>
          <w:tcPr>
            <w:tcW w:w="0" w:type="dxa"/>
            <w:vAlign w:val="bottom"/>
          </w:tcPr>
          <w:p>
            <w:pPr>
              <w:spacing w:after="0"/>
              <w:rPr>
                <w:sz w:val="1"/>
                <w:szCs w:val="1"/>
                <w:color w:val="auto"/>
              </w:rPr>
            </w:pPr>
          </w:p>
        </w:tc>
      </w:tr>
      <w:tr>
        <w:trPr>
          <w:trHeight w:val="140"/>
        </w:trPr>
        <w:tc>
          <w:tcPr>
            <w:tcW w:w="2160" w:type="dxa"/>
            <w:vAlign w:val="bottom"/>
          </w:tcPr>
          <w:p>
            <w:pPr>
              <w:jc w:val="center"/>
              <w:ind w:right="731"/>
              <w:spacing w:after="0"/>
              <w:rPr>
                <w:sz w:val="20"/>
                <w:szCs w:val="20"/>
                <w:color w:val="auto"/>
              </w:rPr>
            </w:pPr>
            <w:r>
              <w:rPr>
                <w:rFonts w:ascii="Arial" w:cs="Arial" w:eastAsia="Arial" w:hAnsi="Arial"/>
                <w:sz w:val="11"/>
                <w:szCs w:val="11"/>
                <w:b w:val="1"/>
                <w:bCs w:val="1"/>
                <w:color w:val="auto"/>
                <w:w w:val="86"/>
              </w:rPr>
              <w:t>incorporation or organization)</w:t>
            </w:r>
          </w:p>
        </w:tc>
        <w:tc>
          <w:tcPr>
            <w:tcW w:w="1060" w:type="dxa"/>
            <w:vAlign w:val="bottom"/>
          </w:tcPr>
          <w:p>
            <w:pPr>
              <w:spacing w:after="0"/>
              <w:rPr>
                <w:sz w:val="12"/>
                <w:szCs w:val="12"/>
                <w:color w:val="auto"/>
              </w:rPr>
            </w:pPr>
          </w:p>
        </w:tc>
        <w:tc>
          <w:tcPr>
            <w:tcW w:w="4200" w:type="dxa"/>
            <w:vAlign w:val="bottom"/>
            <w:gridSpan w:val="2"/>
          </w:tcPr>
          <w:p>
            <w:pPr>
              <w:jc w:val="center"/>
              <w:ind w:right="1100"/>
              <w:spacing w:after="0"/>
              <w:rPr>
                <w:sz w:val="20"/>
                <w:szCs w:val="20"/>
                <w:color w:val="auto"/>
              </w:rPr>
            </w:pPr>
            <w:r>
              <w:rPr>
                <w:rFonts w:ascii="Arial" w:cs="Arial" w:eastAsia="Arial" w:hAnsi="Arial"/>
                <w:sz w:val="11"/>
                <w:szCs w:val="11"/>
                <w:b w:val="1"/>
                <w:bCs w:val="1"/>
                <w:color w:val="auto"/>
                <w:w w:val="86"/>
              </w:rPr>
              <w:t>Classification Code Number)</w:t>
            </w:r>
          </w:p>
        </w:tc>
        <w:tc>
          <w:tcPr>
            <w:tcW w:w="2280" w:type="dxa"/>
            <w:vAlign w:val="bottom"/>
          </w:tcPr>
          <w:p>
            <w:pPr>
              <w:jc w:val="center"/>
              <w:ind w:left="532"/>
              <w:spacing w:after="0"/>
              <w:rPr>
                <w:sz w:val="20"/>
                <w:szCs w:val="20"/>
                <w:color w:val="auto"/>
              </w:rPr>
            </w:pPr>
            <w:r>
              <w:rPr>
                <w:rFonts w:ascii="Arial" w:cs="Arial" w:eastAsia="Arial" w:hAnsi="Arial"/>
                <w:sz w:val="11"/>
                <w:szCs w:val="11"/>
                <w:b w:val="1"/>
                <w:bCs w:val="1"/>
                <w:color w:val="auto"/>
                <w:w w:val="89"/>
              </w:rPr>
              <w:t>Identification Number)</w:t>
            </w:r>
          </w:p>
        </w:tc>
        <w:tc>
          <w:tcPr>
            <w:tcW w:w="0" w:type="dxa"/>
            <w:vAlign w:val="bottom"/>
          </w:tcPr>
          <w:p>
            <w:pPr>
              <w:spacing w:after="0"/>
              <w:rPr>
                <w:sz w:val="1"/>
                <w:szCs w:val="1"/>
                <w:color w:val="auto"/>
              </w:rPr>
            </w:pPr>
          </w:p>
        </w:tc>
      </w:tr>
      <w:tr>
        <w:trPr>
          <w:trHeight w:val="387"/>
        </w:trPr>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4000 Mason Road, Suite 300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Seattle, WA 98195</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4140" w:type="dxa"/>
            <w:vAlign w:val="bottom"/>
            <w:gridSpan w:val="2"/>
          </w:tcPr>
          <w:p>
            <w:pPr>
              <w:jc w:val="right"/>
              <w:ind w:right="992"/>
              <w:spacing w:after="0"/>
              <w:rPr>
                <w:sz w:val="20"/>
                <w:szCs w:val="20"/>
                <w:color w:val="auto"/>
              </w:rPr>
            </w:pPr>
            <w:r>
              <w:rPr>
                <w:rFonts w:ascii="Arial" w:cs="Arial" w:eastAsia="Arial" w:hAnsi="Arial"/>
                <w:sz w:val="14"/>
                <w:szCs w:val="14"/>
                <w:b w:val="1"/>
                <w:bCs w:val="1"/>
                <w:color w:val="auto"/>
              </w:rPr>
              <w:t>(206) 221-8112</w:t>
            </w:r>
          </w:p>
        </w:tc>
        <w:tc>
          <w:tcPr>
            <w:tcW w:w="1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160" w:type="dxa"/>
            <w:vAlign w:val="bottom"/>
          </w:tcPr>
          <w:p>
            <w:pPr>
              <w:spacing w:after="0"/>
              <w:rPr>
                <w:sz w:val="12"/>
                <w:szCs w:val="12"/>
                <w:color w:val="auto"/>
              </w:rPr>
            </w:pPr>
          </w:p>
        </w:tc>
        <w:tc>
          <w:tcPr>
            <w:tcW w:w="5260" w:type="dxa"/>
            <w:vAlign w:val="bottom"/>
            <w:gridSpan w:val="3"/>
          </w:tcPr>
          <w:p>
            <w:pPr>
              <w:ind w:left="40"/>
              <w:spacing w:after="0"/>
              <w:rPr>
                <w:sz w:val="20"/>
                <w:szCs w:val="20"/>
                <w:color w:val="auto"/>
              </w:rPr>
            </w:pPr>
            <w:r>
              <w:rPr>
                <w:rFonts w:ascii="Arial" w:cs="Arial" w:eastAsia="Arial" w:hAnsi="Arial"/>
                <w:sz w:val="11"/>
                <w:szCs w:val="11"/>
                <w:b w:val="1"/>
                <w:bCs w:val="1"/>
                <w:color w:val="auto"/>
                <w:w w:val="85"/>
              </w:rPr>
              <w:t>(Address, including zip code, and telephone number, including area code, of Registrant’s principal executive offices)</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9"/>
              </w:rPr>
              <w:t>Leen Kawas, Ph.D.</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President and Chief Executive Officer</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Athira Pharma, Inc.</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4000 Mason Road, Suite 300</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Seattle, WA 98195</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4140" w:type="dxa"/>
            <w:vAlign w:val="bottom"/>
            <w:gridSpan w:val="2"/>
          </w:tcPr>
          <w:p>
            <w:pPr>
              <w:jc w:val="center"/>
              <w:ind w:left="955"/>
              <w:spacing w:after="0"/>
              <w:rPr>
                <w:sz w:val="20"/>
                <w:szCs w:val="20"/>
                <w:color w:val="auto"/>
              </w:rPr>
            </w:pPr>
            <w:r>
              <w:rPr>
                <w:rFonts w:ascii="Arial" w:cs="Arial" w:eastAsia="Arial" w:hAnsi="Arial"/>
                <w:sz w:val="14"/>
                <w:szCs w:val="14"/>
                <w:b w:val="1"/>
                <w:bCs w:val="1"/>
                <w:color w:val="auto"/>
              </w:rPr>
              <w:t>(206) 221-8112</w:t>
            </w:r>
          </w:p>
        </w:tc>
        <w:tc>
          <w:tcPr>
            <w:tcW w:w="1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160" w:type="dxa"/>
            <w:vAlign w:val="bottom"/>
          </w:tcPr>
          <w:p>
            <w:pPr>
              <w:spacing w:after="0"/>
              <w:rPr>
                <w:sz w:val="12"/>
                <w:szCs w:val="12"/>
                <w:color w:val="auto"/>
              </w:rPr>
            </w:pPr>
          </w:p>
        </w:tc>
        <w:tc>
          <w:tcPr>
            <w:tcW w:w="5260" w:type="dxa"/>
            <w:vAlign w:val="bottom"/>
            <w:gridSpan w:val="3"/>
          </w:tcPr>
          <w:p>
            <w:pPr>
              <w:ind w:left="760"/>
              <w:spacing w:after="0"/>
              <w:rPr>
                <w:sz w:val="20"/>
                <w:szCs w:val="20"/>
                <w:color w:val="auto"/>
              </w:rPr>
            </w:pPr>
            <w:r>
              <w:rPr>
                <w:rFonts w:ascii="Arial" w:cs="Arial" w:eastAsia="Arial" w:hAnsi="Arial"/>
                <w:sz w:val="11"/>
                <w:szCs w:val="11"/>
                <w:b w:val="1"/>
                <w:bCs w:val="1"/>
                <w:color w:val="auto"/>
                <w:w w:val="84"/>
              </w:rPr>
              <w:t>(Name, address, including zip code, and telephone number, including area code, of agent for service)</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16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rPr>
              <w:t>Michael Nordtvedt</w:t>
            </w:r>
          </w:p>
        </w:tc>
        <w:tc>
          <w:tcPr>
            <w:tcW w:w="1060" w:type="dxa"/>
            <w:vAlign w:val="bottom"/>
          </w:tcPr>
          <w:p>
            <w:pPr>
              <w:spacing w:after="0"/>
              <w:rPr>
                <w:sz w:val="24"/>
                <w:szCs w:val="24"/>
                <w:color w:val="auto"/>
              </w:rPr>
            </w:pPr>
          </w:p>
        </w:tc>
        <w:tc>
          <w:tcPr>
            <w:tcW w:w="4200" w:type="dxa"/>
            <w:vAlign w:val="bottom"/>
            <w:gridSpan w:val="2"/>
          </w:tcPr>
          <w:p>
            <w:pPr>
              <w:ind w:left="1260"/>
              <w:spacing w:after="0"/>
              <w:rPr>
                <w:sz w:val="20"/>
                <w:szCs w:val="20"/>
                <w:color w:val="auto"/>
              </w:rPr>
            </w:pPr>
            <w:r>
              <w:rPr>
                <w:rFonts w:ascii="Arial" w:cs="Arial" w:eastAsia="Arial" w:hAnsi="Arial"/>
                <w:sz w:val="14"/>
                <w:szCs w:val="14"/>
                <w:b w:val="1"/>
                <w:bCs w:val="1"/>
                <w:i w:val="1"/>
                <w:iCs w:val="1"/>
                <w:color w:val="auto"/>
              </w:rPr>
              <w:t>Copies to:</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Charles S. Kim</w:t>
            </w:r>
          </w:p>
        </w:tc>
        <w:tc>
          <w:tcPr>
            <w:tcW w:w="0" w:type="dxa"/>
            <w:vAlign w:val="bottom"/>
          </w:tcPr>
          <w:p>
            <w:pPr>
              <w:spacing w:after="0"/>
              <w:rPr>
                <w:sz w:val="1"/>
                <w:szCs w:val="1"/>
                <w:color w:val="auto"/>
              </w:rPr>
            </w:pPr>
          </w:p>
        </w:tc>
      </w:tr>
      <w:tr>
        <w:trPr>
          <w:trHeight w:val="53"/>
        </w:trPr>
        <w:tc>
          <w:tcPr>
            <w:tcW w:w="21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Bryan D. King</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Alan D. Hambelton</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Donna Petkanics</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Dave Peinsipp</w:t>
            </w:r>
          </w:p>
        </w:tc>
        <w:tc>
          <w:tcPr>
            <w:tcW w:w="0" w:type="dxa"/>
            <w:vAlign w:val="bottom"/>
          </w:tcPr>
          <w:p>
            <w:pPr>
              <w:spacing w:after="0"/>
              <w:rPr>
                <w:sz w:val="1"/>
                <w:szCs w:val="1"/>
                <w:color w:val="auto"/>
              </w:rPr>
            </w:pPr>
          </w:p>
        </w:tc>
      </w:tr>
      <w:tr>
        <w:trPr>
          <w:trHeight w:val="162"/>
        </w:trPr>
        <w:tc>
          <w:tcPr>
            <w:tcW w:w="7420" w:type="dxa"/>
            <w:vAlign w:val="bottom"/>
            <w:gridSpan w:val="4"/>
          </w:tcPr>
          <w:p>
            <w:pPr>
              <w:jc w:val="center"/>
              <w:ind w:right="5100"/>
              <w:spacing w:after="0"/>
              <w:rPr>
                <w:sz w:val="20"/>
                <w:szCs w:val="20"/>
                <w:color w:val="auto"/>
              </w:rPr>
            </w:pPr>
            <w:r>
              <w:rPr>
                <w:rFonts w:ascii="Arial" w:cs="Arial" w:eastAsia="Arial" w:hAnsi="Arial"/>
                <w:sz w:val="14"/>
                <w:szCs w:val="14"/>
                <w:b w:val="1"/>
                <w:bCs w:val="1"/>
                <w:color w:val="auto"/>
              </w:rPr>
              <w:t>Wilson Sonsini Goodrich &amp; Rosati,</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Cooley LLP</w:t>
            </w:r>
          </w:p>
        </w:tc>
        <w:tc>
          <w:tcPr>
            <w:tcW w:w="0" w:type="dxa"/>
            <w:vAlign w:val="bottom"/>
          </w:tcPr>
          <w:p>
            <w:pPr>
              <w:spacing w:after="0"/>
              <w:rPr>
                <w:sz w:val="1"/>
                <w:szCs w:val="1"/>
                <w:color w:val="auto"/>
              </w:rPr>
            </w:pPr>
          </w:p>
        </w:tc>
      </w:tr>
      <w:tr>
        <w:trPr>
          <w:trHeight w:val="162"/>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w w:val="99"/>
              </w:rPr>
              <w:t>Professional Corporation</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1700 Seventh Avenue, Suite 1900</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701 Fifth Avenue, Suite 5100</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Seattle, WA 98101</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w w:val="98"/>
              </w:rPr>
              <w:t>Seattle, WA 98104</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(206) 452-8700</w:t>
            </w:r>
          </w:p>
        </w:tc>
        <w:tc>
          <w:tcPr>
            <w:tcW w:w="0" w:type="dxa"/>
            <w:vAlign w:val="bottom"/>
          </w:tcPr>
          <w:p>
            <w:pPr>
              <w:spacing w:after="0"/>
              <w:rPr>
                <w:sz w:val="1"/>
                <w:szCs w:val="1"/>
                <w:color w:val="auto"/>
              </w:rPr>
            </w:pPr>
          </w:p>
        </w:tc>
      </w:tr>
      <w:tr>
        <w:trPr>
          <w:trHeight w:val="190"/>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rPr>
              <w:t>(206) 883-2500</w:t>
            </w:r>
          </w:p>
        </w:tc>
        <w:tc>
          <w:tcPr>
            <w:tcW w:w="1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50165</wp:posOffset>
            </wp:positionV>
            <wp:extent cx="1954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19" w:lineRule="exact"/>
        <w:rPr>
          <w:sz w:val="24"/>
          <w:szCs w:val="24"/>
          <w:color w:val="auto"/>
        </w:rPr>
      </w:pPr>
    </w:p>
    <w:p>
      <w:pPr>
        <w:ind w:left="5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3" w:lineRule="exact"/>
        <w:rPr>
          <w:sz w:val="24"/>
          <w:szCs w:val="24"/>
          <w:color w:val="auto"/>
        </w:rPr>
      </w:pPr>
    </w:p>
    <w:p>
      <w:pPr>
        <w:ind w:left="5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59" w:lineRule="exact"/>
        <w:rPr>
          <w:sz w:val="24"/>
          <w:szCs w:val="24"/>
          <w:color w:val="auto"/>
        </w:rPr>
      </w:pPr>
    </w:p>
    <w:p>
      <w:pPr>
        <w:ind w:right="120" w:firstLine="510"/>
        <w:spacing w:after="0" w:line="15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right="360" w:firstLine="51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0" w:lineRule="exact"/>
        <w:rPr>
          <w:sz w:val="24"/>
          <w:szCs w:val="24"/>
          <w:color w:val="auto"/>
        </w:rPr>
      </w:pPr>
    </w:p>
    <w:p>
      <w:pPr>
        <w:ind w:right="360" w:firstLine="51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0" w:lineRule="exact"/>
        <w:rPr>
          <w:sz w:val="24"/>
          <w:szCs w:val="24"/>
          <w:color w:val="auto"/>
        </w:rPr>
      </w:pPr>
    </w:p>
    <w:p>
      <w:pPr>
        <w:ind w:right="20" w:firstLine="510"/>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20"/>
                <w:szCs w:val="20"/>
                <w:color w:val="auto"/>
              </w:rPr>
            </w:pPr>
            <w:r>
              <w:rPr>
                <w:rFonts w:ascii="Arial" w:cs="Arial" w:eastAsia="Arial" w:hAnsi="Arial"/>
                <w:sz w:val="13"/>
                <w:szCs w:val="13"/>
                <w:b w:val="1"/>
                <w:bCs w:val="1"/>
                <w:color w:val="auto"/>
              </w:rPr>
              <w:t>Large 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1960"/>
              <w:spacing w:after="0"/>
              <w:rPr>
                <w:sz w:val="20"/>
                <w:szCs w:val="20"/>
                <w:color w:val="auto"/>
              </w:rPr>
            </w:pPr>
            <w:r>
              <w:rPr>
                <w:rFonts w:ascii="Arial" w:cs="Arial" w:eastAsia="Arial" w:hAnsi="Arial"/>
                <w:sz w:val="13"/>
                <w:szCs w:val="13"/>
                <w:b w:val="1"/>
                <w:bCs w:val="1"/>
                <w:color w:val="auto"/>
              </w:rPr>
              <w:t>Accelerated filer</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9"/>
        </w:trPr>
        <w:tc>
          <w:tcPr>
            <w:tcW w:w="2540" w:type="dxa"/>
            <w:vAlign w:val="bottom"/>
          </w:tcPr>
          <w:p>
            <w:pPr>
              <w:spacing w:after="0"/>
              <w:rPr>
                <w:sz w:val="20"/>
                <w:szCs w:val="20"/>
                <w:color w:val="auto"/>
              </w:rPr>
            </w:pPr>
            <w:r>
              <w:rPr>
                <w:rFonts w:ascii="Arial" w:cs="Arial" w:eastAsia="Arial" w:hAnsi="Arial"/>
                <w:sz w:val="13"/>
                <w:szCs w:val="13"/>
                <w:b w:val="1"/>
                <w:bCs w:val="1"/>
                <w:color w:val="auto"/>
              </w:rPr>
              <w:t>Non-accelerated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1960"/>
              <w:spacing w:after="0"/>
              <w:rPr>
                <w:sz w:val="20"/>
                <w:szCs w:val="20"/>
                <w:color w:val="auto"/>
              </w:rPr>
            </w:pPr>
            <w:r>
              <w:rPr>
                <w:rFonts w:ascii="Arial" w:cs="Arial" w:eastAsia="Arial" w:hAnsi="Arial"/>
                <w:sz w:val="13"/>
                <w:szCs w:val="13"/>
                <w:b w:val="1"/>
                <w:bCs w:val="1"/>
                <w:color w:val="auto"/>
              </w:rPr>
              <w:t>Smaller reporting company</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2540" w:type="dxa"/>
            <w:vAlign w:val="bottom"/>
          </w:tcPr>
          <w:p>
            <w:pPr>
              <w:spacing w:after="0"/>
              <w:rPr>
                <w:sz w:val="20"/>
                <w:szCs w:val="20"/>
                <w:color w:val="auto"/>
              </w:rPr>
            </w:pPr>
            <w:r>
              <w:rPr>
                <w:rFonts w:ascii="Arial" w:cs="Arial" w:eastAsia="Arial" w:hAnsi="Arial"/>
                <w:sz w:val="13"/>
                <w:szCs w:val="13"/>
                <w:b w:val="1"/>
                <w:bCs w:val="1"/>
                <w:color w:val="auto"/>
              </w:rPr>
              <w:t>Emerging growth company</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2211705</wp:posOffset>
            </wp:positionH>
            <wp:positionV relativeFrom="paragraph">
              <wp:posOffset>-282575</wp:posOffset>
            </wp:positionV>
            <wp:extent cx="60960" cy="61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-282575</wp:posOffset>
            </wp:positionV>
            <wp:extent cx="60960" cy="61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-188595</wp:posOffset>
            </wp:positionV>
            <wp:extent cx="60960" cy="61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-188595</wp:posOffset>
            </wp:positionV>
            <wp:extent cx="60960" cy="61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-93980</wp:posOffset>
            </wp:positionV>
            <wp:extent cx="60960" cy="61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41" w:lineRule="exact"/>
        <w:rPr>
          <w:sz w:val="24"/>
          <w:szCs w:val="24"/>
          <w:color w:val="auto"/>
        </w:rPr>
      </w:pPr>
    </w:p>
    <w:p>
      <w:pPr>
        <w:ind w:right="420" w:firstLine="51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40640</wp:posOffset>
            </wp:positionV>
            <wp:extent cx="1954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CALCULATION OF REGISTRATION FEE</w:t>
      </w:r>
    </w:p>
    <w:tbl>
      <w:tblPr>
        <w:tblLayout w:type="fixed"/>
        <w:tblInd w:w="0" w:type="dxa"/>
        <w:tblCellMar>
          <w:top w:w="0" w:type="dxa"/>
          <w:left w:w="0" w:type="dxa"/>
          <w:bottom w:w="0" w:type="dxa"/>
          <w:right w:w="0" w:type="dxa"/>
        </w:tblCellMar>
      </w:tblPr>
      <w:tr>
        <w:trPr>
          <w:trHeight w:val="248"/>
        </w:trPr>
        <w:tc>
          <w:tcPr>
            <w:tcW w:w="4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Title of Each Class of</w:t>
            </w:r>
          </w:p>
        </w:tc>
        <w:tc>
          <w:tcPr>
            <w:tcW w:w="3480" w:type="dxa"/>
            <w:vAlign w:val="bottom"/>
            <w:tcBorders>
              <w:top w:val="single" w:sz="8" w:color="auto"/>
              <w:right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95"/>
              </w:rPr>
              <w:t>Proposed Maximum</w:t>
            </w:r>
          </w:p>
        </w:tc>
        <w:tc>
          <w:tcPr>
            <w:tcW w:w="3660" w:type="dxa"/>
            <w:vAlign w:val="bottom"/>
            <w:tcBorders>
              <w:top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4"/>
              </w:rPr>
              <w:t>Amount of</w:t>
            </w:r>
          </w:p>
        </w:tc>
      </w:tr>
      <w:tr>
        <w:trPr>
          <w:trHeight w:val="142"/>
        </w:trPr>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Securities to Be Registered</w:t>
            </w:r>
          </w:p>
        </w:tc>
        <w:tc>
          <w:tcPr>
            <w:tcW w:w="3480" w:type="dxa"/>
            <w:vAlign w:val="bottom"/>
            <w:tcBorders>
              <w:right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94"/>
              </w:rPr>
              <w:t>Aggregate Offering Price</w:t>
            </w:r>
            <w:r>
              <w:rPr>
                <w:rFonts w:ascii="Arial" w:cs="Arial" w:eastAsia="Arial" w:hAnsi="Arial"/>
                <w:sz w:val="9"/>
                <w:szCs w:val="9"/>
                <w:b w:val="1"/>
                <w:bCs w:val="1"/>
                <w:color w:val="auto"/>
                <w:w w:val="94"/>
              </w:rPr>
              <w:t>(1)(2)</w:t>
            </w:r>
          </w:p>
        </w:tc>
        <w:tc>
          <w:tcPr>
            <w:tcW w:w="3660" w:type="dxa"/>
            <w:vAlign w:val="bottom"/>
          </w:tcPr>
          <w:p>
            <w:pPr>
              <w:jc w:val="center"/>
              <w:ind w:left="206"/>
              <w:spacing w:after="0"/>
              <w:rPr>
                <w:sz w:val="20"/>
                <w:szCs w:val="20"/>
                <w:color w:val="auto"/>
              </w:rPr>
            </w:pPr>
            <w:r>
              <w:rPr>
                <w:rFonts w:ascii="Arial" w:cs="Arial" w:eastAsia="Arial" w:hAnsi="Arial"/>
                <w:sz w:val="11"/>
                <w:szCs w:val="11"/>
                <w:b w:val="1"/>
                <w:bCs w:val="1"/>
                <w:color w:val="auto"/>
                <w:w w:val="92"/>
              </w:rPr>
              <w:t>Registration Fee</w:t>
            </w:r>
          </w:p>
        </w:tc>
      </w:tr>
      <w:tr>
        <w:trPr>
          <w:trHeight w:val="116"/>
        </w:trPr>
        <w:tc>
          <w:tcPr>
            <w:tcW w:w="4100" w:type="dxa"/>
            <w:vAlign w:val="bottom"/>
            <w:tcBorders>
              <w:bottom w:val="single" w:sz="8" w:color="auto"/>
              <w:right w:val="single" w:sz="8" w:color="auto"/>
            </w:tcBorders>
          </w:tcPr>
          <w:p>
            <w:pPr>
              <w:spacing w:after="0"/>
              <w:rPr>
                <w:sz w:val="10"/>
                <w:szCs w:val="10"/>
                <w:color w:val="auto"/>
              </w:rPr>
            </w:pPr>
          </w:p>
        </w:tc>
        <w:tc>
          <w:tcPr>
            <w:tcW w:w="348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r>
      <w:tr>
        <w:trPr>
          <w:trHeight w:val="242"/>
        </w:trPr>
        <w:tc>
          <w:tcPr>
            <w:tcW w:w="41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Common Stock, $0.0001 par value</w:t>
            </w:r>
          </w:p>
        </w:tc>
        <w:tc>
          <w:tcPr>
            <w:tcW w:w="3480" w:type="dxa"/>
            <w:vAlign w:val="bottom"/>
            <w:tcBorders>
              <w:right w:val="single" w:sz="8" w:color="auto"/>
            </w:tcBorders>
          </w:tcPr>
          <w:p>
            <w:pPr>
              <w:jc w:val="right"/>
              <w:ind w:right="3266"/>
              <w:spacing w:after="0"/>
              <w:rPr>
                <w:sz w:val="20"/>
                <w:szCs w:val="20"/>
                <w:color w:val="auto"/>
              </w:rPr>
            </w:pPr>
            <w:r>
              <w:rPr>
                <w:rFonts w:ascii="Arial" w:cs="Arial" w:eastAsia="Arial" w:hAnsi="Arial"/>
                <w:sz w:val="11"/>
                <w:szCs w:val="11"/>
                <w:color w:val="auto"/>
              </w:rPr>
              <w:t>$</w:t>
            </w:r>
          </w:p>
        </w:tc>
        <w:tc>
          <w:tcPr>
            <w:tcW w:w="3660" w:type="dxa"/>
            <w:vAlign w:val="bottom"/>
          </w:tcPr>
          <w:p>
            <w:pPr>
              <w:jc w:val="right"/>
              <w:ind w:right="3286"/>
              <w:spacing w:after="0"/>
              <w:rPr>
                <w:sz w:val="20"/>
                <w:szCs w:val="20"/>
                <w:color w:val="auto"/>
              </w:rPr>
            </w:pPr>
            <w:r>
              <w:rPr>
                <w:rFonts w:ascii="Arial" w:cs="Arial" w:eastAsia="Arial" w:hAnsi="Arial"/>
                <w:sz w:val="11"/>
                <w:szCs w:val="11"/>
                <w:b w:val="1"/>
                <w:bCs w:val="1"/>
                <w:color w:val="auto"/>
              </w:rPr>
              <w:t>$</w:t>
            </w:r>
          </w:p>
        </w:tc>
      </w:tr>
      <w:tr>
        <w:trPr>
          <w:trHeight w:val="116"/>
        </w:trPr>
        <w:tc>
          <w:tcPr>
            <w:tcW w:w="4100" w:type="dxa"/>
            <w:vAlign w:val="bottom"/>
            <w:tcBorders>
              <w:bottom w:val="single" w:sz="8" w:color="auto"/>
              <w:right w:val="single" w:sz="8" w:color="auto"/>
            </w:tcBorders>
          </w:tcPr>
          <w:p>
            <w:pPr>
              <w:spacing w:after="0"/>
              <w:rPr>
                <w:sz w:val="10"/>
                <w:szCs w:val="10"/>
                <w:color w:val="auto"/>
              </w:rPr>
            </w:pPr>
          </w:p>
        </w:tc>
        <w:tc>
          <w:tcPr>
            <w:tcW w:w="348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bl>
    <w:p>
      <w:pPr>
        <w:spacing w:after="0" w:line="75"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proposed maximum aggregate offering price includes the offering price of additional shares that the underwriters have the option to purchase.</w:t>
      </w:r>
    </w:p>
    <w:p>
      <w:pPr>
        <w:spacing w:after="0" w:line="26" w:lineRule="exact"/>
        <w:rPr>
          <w:rFonts w:ascii="Arial" w:cs="Arial" w:eastAsia="Arial" w:hAnsi="Arial"/>
          <w:sz w:val="13"/>
          <w:szCs w:val="13"/>
          <w:color w:val="auto"/>
        </w:rPr>
      </w:pPr>
    </w:p>
    <w:p>
      <w:pPr>
        <w:ind w:left="500" w:hanging="492"/>
        <w:spacing w:after="0"/>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w:t>
      </w:r>
    </w:p>
    <w:p>
      <w:pPr>
        <w:spacing w:after="0" w:line="51" w:lineRule="exact"/>
        <w:rPr>
          <w:sz w:val="24"/>
          <w:szCs w:val="24"/>
          <w:color w:val="auto"/>
        </w:rPr>
      </w:pPr>
    </w:p>
    <w:p>
      <w:pPr>
        <w:ind w:right="60" w:firstLine="510"/>
        <w:spacing w:after="0" w:line="234"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ind w:right="40"/>
        <w:spacing w:after="0" w:line="219" w:lineRule="auto"/>
        <w:rPr>
          <w:sz w:val="20"/>
          <w:szCs w:val="20"/>
          <w:color w:val="auto"/>
        </w:rPr>
      </w:pPr>
      <w:r>
        <w:rPr>
          <w:rFonts w:ascii="Arial" w:cs="Arial" w:eastAsia="Arial" w:hAnsi="Arial"/>
          <w:sz w:val="18"/>
          <w:szCs w:val="18"/>
          <w:color w:val="C00000"/>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700" w:type="dxa"/>
        <w:tblCellMar>
          <w:top w:w="0" w:type="dxa"/>
          <w:left w:w="0" w:type="dxa"/>
          <w:bottom w:w="0" w:type="dxa"/>
          <w:right w:w="0" w:type="dxa"/>
        </w:tblCellMar>
      </w:tblPr>
      <w:tr>
        <w:trPr>
          <w:trHeight w:val="217"/>
        </w:trPr>
        <w:tc>
          <w:tcPr>
            <w:tcW w:w="2840" w:type="dxa"/>
            <w:vAlign w:val="bottom"/>
          </w:tcPr>
          <w:p>
            <w:pPr>
              <w:spacing w:after="0"/>
              <w:rPr>
                <w:sz w:val="20"/>
                <w:szCs w:val="20"/>
                <w:color w:val="auto"/>
              </w:rPr>
            </w:pPr>
            <w:r>
              <w:rPr>
                <w:rFonts w:ascii="Arial" w:cs="Arial" w:eastAsia="Arial" w:hAnsi="Arial"/>
                <w:sz w:val="18"/>
                <w:szCs w:val="18"/>
                <w:color w:val="C00000"/>
              </w:rPr>
              <w:t>Subject to Completion, Dated</w:t>
            </w:r>
          </w:p>
        </w:tc>
        <w:tc>
          <w:tcPr>
            <w:tcW w:w="1000" w:type="dxa"/>
            <w:vAlign w:val="bottom"/>
          </w:tcPr>
          <w:p>
            <w:pPr>
              <w:jc w:val="right"/>
              <w:spacing w:after="0"/>
              <w:rPr>
                <w:sz w:val="20"/>
                <w:szCs w:val="20"/>
                <w:color w:val="auto"/>
              </w:rPr>
            </w:pPr>
            <w:r>
              <w:rPr>
                <w:rFonts w:ascii="Arial" w:cs="Arial" w:eastAsia="Arial" w:hAnsi="Arial"/>
                <w:sz w:val="18"/>
                <w:szCs w:val="18"/>
                <w:color w:val="C00000"/>
              </w:rPr>
              <w:t>, 2020</w:t>
            </w:r>
          </w:p>
        </w:tc>
      </w:tr>
    </w:tbl>
    <w:p>
      <w:pPr>
        <w:spacing w:after="0" w:line="137" w:lineRule="exact"/>
        <w:rPr>
          <w:sz w:val="20"/>
          <w:szCs w:val="20"/>
          <w:color w:val="auto"/>
        </w:rPr>
      </w:pPr>
    </w:p>
    <w:p>
      <w:pPr>
        <w:ind w:left="586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90805</wp:posOffset>
            </wp:positionV>
            <wp:extent cx="2717165" cy="1345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71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151130</wp:posOffset>
            </wp:positionV>
            <wp:extent cx="16116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This is the initial public offering of shares of common stock of Athira Pharma, Inc. We are offering</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w:t>
      </w:r>
    </w:p>
    <w:p>
      <w:pPr>
        <w:spacing w:after="0" w:line="154" w:lineRule="exact"/>
        <w:rPr>
          <w:sz w:val="20"/>
          <w:szCs w:val="20"/>
          <w:color w:val="auto"/>
        </w:rPr>
      </w:pPr>
    </w:p>
    <w:p>
      <w:pPr>
        <w:sectPr>
          <w:pgSz w:w="11900" w:h="16838" w:orient="portrait"/>
          <w:cols w:equalWidth="0" w:num="2">
            <w:col w:w="7480" w:space="540"/>
            <w:col w:w="3240"/>
          </w:cols>
          <w:pgMar w:left="320" w:top="125" w:right="319" w:bottom="1440" w:gutter="0" w:footer="0" w:header="0"/>
          <w:type w:val="continuous"/>
        </w:sectPr>
      </w:pPr>
    </w:p>
    <w:p>
      <w:pPr>
        <w:ind w:right="620" w:firstLine="535"/>
        <w:spacing w:after="0" w:line="260" w:lineRule="auto"/>
        <w:rPr>
          <w:sz w:val="20"/>
          <w:szCs w:val="20"/>
          <w:color w:val="auto"/>
        </w:rPr>
      </w:pPr>
      <w:r>
        <w:rPr>
          <w:rFonts w:ascii="Arial" w:cs="Arial" w:eastAsia="Arial" w:hAnsi="Arial"/>
          <w:sz w:val="16"/>
          <w:szCs w:val="16"/>
          <w:color w:val="auto"/>
        </w:rPr>
        <w:t>Prior to this offering, there has been no public market for our common stock. It is currently estimated that the initial public offering price will be between $ and $ per share.</w:t>
      </w:r>
    </w:p>
    <w:p>
      <w:pPr>
        <w:sectPr>
          <w:pgSz w:w="11900" w:h="16838" w:orient="portrait"/>
          <w:cols w:equalWidth="0" w:num="1">
            <w:col w:w="11260"/>
          </w:cols>
          <w:pgMar w:left="320" w:top="125" w:right="319" w:bottom="1440" w:gutter="0" w:footer="0" w:header="0"/>
          <w:type w:val="continuous"/>
        </w:sectPr>
      </w:pP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intend to apply to list our common stock on the Nasdaq Global Market under the symbol “ATHA.”</w:t>
      </w:r>
    </w:p>
    <w:p>
      <w:pPr>
        <w:spacing w:after="0" w:line="154" w:lineRule="exact"/>
        <w:rPr>
          <w:sz w:val="20"/>
          <w:szCs w:val="20"/>
          <w:color w:val="auto"/>
        </w:rPr>
      </w:pPr>
    </w:p>
    <w:p>
      <w:pPr>
        <w:ind w:right="80" w:firstLine="535"/>
        <w:spacing w:after="0" w:line="260" w:lineRule="auto"/>
        <w:rPr>
          <w:sz w:val="20"/>
          <w:szCs w:val="20"/>
          <w:color w:val="auto"/>
        </w:rPr>
      </w:pPr>
      <w:r>
        <w:rPr>
          <w:rFonts w:ascii="Arial" w:cs="Arial" w:eastAsia="Arial" w:hAnsi="Arial"/>
          <w:sz w:val="16"/>
          <w:szCs w:val="16"/>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131445</wp:posOffset>
            </wp:positionV>
            <wp:extent cx="1611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89" w:lineRule="exact"/>
        <w:rPr>
          <w:sz w:val="20"/>
          <w:szCs w:val="20"/>
          <w:color w:val="auto"/>
        </w:rPr>
      </w:pPr>
    </w:p>
    <w:p>
      <w:pPr>
        <w:ind w:right="40" w:firstLine="401"/>
        <w:spacing w:after="0" w:line="281" w:lineRule="auto"/>
        <w:rPr>
          <w:sz w:val="20"/>
          <w:szCs w:val="20"/>
          <w:color w:val="auto"/>
        </w:rPr>
      </w:pPr>
      <w:r>
        <w:rPr>
          <w:rFonts w:ascii="Arial" w:cs="Arial" w:eastAsia="Arial" w:hAnsi="Arial"/>
          <w:sz w:val="16"/>
          <w:szCs w:val="16"/>
          <w:i w:val="1"/>
          <w:iCs w:val="1"/>
          <w:color w:val="auto"/>
        </w:rPr>
        <w:t>See the section titled “</w:t>
      </w:r>
      <w:r>
        <w:rPr>
          <w:rFonts w:ascii="Arial" w:cs="Arial" w:eastAsia="Arial" w:hAnsi="Arial"/>
          <w:sz w:val="16"/>
          <w:szCs w:val="16"/>
          <w:i w:val="1"/>
          <w:iCs w:val="1"/>
          <w:u w:val="single" w:color="auto"/>
          <w:color w:val="auto"/>
        </w:rPr>
        <w:t>Risk Factors</w:t>
      </w:r>
      <w:r>
        <w:rPr>
          <w:rFonts w:ascii="Arial" w:cs="Arial" w:eastAsia="Arial" w:hAnsi="Arial"/>
          <w:sz w:val="16"/>
          <w:szCs w:val="16"/>
          <w:i w:val="1"/>
          <w:iCs w:val="1"/>
          <w:color w:val="auto"/>
        </w:rPr>
        <w:t>” beginning on page 17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129540</wp:posOffset>
            </wp:positionV>
            <wp:extent cx="16116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82" w:lineRule="exact"/>
        <w:rPr>
          <w:sz w:val="20"/>
          <w:szCs w:val="20"/>
          <w:color w:val="auto"/>
        </w:rPr>
      </w:pPr>
    </w:p>
    <w:p>
      <w:pPr>
        <w:ind w:right="200" w:firstLine="401"/>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118745</wp:posOffset>
            </wp:positionV>
            <wp:extent cx="16116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Per Share</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1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Initial public offering price</w:t>
            </w:r>
          </w:p>
        </w:tc>
        <w:tc>
          <w:tcPr>
            <w:tcW w:w="15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w w:val="79"/>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35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Proceeds, before expenses, to Athira Pharma, Inc.</w:t>
            </w:r>
          </w:p>
        </w:tc>
        <w:tc>
          <w:tcPr>
            <w:tcW w:w="15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13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198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(1) See the section titled “Underwriting” for a description of the compensation payable to the underwriters.</w:t>
      </w:r>
    </w:p>
    <w:p>
      <w:pPr>
        <w:spacing w:after="0" w:line="147" w:lineRule="exact"/>
        <w:rPr>
          <w:sz w:val="20"/>
          <w:szCs w:val="20"/>
          <w:color w:val="auto"/>
        </w:rPr>
      </w:pPr>
    </w:p>
    <w:p>
      <w:pPr>
        <w:ind w:left="500" w:right="300" w:firstLine="39"/>
        <w:spacing w:after="0" w:line="260" w:lineRule="auto"/>
        <w:rPr>
          <w:sz w:val="20"/>
          <w:szCs w:val="20"/>
          <w:color w:val="auto"/>
        </w:rPr>
      </w:pPr>
      <w:r>
        <w:rPr>
          <w:rFonts w:ascii="Arial" w:cs="Arial" w:eastAsia="Arial" w:hAnsi="Arial"/>
          <w:sz w:val="16"/>
          <w:szCs w:val="16"/>
          <w:color w:val="auto"/>
        </w:rPr>
        <w:t>To the extent that the underwriters sell more than shares of common stock, the underwriters have an option to purchase up to an additional shares from us at the initial public offering price, less the underwriting discounts and commissions.</w:t>
      </w:r>
    </w:p>
    <w:p>
      <w:pPr>
        <w:sectPr>
          <w:pgSz w:w="11900" w:h="16838" w:orient="portrait"/>
          <w:cols w:equalWidth="0" w:num="1">
            <w:col w:w="11260"/>
          </w:cols>
          <w:pgMar w:left="320" w:top="125" w:right="319" w:bottom="1440" w:gutter="0" w:footer="0" w:header="0"/>
          <w:type w:val="continuous"/>
        </w:sectPr>
      </w:pPr>
    </w:p>
    <w:p>
      <w:pPr>
        <w:spacing w:after="0" w:line="1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underwriters expect to deliver the shares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147955</wp:posOffset>
            </wp:positionV>
            <wp:extent cx="16116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200" w:lineRule="exact"/>
        <w:rPr>
          <w:sz w:val="20"/>
          <w:szCs w:val="20"/>
          <w:color w:val="auto"/>
        </w:rPr>
      </w:pPr>
    </w:p>
    <w:p>
      <w:pPr>
        <w:sectPr>
          <w:pgSz w:w="11900" w:h="16838" w:orient="portrait"/>
          <w:cols w:equalWidth="0" w:num="2">
            <w:col w:w="6920" w:space="360"/>
            <w:col w:w="3980"/>
          </w:cols>
          <w:pgMar w:left="320" w:top="125" w:right="319" w:bottom="1440" w:gutter="0" w:footer="0" w:header="0"/>
          <w:type w:val="continuous"/>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4160" w:type="dxa"/>
            <w:vAlign w:val="bottom"/>
          </w:tcPr>
          <w:p>
            <w:pPr>
              <w:ind w:left="660"/>
              <w:spacing w:after="0"/>
              <w:rPr>
                <w:sz w:val="20"/>
                <w:szCs w:val="20"/>
                <w:color w:val="auto"/>
              </w:rPr>
            </w:pPr>
            <w:r>
              <w:rPr>
                <w:rFonts w:ascii="Arial" w:cs="Arial" w:eastAsia="Arial" w:hAnsi="Arial"/>
                <w:sz w:val="25"/>
                <w:szCs w:val="25"/>
                <w:b w:val="1"/>
                <w:bCs w:val="1"/>
                <w:color w:val="auto"/>
              </w:rPr>
              <w:t>Goldman Sachs &amp; Co. LLC</w:t>
            </w:r>
          </w:p>
        </w:tc>
        <w:tc>
          <w:tcPr>
            <w:tcW w:w="2080" w:type="dxa"/>
            <w:vAlign w:val="bottom"/>
          </w:tcPr>
          <w:p>
            <w:pPr>
              <w:jc w:val="center"/>
              <w:ind w:left="755"/>
              <w:spacing w:after="0"/>
              <w:rPr>
                <w:sz w:val="20"/>
                <w:szCs w:val="20"/>
                <w:color w:val="auto"/>
              </w:rPr>
            </w:pPr>
            <w:r>
              <w:rPr>
                <w:rFonts w:ascii="Arial" w:cs="Arial" w:eastAsia="Arial" w:hAnsi="Arial"/>
                <w:sz w:val="25"/>
                <w:szCs w:val="25"/>
                <w:b w:val="1"/>
                <w:bCs w:val="1"/>
                <w:color w:val="auto"/>
                <w:w w:val="99"/>
              </w:rPr>
              <w:t>Jefferies</w:t>
            </w:r>
          </w:p>
        </w:tc>
        <w:tc>
          <w:tcPr>
            <w:tcW w:w="5020" w:type="dxa"/>
            <w:vAlign w:val="bottom"/>
          </w:tcPr>
          <w:p>
            <w:pPr>
              <w:jc w:val="right"/>
              <w:ind w:right="1857"/>
              <w:spacing w:after="0"/>
              <w:rPr>
                <w:sz w:val="20"/>
                <w:szCs w:val="20"/>
                <w:color w:val="auto"/>
              </w:rPr>
            </w:pPr>
            <w:r>
              <w:rPr>
                <w:rFonts w:ascii="Arial" w:cs="Arial" w:eastAsia="Arial" w:hAnsi="Arial"/>
                <w:sz w:val="25"/>
                <w:szCs w:val="25"/>
                <w:b w:val="1"/>
                <w:bCs w:val="1"/>
                <w:color w:val="auto"/>
              </w:rPr>
              <w:t>Stifel</w:t>
            </w:r>
          </w:p>
        </w:tc>
      </w:tr>
      <w:tr>
        <w:trPr>
          <w:trHeight w:val="339"/>
        </w:trPr>
        <w:tc>
          <w:tcPr>
            <w:tcW w:w="4160" w:type="dxa"/>
            <w:vAlign w:val="bottom"/>
          </w:tcPr>
          <w:p>
            <w:pPr>
              <w:spacing w:after="0"/>
              <w:rPr>
                <w:sz w:val="24"/>
                <w:szCs w:val="24"/>
                <w:color w:val="auto"/>
              </w:rPr>
            </w:pPr>
          </w:p>
        </w:tc>
        <w:tc>
          <w:tcPr>
            <w:tcW w:w="7100" w:type="dxa"/>
            <w:vAlign w:val="bottom"/>
            <w:gridSpan w:val="2"/>
          </w:tcPr>
          <w:p>
            <w:pPr>
              <w:jc w:val="center"/>
              <w:ind w:right="4057"/>
              <w:spacing w:after="0"/>
              <w:rPr>
                <w:sz w:val="20"/>
                <w:szCs w:val="20"/>
                <w:color w:val="auto"/>
              </w:rPr>
            </w:pPr>
            <w:r>
              <w:rPr>
                <w:rFonts w:ascii="Arial" w:cs="Arial" w:eastAsia="Arial" w:hAnsi="Arial"/>
                <w:sz w:val="22"/>
                <w:szCs w:val="22"/>
                <w:b w:val="1"/>
                <w:bCs w:val="1"/>
                <w:color w:val="auto"/>
                <w:w w:val="98"/>
              </w:rPr>
              <w:t>JMP Securities</w:t>
            </w:r>
          </w:p>
        </w:tc>
      </w:tr>
      <w:tr>
        <w:trPr>
          <w:trHeight w:val="402"/>
        </w:trPr>
        <w:tc>
          <w:tcPr>
            <w:tcW w:w="4160" w:type="dxa"/>
            <w:vAlign w:val="bottom"/>
          </w:tcPr>
          <w:p>
            <w:pPr>
              <w:spacing w:after="0"/>
              <w:rPr>
                <w:sz w:val="24"/>
                <w:szCs w:val="24"/>
                <w:color w:val="auto"/>
              </w:rPr>
            </w:pPr>
          </w:p>
        </w:tc>
        <w:tc>
          <w:tcPr>
            <w:tcW w:w="2080" w:type="dxa"/>
            <w:vAlign w:val="bottom"/>
          </w:tcPr>
          <w:p>
            <w:pPr>
              <w:ind w:left="300"/>
              <w:spacing w:after="0"/>
              <w:rPr>
                <w:sz w:val="20"/>
                <w:szCs w:val="20"/>
                <w:color w:val="auto"/>
              </w:rPr>
            </w:pPr>
            <w:r>
              <w:rPr>
                <w:rFonts w:ascii="Arial" w:cs="Arial" w:eastAsia="Arial" w:hAnsi="Arial"/>
                <w:sz w:val="16"/>
                <w:szCs w:val="16"/>
                <w:color w:val="auto"/>
              </w:rPr>
              <w:t>Prospectus dated</w:t>
            </w:r>
          </w:p>
        </w:tc>
        <w:tc>
          <w:tcPr>
            <w:tcW w:w="5020" w:type="dxa"/>
            <w:vAlign w:val="bottom"/>
          </w:tcPr>
          <w:p>
            <w:pPr>
              <w:jc w:val="right"/>
              <w:ind w:right="4357"/>
              <w:spacing w:after="0"/>
              <w:rPr>
                <w:sz w:val="20"/>
                <w:szCs w:val="20"/>
                <w:color w:val="auto"/>
              </w:rPr>
            </w:pPr>
            <w:r>
              <w:rPr>
                <w:rFonts w:ascii="Arial" w:cs="Arial" w:eastAsia="Arial" w:hAnsi="Arial"/>
                <w:sz w:val="16"/>
                <w:szCs w:val="16"/>
                <w:color w:val="auto"/>
              </w:rPr>
              <w:t>, 2020</w:t>
            </w:r>
          </w:p>
        </w:tc>
      </w:tr>
      <w:tr>
        <w:trPr>
          <w:trHeight w:val="958"/>
        </w:trPr>
        <w:tc>
          <w:tcPr>
            <w:tcW w:w="4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300" w:type="dxa"/>
            <w:vAlign w:val="bottom"/>
            <w:gridSpan w:val="3"/>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0300" w:type="dxa"/>
            <w:vAlign w:val="bottom"/>
            <w:gridSpan w:val="3"/>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Special Note Regarding Forward-Looking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Market, Industry and Other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Dividend Policy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Capitalization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Dilution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Management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Certain Relationships and Related Party Transactions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Principal Stockholders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Description of Capital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Shares Eligible for Future Sale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Material U.S. Federal Income and Estate Tax Consequences for Non-U.S. Holders of Common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Underwriting</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Legal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Experts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Where You Can Find Additional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10300" w:type="dxa"/>
            <w:vAlign w:val="bottom"/>
            <w:gridSpan w:val="3"/>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Index to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40" w:firstLine="501"/>
        <w:spacing w:after="0" w:line="253"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91" w:lineRule="exact"/>
        <w:rPr>
          <w:sz w:val="20"/>
          <w:szCs w:val="20"/>
          <w:color w:val="auto"/>
        </w:rPr>
      </w:pPr>
    </w:p>
    <w:p>
      <w:pPr>
        <w:ind w:right="140" w:firstLine="501"/>
        <w:spacing w:after="0" w:line="237" w:lineRule="auto"/>
        <w:rPr>
          <w:sz w:val="20"/>
          <w:szCs w:val="20"/>
          <w:color w:val="auto"/>
        </w:rPr>
      </w:pPr>
      <w:r>
        <w:rPr>
          <w:rFonts w:ascii="Arial" w:cs="Arial" w:eastAsia="Arial" w:hAnsi="Arial"/>
          <w:sz w:val="18"/>
          <w:szCs w:val="18"/>
          <w:color w:val="auto"/>
        </w:rPr>
        <w:t>You should rely only on the information contained in this prospectus and any free writing prospectus prepared by or on behalf of us or to which we have referred you. Neither we nor any of the underwriters have authorized anyone to provide you with information that is different. This prospectus is an offer to sell only the securities offered hereby and only under circumstances and in jurisdictions where it is lawful to do so. The information contained in this prospectus is accurate only as of the date of this prospectus, regardless of the time of delivery of this prospectus or of any sale of the securities offered hereby. Our business, financial condition, results of operations and prospects may have changed since that date.</w:t>
      </w:r>
    </w:p>
    <w:p>
      <w:pPr>
        <w:spacing w:after="0" w:line="205" w:lineRule="exact"/>
        <w:rPr>
          <w:sz w:val="20"/>
          <w:szCs w:val="20"/>
          <w:color w:val="auto"/>
        </w:rPr>
      </w:pPr>
    </w:p>
    <w:p>
      <w:pPr>
        <w:ind w:right="560" w:firstLine="602"/>
        <w:spacing w:after="0" w:line="238" w:lineRule="auto"/>
        <w:rPr>
          <w:sz w:val="20"/>
          <w:szCs w:val="20"/>
          <w:color w:val="auto"/>
        </w:rPr>
      </w:pPr>
      <w:r>
        <w:rPr>
          <w:rFonts w:ascii="Arial" w:cs="Arial" w:eastAsia="Arial" w:hAnsi="Arial"/>
          <w:sz w:val="18"/>
          <w:szCs w:val="18"/>
          <w:color w:val="auto"/>
        </w:rPr>
        <w:t>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065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7065645"/>
                    </a:xfrm>
                    <a:prstGeom prst="rect">
                      <a:avLst/>
                    </a:prstGeom>
                    <a:noFill/>
                  </pic:spPr>
                </pic:pic>
              </a:graphicData>
            </a:graphic>
          </wp:anchor>
        </w:drawing>
        <w:t>PROSPECTUS SUMMARY</w:t>
      </w:r>
    </w:p>
    <w:p>
      <w:pPr>
        <w:spacing w:after="0" w:line="216" w:lineRule="exact"/>
        <w:rPr>
          <w:sz w:val="20"/>
          <w:szCs w:val="20"/>
          <w:color w:val="auto"/>
        </w:rPr>
      </w:pPr>
    </w:p>
    <w:p>
      <w:pPr>
        <w:ind w:firstLine="486"/>
        <w:spacing w:after="0" w:line="241" w:lineRule="auto"/>
        <w:rPr>
          <w:sz w:val="20"/>
          <w:szCs w:val="20"/>
          <w:color w:val="auto"/>
        </w:rPr>
      </w:pPr>
      <w:r>
        <w:rPr>
          <w:rFonts w:ascii="Arial" w:cs="Arial" w:eastAsia="Arial" w:hAnsi="Arial"/>
          <w:sz w:val="18"/>
          <w:szCs w:val="18"/>
          <w:i w:val="1"/>
          <w:iCs w:val="1"/>
          <w:color w:val="auto"/>
          <w:highlight w:val="white"/>
        </w:rPr>
        <w:t>The following summary highlights information contained elsewhere in this prospectus. It may not contain all the information that may be important to you. You should read this entire prospectus carefully, including the sections of this prospectus titled “Risk Factors” and “Management’s Discussion and Analysis of Financial Condition and Results of Operations,” and our financial statements and related notes included elsewhere in this prospectus, before making an investment decision. In this prospectus, unless the context requires otherwise, all references to “we,” “our,” “us,” “Athira,” and the “Company” refer to Athira Pharma,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40" w:firstLine="437"/>
        <w:spacing w:after="0" w:line="235"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HGF/MET, a naturally occurring regenerative system. We believe enhancing HGF/MET signaling has the potential to protect existing neurons from damage, reduce inflammation, promote regeneration, and positively modulate brain activity. All of these characteristics are expected to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Nonclinical studies and Phase 1 clinical trials with ATH-1017 demonstrated improvements in brain network activity indicating positive effects on brain function. In the AD subjects, multiple dosing of ATH-1017 significantly improved brain activity as measured by P300 latency, a functional measure that is highly correlated with cognition. By the end of 2020, we plan to initiate a pivotal Phase 2/3 clinical trial for ATH-1017, or LIFT-AD, for the treatment of mild-to-moderate AD with topline results expected by the end of 2022. By the end of 2020, we also plan to initiate a P300 Phase 2 clinical trial in mild-to-moderate AD to better understand the overall effects of ATH-1017 on working memory processing speed and cognitive measures, with topline results expected by early 2022.</w:t>
      </w:r>
    </w:p>
    <w:p>
      <w:pPr>
        <w:spacing w:after="0" w:line="213" w:lineRule="exact"/>
        <w:rPr>
          <w:sz w:val="20"/>
          <w:szCs w:val="20"/>
          <w:color w:val="auto"/>
        </w:rPr>
      </w:pPr>
    </w:p>
    <w:p>
      <w:pPr>
        <w:ind w:firstLine="486"/>
        <w:spacing w:after="0" w:line="235"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increased high frequency gamma power activity with a single dose in both young healthy volunteers and elderly healthy volunteers. Gamma power also improved in AD subjects. P300 latency, a functional measure of working memory processing speed that highly correlates with cognition, was also substantially improved. After a single dose of ATH-1017, all AD subjects tested had improved P300 latency, and by the end of an 8-day treatment cycle, average latency across the AD treatment group had returned to levels close to those observed in healthy elderly subjects. Taken together, these results suggest that ATH-1017 has the potential to substantially improve synaptic connectivity and brain function in AD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048" w:right="1239" w:bottom="1440" w:gutter="0" w:footer="0" w:header="0"/>
        </w:sectPr>
      </w:pPr>
    </w:p>
    <w:bookmarkStart w:id="4" w:name="page5"/>
    <w:bookmarkEnd w:id="4"/>
    <w:p>
      <w:pPr>
        <w:ind w:right="40" w:firstLine="486"/>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794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794250"/>
                    </a:xfrm>
                    <a:prstGeom prst="rect">
                      <a:avLst/>
                    </a:prstGeom>
                    <a:noFill/>
                  </pic:spPr>
                </pic:pic>
              </a:graphicData>
            </a:graphic>
          </wp:anchor>
        </w:drawing>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hepatocyte growth factor/MET, or HGF/MET, growth factor in the brain will lead to increased synaptic density, network recovery, and information transmission in the brain, which could ultimately result in cognitive improvement and clinical benefit.</w:t>
      </w:r>
    </w:p>
    <w:p>
      <w:pPr>
        <w:spacing w:after="0" w:line="208" w:lineRule="exact"/>
        <w:rPr>
          <w:sz w:val="20"/>
          <w:szCs w:val="20"/>
          <w:color w:val="auto"/>
        </w:rPr>
      </w:pPr>
    </w:p>
    <w:p>
      <w:pPr>
        <w:ind w:firstLine="486"/>
        <w:spacing w:after="0" w:line="236" w:lineRule="auto"/>
        <w:rPr>
          <w:sz w:val="20"/>
          <w:szCs w:val="20"/>
          <w:color w:val="auto"/>
        </w:rPr>
      </w:pPr>
      <w:r>
        <w:rPr>
          <w:rFonts w:ascii="Arial" w:cs="Arial" w:eastAsia="Arial" w:hAnsi="Arial"/>
          <w:sz w:val="18"/>
          <w:szCs w:val="18"/>
          <w:color w:val="auto"/>
        </w:rPr>
        <w:t>We are pioneering the use of small molecules to promote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207" w:lineRule="exact"/>
        <w:rPr>
          <w:sz w:val="20"/>
          <w:szCs w:val="20"/>
          <w:color w:val="auto"/>
        </w:rPr>
      </w:pPr>
    </w:p>
    <w:p>
      <w:pPr>
        <w:ind w:right="40" w:firstLine="486"/>
        <w:spacing w:after="0" w:line="236" w:lineRule="auto"/>
        <w:rPr>
          <w:sz w:val="20"/>
          <w:szCs w:val="20"/>
          <w:color w:val="auto"/>
        </w:rPr>
      </w:pPr>
      <w:r>
        <w:rPr>
          <w:rFonts w:ascii="Arial" w:cs="Arial" w:eastAsia="Arial" w:hAnsi="Arial"/>
          <w:sz w:val="18"/>
          <w:szCs w:val="18"/>
          <w:color w:val="auto"/>
        </w:rPr>
        <w:t>We believe that our ability to enhance the body’s repair mechanism of HGF/MET through our ATH platform has the potential to address a wide range of clinical applications ranging from CNS disorders, such as AD, Parkinson’s disease dementia, or PDD, multiple sclerosis, or MS, and amyotrophic lateral sclerosis, or ALS, to more peripheral conditions such as neuropathy. In addition, we believe that HGF/MET biology plays a role in neuropsychiatric disorders such as depression and anxiety. We are planning to initiate a Phase 2 clinical trial for ATH-1017 for the treatment of PDD by the end of 2021. Currently we have two preclinical candidates for non-AD indications: ATH-1018, which is being advanced to address depression, and ATH-1019, which is being advanced to address peripheral neuropathy. Our ATH platform allows us the flexibility to engineer compounds that are BBB-penetrating or that generate specific activity in the periphery and molecules for subcutaneous or oral route of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286" w:right="1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8420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8420100"/>
                    </a:xfrm>
                    <a:prstGeom prst="rect">
                      <a:avLst/>
                    </a:prstGeom>
                    <a:noFill/>
                  </pic:spPr>
                </pic:pic>
              </a:graphicData>
            </a:graphic>
          </wp:anchor>
        </w:drawing>
        <w:t>Our Pipeline and ATH Platform</w:t>
      </w:r>
    </w:p>
    <w:p>
      <w:pPr>
        <w:spacing w:after="0" w:line="126" w:lineRule="exact"/>
        <w:rPr>
          <w:sz w:val="20"/>
          <w:szCs w:val="20"/>
          <w:color w:val="auto"/>
        </w:rPr>
      </w:pPr>
    </w:p>
    <w:p>
      <w:pPr>
        <w:ind w:right="140" w:firstLine="486"/>
        <w:spacing w:after="0"/>
        <w:rPr>
          <w:sz w:val="20"/>
          <w:szCs w:val="20"/>
          <w:color w:val="auto"/>
        </w:rPr>
      </w:pPr>
      <w:r>
        <w:rPr>
          <w:rFonts w:ascii="Arial" w:cs="Arial" w:eastAsia="Arial" w:hAnsi="Arial"/>
          <w:sz w:val="18"/>
          <w:szCs w:val="18"/>
          <w:color w:val="auto"/>
        </w:rPr>
        <w:t>The following figure illustrates the current development stage of our ATH compounds and discovery research programs. We are expanding our ATH platform to additional indications in the CNS and peripheral nervous system as we aim to improve neuronal health in multiple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0" w:hanging="398"/>
        <w:spacing w:after="0"/>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41" w:lineRule="exact"/>
        <w:rPr>
          <w:rFonts w:ascii="Arial" w:cs="Arial" w:eastAsia="Arial" w:hAnsi="Arial"/>
          <w:sz w:val="14"/>
          <w:szCs w:val="14"/>
          <w:color w:val="auto"/>
        </w:rPr>
      </w:pPr>
    </w:p>
    <w:p>
      <w:pPr>
        <w:ind w:left="400" w:hanging="398"/>
        <w:spacing w:after="0"/>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ATH-1017 for AD, is moving from Phase 1b to a potentially pivotal Phase 2/3 clinical trial based on discussions with FDA.</w:t>
      </w:r>
    </w:p>
    <w:p>
      <w:pPr>
        <w:spacing w:after="0" w:line="41" w:lineRule="exact"/>
        <w:rPr>
          <w:rFonts w:ascii="Arial" w:cs="Arial" w:eastAsia="Arial" w:hAnsi="Arial"/>
          <w:sz w:val="14"/>
          <w:szCs w:val="14"/>
          <w:color w:val="auto"/>
        </w:rPr>
      </w:pPr>
    </w:p>
    <w:p>
      <w:pPr>
        <w:ind w:left="400" w:right="340" w:hanging="398"/>
        <w:spacing w:after="0" w:line="258" w:lineRule="auto"/>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Following IND clearance, we plan to initiate a Phase 2 clinical trial in PDD based on results from Phase 1a and 1b clinical trials in AD with ATH-1017.</w:t>
      </w:r>
    </w:p>
    <w:p>
      <w:pPr>
        <w:spacing w:after="0" w:line="337" w:lineRule="exact"/>
        <w:rPr>
          <w:sz w:val="20"/>
          <w:szCs w:val="20"/>
          <w:color w:val="auto"/>
        </w:rPr>
      </w:pPr>
    </w:p>
    <w:p>
      <w:pPr>
        <w:jc w:val="both"/>
        <w:ind w:right="380" w:firstLine="486"/>
        <w:spacing w:after="0"/>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95" w:lineRule="exact"/>
        <w:rPr>
          <w:sz w:val="20"/>
          <w:szCs w:val="20"/>
          <w:color w:val="auto"/>
        </w:rPr>
      </w:pPr>
    </w:p>
    <w:p>
      <w:pPr>
        <w:ind w:left="1060" w:hanging="34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small molecule focus;</w:t>
      </w:r>
    </w:p>
    <w:p>
      <w:pPr>
        <w:spacing w:after="0" w:line="225" w:lineRule="exact"/>
        <w:rPr>
          <w:rFonts w:ascii="Arial" w:cs="Arial" w:eastAsia="Arial" w:hAnsi="Arial"/>
          <w:sz w:val="18"/>
          <w:szCs w:val="18"/>
          <w:color w:val="auto"/>
        </w:rPr>
      </w:pPr>
    </w:p>
    <w:p>
      <w:pPr>
        <w:ind w:left="1060" w:hanging="34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efficient and scalable manufacturing process; and</w:t>
      </w:r>
    </w:p>
    <w:p>
      <w:pPr>
        <w:spacing w:after="0" w:line="225" w:lineRule="exact"/>
        <w:rPr>
          <w:rFonts w:ascii="Arial" w:cs="Arial" w:eastAsia="Arial" w:hAnsi="Arial"/>
          <w:sz w:val="18"/>
          <w:szCs w:val="18"/>
          <w:color w:val="auto"/>
        </w:rPr>
      </w:pPr>
    </w:p>
    <w:p>
      <w:pPr>
        <w:ind w:left="1060" w:hanging="34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avoids alteration of target system regulation.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w:t>
      </w:r>
    </w:p>
    <w:p>
      <w:pPr>
        <w:spacing w:after="0" w:line="126"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w:t>
      </w:r>
    </w:p>
    <w:p>
      <w:pPr>
        <w:spacing w:after="0" w:line="97" w:lineRule="exact"/>
        <w:rPr>
          <w:sz w:val="20"/>
          <w:szCs w:val="20"/>
          <w:color w:val="auto"/>
        </w:rPr>
      </w:pPr>
    </w:p>
    <w:p>
      <w:pPr>
        <w:ind w:left="1060" w:right="120" w:hanging="343"/>
        <w:spacing w:after="0" w:line="24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was well tolerated with no serious adverse events across 88 subjects, including 11 subjects with mild-to-moderate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372" w:right="1219" w:bottom="1440" w:gutter="0" w:footer="0" w:header="0"/>
        </w:sectPr>
      </w:pPr>
    </w:p>
    <w:bookmarkStart w:id="6" w:name="page7"/>
    <w:bookmarkEnd w:id="6"/>
    <w:p>
      <w:pPr>
        <w:ind w:left="1060" w:hanging="34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877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6877050"/>
                    </a:xfrm>
                    <a:prstGeom prst="rect">
                      <a:avLst/>
                    </a:prstGeom>
                    <a:noFill/>
                  </pic:spPr>
                </pic:pic>
              </a:graphicData>
            </a:graphic>
          </wp:anchor>
        </w:drawing>
        <w:t>led to improvements in brain network activity that indicated positive effects on brain function; and</w:t>
      </w:r>
    </w:p>
    <w:p>
      <w:pPr>
        <w:spacing w:after="0" w:line="225" w:lineRule="exact"/>
        <w:rPr>
          <w:rFonts w:ascii="Arial" w:cs="Arial" w:eastAsia="Arial" w:hAnsi="Arial"/>
          <w:sz w:val="18"/>
          <w:szCs w:val="18"/>
          <w:color w:val="auto"/>
        </w:rPr>
      </w:pPr>
    </w:p>
    <w:p>
      <w:pPr>
        <w:ind w:left="1060" w:right="20" w:hanging="343"/>
        <w:spacing w:after="0" w:line="24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demonstrated significantly improved brain activity in the AD subjects with multiple dosing as measured by P300 latency, a functional measure that is highly correlated with cognition.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from Our Phase 1b Clinical Trial</w:t>
      </w:r>
    </w:p>
    <w:p>
      <w:pPr>
        <w:spacing w:after="0" w:line="126" w:lineRule="exact"/>
        <w:rPr>
          <w:sz w:val="20"/>
          <w:szCs w:val="20"/>
          <w:color w:val="auto"/>
        </w:rPr>
      </w:pPr>
    </w:p>
    <w:p>
      <w:pPr>
        <w:ind w:firstLine="486"/>
        <w:spacing w:after="0" w:line="235" w:lineRule="auto"/>
        <w:rPr>
          <w:sz w:val="20"/>
          <w:szCs w:val="20"/>
          <w:color w:val="auto"/>
        </w:rPr>
      </w:pPr>
      <w:r>
        <w:rPr>
          <w:rFonts w:ascii="Arial" w:cs="Arial" w:eastAsia="Arial" w:hAnsi="Arial"/>
          <w:sz w:val="18"/>
          <w:szCs w:val="18"/>
          <w:color w:val="auto"/>
        </w:rPr>
        <w:t>In our Phase 1b clinical trial, event-related potential, or ERP, P300 recordings were collected from the multiple ascending dose, or MAD, healthy elderly and AD subjects. Analysis of these P300 data demonstrated that one daily dose of ATH-1017 improved P300 latency over an 8-day dosing period, as shown in the figures below. P300 latency, a functional measure of working memory processing speed that highly correlates with cognition, was dramatically improved. All AD subjects tested had improved P300 latency after a single dose of ATH-1017 and average latency across the AD treatment group had returned to levels close to those observed in healthy elderly subjects by the end of an 8-day treatment cycle. The acute effect observed on Day 1 is likely the result of the rapid augmentation of N-methyl-D-aspartate, or NMDA, neurotransmitter receptor. The sustained effects on P300 latency observed in the pre -dose recordings on subsequent testing days (the arrows in the figure below show the average P300 latency value from the ATH-1017 group as a heat map) most likely reflect the long-term regeneration of neuronal connections and the improvement in brain function, since at these time points, which are 24 hours after the last dose, ATH-1017 was measured and shown to be completely cleared from the plasma. These data indicate ATH-1017 treatment has recovered disruptions to brain function and network connectivity, likely through several components of the mechanism, including NMDA receptor modulation, increased connectivity through recovery of synaptic density, and overall improvement in neuronal health and function.</w:t>
      </w:r>
    </w:p>
    <w:p>
      <w:pPr>
        <w:spacing w:after="0" w:line="195" w:lineRule="exact"/>
        <w:rPr>
          <w:sz w:val="20"/>
          <w:szCs w:val="20"/>
          <w:color w:val="auto"/>
        </w:rPr>
      </w:pPr>
    </w:p>
    <w:p>
      <w:pPr>
        <w:ind w:right="240" w:firstLine="486"/>
        <w:spacing w:after="0" w:line="267" w:lineRule="auto"/>
        <w:rPr>
          <w:sz w:val="20"/>
          <w:szCs w:val="20"/>
          <w:color w:val="auto"/>
        </w:rPr>
      </w:pPr>
      <w:r>
        <w:rPr>
          <w:rFonts w:ascii="Arial" w:cs="Arial" w:eastAsia="Arial" w:hAnsi="Arial"/>
          <w:sz w:val="18"/>
          <w:szCs w:val="18"/>
          <w:i w:val="1"/>
          <w:iCs w:val="1"/>
          <w:color w:val="auto"/>
        </w:rPr>
        <w:t xml:space="preserve">ATH-1017 Treatment Led to Continued and Sustained Improvement in P300 Latency. </w:t>
      </w:r>
      <w:r>
        <w:rPr>
          <w:rFonts w:ascii="Arial" w:cs="Arial" w:eastAsia="Arial" w:hAnsi="Arial"/>
          <w:sz w:val="18"/>
          <w:szCs w:val="18"/>
          <w:color w:val="auto"/>
        </w:rPr>
        <w:t>The arrows highlight the</w:t>
      </w:r>
      <w:r>
        <w:rPr>
          <w:rFonts w:ascii="Arial" w:cs="Arial" w:eastAsia="Arial" w:hAnsi="Arial"/>
          <w:sz w:val="18"/>
          <w:szCs w:val="18"/>
          <w:i w:val="1"/>
          <w:iCs w:val="1"/>
          <w:color w:val="auto"/>
        </w:rPr>
        <w:t xml:space="preserve"> </w:t>
      </w:r>
      <w:r>
        <w:rPr>
          <w:rFonts w:ascii="Arial" w:cs="Arial" w:eastAsia="Arial" w:hAnsi="Arial"/>
          <w:sz w:val="18"/>
          <w:szCs w:val="18"/>
          <w:color w:val="auto"/>
        </w:rPr>
        <w:t>sustained P300 latency benefit due to ATH-1017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178" w:right="1219" w:bottom="1440" w:gutter="0" w:footer="0" w:header="0"/>
        </w:sectPr>
      </w:pPr>
    </w:p>
    <w:bookmarkStart w:id="7" w:name="page8"/>
    <w:bookmarkEnd w:id="7"/>
    <w:p>
      <w:pPr>
        <w:ind w:right="360" w:firstLine="486"/>
        <w:spacing w:after="0" w:line="250"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801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8017510"/>
                    </a:xfrm>
                    <a:prstGeom prst="rect">
                      <a:avLst/>
                    </a:prstGeom>
                    <a:noFill/>
                  </pic:spPr>
                </pic:pic>
              </a:graphicData>
            </a:graphic>
          </wp:anchor>
        </w:drawing>
        <w:t xml:space="preserve">Quantification of the Change in P300 Latency from Baseline, ATH-1017 Significantly Reduced P300 Latency Compared to the Placebo Group on Day 8 Recordings. </w:t>
      </w:r>
      <w:r>
        <w:rPr>
          <w:rFonts w:ascii="Arial" w:cs="Arial" w:eastAsia="Arial" w:hAnsi="Arial"/>
          <w:sz w:val="18"/>
          <w:szCs w:val="18"/>
          <w:color w:val="auto"/>
        </w:rPr>
        <w:t>Data show the average of P300 latency values of 7 AD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subjects treated with ATH-1017 vs. 8 AD subjects on placebo * p≤0.05.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Pivotal Trial: A 26-Week Phase 2/3 Clinical Trial in Mild-to-Moderate AD Subjects</w:t>
      </w:r>
    </w:p>
    <w:p>
      <w:pPr>
        <w:spacing w:after="0" w:line="122" w:lineRule="exact"/>
        <w:rPr>
          <w:sz w:val="20"/>
          <w:szCs w:val="20"/>
          <w:color w:val="auto"/>
        </w:rPr>
      </w:pPr>
    </w:p>
    <w:p>
      <w:pPr>
        <w:ind w:firstLine="486"/>
        <w:spacing w:after="0" w:line="255" w:lineRule="auto"/>
        <w:rPr>
          <w:sz w:val="20"/>
          <w:szCs w:val="20"/>
          <w:color w:val="auto"/>
        </w:rPr>
      </w:pPr>
      <w:r>
        <w:rPr>
          <w:rFonts w:ascii="Arial" w:cs="Arial" w:eastAsia="Arial" w:hAnsi="Arial"/>
          <w:sz w:val="17"/>
          <w:szCs w:val="17"/>
          <w:color w:val="auto"/>
        </w:rPr>
        <w:t>Based on the safety and translational Phase 1a and Phase 1b clinical trial results, including AD subjects, we plan to initiate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 We plan to initiate the LIFT-AD potentially pivotal trial by the end of 2020, with topline results expected by the end of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P300 Trial: A 26-Week Phase 2 Clinical Trial in Mild-to-Moderate AD Subjects</w:t>
      </w:r>
    </w:p>
    <w:p>
      <w:pPr>
        <w:spacing w:after="0" w:line="122" w:lineRule="exact"/>
        <w:rPr>
          <w:sz w:val="20"/>
          <w:szCs w:val="20"/>
          <w:color w:val="auto"/>
        </w:rPr>
      </w:pPr>
    </w:p>
    <w:p>
      <w:pPr>
        <w:ind w:right="120" w:firstLine="486"/>
        <w:spacing w:after="0" w:line="237" w:lineRule="auto"/>
        <w:rPr>
          <w:sz w:val="20"/>
          <w:szCs w:val="20"/>
          <w:color w:val="auto"/>
        </w:rPr>
      </w:pPr>
      <w:r>
        <w:rPr>
          <w:rFonts w:ascii="Arial" w:cs="Arial" w:eastAsia="Arial" w:hAnsi="Arial"/>
          <w:sz w:val="18"/>
          <w:szCs w:val="18"/>
          <w:color w:val="auto"/>
        </w:rPr>
        <w:t>In addition to LIFT-AD, we are planning a randomized, placebo-controlled clinical trial that will be initiated in parallel. This clinical trial is designed to test the same dose levels of ATH-1017 (low and high) in subjects with mild-to-moderate AD compared to placebo. We intend to enroll approximately 60 to 75 mild-to-moderate AD subjects. By the end of 2020, we plan to initiate this P300 Phase 2 clinical trial in mild-to-moderate AD to better understand the overall effects of ATH-1017 on working memory processing speed and cognitive measures, with topline results expected by early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right="200" w:firstLine="486"/>
        <w:spacing w:after="0"/>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95" w:lineRule="exact"/>
        <w:rPr>
          <w:sz w:val="20"/>
          <w:szCs w:val="20"/>
          <w:color w:val="auto"/>
        </w:rPr>
      </w:pPr>
    </w:p>
    <w:p>
      <w:pPr>
        <w:ind w:left="1060" w:hanging="34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advance ATH-1017 through clinical development for AD;</w:t>
      </w:r>
    </w:p>
    <w:p>
      <w:pPr>
        <w:spacing w:after="0" w:line="225" w:lineRule="exact"/>
        <w:rPr>
          <w:rFonts w:ascii="Arial" w:cs="Arial" w:eastAsia="Arial" w:hAnsi="Arial"/>
          <w:sz w:val="18"/>
          <w:szCs w:val="18"/>
          <w:color w:val="auto"/>
        </w:rPr>
      </w:pPr>
    </w:p>
    <w:p>
      <w:pPr>
        <w:ind w:left="1060" w:hanging="34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the development of ATH-1017 to include additional indications and delivery methods;</w:t>
      </w:r>
    </w:p>
    <w:p>
      <w:pPr>
        <w:spacing w:after="0" w:line="225" w:lineRule="exact"/>
        <w:rPr>
          <w:rFonts w:ascii="Arial" w:cs="Arial" w:eastAsia="Arial" w:hAnsi="Arial"/>
          <w:sz w:val="18"/>
          <w:szCs w:val="18"/>
          <w:color w:val="auto"/>
        </w:rPr>
      </w:pPr>
    </w:p>
    <w:p>
      <w:pPr>
        <w:ind w:left="1060" w:hanging="34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 on translational and functional endpoints to efficiently develop product candidates;</w:t>
      </w:r>
    </w:p>
    <w:p>
      <w:pPr>
        <w:spacing w:after="0" w:line="225" w:lineRule="exact"/>
        <w:rPr>
          <w:rFonts w:ascii="Arial" w:cs="Arial" w:eastAsia="Arial" w:hAnsi="Arial"/>
          <w:sz w:val="18"/>
          <w:szCs w:val="18"/>
          <w:color w:val="auto"/>
        </w:rPr>
      </w:pPr>
    </w:p>
    <w:p>
      <w:pPr>
        <w:ind w:left="1060" w:right="120" w:hanging="343"/>
        <w:spacing w:after="0" w:line="246"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developing additional pipeline programs and utilize our ATH platform for further drug discovery; and</w:t>
      </w:r>
    </w:p>
    <w:p>
      <w:pPr>
        <w:spacing w:after="0" w:line="196" w:lineRule="exact"/>
        <w:rPr>
          <w:rFonts w:ascii="Arial" w:cs="Arial" w:eastAsia="Arial" w:hAnsi="Arial"/>
          <w:sz w:val="18"/>
          <w:szCs w:val="18"/>
          <w:color w:val="auto"/>
        </w:rPr>
      </w:pPr>
    </w:p>
    <w:p>
      <w:pPr>
        <w:ind w:left="1060" w:hanging="34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optimize the value of ATH-1017 and other candidates in major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93" w:right="1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663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6663055"/>
                    </a:xfrm>
                    <a:prstGeom prst="rect">
                      <a:avLst/>
                    </a:prstGeom>
                    <a:noFill/>
                  </pic:spPr>
                </pic:pic>
              </a:graphicData>
            </a:graphic>
          </wp:anchor>
        </w:drawing>
        <w:t>Significant Scientific Data Support HGF/MET’s Role in Maintaining Neuronal Health and Function</w:t>
      </w:r>
    </w:p>
    <w:p>
      <w:pPr>
        <w:spacing w:after="0" w:line="126"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Promoting the HGF/MET system has been shown to have multiple beneficial downstream effects that are relevant to AD:</w:t>
      </w:r>
    </w:p>
    <w:p>
      <w:pPr>
        <w:spacing w:after="0" w:line="97" w:lineRule="exact"/>
        <w:rPr>
          <w:sz w:val="20"/>
          <w:szCs w:val="20"/>
          <w:color w:val="auto"/>
        </w:rPr>
      </w:pPr>
    </w:p>
    <w:p>
      <w:pPr>
        <w:ind w:left="1060" w:hanging="34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225" w:lineRule="exact"/>
        <w:rPr>
          <w:rFonts w:ascii="Arial" w:cs="Arial" w:eastAsia="Arial" w:hAnsi="Arial"/>
          <w:sz w:val="18"/>
          <w:szCs w:val="18"/>
          <w:color w:val="auto"/>
        </w:rPr>
      </w:pPr>
    </w:p>
    <w:p>
      <w:pPr>
        <w:ind w:left="1060" w:right="120" w:hanging="343"/>
        <w:spacing w:after="0" w:line="24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196" w:lineRule="exact"/>
        <w:rPr>
          <w:rFonts w:ascii="Arial" w:cs="Arial" w:eastAsia="Arial" w:hAnsi="Arial"/>
          <w:sz w:val="18"/>
          <w:szCs w:val="18"/>
          <w:color w:val="auto"/>
        </w:rPr>
      </w:pPr>
    </w:p>
    <w:p>
      <w:pPr>
        <w:ind w:left="1060" w:right="180" w:hanging="343"/>
        <w:spacing w:after="0" w:line="24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305" w:lineRule="exact"/>
        <w:rPr>
          <w:sz w:val="20"/>
          <w:szCs w:val="20"/>
          <w:color w:val="auto"/>
        </w:rPr>
      </w:pPr>
    </w:p>
    <w:p>
      <w:pPr>
        <w:ind w:right="180" w:firstLine="486"/>
        <w:spacing w:after="0" w:line="23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Notably, promotion of the HGF/MET system improved memory in AD and PDD models and improvement in neuronal survival was reported in various disease models including MS and ALS. These studies support the HGF/MET system as a therapeutic target in a diverse array of nervous system disorders.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26" w:lineRule="exact"/>
        <w:rPr>
          <w:sz w:val="20"/>
          <w:szCs w:val="20"/>
          <w:color w:val="auto"/>
        </w:rPr>
      </w:pPr>
    </w:p>
    <w:p>
      <w:pPr>
        <w:ind w:right="40" w:firstLine="486"/>
        <w:spacing w:after="0" w:line="238"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202" w:lineRule="exact"/>
        <w:rPr>
          <w:sz w:val="20"/>
          <w:szCs w:val="20"/>
          <w:color w:val="auto"/>
        </w:rPr>
      </w:pPr>
    </w:p>
    <w:p>
      <w:pPr>
        <w:ind w:right="120" w:firstLine="486"/>
        <w:spacing w:after="0" w:line="237"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and hence can lead to variability of treatment outcomes and longer clinical development timelines.</w:t>
      </w:r>
    </w:p>
    <w:p>
      <w:pPr>
        <w:spacing w:after="0" w:line="203" w:lineRule="exact"/>
        <w:rPr>
          <w:sz w:val="20"/>
          <w:szCs w:val="20"/>
          <w:color w:val="auto"/>
        </w:rPr>
      </w:pPr>
    </w:p>
    <w:p>
      <w:pPr>
        <w:ind w:firstLine="486"/>
        <w:spacing w:after="0" w:line="237"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Traditionally,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372" w:right="1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177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7177405"/>
                    </a:xfrm>
                    <a:prstGeom prst="rect">
                      <a:avLst/>
                    </a:prstGeom>
                    <a:noFill/>
                  </pic:spPr>
                </pic:pic>
              </a:graphicData>
            </a:graphic>
          </wp:anchor>
        </w:drawing>
        <w:t>Our Differentiated Approach</w:t>
      </w:r>
    </w:p>
    <w:p>
      <w:pPr>
        <w:spacing w:after="0" w:line="126"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79" w:lineRule="exact"/>
        <w:rPr>
          <w:sz w:val="20"/>
          <w:szCs w:val="20"/>
          <w:color w:val="auto"/>
        </w:rPr>
      </w:pPr>
    </w:p>
    <w:p>
      <w:pPr>
        <w:ind w:left="1060" w:right="100" w:hanging="343"/>
        <w:spacing w:after="0" w:line="245"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to a rapid increase in 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180" w:lineRule="exact"/>
        <w:rPr>
          <w:rFonts w:ascii="Arial" w:cs="Arial" w:eastAsia="Arial" w:hAnsi="Arial"/>
          <w:sz w:val="18"/>
          <w:szCs w:val="18"/>
          <w:color w:val="auto"/>
        </w:rPr>
      </w:pPr>
    </w:p>
    <w:p>
      <w:pPr>
        <w:ind w:left="1060" w:right="120" w:hanging="343"/>
        <w:spacing w:after="0" w:line="245"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w:t>
      </w:r>
      <w:r>
        <w:rPr>
          <w:rFonts w:ascii="Arial" w:cs="Arial" w:eastAsia="Arial" w:hAnsi="Arial"/>
          <w:sz w:val="18"/>
          <w:szCs w:val="18"/>
          <w:i w:val="1"/>
          <w:iCs w:val="1"/>
          <w:color w:val="auto"/>
        </w:rPr>
        <w:t xml:space="preserve"> </w:t>
      </w:r>
      <w:r>
        <w:rPr>
          <w:rFonts w:ascii="Arial" w:cs="Arial" w:eastAsia="Arial" w:hAnsi="Arial"/>
          <w:sz w:val="18"/>
          <w:szCs w:val="18"/>
          <w:color w:val="auto"/>
        </w:rPr>
        <w:t>activate brain systems that reduce oxidative stress, which is expected to reduce damage and slow down disease progression and improve network activity. Many therapies in development are focused only on slowing disease progression.</w:t>
      </w:r>
    </w:p>
    <w:p>
      <w:pPr>
        <w:spacing w:after="0" w:line="180" w:lineRule="exact"/>
        <w:rPr>
          <w:rFonts w:ascii="Arial" w:cs="Arial" w:eastAsia="Arial" w:hAnsi="Arial"/>
          <w:sz w:val="18"/>
          <w:szCs w:val="18"/>
          <w:color w:val="auto"/>
        </w:rPr>
      </w:pPr>
    </w:p>
    <w:p>
      <w:pPr>
        <w:ind w:left="1060" w:right="660" w:hanging="343"/>
        <w:spacing w:after="0" w:line="296"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Improvement in cerebral blood flow, as well as reducing inflammation </w:t>
      </w:r>
      <w:r>
        <w:rPr>
          <w:rFonts w:ascii="Arial" w:cs="Arial" w:eastAsia="Arial" w:hAnsi="Arial"/>
          <w:sz w:val="17"/>
          <w:szCs w:val="17"/>
          <w:color w:val="auto"/>
        </w:rPr>
        <w:t>by modulating inflammatory</w:t>
      </w:r>
      <w:r>
        <w:rPr>
          <w:rFonts w:ascii="Arial" w:cs="Arial" w:eastAsia="Arial" w:hAnsi="Arial"/>
          <w:sz w:val="17"/>
          <w:szCs w:val="17"/>
          <w:i w:val="1"/>
          <w:iCs w:val="1"/>
          <w:color w:val="auto"/>
        </w:rPr>
        <w:t xml:space="preserve"> </w:t>
      </w:r>
      <w:r>
        <w:rPr>
          <w:rFonts w:ascii="Arial" w:cs="Arial" w:eastAsia="Arial" w:hAnsi="Arial"/>
          <w:sz w:val="17"/>
          <w:szCs w:val="17"/>
          <w:color w:val="auto"/>
        </w:rPr>
        <w:t>cytokine expression from the glia. Many other therapies only have a single mode of activity.</w:t>
      </w:r>
    </w:p>
    <w:p>
      <w:pPr>
        <w:spacing w:after="0" w:line="265" w:lineRule="exact"/>
        <w:rPr>
          <w:sz w:val="20"/>
          <w:szCs w:val="20"/>
          <w:color w:val="auto"/>
        </w:rPr>
      </w:pPr>
    </w:p>
    <w:p>
      <w:pPr>
        <w:jc w:val="both"/>
        <w:ind w:right="80" w:firstLine="486"/>
        <w:spacing w:after="0"/>
        <w:rPr>
          <w:sz w:val="20"/>
          <w:szCs w:val="20"/>
          <w:color w:val="auto"/>
        </w:rPr>
      </w:pPr>
      <w:r>
        <w:rPr>
          <w:rFonts w:ascii="Arial" w:cs="Arial" w:eastAsia="Arial" w:hAnsi="Arial"/>
          <w:sz w:val="18"/>
          <w:szCs w:val="18"/>
          <w:color w:val="auto"/>
        </w:rPr>
        <w:t>These factors positively impact neuronal health and function, not only by slowing down disease progression, but also by improving brain network activity and function. We believe these effects position Athira, and initially ATH-1017, to address the complex pathology in neurodegenerative diseases.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26"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cognition and function, can result in more efficient and cost-effective clinical trials, and potentially provide an accelerated development path compared to traditional AD drug development programs.</w:t>
      </w:r>
    </w:p>
    <w:p>
      <w:pPr>
        <w:spacing w:after="0" w:line="202" w:lineRule="exact"/>
        <w:rPr>
          <w:sz w:val="20"/>
          <w:szCs w:val="20"/>
          <w:color w:val="auto"/>
        </w:rPr>
      </w:pPr>
    </w:p>
    <w:p>
      <w:pPr>
        <w:ind w:firstLine="486"/>
        <w:spacing w:after="0" w:line="237"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By focusing on these direct measures of brain activity and cognition, we believe we will be able to more efficiently develop ATH-1017 for treatment of AD and broader dementia.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 and Applications to Our ATH Platform</w:t>
      </w:r>
    </w:p>
    <w:p>
      <w:pPr>
        <w:spacing w:after="0" w:line="126" w:lineRule="exact"/>
        <w:rPr>
          <w:sz w:val="20"/>
          <w:szCs w:val="20"/>
          <w:color w:val="auto"/>
        </w:rPr>
      </w:pPr>
    </w:p>
    <w:p>
      <w:pPr>
        <w:ind w:right="120" w:firstLine="486"/>
        <w:spacing w:after="0" w:line="238"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ADAS-cog, as shown in the table below. While these changes induced by acetylcholinesterase inhibitors are modest and often transient, these previously published results support the correlation of P300 latency and cognition in AD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372" w:right="1219" w:bottom="1440" w:gutter="0" w:footer="0" w:header="0"/>
        </w:sectPr>
      </w:pPr>
    </w:p>
    <w:bookmarkStart w:id="10" w:name="page11"/>
    <w:bookmarkEnd w:id="10"/>
    <w:p>
      <w:pPr>
        <w:ind w:left="4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945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6945630"/>
                    </a:xfrm>
                    <a:prstGeom prst="rect">
                      <a:avLst/>
                    </a:prstGeom>
                    <a:noFill/>
                  </pic:spPr>
                </pic:pic>
              </a:graphicData>
            </a:graphic>
          </wp:anchor>
        </w:drawing>
        <w:t>Studies Suggest Changes in P300 Latency Have Been Predictive of Changes in 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40"/>
        <w:spacing w:after="0" w:line="279"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174" w:lineRule="exact"/>
        <w:rPr>
          <w:sz w:val="20"/>
          <w:szCs w:val="20"/>
          <w:color w:val="auto"/>
        </w:rPr>
      </w:pPr>
    </w:p>
    <w:p>
      <w:pPr>
        <w:ind w:firstLine="486"/>
        <w:spacing w:after="0" w:line="237"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the connection of these biomarkers to cognition is not clear. We sought to develop a translational strategy for ATH that was highly correlated to brain function and cognition which led us to use EEG/ERP for the clinical development of ATH-1017. Positive changes in EEG and ERP P300 latency potentially indicate a positive cognitive effect of ATH treatment, which increases our confidence that these effects may translate to clinical benefit in later-stage clinical trials.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126" w:lineRule="exact"/>
        <w:rPr>
          <w:sz w:val="20"/>
          <w:szCs w:val="20"/>
          <w:color w:val="auto"/>
        </w:rPr>
      </w:pPr>
    </w:p>
    <w:p>
      <w:pPr>
        <w:ind w:firstLine="486"/>
        <w:spacing w:after="0" w:line="253" w:lineRule="auto"/>
        <w:rPr>
          <w:sz w:val="20"/>
          <w:szCs w:val="20"/>
          <w:color w:val="auto"/>
        </w:rPr>
      </w:pPr>
      <w:r>
        <w:rPr>
          <w:rFonts w:ascii="Arial" w:cs="Arial" w:eastAsia="Arial" w:hAnsi="Arial"/>
          <w:sz w:val="17"/>
          <w:szCs w:val="17"/>
          <w:color w:val="auto"/>
        </w:rPr>
        <w:t>Our leadership team includes experienced neuroscience biotech executives who have both developed and commercialized CNS drugs and founded successful companies. Dr. Leen Kawas, our founder and chief executive officer, has been essential in creating our innovative translational development strategy. Dr. Hans Moebius, our chief medical officer, is a pioneer in the AD space and led the effort in getting Namenda, among other CNS drugs, approved. Dr. Mark Litton, our chief operating officer, is one of the co-founders and builders of Alder BioPharmaceuticals, which was acquired by Lundbeck A/S in October 2019. Dr. Kevin Church, our vice president of discovery, has over 10 years of research and management experience in the biotech space and is an expert in HGF biology.</w:t>
      </w:r>
    </w:p>
    <w:p>
      <w:pPr>
        <w:spacing w:after="0" w:line="191"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color w:val="auto"/>
        </w:rPr>
        <w:t>Our advisory board is a world class team of leaders in the neuroregenerative, drug development and neurophysiology fields, including Dr. Larry Ereshefsky and Dr. Marwan Sabbagh. Dr. Ereshefsky is a pioneer in the application of translational drug development tools, including neurocircuitry/biomarker-based strategies such as quantitative EEG, or qEEG, ERP P300 latency, and cognitive and behavioral paradigms. Dr. Sabbagh, the director of Cleveland Clinic Lou Ruvo Center for Brain Health, is considered to be one of the leading experts in AD and dementia.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268" w:right="1239" w:bottom="1440" w:gutter="0" w:footer="0" w:header="0"/>
        </w:sectPr>
      </w:pPr>
    </w:p>
    <w:bookmarkStart w:id="11" w:name="page12"/>
    <w:bookmarkEnd w:id="11"/>
    <w:p>
      <w:pPr>
        <w:ind w:right="40" w:firstLine="486"/>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9400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7940040"/>
                    </a:xfrm>
                    <a:prstGeom prst="rect">
                      <a:avLst/>
                    </a:prstGeom>
                    <a:noFill/>
                  </pic:spPr>
                </pic:pic>
              </a:graphicData>
            </a:graphic>
          </wp:anchor>
        </w:drawing>
        <w:t>Our team is further supported by a group of investors that share our vision, mission, and commitment to develop innovative therapies for neurodegeneration. Our key investors include Perceptive Advisors, RTW Investments, Viking Global Investors, Venrock Healthcare Capital Partners, Franklin Templeton, Rock Springs Capital, LifeSci Venture Partners, Surveyor Capital (a Citadel company), Highside Capital Management, Logos Capital, funds managed by Janus Henderson Investors, Sofinnova Investments, and Avidity Partners.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6" w:lineRule="exact"/>
        <w:rPr>
          <w:sz w:val="20"/>
          <w:szCs w:val="20"/>
          <w:color w:val="auto"/>
        </w:rPr>
      </w:pPr>
    </w:p>
    <w:p>
      <w:pPr>
        <w:ind w:right="420" w:firstLine="455"/>
        <w:spacing w:after="0"/>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95" w:lineRule="exact"/>
        <w:rPr>
          <w:sz w:val="20"/>
          <w:szCs w:val="20"/>
          <w:color w:val="auto"/>
        </w:rPr>
      </w:pPr>
    </w:p>
    <w:p>
      <w:pPr>
        <w:ind w:left="1060" w:hanging="34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w:t>
      </w:r>
    </w:p>
    <w:p>
      <w:pPr>
        <w:spacing w:after="0" w:line="225" w:lineRule="exact"/>
        <w:rPr>
          <w:rFonts w:ascii="Arial" w:cs="Arial" w:eastAsia="Arial" w:hAnsi="Arial"/>
          <w:sz w:val="18"/>
          <w:szCs w:val="18"/>
          <w:color w:val="auto"/>
        </w:rPr>
      </w:pPr>
    </w:p>
    <w:p>
      <w:pPr>
        <w:ind w:left="1060" w:right="540" w:hanging="343"/>
        <w:spacing w:after="0" w:line="246"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196" w:lineRule="exact"/>
        <w:rPr>
          <w:rFonts w:ascii="Arial" w:cs="Arial" w:eastAsia="Arial" w:hAnsi="Arial"/>
          <w:sz w:val="18"/>
          <w:szCs w:val="18"/>
          <w:color w:val="auto"/>
        </w:rPr>
      </w:pPr>
    </w:p>
    <w:p>
      <w:pPr>
        <w:ind w:left="1060" w:right="80" w:hanging="343"/>
        <w:spacing w:after="0" w:line="23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204" w:lineRule="exact"/>
        <w:rPr>
          <w:rFonts w:ascii="Arial" w:cs="Arial" w:eastAsia="Arial" w:hAnsi="Arial"/>
          <w:sz w:val="18"/>
          <w:szCs w:val="18"/>
          <w:color w:val="auto"/>
        </w:rPr>
      </w:pPr>
    </w:p>
    <w:p>
      <w:pPr>
        <w:ind w:left="1060" w:right="160" w:hanging="343"/>
        <w:spacing w:after="0" w:line="246"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96" w:lineRule="exact"/>
        <w:rPr>
          <w:rFonts w:ascii="Arial" w:cs="Arial" w:eastAsia="Arial" w:hAnsi="Arial"/>
          <w:sz w:val="18"/>
          <w:szCs w:val="18"/>
          <w:color w:val="auto"/>
        </w:rPr>
      </w:pPr>
    </w:p>
    <w:p>
      <w:pPr>
        <w:ind w:left="1060" w:hanging="34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development of ATH-1017 may never lead to a marketable product.</w:t>
      </w:r>
    </w:p>
    <w:p>
      <w:pPr>
        <w:spacing w:after="0" w:line="225" w:lineRule="exact"/>
        <w:rPr>
          <w:rFonts w:ascii="Arial" w:cs="Arial" w:eastAsia="Arial" w:hAnsi="Arial"/>
          <w:sz w:val="18"/>
          <w:szCs w:val="18"/>
          <w:color w:val="auto"/>
        </w:rPr>
      </w:pPr>
    </w:p>
    <w:p>
      <w:pPr>
        <w:ind w:left="1060" w:right="260" w:hanging="343"/>
        <w:spacing w:after="0" w:line="246"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w:t>
      </w:r>
    </w:p>
    <w:p>
      <w:pPr>
        <w:spacing w:after="0" w:line="196" w:lineRule="exact"/>
        <w:rPr>
          <w:rFonts w:ascii="Arial" w:cs="Arial" w:eastAsia="Arial" w:hAnsi="Arial"/>
          <w:sz w:val="18"/>
          <w:szCs w:val="18"/>
          <w:color w:val="auto"/>
        </w:rPr>
      </w:pPr>
    </w:p>
    <w:p>
      <w:pPr>
        <w:ind w:left="1060" w:right="220" w:hanging="343"/>
        <w:spacing w:after="0" w:line="23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concentrated our research and development efforts on the treatment of CNS and peripheral degenerative disorders, a field that has seen very limited success in product development. Further, our product candidates are based on new approaches and novel technology, which makes it difficult to predict the time and cost of product candidate development and the regulatory approval process.</w:t>
      </w:r>
    </w:p>
    <w:p>
      <w:pPr>
        <w:spacing w:after="0" w:line="204" w:lineRule="exact"/>
        <w:rPr>
          <w:rFonts w:ascii="Arial" w:cs="Arial" w:eastAsia="Arial" w:hAnsi="Arial"/>
          <w:sz w:val="18"/>
          <w:szCs w:val="18"/>
          <w:color w:val="auto"/>
        </w:rPr>
      </w:pPr>
    </w:p>
    <w:p>
      <w:pPr>
        <w:ind w:left="1060" w:hanging="343"/>
        <w:spacing w:after="0" w:line="23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earlier studies and clinical trials may not be predictive of future clinical trial results. We may encounter substantial delays in clinical trials, or may not be able to conduct or complete clinical trials on the expected timelines, if at all.</w:t>
      </w:r>
    </w:p>
    <w:p>
      <w:pPr>
        <w:spacing w:after="0" w:line="204" w:lineRule="exact"/>
        <w:rPr>
          <w:rFonts w:ascii="Arial" w:cs="Arial" w:eastAsia="Arial" w:hAnsi="Arial"/>
          <w:sz w:val="18"/>
          <w:szCs w:val="18"/>
          <w:color w:val="auto"/>
        </w:rPr>
      </w:pPr>
    </w:p>
    <w:p>
      <w:pPr>
        <w:ind w:left="1060" w:right="700" w:hanging="343"/>
        <w:spacing w:after="0" w:line="246"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nonclinical studies and clinical trials.</w:t>
      </w:r>
    </w:p>
    <w:p>
      <w:pPr>
        <w:spacing w:after="0" w:line="196" w:lineRule="exact"/>
        <w:rPr>
          <w:rFonts w:ascii="Arial" w:cs="Arial" w:eastAsia="Arial" w:hAnsi="Arial"/>
          <w:sz w:val="18"/>
          <w:szCs w:val="18"/>
          <w:color w:val="auto"/>
        </w:rPr>
      </w:pPr>
    </w:p>
    <w:p>
      <w:pPr>
        <w:ind w:left="1060" w:right="160" w:hanging="34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202" w:lineRule="exact"/>
        <w:rPr>
          <w:rFonts w:ascii="Arial" w:cs="Arial" w:eastAsia="Arial" w:hAnsi="Arial"/>
          <w:sz w:val="18"/>
          <w:szCs w:val="18"/>
          <w:color w:val="auto"/>
        </w:rPr>
      </w:pPr>
    </w:p>
    <w:p>
      <w:pPr>
        <w:jc w:val="both"/>
        <w:ind w:left="1060" w:right="180" w:hanging="34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02" w:lineRule="exact"/>
        <w:rPr>
          <w:rFonts w:ascii="Arial" w:cs="Arial" w:eastAsia="Arial" w:hAnsi="Arial"/>
          <w:sz w:val="18"/>
          <w:szCs w:val="18"/>
          <w:color w:val="auto"/>
        </w:rPr>
      </w:pPr>
    </w:p>
    <w:p>
      <w:pPr>
        <w:ind w:left="1060" w:hanging="34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178" w:right="1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83604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8360410"/>
                    </a:xfrm>
                    <a:prstGeom prst="rect">
                      <a:avLst/>
                    </a:prstGeom>
                    <a:noFill/>
                  </pic:spPr>
                </pic:pic>
              </a:graphicData>
            </a:graphic>
          </wp:anchor>
        </w:drawing>
        <w:t>Corporate Information</w:t>
      </w:r>
    </w:p>
    <w:p>
      <w:pPr>
        <w:spacing w:after="0" w:line="126" w:lineRule="exact"/>
        <w:rPr>
          <w:sz w:val="20"/>
          <w:szCs w:val="20"/>
          <w:color w:val="auto"/>
        </w:rPr>
      </w:pPr>
    </w:p>
    <w:p>
      <w:pPr>
        <w:ind w:right="80" w:firstLine="486"/>
        <w:spacing w:after="0" w:line="237"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4000 Mason Road, Suite 300, Seattle, Washington 98195. Our telephone number is (206) 221-8112. Our website is www.athira.com. Information contained in, or that can be accessed through, our website is not a part of, and is not incorporated into, this prospectus, and the inclusion of our website address in this prospectus is an inactive textual reference only.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126" w:lineRule="exact"/>
        <w:rPr>
          <w:sz w:val="20"/>
          <w:szCs w:val="20"/>
          <w:color w:val="auto"/>
        </w:rPr>
      </w:pPr>
    </w:p>
    <w:p>
      <w:pPr>
        <w:ind w:right="80" w:firstLine="486"/>
        <w:spacing w:after="0" w:line="237" w:lineRule="auto"/>
        <w:rPr>
          <w:sz w:val="20"/>
          <w:szCs w:val="20"/>
          <w:color w:val="auto"/>
        </w:rPr>
      </w:pPr>
      <w:r>
        <w:rPr>
          <w:rFonts w:ascii="Arial" w:cs="Arial" w:eastAsia="Arial" w:hAnsi="Arial"/>
          <w:sz w:val="18"/>
          <w:szCs w:val="18"/>
          <w:color w:val="auto"/>
        </w:rPr>
        <w:t xml:space="preserve">We use Athira, Athira Pharma, the Athira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6" w:lineRule="exact"/>
        <w:rPr>
          <w:sz w:val="20"/>
          <w:szCs w:val="20"/>
          <w:color w:val="auto"/>
        </w:rPr>
      </w:pPr>
    </w:p>
    <w:p>
      <w:pPr>
        <w:ind w:right="80" w:firstLine="486"/>
        <w:spacing w:after="0"/>
        <w:rPr>
          <w:sz w:val="20"/>
          <w:szCs w:val="20"/>
          <w:color w:val="auto"/>
        </w:rPr>
      </w:pPr>
      <w:r>
        <w:rPr>
          <w:rFonts w:ascii="Arial" w:cs="Arial" w:eastAsia="Arial" w:hAnsi="Arial"/>
          <w:sz w:val="18"/>
          <w:szCs w:val="18"/>
          <w:color w:val="auto"/>
          <w:highlight w:val="white"/>
        </w:rPr>
        <w:t>We are an “emerging growth company” as defined in the Jumpstart Our Business Startups Act of 2012, as amended, or the JOBS Act. As such, we may take advantage of reduced disclosure and other requirements otherwise generally applicable to public companies, including:</w:t>
      </w:r>
    </w:p>
    <w:p>
      <w:pPr>
        <w:spacing w:after="0" w:line="95" w:lineRule="exact"/>
        <w:rPr>
          <w:sz w:val="20"/>
          <w:szCs w:val="20"/>
          <w:color w:val="auto"/>
        </w:rPr>
      </w:pPr>
    </w:p>
    <w:p>
      <w:pPr>
        <w:ind w:left="1060" w:hanging="34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presentation of only two years of audited financial statements and related financial disclosure;</w:t>
      </w:r>
    </w:p>
    <w:p>
      <w:pPr>
        <w:spacing w:after="0" w:line="225" w:lineRule="exact"/>
        <w:rPr>
          <w:rFonts w:ascii="Arial" w:cs="Arial" w:eastAsia="Arial" w:hAnsi="Arial"/>
          <w:sz w:val="18"/>
          <w:szCs w:val="18"/>
          <w:color w:val="auto"/>
        </w:rPr>
      </w:pPr>
    </w:p>
    <w:p>
      <w:pPr>
        <w:ind w:left="1060" w:right="820" w:hanging="343"/>
        <w:spacing w:after="0" w:line="24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requirement to have our registered independent public accounting firm attest to management's assessment of our internal control over financial reporting;</w:t>
      </w:r>
    </w:p>
    <w:p>
      <w:pPr>
        <w:spacing w:after="0" w:line="196" w:lineRule="exact"/>
        <w:rPr>
          <w:rFonts w:ascii="Arial" w:cs="Arial" w:eastAsia="Arial" w:hAnsi="Arial"/>
          <w:sz w:val="18"/>
          <w:szCs w:val="18"/>
          <w:color w:val="auto"/>
        </w:rPr>
      </w:pPr>
    </w:p>
    <w:p>
      <w:pPr>
        <w:ind w:left="1060" w:hanging="34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225" w:lineRule="exact"/>
        <w:rPr>
          <w:rFonts w:ascii="Arial" w:cs="Arial" w:eastAsia="Arial" w:hAnsi="Arial"/>
          <w:sz w:val="18"/>
          <w:szCs w:val="18"/>
          <w:color w:val="auto"/>
        </w:rPr>
      </w:pPr>
    </w:p>
    <w:p>
      <w:pPr>
        <w:ind w:left="1060" w:right="320" w:hanging="343"/>
        <w:spacing w:after="0" w:line="24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requirement to hold non-binding advisory votes on executive compensation or golden parachute arrangements.</w:t>
      </w:r>
    </w:p>
    <w:p>
      <w:pPr>
        <w:spacing w:after="0" w:line="305" w:lineRule="exact"/>
        <w:rPr>
          <w:sz w:val="20"/>
          <w:szCs w:val="20"/>
          <w:color w:val="auto"/>
        </w:rPr>
      </w:pPr>
    </w:p>
    <w:p>
      <w:pPr>
        <w:ind w:firstLine="480"/>
        <w:spacing w:after="0" w:line="237" w:lineRule="auto"/>
        <w:rPr>
          <w:sz w:val="20"/>
          <w:szCs w:val="20"/>
          <w:color w:val="auto"/>
        </w:rPr>
      </w:pPr>
      <w:r>
        <w:rPr>
          <w:rFonts w:ascii="Arial" w:cs="Arial" w:eastAsia="Arial" w:hAnsi="Arial"/>
          <w:sz w:val="18"/>
          <w:szCs w:val="18"/>
          <w:color w:val="auto"/>
          <w:highlight w:val="white"/>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203" w:lineRule="exact"/>
        <w:rPr>
          <w:sz w:val="20"/>
          <w:szCs w:val="20"/>
          <w:color w:val="auto"/>
        </w:rPr>
      </w:pPr>
    </w:p>
    <w:p>
      <w:pPr>
        <w:ind w:right="100" w:firstLine="480"/>
        <w:spacing w:after="0" w:line="236" w:lineRule="auto"/>
        <w:rPr>
          <w:sz w:val="20"/>
          <w:szCs w:val="20"/>
          <w:color w:val="auto"/>
        </w:rPr>
      </w:pPr>
      <w:r>
        <w:rPr>
          <w:rFonts w:ascii="Arial" w:cs="Arial" w:eastAsia="Arial" w:hAnsi="Arial"/>
          <w:sz w:val="18"/>
          <w:szCs w:val="18"/>
          <w:color w:val="auto"/>
          <w:highlight w:val="white"/>
        </w:rPr>
        <w:t xml:space="preserve">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that </w:t>
      </w:r>
      <w:r>
        <w:rPr>
          <w:rFonts w:ascii="Arial" w:cs="Arial" w:eastAsia="Arial" w:hAnsi="Arial"/>
          <w:sz w:val="18"/>
          <w:szCs w:val="18"/>
          <w:color w:val="auto"/>
        </w:rPr>
        <w:t xml:space="preserve">have different effective dates for public and private companies until the earlier of the date that we are no longer an emerging growth company or affirmatively and irrevocably opt out of the extended transition period provided in the </w:t>
      </w:r>
      <w:r>
        <w:rPr>
          <w:rFonts w:ascii="Arial" w:cs="Arial" w:eastAsia="Arial" w:hAnsi="Arial"/>
          <w:sz w:val="18"/>
          <w:szCs w:val="18"/>
          <w:color w:val="auto"/>
          <w:highlight w:val="white"/>
        </w:rPr>
        <w:t>JOBS Act. As a result, our financial statements may not be comparable to companies that comply with the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372" w:right="1219" w:bottom="1440" w:gutter="0" w:footer="0" w:header="0"/>
        </w:sectPr>
      </w:pPr>
    </w:p>
    <w:bookmarkStart w:id="13" w:name="page14"/>
    <w:bookmarkEnd w:id="13"/>
    <w:p>
      <w:pPr>
        <w:ind w:firstLine="486"/>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874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874010"/>
                    </a:xfrm>
                    <a:prstGeom prst="rect">
                      <a:avLst/>
                    </a:prstGeom>
                    <a:noFill/>
                  </pic:spPr>
                </pic:pic>
              </a:graphicData>
            </a:graphic>
          </wp:anchor>
        </w:drawing>
        <w:t>In addition, we are also a “smaller reporting company” because the market value of our stock held by non-affiliates plus the proposed aggregate amount of gross proceeds to us as a result of this offering is less than $700 million as of June 30, 2019 and our annual revenue was less than $ 100 million during the fiscal year ended December 31, 2019. We may continue to be a smaller reporting company after this offering in any given year if either (1) the market value of our stock held by non-affiliates is less than $250 million as of June 30 in the most recently completed fiscal year or (2) our annual revenue is less than $100 million during the most recently completed fiscal year and the market value of our stock held by non-affiliates is less than $ 700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286" w:right="1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9"/>
        </w:trPr>
        <w:tc>
          <w:tcPr>
            <w:tcW w:w="3560" w:type="dxa"/>
            <w:vAlign w:val="bottom"/>
          </w:tcPr>
          <w:p>
            <w:pPr>
              <w:spacing w:after="0"/>
              <w:rPr>
                <w:sz w:val="20"/>
                <w:szCs w:val="20"/>
                <w:color w:val="auto"/>
              </w:rPr>
            </w:pPr>
          </w:p>
        </w:tc>
        <w:tc>
          <w:tcPr>
            <w:tcW w:w="2580" w:type="dxa"/>
            <w:vAlign w:val="bottom"/>
            <w:gridSpan w:val="2"/>
          </w:tcPr>
          <w:p>
            <w:pPr>
              <w:ind w:left="640"/>
              <w:spacing w:after="0"/>
              <w:rPr>
                <w:sz w:val="20"/>
                <w:szCs w:val="20"/>
                <w:color w:val="auto"/>
              </w:rPr>
            </w:pPr>
            <w:r>
              <w:rPr>
                <w:rFonts w:ascii="Arial" w:cs="Arial" w:eastAsia="Arial" w:hAnsi="Arial"/>
                <w:sz w:val="18"/>
                <w:szCs w:val="18"/>
                <w:b w:val="1"/>
                <w:bCs w:val="1"/>
                <w:color w:val="auto"/>
              </w:rPr>
              <w:t>The Offering</w:t>
            </w:r>
          </w:p>
        </w:tc>
        <w:tc>
          <w:tcPr>
            <w:tcW w:w="1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45"/>
        </w:trPr>
        <w:tc>
          <w:tcPr>
            <w:tcW w:w="356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134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shares.</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1"/>
        </w:trPr>
        <w:tc>
          <w:tcPr>
            <w:tcW w:w="356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5900" w:type="dxa"/>
            <w:vAlign w:val="bottom"/>
            <w:gridSpan w:val="5"/>
          </w:tcPr>
          <w:p>
            <w:pPr>
              <w:ind w:left="1000"/>
              <w:spacing w:after="0"/>
              <w:rPr>
                <w:sz w:val="20"/>
                <w:szCs w:val="20"/>
                <w:color w:val="auto"/>
              </w:rPr>
            </w:pPr>
            <w:r>
              <w:rPr>
                <w:rFonts w:ascii="Arial" w:cs="Arial" w:eastAsia="Arial" w:hAnsi="Arial"/>
                <w:sz w:val="18"/>
                <w:szCs w:val="18"/>
                <w:color w:val="auto"/>
              </w:rPr>
              <w:t>We have granted the underwriters an option to purchase up</w:t>
            </w:r>
          </w:p>
        </w:tc>
      </w:tr>
      <w:tr>
        <w:trPr>
          <w:trHeight w:val="203"/>
        </w:trPr>
        <w:tc>
          <w:tcPr>
            <w:tcW w:w="3560" w:type="dxa"/>
            <w:vAlign w:val="bottom"/>
          </w:tcPr>
          <w:p>
            <w:pPr>
              <w:spacing w:after="0"/>
              <w:rPr>
                <w:sz w:val="17"/>
                <w:szCs w:val="17"/>
                <w:color w:val="auto"/>
              </w:rPr>
            </w:pPr>
          </w:p>
        </w:tc>
        <w:tc>
          <w:tcPr>
            <w:tcW w:w="1340" w:type="dxa"/>
            <w:vAlign w:val="bottom"/>
          </w:tcPr>
          <w:p>
            <w:pPr>
              <w:ind w:left="1000"/>
              <w:spacing w:after="0" w:line="202" w:lineRule="exact"/>
              <w:rPr>
                <w:sz w:val="20"/>
                <w:szCs w:val="20"/>
                <w:color w:val="auto"/>
              </w:rPr>
            </w:pPr>
            <w:r>
              <w:rPr>
                <w:rFonts w:ascii="Arial" w:cs="Arial" w:eastAsia="Arial" w:hAnsi="Arial"/>
                <w:sz w:val="18"/>
                <w:szCs w:val="18"/>
                <w:color w:val="auto"/>
              </w:rPr>
              <w:t>to</w:t>
            </w:r>
          </w:p>
        </w:tc>
        <w:tc>
          <w:tcPr>
            <w:tcW w:w="45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additional shares of common stock from us. The</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underwriters can exercise this option at any time within 30</w:t>
            </w:r>
          </w:p>
        </w:tc>
      </w:tr>
      <w:tr>
        <w:trPr>
          <w:trHeight w:val="217"/>
        </w:trPr>
        <w:tc>
          <w:tcPr>
            <w:tcW w:w="3560" w:type="dxa"/>
            <w:vAlign w:val="bottom"/>
          </w:tcPr>
          <w:p>
            <w:pPr>
              <w:spacing w:after="0"/>
              <w:rPr>
                <w:sz w:val="18"/>
                <w:szCs w:val="18"/>
                <w:color w:val="auto"/>
              </w:rPr>
            </w:pPr>
          </w:p>
        </w:tc>
        <w:tc>
          <w:tcPr>
            <w:tcW w:w="5160" w:type="dxa"/>
            <w:vAlign w:val="bottom"/>
            <w:gridSpan w:val="4"/>
          </w:tcPr>
          <w:p>
            <w:pPr>
              <w:ind w:left="1000"/>
              <w:spacing w:after="0"/>
              <w:rPr>
                <w:sz w:val="20"/>
                <w:szCs w:val="20"/>
                <w:color w:val="auto"/>
              </w:rPr>
            </w:pPr>
            <w:r>
              <w:rPr>
                <w:rFonts w:ascii="Arial" w:cs="Arial" w:eastAsia="Arial" w:hAnsi="Arial"/>
                <w:sz w:val="18"/>
                <w:szCs w:val="18"/>
                <w:color w:val="auto"/>
              </w:rPr>
              <w:t>days from the date of this prospectus.</w:t>
            </w:r>
          </w:p>
        </w:tc>
        <w:tc>
          <w:tcPr>
            <w:tcW w:w="740" w:type="dxa"/>
            <w:vAlign w:val="bottom"/>
          </w:tcPr>
          <w:p>
            <w:pPr>
              <w:spacing w:after="0"/>
              <w:rPr>
                <w:sz w:val="18"/>
                <w:szCs w:val="18"/>
                <w:color w:val="auto"/>
              </w:rPr>
            </w:pPr>
          </w:p>
        </w:tc>
      </w:tr>
      <w:tr>
        <w:trPr>
          <w:trHeight w:val="431"/>
        </w:trPr>
        <w:tc>
          <w:tcPr>
            <w:tcW w:w="3560" w:type="dxa"/>
            <w:vAlign w:val="bottom"/>
          </w:tcPr>
          <w:p>
            <w:pPr>
              <w:spacing w:after="0"/>
              <w:rPr>
                <w:sz w:val="20"/>
                <w:szCs w:val="20"/>
                <w:color w:val="auto"/>
              </w:rPr>
            </w:pPr>
            <w:r>
              <w:rPr>
                <w:rFonts w:ascii="Arial" w:cs="Arial" w:eastAsia="Arial" w:hAnsi="Arial"/>
                <w:sz w:val="18"/>
                <w:szCs w:val="18"/>
                <w:color w:val="auto"/>
              </w:rPr>
              <w:t>Common stock to be outstanding</w:t>
            </w:r>
          </w:p>
        </w:tc>
        <w:tc>
          <w:tcPr>
            <w:tcW w:w="1340" w:type="dxa"/>
            <w:vAlign w:val="bottom"/>
          </w:tcPr>
          <w:p>
            <w:pPr>
              <w:spacing w:after="0"/>
              <w:rPr>
                <w:sz w:val="24"/>
                <w:szCs w:val="24"/>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shares (or</w:t>
            </w:r>
          </w:p>
        </w:tc>
        <w:tc>
          <w:tcPr>
            <w:tcW w:w="3320" w:type="dxa"/>
            <w:vAlign w:val="bottom"/>
            <w:gridSpan w:val="3"/>
          </w:tcPr>
          <w:p>
            <w:pPr>
              <w:ind w:left="240"/>
              <w:spacing w:after="0"/>
              <w:rPr>
                <w:sz w:val="20"/>
                <w:szCs w:val="20"/>
                <w:color w:val="auto"/>
              </w:rPr>
            </w:pPr>
            <w:r>
              <w:rPr>
                <w:rFonts w:ascii="Arial" w:cs="Arial" w:eastAsia="Arial" w:hAnsi="Arial"/>
                <w:sz w:val="18"/>
                <w:szCs w:val="18"/>
                <w:color w:val="auto"/>
              </w:rPr>
              <w:t>shares if the underwriters exercise in</w:t>
            </w:r>
          </w:p>
        </w:tc>
      </w:tr>
      <w:tr>
        <w:trPr>
          <w:trHeight w:val="217"/>
        </w:trPr>
        <w:tc>
          <w:tcPr>
            <w:tcW w:w="3560" w:type="dxa"/>
            <w:vAlign w:val="bottom"/>
          </w:tcPr>
          <w:p>
            <w:pPr>
              <w:spacing w:after="0"/>
              <w:rPr>
                <w:sz w:val="20"/>
                <w:szCs w:val="20"/>
                <w:color w:val="auto"/>
              </w:rPr>
            </w:pPr>
            <w:r>
              <w:rPr>
                <w:rFonts w:ascii="Arial" w:cs="Arial" w:eastAsia="Arial" w:hAnsi="Arial"/>
                <w:sz w:val="18"/>
                <w:szCs w:val="18"/>
                <w:color w:val="auto"/>
              </w:rPr>
              <w:t>after the offering</w:t>
            </w:r>
          </w:p>
        </w:tc>
        <w:tc>
          <w:tcPr>
            <w:tcW w:w="5160" w:type="dxa"/>
            <w:vAlign w:val="bottom"/>
            <w:gridSpan w:val="4"/>
          </w:tcPr>
          <w:p>
            <w:pPr>
              <w:ind w:left="1000"/>
              <w:spacing w:after="0"/>
              <w:rPr>
                <w:sz w:val="20"/>
                <w:szCs w:val="20"/>
                <w:color w:val="auto"/>
              </w:rPr>
            </w:pPr>
            <w:r>
              <w:rPr>
                <w:rFonts w:ascii="Arial" w:cs="Arial" w:eastAsia="Arial" w:hAnsi="Arial"/>
                <w:sz w:val="18"/>
                <w:szCs w:val="18"/>
                <w:color w:val="auto"/>
              </w:rPr>
              <w:t>full their option to purchase additional shares).</w:t>
            </w:r>
          </w:p>
        </w:tc>
        <w:tc>
          <w:tcPr>
            <w:tcW w:w="740" w:type="dxa"/>
            <w:vAlign w:val="bottom"/>
          </w:tcPr>
          <w:p>
            <w:pPr>
              <w:spacing w:after="0"/>
              <w:rPr>
                <w:sz w:val="18"/>
                <w:szCs w:val="18"/>
                <w:color w:val="auto"/>
              </w:rPr>
            </w:pPr>
          </w:p>
        </w:tc>
      </w:tr>
      <w:tr>
        <w:trPr>
          <w:trHeight w:val="431"/>
        </w:trPr>
        <w:tc>
          <w:tcPr>
            <w:tcW w:w="3560" w:type="dxa"/>
            <w:vAlign w:val="bottom"/>
          </w:tcPr>
          <w:p>
            <w:pPr>
              <w:spacing w:after="0"/>
              <w:rPr>
                <w:sz w:val="20"/>
                <w:szCs w:val="20"/>
                <w:color w:val="auto"/>
              </w:rPr>
            </w:pPr>
            <w:r>
              <w:rPr>
                <w:rFonts w:ascii="Arial" w:cs="Arial" w:eastAsia="Arial" w:hAnsi="Arial"/>
                <w:sz w:val="18"/>
                <w:szCs w:val="18"/>
                <w:color w:val="auto"/>
              </w:rPr>
              <w:t>Use of proceeds</w:t>
            </w:r>
          </w:p>
        </w:tc>
        <w:tc>
          <w:tcPr>
            <w:tcW w:w="5900" w:type="dxa"/>
            <w:vAlign w:val="bottom"/>
            <w:gridSpan w:val="5"/>
          </w:tcPr>
          <w:p>
            <w:pPr>
              <w:ind w:left="1000"/>
              <w:spacing w:after="0"/>
              <w:rPr>
                <w:sz w:val="20"/>
                <w:szCs w:val="20"/>
                <w:color w:val="auto"/>
              </w:rPr>
            </w:pPr>
            <w:r>
              <w:rPr>
                <w:rFonts w:ascii="Arial" w:cs="Arial" w:eastAsia="Arial" w:hAnsi="Arial"/>
                <w:sz w:val="18"/>
                <w:szCs w:val="18"/>
                <w:color w:val="auto"/>
              </w:rPr>
              <w:t>We estimate that the net proceeds from this offering will be</w:t>
            </w:r>
          </w:p>
        </w:tc>
      </w:tr>
      <w:tr>
        <w:trPr>
          <w:trHeight w:val="203"/>
        </w:trPr>
        <w:tc>
          <w:tcPr>
            <w:tcW w:w="3560" w:type="dxa"/>
            <w:vAlign w:val="bottom"/>
          </w:tcPr>
          <w:p>
            <w:pPr>
              <w:spacing w:after="0"/>
              <w:rPr>
                <w:sz w:val="17"/>
                <w:szCs w:val="17"/>
                <w:color w:val="auto"/>
              </w:rPr>
            </w:pPr>
          </w:p>
        </w:tc>
        <w:tc>
          <w:tcPr>
            <w:tcW w:w="25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approximately $</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million, or $</w:t>
            </w:r>
          </w:p>
        </w:tc>
        <w:tc>
          <w:tcPr>
            <w:tcW w:w="20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million if the</w:t>
            </w:r>
          </w:p>
        </w:tc>
      </w:tr>
      <w:tr>
        <w:trPr>
          <w:trHeight w:val="203"/>
        </w:trPr>
        <w:tc>
          <w:tcPr>
            <w:tcW w:w="3560" w:type="dxa"/>
            <w:vAlign w:val="bottom"/>
          </w:tcPr>
          <w:p>
            <w:pPr>
              <w:spacing w:after="0"/>
              <w:rPr>
                <w:sz w:val="17"/>
                <w:szCs w:val="17"/>
                <w:color w:val="auto"/>
              </w:rPr>
            </w:pPr>
          </w:p>
        </w:tc>
        <w:tc>
          <w:tcPr>
            <w:tcW w:w="5160" w:type="dxa"/>
            <w:vAlign w:val="bottom"/>
            <w:gridSpan w:val="4"/>
          </w:tcPr>
          <w:p>
            <w:pPr>
              <w:ind w:left="1000"/>
              <w:spacing w:after="0" w:line="202" w:lineRule="exact"/>
              <w:rPr>
                <w:sz w:val="20"/>
                <w:szCs w:val="20"/>
                <w:color w:val="auto"/>
              </w:rPr>
            </w:pPr>
            <w:r>
              <w:rPr>
                <w:rFonts w:ascii="Arial" w:cs="Arial" w:eastAsia="Arial" w:hAnsi="Arial"/>
                <w:sz w:val="18"/>
                <w:szCs w:val="18"/>
                <w:color w:val="auto"/>
              </w:rPr>
              <w:t>underwriters exercise in full their option to purchase</w:t>
            </w:r>
          </w:p>
        </w:tc>
        <w:tc>
          <w:tcPr>
            <w:tcW w:w="7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additional shares of common stock, assuming an initial public</w:t>
            </w:r>
          </w:p>
        </w:tc>
      </w:tr>
      <w:tr>
        <w:trPr>
          <w:trHeight w:val="203"/>
        </w:trPr>
        <w:tc>
          <w:tcPr>
            <w:tcW w:w="3560" w:type="dxa"/>
            <w:vAlign w:val="bottom"/>
          </w:tcPr>
          <w:p>
            <w:pPr>
              <w:spacing w:after="0"/>
              <w:rPr>
                <w:sz w:val="17"/>
                <w:szCs w:val="17"/>
                <w:color w:val="auto"/>
              </w:rPr>
            </w:pPr>
          </w:p>
        </w:tc>
        <w:tc>
          <w:tcPr>
            <w:tcW w:w="25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offering price of $</w:t>
            </w:r>
          </w:p>
        </w:tc>
        <w:tc>
          <w:tcPr>
            <w:tcW w:w="33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per share, which is the midpoint of</w:t>
            </w:r>
          </w:p>
        </w:tc>
      </w:tr>
      <w:tr>
        <w:trPr>
          <w:trHeight w:val="203"/>
        </w:trPr>
        <w:tc>
          <w:tcPr>
            <w:tcW w:w="3560" w:type="dxa"/>
            <w:vAlign w:val="bottom"/>
          </w:tcPr>
          <w:p>
            <w:pPr>
              <w:spacing w:after="0"/>
              <w:rPr>
                <w:sz w:val="17"/>
                <w:szCs w:val="17"/>
                <w:color w:val="auto"/>
              </w:rPr>
            </w:pPr>
          </w:p>
        </w:tc>
        <w:tc>
          <w:tcPr>
            <w:tcW w:w="5160" w:type="dxa"/>
            <w:vAlign w:val="bottom"/>
            <w:gridSpan w:val="4"/>
          </w:tcPr>
          <w:p>
            <w:pPr>
              <w:ind w:left="1000"/>
              <w:spacing w:after="0" w:line="202" w:lineRule="exact"/>
              <w:rPr>
                <w:sz w:val="20"/>
                <w:szCs w:val="20"/>
                <w:color w:val="auto"/>
              </w:rPr>
            </w:pPr>
            <w:r>
              <w:rPr>
                <w:rFonts w:ascii="Arial" w:cs="Arial" w:eastAsia="Arial" w:hAnsi="Arial"/>
                <w:sz w:val="18"/>
                <w:szCs w:val="18"/>
                <w:color w:val="auto"/>
              </w:rPr>
              <w:t>the price range set forth on the cover page of this</w:t>
            </w:r>
          </w:p>
        </w:tc>
        <w:tc>
          <w:tcPr>
            <w:tcW w:w="7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prospectus, and after deducting underwriting discounts and</w:t>
            </w:r>
          </w:p>
        </w:tc>
      </w:tr>
      <w:tr>
        <w:trPr>
          <w:trHeight w:val="217"/>
        </w:trPr>
        <w:tc>
          <w:tcPr>
            <w:tcW w:w="3560" w:type="dxa"/>
            <w:vAlign w:val="bottom"/>
          </w:tcPr>
          <w:p>
            <w:pPr>
              <w:spacing w:after="0"/>
              <w:rPr>
                <w:sz w:val="18"/>
                <w:szCs w:val="18"/>
                <w:color w:val="auto"/>
              </w:rPr>
            </w:pPr>
          </w:p>
        </w:tc>
        <w:tc>
          <w:tcPr>
            <w:tcW w:w="5900" w:type="dxa"/>
            <w:vAlign w:val="bottom"/>
            <w:gridSpan w:val="5"/>
          </w:tcPr>
          <w:p>
            <w:pPr>
              <w:ind w:left="1000"/>
              <w:spacing w:after="0"/>
              <w:rPr>
                <w:sz w:val="20"/>
                <w:szCs w:val="20"/>
                <w:color w:val="auto"/>
              </w:rPr>
            </w:pPr>
            <w:r>
              <w:rPr>
                <w:rFonts w:ascii="Arial" w:cs="Arial" w:eastAsia="Arial" w:hAnsi="Arial"/>
                <w:sz w:val="18"/>
                <w:szCs w:val="18"/>
                <w:color w:val="auto"/>
                <w:w w:val="99"/>
              </w:rPr>
              <w:t>commissions and estimated offering expenses payable by us.</w:t>
            </w:r>
          </w:p>
        </w:tc>
      </w:tr>
      <w:tr>
        <w:trPr>
          <w:trHeight w:val="377"/>
        </w:trPr>
        <w:tc>
          <w:tcPr>
            <w:tcW w:w="3560" w:type="dxa"/>
            <w:vAlign w:val="bottom"/>
          </w:tcPr>
          <w:p>
            <w:pPr>
              <w:spacing w:after="0"/>
              <w:rPr>
                <w:sz w:val="24"/>
                <w:szCs w:val="24"/>
                <w:color w:val="auto"/>
              </w:rPr>
            </w:pPr>
          </w:p>
        </w:tc>
        <w:tc>
          <w:tcPr>
            <w:tcW w:w="5900" w:type="dxa"/>
            <w:vAlign w:val="bottom"/>
            <w:gridSpan w:val="5"/>
          </w:tcPr>
          <w:p>
            <w:pPr>
              <w:ind w:left="1000"/>
              <w:spacing w:after="0"/>
              <w:rPr>
                <w:sz w:val="20"/>
                <w:szCs w:val="20"/>
                <w:color w:val="auto"/>
              </w:rPr>
            </w:pPr>
            <w:r>
              <w:rPr>
                <w:rFonts w:ascii="Arial" w:cs="Arial" w:eastAsia="Arial" w:hAnsi="Arial"/>
                <w:sz w:val="18"/>
                <w:szCs w:val="18"/>
                <w:color w:val="auto"/>
              </w:rPr>
              <w:t>We currently intend to use the net proceeds from this offering</w:t>
            </w:r>
          </w:p>
        </w:tc>
      </w:tr>
      <w:tr>
        <w:trPr>
          <w:trHeight w:val="203"/>
        </w:trPr>
        <w:tc>
          <w:tcPr>
            <w:tcW w:w="3560" w:type="dxa"/>
            <w:vAlign w:val="bottom"/>
          </w:tcPr>
          <w:p>
            <w:pPr>
              <w:spacing w:after="0"/>
              <w:rPr>
                <w:sz w:val="17"/>
                <w:szCs w:val="17"/>
                <w:color w:val="auto"/>
              </w:rPr>
            </w:pPr>
          </w:p>
        </w:tc>
        <w:tc>
          <w:tcPr>
            <w:tcW w:w="5160" w:type="dxa"/>
            <w:vAlign w:val="bottom"/>
            <w:gridSpan w:val="4"/>
          </w:tcPr>
          <w:p>
            <w:pPr>
              <w:ind w:left="1000"/>
              <w:spacing w:after="0" w:line="202" w:lineRule="exact"/>
              <w:rPr>
                <w:sz w:val="20"/>
                <w:szCs w:val="20"/>
                <w:color w:val="auto"/>
              </w:rPr>
            </w:pPr>
            <w:r>
              <w:rPr>
                <w:rFonts w:ascii="Arial" w:cs="Arial" w:eastAsia="Arial" w:hAnsi="Arial"/>
                <w:sz w:val="18"/>
                <w:szCs w:val="18"/>
                <w:color w:val="auto"/>
              </w:rPr>
              <w:t>for the following purposes: (1) approximately $</w:t>
            </w:r>
          </w:p>
        </w:tc>
        <w:tc>
          <w:tcPr>
            <w:tcW w:w="740" w:type="dxa"/>
            <w:vAlign w:val="bottom"/>
          </w:tcPr>
          <w:p>
            <w:pPr>
              <w:ind w:left="40"/>
              <w:spacing w:after="0" w:line="202" w:lineRule="exact"/>
              <w:rPr>
                <w:sz w:val="20"/>
                <w:szCs w:val="20"/>
                <w:color w:val="auto"/>
              </w:rPr>
            </w:pPr>
            <w:r>
              <w:rPr>
                <w:rFonts w:ascii="Arial" w:cs="Arial" w:eastAsia="Arial" w:hAnsi="Arial"/>
                <w:sz w:val="18"/>
                <w:szCs w:val="18"/>
                <w:color w:val="auto"/>
                <w:w w:val="95"/>
              </w:rPr>
              <w:t>million to</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w w:val="99"/>
              </w:rPr>
              <w:t>fund our planned LIFT-AD potentially pivotal trial of ATH-1017</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and our planned P300 Phase 2 trial of ATH-1017, each for</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the treatment of mild-to-moderate Alzheimer’s disease; (2)</w:t>
            </w:r>
          </w:p>
        </w:tc>
      </w:tr>
      <w:tr>
        <w:trPr>
          <w:trHeight w:val="203"/>
        </w:trPr>
        <w:tc>
          <w:tcPr>
            <w:tcW w:w="3560" w:type="dxa"/>
            <w:vAlign w:val="bottom"/>
          </w:tcPr>
          <w:p>
            <w:pPr>
              <w:spacing w:after="0"/>
              <w:rPr>
                <w:sz w:val="17"/>
                <w:szCs w:val="17"/>
                <w:color w:val="auto"/>
              </w:rPr>
            </w:pPr>
          </w:p>
        </w:tc>
        <w:tc>
          <w:tcPr>
            <w:tcW w:w="25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approximately $</w:t>
            </w:r>
          </w:p>
        </w:tc>
        <w:tc>
          <w:tcPr>
            <w:tcW w:w="33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million to fund our planned Phase 2</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trial of ATH-1017 for the treatment of Parkinson’s disease</w:t>
            </w:r>
          </w:p>
        </w:tc>
      </w:tr>
      <w:tr>
        <w:trPr>
          <w:trHeight w:val="203"/>
        </w:trPr>
        <w:tc>
          <w:tcPr>
            <w:tcW w:w="3560" w:type="dxa"/>
            <w:vAlign w:val="bottom"/>
          </w:tcPr>
          <w:p>
            <w:pPr>
              <w:spacing w:after="0"/>
              <w:rPr>
                <w:sz w:val="17"/>
                <w:szCs w:val="17"/>
                <w:color w:val="auto"/>
              </w:rPr>
            </w:pPr>
          </w:p>
        </w:tc>
        <w:tc>
          <w:tcPr>
            <w:tcW w:w="3820" w:type="dxa"/>
            <w:vAlign w:val="bottom"/>
            <w:gridSpan w:val="3"/>
          </w:tcPr>
          <w:p>
            <w:pPr>
              <w:ind w:left="1000"/>
              <w:spacing w:after="0" w:line="202" w:lineRule="exact"/>
              <w:rPr>
                <w:sz w:val="20"/>
                <w:szCs w:val="20"/>
                <w:color w:val="auto"/>
              </w:rPr>
            </w:pPr>
            <w:r>
              <w:rPr>
                <w:rFonts w:ascii="Arial" w:cs="Arial" w:eastAsia="Arial" w:hAnsi="Arial"/>
                <w:sz w:val="18"/>
                <w:szCs w:val="18"/>
                <w:color w:val="auto"/>
              </w:rPr>
              <w:t>dementia; (3) approximately $</w:t>
            </w:r>
          </w:p>
        </w:tc>
        <w:tc>
          <w:tcPr>
            <w:tcW w:w="2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million to fund our IND-</w:t>
            </w:r>
          </w:p>
        </w:tc>
      </w:tr>
      <w:tr>
        <w:trPr>
          <w:trHeight w:val="203"/>
        </w:trPr>
        <w:tc>
          <w:tcPr>
            <w:tcW w:w="3560" w:type="dxa"/>
            <w:vAlign w:val="bottom"/>
          </w:tcPr>
          <w:p>
            <w:pPr>
              <w:spacing w:after="0"/>
              <w:rPr>
                <w:sz w:val="17"/>
                <w:szCs w:val="17"/>
                <w:color w:val="auto"/>
              </w:rPr>
            </w:pPr>
          </w:p>
        </w:tc>
        <w:tc>
          <w:tcPr>
            <w:tcW w:w="5160" w:type="dxa"/>
            <w:vAlign w:val="bottom"/>
            <w:gridSpan w:val="4"/>
          </w:tcPr>
          <w:p>
            <w:pPr>
              <w:ind w:left="1000"/>
              <w:spacing w:after="0" w:line="202" w:lineRule="exact"/>
              <w:rPr>
                <w:sz w:val="20"/>
                <w:szCs w:val="20"/>
                <w:color w:val="auto"/>
              </w:rPr>
            </w:pPr>
            <w:r>
              <w:rPr>
                <w:rFonts w:ascii="Arial" w:cs="Arial" w:eastAsia="Arial" w:hAnsi="Arial"/>
                <w:sz w:val="18"/>
                <w:szCs w:val="18"/>
                <w:color w:val="auto"/>
              </w:rPr>
              <w:t>enabling studies of ATH-1019 for the treatment of</w:t>
            </w:r>
          </w:p>
        </w:tc>
        <w:tc>
          <w:tcPr>
            <w:tcW w:w="7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neuropsychiatric indications and ATH-1018 for the treatment</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of neuropathy; and (4) the remainder for our other research</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and development activities, as well as for working capital and</w:t>
            </w:r>
          </w:p>
        </w:tc>
      </w:tr>
      <w:tr>
        <w:trPr>
          <w:trHeight w:val="217"/>
        </w:trPr>
        <w:tc>
          <w:tcPr>
            <w:tcW w:w="3560" w:type="dxa"/>
            <w:vAlign w:val="bottom"/>
          </w:tcPr>
          <w:p>
            <w:pPr>
              <w:spacing w:after="0"/>
              <w:rPr>
                <w:sz w:val="18"/>
                <w:szCs w:val="18"/>
                <w:color w:val="auto"/>
              </w:rPr>
            </w:pPr>
          </w:p>
        </w:tc>
        <w:tc>
          <w:tcPr>
            <w:tcW w:w="3820" w:type="dxa"/>
            <w:vAlign w:val="bottom"/>
            <w:gridSpan w:val="3"/>
          </w:tcPr>
          <w:p>
            <w:pPr>
              <w:ind w:left="1000"/>
              <w:spacing w:after="0"/>
              <w:rPr>
                <w:sz w:val="20"/>
                <w:szCs w:val="20"/>
                <w:color w:val="auto"/>
              </w:rPr>
            </w:pPr>
            <w:r>
              <w:rPr>
                <w:rFonts w:ascii="Arial" w:cs="Arial" w:eastAsia="Arial" w:hAnsi="Arial"/>
                <w:sz w:val="18"/>
                <w:szCs w:val="18"/>
                <w:color w:val="auto"/>
              </w:rPr>
              <w:t>other general corporate purposes.</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156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615696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color w:val="auto"/>
        </w:rPr>
        <w:t>For a more complete description of our intended use of the proceeds from this offering, see the section of this prospectus titled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48" w:right="1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20"/>
                <w:szCs w:val="20"/>
                <w:color w:val="auto"/>
              </w:rPr>
            </w:pPr>
            <w:r>
              <w:rPr>
                <w:rFonts w:ascii="Arial" w:cs="Arial" w:eastAsia="Arial" w:hAnsi="Arial"/>
                <w:sz w:val="18"/>
                <w:szCs w:val="18"/>
                <w:color w:val="auto"/>
              </w:rPr>
              <w:t>Directed share program</w:t>
            </w:r>
          </w:p>
        </w:tc>
        <w:tc>
          <w:tcPr>
            <w:tcW w:w="4380" w:type="dxa"/>
            <w:vAlign w:val="bottom"/>
          </w:tcPr>
          <w:p>
            <w:pPr>
              <w:ind w:left="360"/>
              <w:spacing w:after="0"/>
              <w:rPr>
                <w:sz w:val="20"/>
                <w:szCs w:val="20"/>
                <w:color w:val="auto"/>
              </w:rPr>
            </w:pPr>
            <w:r>
              <w:rPr>
                <w:rFonts w:ascii="Arial" w:cs="Arial" w:eastAsia="Arial" w:hAnsi="Arial"/>
                <w:sz w:val="18"/>
                <w:szCs w:val="18"/>
                <w:color w:val="auto"/>
              </w:rPr>
              <w:t>At our request, the underwriters have reserved</w:t>
            </w:r>
          </w:p>
        </w:tc>
        <w:tc>
          <w:tcPr>
            <w:tcW w:w="880" w:type="dxa"/>
            <w:vAlign w:val="bottom"/>
          </w:tcPr>
          <w:p>
            <w:pPr>
              <w:ind w:left="200"/>
              <w:spacing w:after="0"/>
              <w:rPr>
                <w:sz w:val="20"/>
                <w:szCs w:val="20"/>
                <w:color w:val="auto"/>
              </w:rPr>
            </w:pPr>
            <w:r>
              <w:rPr>
                <w:rFonts w:ascii="Arial" w:cs="Arial" w:eastAsia="Arial" w:hAnsi="Arial"/>
                <w:sz w:val="18"/>
                <w:szCs w:val="18"/>
                <w:color w:val="auto"/>
                <w:w w:val="99"/>
              </w:rPr>
              <w:t>% of the</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shares of common stock to be offered by this prospectus for</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sale, at the initial public offering price, to directors, officers,</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employees, business associates and other persons related to</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us. If purchased by these persons, these shares will not be</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subject to a lock-up restriction, except in the case of shares</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purchased by any director, executive officer or employee.</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number of shares of common stock available for sale to</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general  public  will  be  reduced  to  the  extent  these</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individuals purchase such reserved shares. Any reserved</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shares that are not so purchased will be offered by the</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underwriters to the general public on the same basis as the</w:t>
            </w:r>
          </w:p>
        </w:tc>
      </w:tr>
      <w:tr>
        <w:trPr>
          <w:trHeight w:val="217"/>
        </w:trPr>
        <w:tc>
          <w:tcPr>
            <w:tcW w:w="420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other shares offered by this prospectus.</w:t>
            </w:r>
          </w:p>
        </w:tc>
        <w:tc>
          <w:tcPr>
            <w:tcW w:w="880" w:type="dxa"/>
            <w:vAlign w:val="bottom"/>
          </w:tcPr>
          <w:p>
            <w:pPr>
              <w:spacing w:after="0"/>
              <w:rPr>
                <w:sz w:val="18"/>
                <w:szCs w:val="18"/>
                <w:color w:val="auto"/>
              </w:rPr>
            </w:pPr>
          </w:p>
        </w:tc>
      </w:tr>
      <w:tr>
        <w:trPr>
          <w:trHeight w:val="431"/>
        </w:trPr>
        <w:tc>
          <w:tcPr>
            <w:tcW w:w="4200" w:type="dxa"/>
            <w:vAlign w:val="bottom"/>
          </w:tcPr>
          <w:p>
            <w:pPr>
              <w:spacing w:after="0"/>
              <w:rPr>
                <w:sz w:val="20"/>
                <w:szCs w:val="20"/>
                <w:color w:val="auto"/>
              </w:rPr>
            </w:pPr>
            <w:r>
              <w:rPr>
                <w:rFonts w:ascii="Arial" w:cs="Arial" w:eastAsia="Arial" w:hAnsi="Arial"/>
                <w:sz w:val="18"/>
                <w:szCs w:val="18"/>
                <w:color w:val="auto"/>
              </w:rPr>
              <w:t>Risk factors</w:t>
            </w: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See the section of this prospectus titled “Risk Factors”</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beginning on page 17 and other information included in this</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prospectus for a discussion of factors you should carefully</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consider before deciding to invest in shares of our common</w:t>
            </w:r>
          </w:p>
        </w:tc>
      </w:tr>
      <w:tr>
        <w:trPr>
          <w:trHeight w:val="217"/>
        </w:trPr>
        <w:tc>
          <w:tcPr>
            <w:tcW w:w="420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stock.</w:t>
            </w:r>
          </w:p>
        </w:tc>
        <w:tc>
          <w:tcPr>
            <w:tcW w:w="880" w:type="dxa"/>
            <w:vAlign w:val="bottom"/>
          </w:tcPr>
          <w:p>
            <w:pPr>
              <w:spacing w:after="0"/>
              <w:rPr>
                <w:sz w:val="18"/>
                <w:szCs w:val="18"/>
                <w:color w:val="auto"/>
              </w:rPr>
            </w:pPr>
          </w:p>
        </w:tc>
      </w:tr>
      <w:tr>
        <w:trPr>
          <w:trHeight w:val="445"/>
        </w:trPr>
        <w:tc>
          <w:tcPr>
            <w:tcW w:w="4200" w:type="dxa"/>
            <w:vAlign w:val="bottom"/>
          </w:tcPr>
          <w:p>
            <w:pPr>
              <w:spacing w:after="0"/>
              <w:rPr>
                <w:sz w:val="20"/>
                <w:szCs w:val="20"/>
                <w:color w:val="auto"/>
              </w:rPr>
            </w:pPr>
            <w:r>
              <w:rPr>
                <w:rFonts w:ascii="Arial" w:cs="Arial" w:eastAsia="Arial" w:hAnsi="Arial"/>
                <w:sz w:val="18"/>
                <w:szCs w:val="18"/>
                <w:color w:val="auto"/>
              </w:rPr>
              <w:t>Proposed Nasdaq Global Market trading symbol</w:t>
            </w:r>
          </w:p>
        </w:tc>
        <w:tc>
          <w:tcPr>
            <w:tcW w:w="4380" w:type="dxa"/>
            <w:vAlign w:val="bottom"/>
          </w:tcPr>
          <w:p>
            <w:pPr>
              <w:ind w:left="360"/>
              <w:spacing w:after="0"/>
              <w:rPr>
                <w:sz w:val="20"/>
                <w:szCs w:val="20"/>
                <w:color w:val="auto"/>
              </w:rPr>
            </w:pPr>
            <w:r>
              <w:rPr>
                <w:rFonts w:ascii="Arial" w:cs="Arial" w:eastAsia="Arial" w:hAnsi="Arial"/>
                <w:sz w:val="18"/>
                <w:szCs w:val="18"/>
                <w:color w:val="auto"/>
              </w:rPr>
              <w:t>“ATHA”</w:t>
            </w:r>
          </w:p>
        </w:tc>
        <w:tc>
          <w:tcPr>
            <w:tcW w:w="880" w:type="dxa"/>
            <w:vAlign w:val="bottom"/>
          </w:tcPr>
          <w:p>
            <w:pPr>
              <w:spacing w:after="0"/>
              <w:rPr>
                <w:sz w:val="24"/>
                <w:szCs w:val="24"/>
                <w:color w:val="auto"/>
              </w:rPr>
            </w:pP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648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7648575"/>
                    </a:xfrm>
                    <a:prstGeom prst="rect">
                      <a:avLst/>
                    </a:prstGeom>
                    <a:noFill/>
                  </pic:spPr>
                </pic:pic>
              </a:graphicData>
            </a:graphic>
          </wp:anchor>
        </w:drawing>
      </w:r>
    </w:p>
    <w:p>
      <w:pPr>
        <w:ind w:right="80" w:firstLine="486"/>
        <w:spacing w:after="0"/>
        <w:rPr>
          <w:sz w:val="20"/>
          <w:szCs w:val="20"/>
          <w:color w:val="auto"/>
        </w:rPr>
      </w:pPr>
      <w:r>
        <w:rPr>
          <w:rFonts w:ascii="Arial" w:cs="Arial" w:eastAsia="Arial" w:hAnsi="Arial"/>
          <w:sz w:val="18"/>
          <w:szCs w:val="18"/>
          <w:color w:val="auto"/>
        </w:rPr>
        <w:t>The number of shares of our common stock outstanding after this offering is based on shares of common stock outstanding as of June 30, 2020 (including our convertible preferred stock on an as-converted basis), and excludes:</w:t>
      </w:r>
    </w:p>
    <w:p>
      <w:pPr>
        <w:spacing w:after="0" w:line="297" w:lineRule="exact"/>
        <w:rPr>
          <w:sz w:val="20"/>
          <w:szCs w:val="20"/>
          <w:color w:val="auto"/>
        </w:rPr>
      </w:pPr>
    </w:p>
    <w:p>
      <w:pPr>
        <w:ind w:left="1560" w:hanging="843"/>
        <w:spacing w:after="0"/>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outstanding options as of June 30, 2020</w:t>
      </w:r>
    </w:p>
    <w:p>
      <w:pPr>
        <w:ind w:left="1060"/>
        <w:spacing w:after="0"/>
        <w:tabs>
          <w:tab w:leader="none" w:pos="4860" w:val="left"/>
        </w:tabs>
        <w:rPr>
          <w:sz w:val="20"/>
          <w:szCs w:val="20"/>
          <w:color w:val="auto"/>
        </w:rPr>
      </w:pPr>
      <w:r>
        <w:rPr>
          <w:rFonts w:ascii="Arial" w:cs="Arial" w:eastAsia="Arial" w:hAnsi="Arial"/>
          <w:sz w:val="18"/>
          <w:szCs w:val="18"/>
          <w:color w:val="auto"/>
        </w:rPr>
        <w:t>with a weighted-average exercise price of $</w:t>
      </w:r>
      <w:r>
        <w:rPr>
          <w:sz w:val="20"/>
          <w:szCs w:val="20"/>
          <w:color w:val="auto"/>
        </w:rPr>
        <w:tab/>
      </w:r>
      <w:r>
        <w:rPr>
          <w:rFonts w:ascii="Arial" w:cs="Arial" w:eastAsia="Arial" w:hAnsi="Arial"/>
          <w:sz w:val="17"/>
          <w:szCs w:val="17"/>
          <w:color w:val="auto"/>
        </w:rPr>
        <w:t>per share;</w:t>
      </w:r>
    </w:p>
    <w:p>
      <w:pPr>
        <w:spacing w:after="0" w:line="212" w:lineRule="exact"/>
        <w:rPr>
          <w:sz w:val="20"/>
          <w:szCs w:val="20"/>
          <w:color w:val="auto"/>
        </w:rPr>
      </w:pPr>
    </w:p>
    <w:p>
      <w:pPr>
        <w:ind w:left="1060" w:right="220" w:hanging="343"/>
        <w:spacing w:after="0" w:line="246" w:lineRule="auto"/>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2014 Equity Incentive Plan as of June 30, 2020;</w:t>
      </w:r>
    </w:p>
    <w:p>
      <w:pPr>
        <w:spacing w:after="0" w:line="196" w:lineRule="exact"/>
        <w:rPr>
          <w:rFonts w:ascii="Arial" w:cs="Arial" w:eastAsia="Arial" w:hAnsi="Arial"/>
          <w:sz w:val="18"/>
          <w:szCs w:val="18"/>
          <w:color w:val="auto"/>
        </w:rPr>
      </w:pPr>
    </w:p>
    <w:p>
      <w:pPr>
        <w:ind w:left="1060" w:right="20" w:hanging="343"/>
        <w:spacing w:after="0"/>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Equity Incentive Plan, which will become effective on the business day immediately prior to the date of effectiveness of the registration statement of which this prospectus forms a part; and</w:t>
      </w:r>
    </w:p>
    <w:p>
      <w:pPr>
        <w:spacing w:after="0" w:line="202" w:lineRule="exact"/>
        <w:rPr>
          <w:rFonts w:ascii="Arial" w:cs="Arial" w:eastAsia="Arial" w:hAnsi="Arial"/>
          <w:sz w:val="18"/>
          <w:szCs w:val="18"/>
          <w:color w:val="auto"/>
        </w:rPr>
      </w:pPr>
    </w:p>
    <w:p>
      <w:pPr>
        <w:ind w:left="1060" w:hanging="343"/>
        <w:spacing w:after="0"/>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Employee Stock Purchase Plan, which will become effective on the business day immediately prior to the date of effectiveness of the registration statement of which this prospectus forms a part.</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Except as otherwise indicated, all information in this prospectus assumes or gives effect to the following:</w:t>
      </w:r>
    </w:p>
    <w:p>
      <w:pPr>
        <w:spacing w:after="0" w:line="207" w:lineRule="exact"/>
        <w:rPr>
          <w:sz w:val="20"/>
          <w:szCs w:val="20"/>
          <w:color w:val="auto"/>
        </w:rPr>
      </w:pPr>
    </w:p>
    <w:p>
      <w:pPr>
        <w:ind w:left="1060" w:hanging="34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automatic conversion of our outstanding shares of convertible preferred stock as of June 30, 2020</w:t>
      </w:r>
    </w:p>
    <w:p>
      <w:pPr>
        <w:ind w:left="1060"/>
        <w:spacing w:after="0"/>
        <w:tabs>
          <w:tab w:leader="none" w:pos="3300" w:val="left"/>
        </w:tabs>
        <w:rPr>
          <w:sz w:val="20"/>
          <w:szCs w:val="20"/>
          <w:color w:val="auto"/>
        </w:rPr>
      </w:pPr>
      <w:r>
        <w:rPr>
          <w:rFonts w:ascii="Arial" w:cs="Arial" w:eastAsia="Arial" w:hAnsi="Arial"/>
          <w:sz w:val="18"/>
          <w:szCs w:val="18"/>
          <w:color w:val="auto"/>
        </w:rPr>
        <w:t>into an aggregate of</w:t>
      </w:r>
      <w:r>
        <w:rPr>
          <w:sz w:val="20"/>
          <w:szCs w:val="20"/>
          <w:color w:val="auto"/>
        </w:rPr>
        <w:tab/>
      </w:r>
      <w:r>
        <w:rPr>
          <w:rFonts w:ascii="Arial" w:cs="Arial" w:eastAsia="Arial" w:hAnsi="Arial"/>
          <w:sz w:val="17"/>
          <w:szCs w:val="17"/>
          <w:color w:val="auto"/>
        </w:rPr>
        <w:t>shares of common stock immediately prior to the closing of this offering;</w:t>
      </w:r>
    </w:p>
    <w:p>
      <w:pPr>
        <w:spacing w:after="0" w:line="212" w:lineRule="exact"/>
        <w:rPr>
          <w:sz w:val="20"/>
          <w:szCs w:val="20"/>
          <w:color w:val="auto"/>
        </w:rPr>
      </w:pPr>
    </w:p>
    <w:p>
      <w:pPr>
        <w:ind w:left="1060" w:hanging="34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outstanding options described above;</w:t>
      </w:r>
    </w:p>
    <w:p>
      <w:pPr>
        <w:spacing w:after="0" w:line="212" w:lineRule="exact"/>
        <w:rPr>
          <w:sz w:val="20"/>
          <w:szCs w:val="20"/>
          <w:color w:val="auto"/>
        </w:rPr>
      </w:pPr>
    </w:p>
    <w:p>
      <w:pPr>
        <w:ind w:left="1060" w:right="160" w:hanging="339"/>
        <w:spacing w:after="0"/>
        <w:tabs>
          <w:tab w:leader="none" w:pos="1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issuance of shares of common stock upon the automatic exercise of an outstanding warrant to purchase shares of our Series B convertible preferred stock immediately prior to the closing of this offering that would otherwise expire at an exercise price of $1.15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66" w:right="1219" w:bottom="1440" w:gutter="0" w:footer="0" w:header="0"/>
        </w:sectPr>
      </w:pPr>
    </w:p>
    <w:bookmarkStart w:id="16" w:name="page17"/>
    <w:bookmarkEnd w:id="16"/>
    <w:tbl>
      <w:tblPr>
        <w:tblLayout w:type="fixed"/>
        <w:tblInd w:w="50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rPr>
              <w:t>the issuance of</w:t>
            </w:r>
          </w:p>
        </w:tc>
        <w:tc>
          <w:tcPr>
            <w:tcW w:w="6800" w:type="dxa"/>
            <w:vAlign w:val="bottom"/>
          </w:tcPr>
          <w:p>
            <w:pPr>
              <w:ind w:left="380"/>
              <w:spacing w:after="0"/>
              <w:rPr>
                <w:sz w:val="20"/>
                <w:szCs w:val="20"/>
                <w:color w:val="auto"/>
              </w:rPr>
            </w:pPr>
            <w:r>
              <w:rPr>
                <w:rFonts w:ascii="Arial" w:cs="Arial" w:eastAsia="Arial" w:hAnsi="Arial"/>
                <w:sz w:val="18"/>
                <w:szCs w:val="18"/>
                <w:color w:val="auto"/>
              </w:rPr>
              <w:t>shares of common stock immediately prior to the closing of this offering issuable</w:t>
            </w:r>
          </w:p>
        </w:tc>
      </w:tr>
      <w:tr>
        <w:trPr>
          <w:trHeight w:val="203"/>
        </w:trPr>
        <w:tc>
          <w:tcPr>
            <w:tcW w:w="200" w:type="dxa"/>
            <w:vAlign w:val="bottom"/>
          </w:tcPr>
          <w:p>
            <w:pPr>
              <w:spacing w:after="0"/>
              <w:rPr>
                <w:sz w:val="17"/>
                <w:szCs w:val="17"/>
                <w:color w:val="auto"/>
              </w:rPr>
            </w:pPr>
          </w:p>
        </w:tc>
        <w:tc>
          <w:tcPr>
            <w:tcW w:w="848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9"/>
              </w:rPr>
              <w:t>upon the exercise of an outstanding warrant to purchase our common stock at an exercise price of $1.00</w:t>
            </w:r>
          </w:p>
        </w:tc>
      </w:tr>
      <w:tr>
        <w:trPr>
          <w:trHeight w:val="217"/>
        </w:trPr>
        <w:tc>
          <w:tcPr>
            <w:tcW w:w="200" w:type="dxa"/>
            <w:vAlign w:val="bottom"/>
          </w:tcPr>
          <w:p>
            <w:pPr>
              <w:spacing w:after="0"/>
              <w:rPr>
                <w:sz w:val="18"/>
                <w:szCs w:val="18"/>
                <w:color w:val="auto"/>
              </w:rPr>
            </w:pPr>
          </w:p>
        </w:tc>
        <w:tc>
          <w:tcPr>
            <w:tcW w:w="168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6800" w:type="dxa"/>
            <w:vAlign w:val="bottom"/>
          </w:tcPr>
          <w:p>
            <w:pPr>
              <w:spacing w:after="0"/>
              <w:rPr>
                <w:sz w:val="18"/>
                <w:szCs w:val="18"/>
                <w:color w:val="auto"/>
              </w:rPr>
            </w:pPr>
          </w:p>
        </w:tc>
      </w:tr>
      <w:tr>
        <w:trPr>
          <w:trHeight w:val="40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rPr>
              <w:t>the issuance of</w:t>
            </w:r>
          </w:p>
        </w:tc>
        <w:tc>
          <w:tcPr>
            <w:tcW w:w="6800" w:type="dxa"/>
            <w:vAlign w:val="bottom"/>
          </w:tcPr>
          <w:p>
            <w:pPr>
              <w:ind w:left="320"/>
              <w:spacing w:after="0"/>
              <w:rPr>
                <w:sz w:val="20"/>
                <w:szCs w:val="20"/>
                <w:color w:val="auto"/>
              </w:rPr>
            </w:pPr>
            <w:r>
              <w:rPr>
                <w:rFonts w:ascii="Arial" w:cs="Arial" w:eastAsia="Arial" w:hAnsi="Arial"/>
                <w:sz w:val="18"/>
                <w:szCs w:val="18"/>
                <w:color w:val="auto"/>
              </w:rPr>
              <w:t>shares of common stock upon the automatic exercise of warrants to purchase</w:t>
            </w:r>
          </w:p>
        </w:tc>
      </w:tr>
      <w:tr>
        <w:trPr>
          <w:trHeight w:val="203"/>
        </w:trPr>
        <w:tc>
          <w:tcPr>
            <w:tcW w:w="200" w:type="dxa"/>
            <w:vAlign w:val="bottom"/>
          </w:tcPr>
          <w:p>
            <w:pPr>
              <w:spacing w:after="0"/>
              <w:rPr>
                <w:sz w:val="17"/>
                <w:szCs w:val="17"/>
                <w:color w:val="auto"/>
              </w:rPr>
            </w:pPr>
          </w:p>
        </w:tc>
        <w:tc>
          <w:tcPr>
            <w:tcW w:w="84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common stock immediately prior to the closing of this offering that would otherwise expire at an exercise</w:t>
            </w:r>
          </w:p>
        </w:tc>
      </w:tr>
      <w:tr>
        <w:trPr>
          <w:trHeight w:val="217"/>
        </w:trPr>
        <w:tc>
          <w:tcPr>
            <w:tcW w:w="200" w:type="dxa"/>
            <w:vAlign w:val="bottom"/>
          </w:tcPr>
          <w:p>
            <w:pPr>
              <w:spacing w:after="0"/>
              <w:rPr>
                <w:sz w:val="18"/>
                <w:szCs w:val="18"/>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price of $0.01 per share;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3182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3182620"/>
                    </a:xfrm>
                    <a:prstGeom prst="rect">
                      <a:avLst/>
                    </a:prstGeom>
                    <a:noFill/>
                  </pic:spPr>
                </pic:pic>
              </a:graphicData>
            </a:graphic>
          </wp:anchor>
        </w:drawing>
      </w:r>
    </w:p>
    <w:p>
      <w:pPr>
        <w:ind w:left="840" w:right="140" w:hanging="343"/>
        <w:spacing w:after="0" w:line="246"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which will occur immediately prior to the closing of this offering; and</w:t>
      </w:r>
    </w:p>
    <w:p>
      <w:pPr>
        <w:spacing w:after="0" w:line="196" w:lineRule="exact"/>
        <w:rPr>
          <w:rFonts w:ascii="Arial" w:cs="Arial" w:eastAsia="Arial" w:hAnsi="Arial"/>
          <w:sz w:val="18"/>
          <w:szCs w:val="18"/>
          <w:color w:val="auto"/>
        </w:rPr>
      </w:pPr>
    </w:p>
    <w:p>
      <w:pPr>
        <w:ind w:left="840" w:hanging="343"/>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180"/>
          </w:cols>
          <w:pgMar w:left="1440" w:top="1165" w:right="12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194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7194550"/>
                    </a:xfrm>
                    <a:prstGeom prst="rect">
                      <a:avLst/>
                    </a:prstGeom>
                    <a:noFill/>
                  </pic:spPr>
                </pic:pic>
              </a:graphicData>
            </a:graphic>
          </wp:anchor>
        </w:drawing>
        <w:t>Summary Financial Data</w:t>
      </w:r>
    </w:p>
    <w:p>
      <w:pPr>
        <w:spacing w:after="0" w:line="234" w:lineRule="exact"/>
        <w:rPr>
          <w:sz w:val="20"/>
          <w:szCs w:val="20"/>
          <w:color w:val="auto"/>
        </w:rPr>
      </w:pPr>
    </w:p>
    <w:p>
      <w:pPr>
        <w:ind w:right="20" w:firstLine="486"/>
        <w:spacing w:after="0" w:line="235" w:lineRule="auto"/>
        <w:rPr>
          <w:sz w:val="20"/>
          <w:szCs w:val="20"/>
          <w:color w:val="auto"/>
        </w:rPr>
      </w:pPr>
      <w:r>
        <w:rPr>
          <w:rFonts w:ascii="Arial" w:cs="Arial" w:eastAsia="Arial" w:hAnsi="Arial"/>
          <w:sz w:val="18"/>
          <w:szCs w:val="18"/>
          <w:color w:val="auto"/>
        </w:rPr>
        <w:t>The following tables set forth a summary of our financial data. The summary statements of operations data for the years ended December 31, 2018 and 2019 are derived from our audited financial statements included elsewhere in this prospectus. The summary statements of operations data for the six months ended June 30, 2019 and 2020 and the summary balance sheet data as of June 30, 2020 are derived from our unaudited interim condensed financial statements included elsewhere in this prospectus. Our unaudited interim condensed financial statements have been prepared on a basis consistent with our audited financial statements and, in the opinion of management, reflect all adjustments, consisting solely of normal recurring adjustments, necessary for the fair presentation of the financial information in those statements. You should read this summary data together with our financial statements and related notes included elsewhere in this prospectus and the information in the sections of this prospectus titled “Selected Financial Data” and “Management’s Discussion and Analysis of Financial Condition and Results of Operations.” Our historical results are not necessarily indicative of our future results, and the results of operations for the six months ended June 30, 2020 are not necessarily indicative of the results to be expected for the full year ending December 31, 2020 or any other period. The summary financial data in this section are not intended to replace the financial statements and related notes included elsewhere in this prospectus.</w:t>
      </w:r>
    </w:p>
    <w:p>
      <w:pPr>
        <w:spacing w:after="0" w:line="215" w:lineRule="exact"/>
        <w:rPr>
          <w:sz w:val="20"/>
          <w:szCs w:val="20"/>
          <w:color w:val="auto"/>
        </w:rPr>
      </w:pPr>
    </w:p>
    <w:tbl>
      <w:tblPr>
        <w:tblLayout w:type="fixed"/>
        <w:tblInd w:w="476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82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1460" w:type="dxa"/>
            <w:vAlign w:val="bottom"/>
          </w:tcPr>
          <w:p>
            <w:pPr>
              <w:jc w:val="center"/>
              <w:ind w:left="588"/>
              <w:spacing w:after="0"/>
              <w:rPr>
                <w:sz w:val="20"/>
                <w:szCs w:val="20"/>
                <w:color w:val="auto"/>
              </w:rPr>
            </w:pPr>
            <w:r>
              <w:rPr>
                <w:rFonts w:ascii="Arial" w:cs="Arial" w:eastAsia="Arial" w:hAnsi="Arial"/>
                <w:sz w:val="14"/>
                <w:szCs w:val="14"/>
                <w:b w:val="1"/>
                <w:bCs w:val="1"/>
                <w:color w:val="auto"/>
              </w:rPr>
              <w:t>Six Months</w:t>
            </w:r>
          </w:p>
        </w:tc>
        <w:tc>
          <w:tcPr>
            <w:tcW w:w="680" w:type="dxa"/>
            <w:vAlign w:val="bottom"/>
          </w:tcPr>
          <w:p>
            <w:pPr>
              <w:spacing w:after="0"/>
              <w:rPr>
                <w:sz w:val="14"/>
                <w:szCs w:val="14"/>
                <w:color w:val="auto"/>
              </w:rPr>
            </w:pPr>
          </w:p>
        </w:tc>
      </w:tr>
      <w:tr>
        <w:trPr>
          <w:trHeight w:val="175"/>
        </w:trPr>
        <w:tc>
          <w:tcPr>
            <w:tcW w:w="248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w:t>
            </w: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Ended June 30,</w:t>
            </w:r>
          </w:p>
        </w:tc>
      </w:tr>
      <w:tr>
        <w:trPr>
          <w:trHeight w:val="169"/>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2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46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r>
      <w:tr>
        <w:trPr>
          <w:trHeight w:val="169"/>
        </w:trPr>
        <w:tc>
          <w:tcPr>
            <w:tcW w:w="6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Borders>
              <w:top w:val="single" w:sz="8" w:color="auto"/>
            </w:tcBorders>
          </w:tcPr>
          <w:p>
            <w:pPr>
              <w:jc w:val="center"/>
              <w:ind w:left="568"/>
              <w:spacing w:after="0"/>
              <w:rPr>
                <w:sz w:val="20"/>
                <w:szCs w:val="20"/>
                <w:color w:val="auto"/>
              </w:rPr>
            </w:pPr>
            <w:r>
              <w:rPr>
                <w:rFonts w:ascii="Arial" w:cs="Arial" w:eastAsia="Arial" w:hAnsi="Arial"/>
                <w:sz w:val="14"/>
                <w:szCs w:val="14"/>
                <w:b w:val="1"/>
                <w:bCs w:val="1"/>
                <w:color w:val="auto"/>
              </w:rPr>
              <w:t>(unaudited)</w:t>
            </w:r>
          </w:p>
        </w:tc>
        <w:tc>
          <w:tcPr>
            <w:tcW w:w="680" w:type="dxa"/>
            <w:vAlign w:val="bottom"/>
            <w:tcBorders>
              <w:top w:val="single" w:sz="8" w:color="auto"/>
            </w:tcBorders>
          </w:tcPr>
          <w:p>
            <w:pPr>
              <w:spacing w:after="0"/>
              <w:rPr>
                <w:sz w:val="14"/>
                <w:szCs w:val="14"/>
                <w:color w:val="auto"/>
              </w:rPr>
            </w:pPr>
          </w:p>
        </w:tc>
      </w:tr>
      <w:tr>
        <w:trPr>
          <w:trHeight w:val="175"/>
        </w:trPr>
        <w:tc>
          <w:tcPr>
            <w:tcW w:w="660" w:type="dxa"/>
            <w:vAlign w:val="bottom"/>
          </w:tcPr>
          <w:p>
            <w:pPr>
              <w:spacing w:after="0"/>
              <w:rPr>
                <w:sz w:val="15"/>
                <w:szCs w:val="15"/>
                <w:color w:val="auto"/>
              </w:rPr>
            </w:pPr>
          </w:p>
        </w:tc>
        <w:tc>
          <w:tcPr>
            <w:tcW w:w="3280" w:type="dxa"/>
            <w:vAlign w:val="bottom"/>
            <w:gridSpan w:val="5"/>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680" w:type="dxa"/>
            <w:vAlign w:val="bottom"/>
          </w:tcPr>
          <w:p>
            <w:pPr>
              <w:spacing w:after="0"/>
              <w:rPr>
                <w:sz w:val="15"/>
                <w:szCs w:val="15"/>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right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(5,449)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gridSpan w:val="3"/>
          </w:tcPr>
          <w:p>
            <w:pPr>
              <w:spacing w:after="0"/>
              <w:rPr>
                <w:sz w:val="20"/>
                <w:szCs w:val="20"/>
                <w:color w:val="auto"/>
              </w:rPr>
            </w:pPr>
            <w:r>
              <w:rPr>
                <w:rFonts w:ascii="Arial" w:cs="Arial" w:eastAsia="Arial" w:hAnsi="Arial"/>
                <w:sz w:val="18"/>
                <w:szCs w:val="18"/>
                <w:color w:val="auto"/>
              </w:rPr>
              <w:t>Net loss and comprehensive loss</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(5,097)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(5,161)</w:t>
            </w:r>
          </w:p>
        </w:tc>
        <w:tc>
          <w:tcPr>
            <w:tcW w:w="10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tcBorders>
              <w:top w:val="single" w:sz="8" w:color="CFF0FC"/>
              <w:right w:val="single" w:sz="8" w:color="CFF0FC"/>
            </w:tcBorders>
            <w:gridSpan w:val="2"/>
            <w:shd w:val="clear" w:color="auto" w:fill="CFF0FC"/>
          </w:tcPr>
          <w:p>
            <w:pPr>
              <w:spacing w:after="0" w:line="193" w:lineRule="exact"/>
              <w:rPr>
                <w:sz w:val="20"/>
                <w:szCs w:val="20"/>
                <w:color w:val="auto"/>
              </w:rPr>
            </w:pPr>
            <w:r>
              <w:rPr>
                <w:rFonts w:ascii="Arial" w:cs="Arial" w:eastAsia="Arial" w:hAnsi="Arial"/>
                <w:sz w:val="18"/>
                <w:szCs w:val="18"/>
                <w:color w:val="auto"/>
              </w:rPr>
              <w:t>Net loss per share attributable to common</w:t>
            </w:r>
          </w:p>
        </w:tc>
        <w:tc>
          <w:tcPr>
            <w:tcW w:w="4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tcBorders>
              <w:right w:val="single" w:sz="8" w:color="CFF0FC"/>
            </w:tcBorders>
            <w:gridSpan w:val="2"/>
            <w:shd w:val="clear" w:color="auto" w:fill="CFF0FC"/>
          </w:tcPr>
          <w:p>
            <w:pPr>
              <w:ind w:left="140"/>
              <w:spacing w:after="0" w:line="206"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80"/>
              <w:spacing w:after="0" w:line="206" w:lineRule="exact"/>
              <w:rPr>
                <w:sz w:val="20"/>
                <w:szCs w:val="20"/>
                <w:color w:val="auto"/>
              </w:rPr>
            </w:pPr>
            <w:r>
              <w:rPr>
                <w:rFonts w:ascii="Arial" w:cs="Arial" w:eastAsia="Arial" w:hAnsi="Arial"/>
                <w:sz w:val="18"/>
                <w:szCs w:val="18"/>
                <w:color w:val="auto"/>
              </w:rPr>
              <w:t>(0.19)</w:t>
            </w:r>
          </w:p>
        </w:tc>
        <w:tc>
          <w:tcPr>
            <w:tcW w:w="180" w:type="dxa"/>
            <w:vAlign w:val="bottom"/>
            <w:gridSpan w:val="2"/>
            <w:shd w:val="clear" w:color="auto" w:fill="CFF0FC"/>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line="206" w:lineRule="exact"/>
              <w:rPr>
                <w:sz w:val="20"/>
                <w:szCs w:val="20"/>
                <w:color w:val="auto"/>
              </w:rPr>
            </w:pPr>
            <w:r>
              <w:rPr>
                <w:rFonts w:ascii="Arial" w:cs="Arial" w:eastAsia="Arial" w:hAnsi="Arial"/>
                <w:sz w:val="18"/>
                <w:szCs w:val="18"/>
                <w:color w:val="auto"/>
              </w:rPr>
              <w:t>(0.18)</w:t>
            </w:r>
          </w:p>
        </w:tc>
        <w:tc>
          <w:tcPr>
            <w:tcW w:w="1040" w:type="dxa"/>
            <w:vAlign w:val="bottom"/>
            <w:gridSpan w:val="2"/>
            <w:shd w:val="clear" w:color="auto" w:fill="CFF0FC"/>
          </w:tcPr>
          <w:p>
            <w:pPr>
              <w:jc w:val="right"/>
              <w:ind w:right="880"/>
              <w:spacing w:after="0" w:line="20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80"/>
              <w:spacing w:after="0" w:line="20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78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40" w:type="dxa"/>
            <w:vAlign w:val="bottom"/>
            <w:gridSpan w:val="2"/>
          </w:tcPr>
          <w:p>
            <w:pPr>
              <w:ind w:left="140"/>
              <w:spacing w:after="0" w:line="200" w:lineRule="exact"/>
              <w:rPr>
                <w:sz w:val="20"/>
                <w:szCs w:val="20"/>
                <w:color w:val="auto"/>
              </w:rPr>
            </w:pPr>
            <w:r>
              <w:rPr>
                <w:rFonts w:ascii="Arial" w:cs="Arial" w:eastAsia="Arial" w:hAnsi="Arial"/>
                <w:sz w:val="18"/>
                <w:szCs w:val="18"/>
                <w:color w:val="auto"/>
              </w:rPr>
              <w:t>in computing net loss per share attributable</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40" w:type="dxa"/>
            <w:vAlign w:val="bottom"/>
            <w:gridSpan w:val="2"/>
          </w:tcPr>
          <w:p>
            <w:pPr>
              <w:ind w:left="140"/>
              <w:spacing w:after="0" w:line="206" w:lineRule="exact"/>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(1)</w:t>
            </w:r>
          </w:p>
        </w:tc>
        <w:tc>
          <w:tcPr>
            <w:tcW w:w="10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27,511,082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line="206" w:lineRule="exact"/>
              <w:rPr>
                <w:sz w:val="20"/>
                <w:szCs w:val="20"/>
                <w:color w:val="auto"/>
              </w:rPr>
            </w:pPr>
            <w:r>
              <w:rPr>
                <w:rFonts w:ascii="Arial" w:cs="Arial" w:eastAsia="Arial" w:hAnsi="Arial"/>
                <w:sz w:val="18"/>
                <w:szCs w:val="18"/>
                <w:color w:val="auto"/>
                <w:w w:val="99"/>
              </w:rPr>
              <w:t>28,285,902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FF0FC"/>
              <w:right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rPr>
              <w:t>Pro forma net loss per share attributable to</w:t>
            </w:r>
          </w:p>
        </w:tc>
        <w:tc>
          <w:tcPr>
            <w:tcW w:w="4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40" w:type="dxa"/>
            <w:vAlign w:val="bottom"/>
            <w:tcBorders>
              <w:right w:val="single" w:sz="8" w:color="CFF0FC"/>
            </w:tcBorders>
            <w:gridSpan w:val="2"/>
            <w:shd w:val="clear" w:color="auto" w:fill="CFF0FC"/>
          </w:tcPr>
          <w:p>
            <w:pPr>
              <w:ind w:left="140"/>
              <w:spacing w:after="0" w:line="200" w:lineRule="exact"/>
              <w:rPr>
                <w:sz w:val="20"/>
                <w:szCs w:val="20"/>
                <w:color w:val="auto"/>
              </w:rPr>
            </w:pPr>
            <w:r>
              <w:rPr>
                <w:rFonts w:ascii="Arial" w:cs="Arial" w:eastAsia="Arial" w:hAnsi="Arial"/>
                <w:sz w:val="18"/>
                <w:szCs w:val="18"/>
                <w:color w:val="auto"/>
              </w:rPr>
              <w:t>common stockholders, basic and diluted</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tcBorders>
              <w:right w:val="single" w:sz="8" w:color="CFF0FC"/>
            </w:tcBorders>
            <w:gridSpan w:val="2"/>
            <w:shd w:val="clear" w:color="auto" w:fill="CFF0FC"/>
          </w:tcPr>
          <w:p>
            <w:pPr>
              <w:ind w:left="140"/>
              <w:spacing w:after="0" w:line="206" w:lineRule="exact"/>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80"/>
              <w:spacing w:after="0" w:line="20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78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used in computing pro forma net loss</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40" w:type="dxa"/>
            <w:vAlign w:val="bottom"/>
            <w:gridSpan w:val="2"/>
          </w:tcPr>
          <w:p>
            <w:pPr>
              <w:ind w:left="140"/>
              <w:spacing w:after="0" w:line="200" w:lineRule="exact"/>
              <w:rPr>
                <w:sz w:val="20"/>
                <w:szCs w:val="20"/>
                <w:color w:val="auto"/>
              </w:rPr>
            </w:pPr>
            <w:r>
              <w:rPr>
                <w:rFonts w:ascii="Arial" w:cs="Arial" w:eastAsia="Arial" w:hAnsi="Arial"/>
                <w:sz w:val="18"/>
                <w:szCs w:val="18"/>
                <w:color w:val="auto"/>
              </w:rPr>
              <w:t>per share attributable to common stockholders,</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gridSpan w:val="2"/>
          </w:tcPr>
          <w:p>
            <w:pPr>
              <w:ind w:left="140"/>
              <w:spacing w:after="0" w:line="206" w:lineRule="exact"/>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Borders>
              <w:bottom w:val="single" w:sz="8" w:color="auto"/>
            </w:tcBorders>
            <w:gridSpan w:val="2"/>
          </w:tcPr>
          <w:p>
            <w:pPr>
              <w:spacing w:after="0"/>
              <w:rPr>
                <w:sz w:val="11"/>
                <w:szCs w:val="11"/>
                <w:color w:val="auto"/>
              </w:rPr>
            </w:pPr>
          </w:p>
        </w:tc>
        <w:tc>
          <w:tcPr>
            <w:tcW w:w="3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8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760" w:type="dxa"/>
            <w:vAlign w:val="bottom"/>
            <w:gridSpan w:val="3"/>
          </w:tcPr>
          <w:p>
            <w:pPr>
              <w:spacing w:after="0" w:line="227" w:lineRule="exact"/>
              <w:rPr>
                <w:sz w:val="20"/>
                <w:szCs w:val="20"/>
                <w:color w:val="auto"/>
              </w:rPr>
            </w:pPr>
            <w:r>
              <w:rPr>
                <w:rFonts w:ascii="Arial" w:cs="Arial" w:eastAsia="Arial" w:hAnsi="Arial"/>
                <w:sz w:val="26"/>
                <w:szCs w:val="26"/>
                <w:color w:val="auto"/>
                <w:vertAlign w:val="superscript"/>
              </w:rPr>
              <w:t>(1)</w:t>
            </w:r>
            <w:r>
              <w:rPr>
                <w:rFonts w:ascii="Arial" w:cs="Arial" w:eastAsia="Arial" w:hAnsi="Arial"/>
                <w:sz w:val="14"/>
                <w:szCs w:val="14"/>
                <w:color w:val="auto"/>
              </w:rPr>
              <w:t xml:space="preserve">   See Notes 15 and 16 to our audited financial statements and Notes</w:t>
            </w:r>
          </w:p>
        </w:tc>
        <w:tc>
          <w:tcPr>
            <w:tcW w:w="440" w:type="dxa"/>
            <w:vAlign w:val="bottom"/>
          </w:tcPr>
          <w:p>
            <w:pPr>
              <w:jc w:val="right"/>
              <w:spacing w:after="0"/>
              <w:rPr>
                <w:sz w:val="20"/>
                <w:szCs w:val="20"/>
                <w:color w:val="auto"/>
              </w:rPr>
            </w:pPr>
            <w:r>
              <w:rPr>
                <w:rFonts w:ascii="Arial" w:cs="Arial" w:eastAsia="Arial" w:hAnsi="Arial"/>
                <w:sz w:val="14"/>
                <w:szCs w:val="14"/>
                <w:color w:val="auto"/>
              </w:rPr>
              <w:t>and</w:t>
            </w:r>
          </w:p>
        </w:tc>
        <w:tc>
          <w:tcPr>
            <w:tcW w:w="4280" w:type="dxa"/>
            <w:vAlign w:val="bottom"/>
            <w:gridSpan w:val="11"/>
          </w:tcPr>
          <w:p>
            <w:pPr>
              <w:ind w:left="200"/>
              <w:spacing w:after="0"/>
              <w:rPr>
                <w:sz w:val="20"/>
                <w:szCs w:val="20"/>
                <w:color w:val="auto"/>
              </w:rPr>
            </w:pPr>
            <w:r>
              <w:rPr>
                <w:rFonts w:ascii="Arial" w:cs="Arial" w:eastAsia="Arial" w:hAnsi="Arial"/>
                <w:sz w:val="14"/>
                <w:szCs w:val="14"/>
                <w:color w:val="auto"/>
              </w:rPr>
              <w:t>to our unaudited interim condensed financial statements</w:t>
            </w:r>
          </w:p>
        </w:tc>
        <w:tc>
          <w:tcPr>
            <w:tcW w:w="0" w:type="dxa"/>
            <w:vAlign w:val="bottom"/>
          </w:tcPr>
          <w:p>
            <w:pPr>
              <w:spacing w:after="0"/>
              <w:rPr>
                <w:sz w:val="1"/>
                <w:szCs w:val="1"/>
                <w:color w:val="auto"/>
              </w:rPr>
            </w:pPr>
          </w:p>
        </w:tc>
      </w:tr>
    </w:tbl>
    <w:p>
      <w:pPr>
        <w:jc w:val="both"/>
        <w:ind w:left="400" w:right="160"/>
        <w:spacing w:after="0" w:line="249" w:lineRule="auto"/>
        <w:rPr>
          <w:sz w:val="20"/>
          <w:szCs w:val="20"/>
          <w:color w:val="auto"/>
        </w:rPr>
      </w:pPr>
      <w:r>
        <w:rPr>
          <w:rFonts w:ascii="Arial" w:cs="Arial" w:eastAsia="Arial" w:hAnsi="Arial"/>
          <w:sz w:val="14"/>
          <w:szCs w:val="14"/>
          <w:color w:val="auto"/>
        </w:rPr>
        <w:t>included elsewhere in this prospectus for the calculation of our basic and diluted net loss per share attributable to common stockholders and our basic and diluted pro forma net loss per share attributable to common stockholders, and the weighted-average number of shares used in computing the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048" w:right="11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left="146"/>
              <w:spacing w:after="0"/>
              <w:rPr>
                <w:sz w:val="20"/>
                <w:szCs w:val="20"/>
                <w:color w:val="auto"/>
              </w:rPr>
            </w:pPr>
            <w:r>
              <w:rPr>
                <w:rFonts w:ascii="Arial" w:cs="Arial" w:eastAsia="Arial" w:hAnsi="Arial"/>
                <w:sz w:val="14"/>
                <w:szCs w:val="14"/>
                <w:b w:val="1"/>
                <w:bCs w:val="1"/>
                <w:color w:val="auto"/>
              </w:rPr>
              <w:t>As of June 30, 2020</w:t>
            </w:r>
          </w:p>
        </w:tc>
        <w:tc>
          <w:tcPr>
            <w:tcW w:w="1280" w:type="dxa"/>
            <w:vAlign w:val="bottom"/>
            <w:tcBorders>
              <w:bottom w:val="single" w:sz="8" w:color="auto"/>
            </w:tcBorders>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Pro Forma</w:t>
            </w:r>
          </w:p>
        </w:tc>
      </w:tr>
      <w:tr>
        <w:trPr>
          <w:trHeight w:val="179"/>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Actual</w:t>
            </w:r>
          </w:p>
        </w:tc>
        <w:tc>
          <w:tcPr>
            <w:tcW w:w="1560" w:type="dxa"/>
            <w:vAlign w:val="bottom"/>
            <w:tcBorders>
              <w:bottom w:val="single" w:sz="8" w:color="auto"/>
            </w:tcBorders>
          </w:tcPr>
          <w:p>
            <w:pPr>
              <w:jc w:val="center"/>
              <w:ind w:left="126"/>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128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jc w:val="center"/>
              <w:ind w:left="146"/>
              <w:spacing w:after="0"/>
              <w:rPr>
                <w:sz w:val="20"/>
                <w:szCs w:val="20"/>
                <w:color w:val="auto"/>
              </w:rPr>
            </w:pPr>
            <w:r>
              <w:rPr>
                <w:rFonts w:ascii="Arial" w:cs="Arial" w:eastAsia="Arial" w:hAnsi="Arial"/>
                <w:sz w:val="14"/>
                <w:szCs w:val="14"/>
                <w:b w:val="1"/>
                <w:bCs w:val="1"/>
                <w:color w:val="auto"/>
              </w:rPr>
              <w:t>(unaudited)</w:t>
            </w:r>
          </w:p>
        </w:tc>
        <w:tc>
          <w:tcPr>
            <w:tcW w:w="12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jc w:val="center"/>
              <w:ind w:left="126"/>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9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6"/>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46"/>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9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9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29"/>
        </w:trPr>
        <w:tc>
          <w:tcPr>
            <w:tcW w:w="4620" w:type="dxa"/>
            <w:vAlign w:val="bottom"/>
            <w:gridSpan w:val="3"/>
          </w:tcPr>
          <w:p>
            <w:pPr>
              <w:spacing w:after="0"/>
              <w:rPr>
                <w:sz w:val="20"/>
                <w:szCs w:val="20"/>
                <w:color w:val="auto"/>
              </w:rPr>
            </w:pPr>
            <w:r>
              <w:rPr>
                <w:rFonts w:ascii="Arial" w:cs="Arial" w:eastAsia="Arial" w:hAnsi="Arial"/>
                <w:sz w:val="18"/>
                <w:szCs w:val="18"/>
                <w:color w:val="auto"/>
              </w:rPr>
              <w:t>Total stockholders' (deficit) equity</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35"/>
        </w:trPr>
        <w:tc>
          <w:tcPr>
            <w:tcW w:w="980" w:type="dxa"/>
            <w:vAlign w:val="bottom"/>
            <w:tcBorders>
              <w:bottom w:val="single" w:sz="8" w:color="auto"/>
            </w:tcBorders>
            <w:gridSpan w:val="2"/>
          </w:tcPr>
          <w:p>
            <w:pPr>
              <w:spacing w:after="0"/>
              <w:rPr>
                <w:sz w:val="11"/>
                <w:szCs w:val="11"/>
                <w:color w:val="auto"/>
              </w:rPr>
            </w:pPr>
          </w:p>
        </w:tc>
        <w:tc>
          <w:tcPr>
            <w:tcW w:w="7220" w:type="dxa"/>
            <w:vAlign w:val="bottom"/>
            <w:gridSpan w:val="4"/>
          </w:tcPr>
          <w:p>
            <w:pPr>
              <w:spacing w:after="0"/>
              <w:rPr>
                <w:sz w:val="11"/>
                <w:szCs w:val="11"/>
                <w:color w:val="auto"/>
              </w:rPr>
            </w:pPr>
          </w:p>
        </w:tc>
        <w:tc>
          <w:tcPr>
            <w:tcW w:w="1280" w:type="dxa"/>
            <w:vAlign w:val="bottom"/>
          </w:tcPr>
          <w:p>
            <w:pPr>
              <w:spacing w:after="0"/>
              <w:rPr>
                <w:sz w:val="11"/>
                <w:szCs w:val="11"/>
                <w:color w:val="auto"/>
              </w:rPr>
            </w:pPr>
          </w:p>
        </w:tc>
      </w:tr>
      <w:tr>
        <w:trPr>
          <w:trHeight w:val="187"/>
        </w:trPr>
        <w:tc>
          <w:tcPr>
            <w:tcW w:w="8200" w:type="dxa"/>
            <w:vAlign w:val="bottom"/>
            <w:gridSpan w:val="6"/>
          </w:tcPr>
          <w:p>
            <w:pPr>
              <w:spacing w:after="0"/>
              <w:rPr>
                <w:sz w:val="20"/>
                <w:szCs w:val="20"/>
                <w:color w:val="auto"/>
              </w:rPr>
            </w:pPr>
            <w:r>
              <w:rPr>
                <w:rFonts w:ascii="Arial" w:cs="Arial" w:eastAsia="Arial" w:hAnsi="Arial"/>
                <w:sz w:val="14"/>
                <w:szCs w:val="14"/>
                <w:color w:val="auto"/>
              </w:rPr>
              <w:t>(1)   Reflects, on a pro forma basis, (a) the automatic conversion of our convertible preferred stock into an aggregate of</w:t>
            </w:r>
          </w:p>
        </w:tc>
        <w:tc>
          <w:tcPr>
            <w:tcW w:w="1280" w:type="dxa"/>
            <w:vAlign w:val="bottom"/>
          </w:tcPr>
          <w:p>
            <w:pPr>
              <w:jc w:val="right"/>
              <w:ind w:right="6"/>
              <w:spacing w:after="0"/>
              <w:rPr>
                <w:sz w:val="20"/>
                <w:szCs w:val="20"/>
                <w:color w:val="auto"/>
              </w:rPr>
            </w:pPr>
            <w:r>
              <w:rPr>
                <w:rFonts w:ascii="Arial" w:cs="Arial" w:eastAsia="Arial" w:hAnsi="Arial"/>
                <w:sz w:val="14"/>
                <w:szCs w:val="14"/>
                <w:color w:val="auto"/>
              </w:rPr>
              <w:t>shares of common</w:t>
            </w:r>
          </w:p>
        </w:tc>
      </w:tr>
      <w:tr>
        <w:trPr>
          <w:trHeight w:val="162"/>
        </w:trPr>
        <w:tc>
          <w:tcPr>
            <w:tcW w:w="20" w:type="dxa"/>
            <w:vAlign w:val="bottom"/>
          </w:tcPr>
          <w:p>
            <w:pPr>
              <w:spacing w:after="0"/>
              <w:rPr>
                <w:sz w:val="14"/>
                <w:szCs w:val="14"/>
                <w:color w:val="auto"/>
              </w:rPr>
            </w:pPr>
          </w:p>
        </w:tc>
        <w:tc>
          <w:tcPr>
            <w:tcW w:w="4600" w:type="dxa"/>
            <w:vAlign w:val="bottom"/>
            <w:gridSpan w:val="2"/>
          </w:tcPr>
          <w:p>
            <w:pPr>
              <w:ind w:left="380"/>
              <w:spacing w:after="0"/>
              <w:rPr>
                <w:sz w:val="20"/>
                <w:szCs w:val="20"/>
                <w:color w:val="auto"/>
              </w:rPr>
            </w:pPr>
            <w:r>
              <w:rPr>
                <w:rFonts w:ascii="Arial" w:cs="Arial" w:eastAsia="Arial" w:hAnsi="Arial"/>
                <w:sz w:val="14"/>
                <w:szCs w:val="14"/>
                <w:color w:val="auto"/>
              </w:rPr>
              <w:t>stock as of June 30, 2020; (b) the issuance of an aggregate of</w:t>
            </w:r>
          </w:p>
        </w:tc>
        <w:tc>
          <w:tcPr>
            <w:tcW w:w="4860" w:type="dxa"/>
            <w:vAlign w:val="bottom"/>
            <w:gridSpan w:val="4"/>
          </w:tcPr>
          <w:p>
            <w:pPr>
              <w:jc w:val="right"/>
              <w:spacing w:after="0"/>
              <w:rPr>
                <w:sz w:val="20"/>
                <w:szCs w:val="20"/>
                <w:color w:val="auto"/>
              </w:rPr>
            </w:pPr>
            <w:r>
              <w:rPr>
                <w:rFonts w:ascii="Arial" w:cs="Arial" w:eastAsia="Arial" w:hAnsi="Arial"/>
                <w:sz w:val="14"/>
                <w:szCs w:val="14"/>
                <w:color w:val="auto"/>
              </w:rPr>
              <w:t>shares of our common stock upon the exercise of outstanding warrants</w:t>
            </w:r>
          </w:p>
        </w:tc>
      </w:tr>
    </w:tbl>
    <w:p>
      <w:pPr>
        <w:ind w:left="400" w:right="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171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5171440"/>
                    </a:xfrm>
                    <a:prstGeom prst="rect">
                      <a:avLst/>
                    </a:prstGeom>
                    <a:noFill/>
                  </pic:spPr>
                </pic:pic>
              </a:graphicData>
            </a:graphic>
          </wp:anchor>
        </w:drawing>
        <w:t>immediately prior to the closing of this offering; (c) the repayment of $1.5 million in grant liability; and (d) the filing of our amended and restated certificate of incorporation, each of which will occur immediately prior to the closing of this offering.</w:t>
      </w:r>
    </w:p>
    <w:p>
      <w:pPr>
        <w:spacing w:after="0" w:line="18" w:lineRule="exact"/>
        <w:rPr>
          <w:sz w:val="20"/>
          <w:szCs w:val="20"/>
          <w:color w:val="auto"/>
        </w:rPr>
      </w:pPr>
    </w:p>
    <w:p>
      <w:pPr>
        <w:ind w:left="400" w:hanging="398"/>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on a pro forma as adjusted basis, the pro forma adjustments described in footnote (1) above, as well as the sale and issuance by us</w:t>
      </w:r>
    </w:p>
    <w:p>
      <w:pPr>
        <w:spacing w:after="0" w:line="1" w:lineRule="exact"/>
        <w:rPr>
          <w:sz w:val="20"/>
          <w:szCs w:val="20"/>
          <w:color w:val="auto"/>
        </w:rPr>
      </w:pPr>
    </w:p>
    <w:p>
      <w:pPr>
        <w:ind w:left="400" w:right="40"/>
        <w:spacing w:after="0" w:line="241" w:lineRule="auto"/>
        <w:rPr>
          <w:sz w:val="20"/>
          <w:szCs w:val="20"/>
          <w:color w:val="auto"/>
        </w:rPr>
      </w:pPr>
      <w:r>
        <w:rPr>
          <w:rFonts w:ascii="Arial" w:cs="Arial" w:eastAsia="Arial" w:hAnsi="Arial"/>
          <w:sz w:val="14"/>
          <w:szCs w:val="14"/>
          <w:color w:val="auto"/>
        </w:rPr>
        <w:t>of shares of common stock in this offering at the assumed initial public offering price of $ per share, which is the midpoint of the range reflected on the cover page of this prospectus, after deducting underwriting discounts and commissions and estimated offering expenses</w:t>
      </w:r>
    </w:p>
    <w:p>
      <w:pPr>
        <w:spacing w:after="0" w:line="1" w:lineRule="exact"/>
        <w:rPr>
          <w:sz w:val="20"/>
          <w:szCs w:val="20"/>
          <w:color w:val="auto"/>
        </w:rPr>
      </w:pPr>
    </w:p>
    <w:p>
      <w:pPr>
        <w:ind w:left="400" w:right="100"/>
        <w:spacing w:after="0" w:line="241" w:lineRule="auto"/>
        <w:rPr>
          <w:sz w:val="20"/>
          <w:szCs w:val="20"/>
          <w:color w:val="auto"/>
        </w:rPr>
      </w:pPr>
      <w:r>
        <w:rPr>
          <w:rFonts w:ascii="Arial" w:cs="Arial" w:eastAsia="Arial" w:hAnsi="Arial"/>
          <w:sz w:val="14"/>
          <w:szCs w:val="14"/>
          <w:color w:val="auto"/>
        </w:rPr>
        <w:t>payable by us. Each $1.00 increase or decrease in the assumed initial public offering price of $ per share would increase or decrease, as applicable, each of our cash and cash equivalents, working capital, total assets and total stockholders’ (deficit) equity by approximately</w:t>
      </w:r>
    </w:p>
    <w:p>
      <w:pPr>
        <w:spacing w:after="0" w:line="1" w:lineRule="exact"/>
        <w:rPr>
          <w:sz w:val="20"/>
          <w:szCs w:val="20"/>
          <w:color w:val="auto"/>
        </w:rPr>
      </w:pPr>
    </w:p>
    <w:p>
      <w:pPr>
        <w:ind w:left="400" w:right="180"/>
        <w:spacing w:after="0" w:line="244" w:lineRule="auto"/>
        <w:rPr>
          <w:sz w:val="20"/>
          <w:szCs w:val="20"/>
          <w:color w:val="auto"/>
        </w:rPr>
      </w:pPr>
      <w:r>
        <w:rPr>
          <w:rFonts w:ascii="Arial" w:cs="Arial" w:eastAsia="Arial" w:hAnsi="Arial"/>
          <w:sz w:val="14"/>
          <w:szCs w:val="14"/>
          <w:color w:val="auto"/>
        </w:rPr>
        <w:t>$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in the number of shares offered by us would increase or decrease, as applicable, each of our cash and cash equivalents, working capital, total assets and total stockholders’ (deficit) equity by $ million, assuming that the assumed initial public offering price remains the same, and after deducting the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14" w:lineRule="exact"/>
        <w:rPr>
          <w:sz w:val="20"/>
          <w:szCs w:val="20"/>
          <w:color w:val="auto"/>
        </w:rPr>
      </w:pPr>
    </w:p>
    <w:p>
      <w:pPr>
        <w:ind w:left="400" w:right="20" w:hanging="398"/>
        <w:spacing w:after="0" w:line="279" w:lineRule="auto"/>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341" w:right="11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60" w:firstLine="576"/>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07"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9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w:t>
      </w:r>
    </w:p>
    <w:p>
      <w:pPr>
        <w:ind w:right="120"/>
        <w:spacing w:after="0" w:line="246" w:lineRule="auto"/>
        <w:rPr>
          <w:sz w:val="20"/>
          <w:szCs w:val="20"/>
          <w:color w:val="auto"/>
        </w:rPr>
      </w:pPr>
      <w:r>
        <w:rPr>
          <w:rFonts w:ascii="Arial" w:cs="Arial" w:eastAsia="Arial" w:hAnsi="Arial"/>
          <w:sz w:val="18"/>
          <w:szCs w:val="18"/>
          <w:color w:val="auto"/>
        </w:rPr>
        <w:t>before they may provide us with any revenue. We had net losses of $5.2 million and $ million for year ended December 31, 2019 and the six months ended June 30, 2020, respectively, and an accumulated deficit of $ million as of June 30, 2020.</w:t>
      </w:r>
    </w:p>
    <w:p>
      <w:pPr>
        <w:spacing w:after="0" w:line="197" w:lineRule="exact"/>
        <w:rPr>
          <w:sz w:val="20"/>
          <w:szCs w:val="20"/>
          <w:color w:val="auto"/>
        </w:rPr>
      </w:pPr>
    </w:p>
    <w:p>
      <w:pPr>
        <w:jc w:val="both"/>
        <w:ind w:right="340" w:firstLine="576"/>
        <w:spacing w:after="0"/>
        <w:rPr>
          <w:sz w:val="20"/>
          <w:szCs w:val="20"/>
          <w:color w:val="auto"/>
        </w:rPr>
      </w:pPr>
      <w:r>
        <w:rPr>
          <w:rFonts w:ascii="Arial" w:cs="Arial" w:eastAsia="Arial" w:hAnsi="Arial"/>
          <w:sz w:val="18"/>
          <w:szCs w:val="18"/>
          <w:color w:val="auto"/>
        </w:rPr>
        <w:t>We have devoted most of our financial resources to research and development, including our clinical and nonclinical development activities. To date, we have financed our operations primarily with proceeds from the sale and issuance of convertible preferred stock and convertible notes, and to a lesser extent from grant income and stock option exercises.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ind w:left="58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225"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196" w:lineRule="exact"/>
        <w:rPr>
          <w:rFonts w:ascii="Arial" w:cs="Arial" w:eastAsia="Arial" w:hAnsi="Arial"/>
          <w:sz w:val="18"/>
          <w:szCs w:val="18"/>
          <w:color w:val="auto"/>
        </w:rPr>
      </w:pPr>
    </w:p>
    <w:p>
      <w:pPr>
        <w:ind w:left="1300" w:right="340" w:hanging="442"/>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relocate to our new facility and build out lab space;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or other agreements;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225"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196"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33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stockholders’ equity.</w:t>
      </w:r>
    </w:p>
    <w:p>
      <w:pPr>
        <w:spacing w:after="0" w:line="29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6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Alzheimer’s disease, or AD, Parkinson’s disease dementias, or PDD, and any other indications that we may pursue in the future will require substantial amounts of capital. In addition, if we obtain marketing approval for ATH-1017 or any future product candidates, we expect to incur significant commercialization expenses related to sales, marketing, manufacturing, and distribution. Furthermore, upon the closing of this offering, we expect to incur additional costs associated with operating as a public company.</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1" w:name="page22"/>
    <w:bookmarkEnd w:id="21"/>
    <w:p>
      <w:pPr>
        <w:ind w:right="180" w:firstLine="576"/>
        <w:spacing w:after="0" w:line="234" w:lineRule="auto"/>
        <w:rPr>
          <w:sz w:val="20"/>
          <w:szCs w:val="20"/>
          <w:color w:val="auto"/>
        </w:rPr>
      </w:pPr>
      <w:r>
        <w:rPr>
          <w:rFonts w:ascii="Arial" w:cs="Arial" w:eastAsia="Arial" w:hAnsi="Arial"/>
          <w:sz w:val="18"/>
          <w:szCs w:val="18"/>
          <w:color w:val="auto"/>
        </w:rPr>
        <w:t>Accordingly, we will need to obtain substantial additional funding in connection with our continuing operations. As of June 30, 2020, we had cash and cash equivalents of $ million. Based upon our current operating plan, we estimate that our existing cash and cash equivalents, together with the anticipated net proceeds from this offering, will be sufficient to fund our operating expenses and capital</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expenditure requirements for at least the next months.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05" w:lineRule="exact"/>
        <w:rPr>
          <w:sz w:val="20"/>
          <w:szCs w:val="20"/>
          <w:color w:val="auto"/>
        </w:rPr>
      </w:pPr>
    </w:p>
    <w:p>
      <w:pPr>
        <w:ind w:right="580" w:firstLine="576"/>
        <w:spacing w:after="0" w:line="246" w:lineRule="auto"/>
        <w:rPr>
          <w:sz w:val="20"/>
          <w:szCs w:val="20"/>
          <w:color w:val="auto"/>
        </w:rPr>
      </w:pPr>
      <w:r>
        <w:rPr>
          <w:rFonts w:ascii="Arial" w:cs="Arial" w:eastAsia="Arial" w:hAnsi="Arial"/>
          <w:sz w:val="18"/>
          <w:szCs w:val="18"/>
          <w:color w:val="auto"/>
        </w:rPr>
        <w:t>The amount and timing of our future funding requirements depends on many factors, some of which are outside of our control, including but not limited to:</w:t>
      </w:r>
    </w:p>
    <w:p>
      <w:pPr>
        <w:spacing w:after="0" w:line="89" w:lineRule="exact"/>
        <w:rPr>
          <w:sz w:val="20"/>
          <w:szCs w:val="20"/>
          <w:color w:val="auto"/>
        </w:rPr>
      </w:pPr>
    </w:p>
    <w:p>
      <w:pPr>
        <w:ind w:left="1300" w:right="600" w:hanging="442"/>
        <w:spacing w:after="0" w:line="246"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196"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25" w:lineRule="exact"/>
        <w:rPr>
          <w:rFonts w:ascii="Arial" w:cs="Arial" w:eastAsia="Arial" w:hAnsi="Arial"/>
          <w:sz w:val="18"/>
          <w:szCs w:val="18"/>
          <w:color w:val="auto"/>
        </w:rPr>
      </w:pPr>
    </w:p>
    <w:p>
      <w:pPr>
        <w:ind w:left="1300" w:right="6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02"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225" w:lineRule="exact"/>
        <w:rPr>
          <w:rFonts w:ascii="Arial" w:cs="Arial" w:eastAsia="Arial" w:hAnsi="Arial"/>
          <w:sz w:val="18"/>
          <w:szCs w:val="18"/>
          <w:color w:val="auto"/>
        </w:rPr>
      </w:pPr>
    </w:p>
    <w:p>
      <w:pPr>
        <w:ind w:left="1300" w:right="300" w:hanging="442"/>
        <w:spacing w:after="0" w:line="246"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3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Additional funding may not be available to us on acceptable terms or at all. Any such funding may result in dilution to stockholders, imposition of debt covenants and repayment obligations, or other restrictions that may affect our business. If we are unable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94" w:lineRule="exact"/>
        <w:rPr>
          <w:sz w:val="20"/>
          <w:szCs w:val="20"/>
          <w:color w:val="auto"/>
        </w:rPr>
      </w:pPr>
    </w:p>
    <w:p>
      <w:pPr>
        <w:ind w:left="1300" w:right="6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the COVID-19 pandemic or other causes;</w:t>
      </w:r>
    </w:p>
    <w:p>
      <w:pPr>
        <w:spacing w:after="0" w:line="202" w:lineRule="exact"/>
        <w:rPr>
          <w:rFonts w:ascii="Arial" w:cs="Arial" w:eastAsia="Arial" w:hAnsi="Arial"/>
          <w:sz w:val="18"/>
          <w:szCs w:val="18"/>
          <w:color w:val="auto"/>
        </w:rPr>
      </w:pPr>
    </w:p>
    <w:p>
      <w:pPr>
        <w:ind w:left="1300" w:right="220" w:hanging="442"/>
        <w:spacing w:after="0" w:line="274"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174" w:lineRule="exact"/>
        <w:rPr>
          <w:rFonts w:ascii="Arial" w:cs="Arial" w:eastAsia="Arial" w:hAnsi="Arial"/>
          <w:sz w:val="17"/>
          <w:szCs w:val="17"/>
          <w:color w:val="auto"/>
        </w:rPr>
      </w:pPr>
    </w:p>
    <w:p>
      <w:pPr>
        <w:ind w:left="1300" w:right="700" w:hanging="442"/>
        <w:spacing w:after="0" w:line="24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225"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196" w:lineRule="exact"/>
        <w:rPr>
          <w:rFonts w:ascii="Arial" w:cs="Arial" w:eastAsia="Arial" w:hAnsi="Arial"/>
          <w:sz w:val="18"/>
          <w:szCs w:val="18"/>
          <w:color w:val="auto"/>
        </w:rPr>
      </w:pPr>
    </w:p>
    <w:p>
      <w:pPr>
        <w:jc w:val="both"/>
        <w:ind w:left="1300" w:right="1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202"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225"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225" w:lineRule="exact"/>
        <w:rPr>
          <w:rFonts w:ascii="Arial" w:cs="Arial" w:eastAsia="Arial" w:hAnsi="Arial"/>
          <w:sz w:val="18"/>
          <w:szCs w:val="18"/>
          <w:color w:val="auto"/>
        </w:rPr>
      </w:pPr>
    </w:p>
    <w:p>
      <w:pPr>
        <w:ind w:left="1300" w:right="400" w:hanging="442"/>
        <w:spacing w:after="0" w:line="24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196"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3" w:name="page24"/>
    <w:bookmarkEnd w:id="23"/>
    <w:p>
      <w:pPr>
        <w:ind w:right="80" w:firstLine="576"/>
        <w:spacing w:after="0" w:line="23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05"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20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ATH-1017 may never lead to a marketable product.</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We are developing ATH-1017 as a first-in-class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4" w:lineRule="exact"/>
        <w:rPr>
          <w:sz w:val="20"/>
          <w:szCs w:val="20"/>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marketing approval;</w:t>
      </w:r>
    </w:p>
    <w:p>
      <w:pPr>
        <w:spacing w:after="0" w:line="225" w:lineRule="exact"/>
        <w:rPr>
          <w:rFonts w:ascii="Arial" w:cs="Arial" w:eastAsia="Arial" w:hAnsi="Arial"/>
          <w:sz w:val="18"/>
          <w:szCs w:val="18"/>
          <w:color w:val="auto"/>
        </w:rPr>
      </w:pPr>
    </w:p>
    <w:p>
      <w:pPr>
        <w:ind w:left="1300" w:right="26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202"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00" w:lineRule="exact"/>
        <w:rPr>
          <w:sz w:val="20"/>
          <w:szCs w:val="20"/>
          <w:color w:val="auto"/>
        </w:rPr>
      </w:pPr>
    </w:p>
    <w:p>
      <w:pPr>
        <w:spacing w:after="0" w:line="21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w:t>
      </w:r>
    </w:p>
    <w:p>
      <w:pPr>
        <w:spacing w:after="0" w:line="68" w:lineRule="exact"/>
        <w:rPr>
          <w:sz w:val="20"/>
          <w:szCs w:val="20"/>
          <w:color w:val="auto"/>
        </w:rPr>
      </w:pPr>
    </w:p>
    <w:p>
      <w:pPr>
        <w:ind w:right="360" w:firstLine="576"/>
        <w:spacing w:after="0" w:line="238"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AD and other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4" w:name="page25"/>
    <w:bookmarkEnd w:id="24"/>
    <w:p>
      <w:pPr>
        <w:ind w:right="440"/>
        <w:spacing w:after="0" w:line="238" w:lineRule="auto"/>
        <w:rPr>
          <w:sz w:val="20"/>
          <w:szCs w:val="20"/>
          <w:color w:val="auto"/>
        </w:rPr>
      </w:pPr>
      <w:r>
        <w:rPr>
          <w:rFonts w:ascii="Arial" w:cs="Arial" w:eastAsia="Arial" w:hAnsi="Arial"/>
          <w:sz w:val="18"/>
          <w:szCs w:val="18"/>
          <w:color w:val="auto"/>
        </w:rPr>
        <w:t>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205" w:lineRule="exact"/>
        <w:rPr>
          <w:sz w:val="20"/>
          <w:szCs w:val="20"/>
          <w:color w:val="auto"/>
        </w:rPr>
      </w:pPr>
    </w:p>
    <w:p>
      <w:pPr>
        <w:ind w:right="20" w:firstLine="576"/>
        <w:spacing w:after="0" w:line="235" w:lineRule="auto"/>
        <w:rPr>
          <w:sz w:val="20"/>
          <w:szCs w:val="20"/>
          <w:color w:val="auto"/>
        </w:rPr>
      </w:pPr>
      <w:r>
        <w:rPr>
          <w:rFonts w:ascii="Arial" w:cs="Arial" w:eastAsia="Arial" w:hAnsi="Arial"/>
          <w:sz w:val="18"/>
          <w:szCs w:val="18"/>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Data from our Phase 1a and 1b clinical trials, while promising, were obtained from a relatively small number of subjects and we cannot be certain that future trials involving a larger number of subjects will yield similar data. Additionally, in our Phase 1a and 1b clinical trials, we used electroencephalogram, or EEG, methods to gather data that we believe provide valuable insight into cognitive function of the subjects evaluated. These EEG methods require the placement of electrodes on a subject’s scalp and, if these electrodes are not properly placed, we may be unable to obtain the data sought or the data obtained may be unreliable. In our Phase 1a and 1b clinical trials, data from certain subjects were not obtained due to problems encountered with the placement of the EEG electrodes and while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30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6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5" w:name="page26"/>
    <w:bookmarkEnd w:id="25"/>
    <w:p>
      <w:pPr>
        <w:ind w:right="100"/>
        <w:spacing w:after="0" w:line="25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clinical trials may not be predictive of future clinical trial results. We may encounter substantial delays in clinical trials, or may not be able to conduct or complete clinical trials on the expected timelines, if at all.</w:t>
      </w:r>
    </w:p>
    <w:p>
      <w:pPr>
        <w:spacing w:after="0" w:line="83" w:lineRule="exact"/>
        <w:rPr>
          <w:sz w:val="20"/>
          <w:szCs w:val="20"/>
          <w:color w:val="auto"/>
        </w:rPr>
      </w:pPr>
    </w:p>
    <w:p>
      <w:pPr>
        <w:ind w:right="220" w:firstLine="576"/>
        <w:spacing w:after="0"/>
        <w:rPr>
          <w:sz w:val="20"/>
          <w:szCs w:val="20"/>
          <w:color w:val="auto"/>
        </w:rPr>
      </w:pPr>
      <w:r>
        <w:rPr>
          <w:rFonts w:ascii="Arial" w:cs="Arial" w:eastAsia="Arial" w:hAnsi="Arial"/>
          <w:sz w:val="18"/>
          <w:szCs w:val="18"/>
          <w:color w:val="auto"/>
        </w:rPr>
        <w:t>Our lead product candidate, ATH-1017, is in clinical development for the potential treatment of AD and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203"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clinical trials may not be predictive of eventual safety or effectiveness in large-scale pivotal clinical trials.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potentially pivotal trial that we expect to initiate by the end of 2020. In parallel to LIFT-AD, we plan to initiate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potentially pivotal LIFT-AD trial if the results from the P300 Phase 2 clinical trial do not meet our expectations. However, even if we receive positive data in our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12"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right="60" w:firstLine="576"/>
        <w:spacing w:after="0" w:line="236" w:lineRule="auto"/>
        <w:rPr>
          <w:sz w:val="20"/>
          <w:szCs w:val="20"/>
          <w:color w:val="auto"/>
        </w:rPr>
      </w:pPr>
      <w:r>
        <w:rPr>
          <w:rFonts w:ascii="Arial" w:cs="Arial" w:eastAsia="Arial" w:hAnsi="Arial"/>
          <w:sz w:val="18"/>
          <w:szCs w:val="18"/>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07"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95" w:lineRule="exact"/>
        <w:rPr>
          <w:sz w:val="20"/>
          <w:szCs w:val="20"/>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ATH platform development strategy;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our ability to commence a clinical trial;</w:t>
      </w:r>
    </w:p>
    <w:p>
      <w:pPr>
        <w:spacing w:after="0" w:line="225"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IRB approval at each clinical trial site;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demonstrate a benefit from using a product candidate;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225" w:lineRule="exact"/>
        <w:rPr>
          <w:rFonts w:ascii="Arial" w:cs="Arial" w:eastAsia="Arial" w:hAnsi="Arial"/>
          <w:sz w:val="18"/>
          <w:szCs w:val="18"/>
          <w:color w:val="auto"/>
        </w:rPr>
      </w:pPr>
    </w:p>
    <w:p>
      <w:pPr>
        <w:ind w:left="1300" w:right="740" w:hanging="442"/>
        <w:spacing w:after="0" w:line="24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305"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7" w:name="page28"/>
    <w:bookmarkEnd w:id="27"/>
    <w:p>
      <w:pPr>
        <w:spacing w:after="0" w:line="236" w:lineRule="auto"/>
        <w:rPr>
          <w:sz w:val="20"/>
          <w:szCs w:val="20"/>
          <w:color w:val="auto"/>
        </w:rPr>
      </w:pPr>
      <w:r>
        <w:rPr>
          <w:rFonts w:ascii="Arial" w:cs="Arial" w:eastAsia="Arial" w:hAnsi="Arial"/>
          <w:sz w:val="18"/>
          <w:szCs w:val="18"/>
          <w:color w:val="auto"/>
        </w:rPr>
        <w:t>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08"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If the results of our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95" w:lineRule="exact"/>
        <w:rPr>
          <w:sz w:val="20"/>
          <w:szCs w:val="20"/>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225" w:lineRule="exact"/>
        <w:rPr>
          <w:rFonts w:ascii="Arial" w:cs="Arial" w:eastAsia="Arial" w:hAnsi="Arial"/>
          <w:sz w:val="18"/>
          <w:szCs w:val="18"/>
          <w:color w:val="auto"/>
        </w:rPr>
      </w:pPr>
    </w:p>
    <w:p>
      <w:pPr>
        <w:ind w:left="1300" w:right="800" w:hanging="442"/>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96" w:lineRule="exact"/>
        <w:rPr>
          <w:rFonts w:ascii="Arial" w:cs="Arial" w:eastAsia="Arial" w:hAnsi="Arial"/>
          <w:sz w:val="18"/>
          <w:szCs w:val="18"/>
          <w:color w:val="auto"/>
        </w:rPr>
      </w:pPr>
    </w:p>
    <w:p>
      <w:pPr>
        <w:ind w:left="1300" w:right="340" w:hanging="442"/>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REMS;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00" w:lineRule="exact"/>
        <w:rPr>
          <w:sz w:val="20"/>
          <w:szCs w:val="20"/>
          <w:color w:val="auto"/>
        </w:rPr>
      </w:pPr>
    </w:p>
    <w:p>
      <w:pPr>
        <w:spacing w:after="0" w:line="2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68"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8" w:name="page29"/>
    <w:bookmarkEnd w:id="28"/>
    <w:p>
      <w:pPr>
        <w:ind w:right="240" w:firstLine="576"/>
        <w:spacing w:after="0" w:line="246"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89" w:lineRule="exact"/>
        <w:rPr>
          <w:sz w:val="20"/>
          <w:szCs w:val="20"/>
          <w:color w:val="auto"/>
        </w:rPr>
      </w:pPr>
    </w:p>
    <w:p>
      <w:pPr>
        <w:jc w:val="both"/>
        <w:ind w:left="1300" w:right="26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202"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96" w:lineRule="exact"/>
        <w:rPr>
          <w:rFonts w:ascii="Arial" w:cs="Arial" w:eastAsia="Arial" w:hAnsi="Arial"/>
          <w:sz w:val="18"/>
          <w:szCs w:val="18"/>
          <w:color w:val="auto"/>
        </w:rPr>
      </w:pPr>
    </w:p>
    <w:p>
      <w:pPr>
        <w:ind w:left="1300" w:right="20" w:hanging="442"/>
        <w:spacing w:after="0" w:line="238"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204" w:lineRule="exact"/>
        <w:rPr>
          <w:rFonts w:ascii="Arial" w:cs="Arial" w:eastAsia="Arial" w:hAnsi="Arial"/>
          <w:sz w:val="18"/>
          <w:szCs w:val="18"/>
          <w:color w:val="auto"/>
        </w:rPr>
      </w:pPr>
    </w:p>
    <w:p>
      <w:pPr>
        <w:ind w:left="1300" w:right="36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96"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225" w:lineRule="exact"/>
        <w:rPr>
          <w:rFonts w:ascii="Arial" w:cs="Arial" w:eastAsia="Arial" w:hAnsi="Arial"/>
          <w:sz w:val="18"/>
          <w:szCs w:val="18"/>
          <w:color w:val="auto"/>
        </w:rPr>
      </w:pPr>
    </w:p>
    <w:p>
      <w:pPr>
        <w:jc w:val="both"/>
        <w:ind w:left="1300" w:right="38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202"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225"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3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205" w:lineRule="exact"/>
        <w:rPr>
          <w:sz w:val="20"/>
          <w:szCs w:val="20"/>
          <w:color w:val="auto"/>
        </w:rPr>
      </w:pPr>
    </w:p>
    <w:p>
      <w:pPr>
        <w:jc w:val="both"/>
        <w:ind w:right="20" w:firstLine="576"/>
        <w:spacing w:after="0"/>
        <w:rPr>
          <w:sz w:val="20"/>
          <w:szCs w:val="20"/>
          <w:color w:val="auto"/>
        </w:rPr>
      </w:pPr>
      <w:r>
        <w:rPr>
          <w:rFonts w:ascii="Arial" w:cs="Arial" w:eastAsia="Arial" w:hAnsi="Arial"/>
          <w:sz w:val="18"/>
          <w:szCs w:val="18"/>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9" w:name="page30"/>
    <w:bookmarkEnd w:id="29"/>
    <w:p>
      <w:pPr>
        <w:jc w:val="both"/>
        <w:ind w:right="140"/>
        <w:spacing w:after="0"/>
        <w:rPr>
          <w:sz w:val="20"/>
          <w:szCs w:val="20"/>
          <w:color w:val="auto"/>
        </w:rPr>
      </w:pPr>
      <w:r>
        <w:rPr>
          <w:rFonts w:ascii="Arial" w:cs="Arial" w:eastAsia="Arial" w:hAnsi="Arial"/>
          <w:sz w:val="18"/>
          <w:szCs w:val="18"/>
          <w:color w:val="auto"/>
        </w:rPr>
        <w:t>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0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05"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9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30" w:name="page31"/>
    <w:bookmarkEnd w:id="30"/>
    <w:p>
      <w:pPr>
        <w:ind w:firstLine="576"/>
        <w:spacing w:after="0" w:line="236"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parallel to our potentially pivotal LIFT-AD clinical trial, we plan to initiate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potentially pivotal LIFT-AD trial if the results from the P300 Phase 2 clinical trial do not meet our expectations. The topline results of this P300 Phase 2 clinical trial will be based on a preliminary analysis of then-available data, and a more comprehensive and full review of the data may result in different conclusions, which could have a negative impact on our decisions regarding any additional trials for ATH-1017.</w:t>
      </w:r>
    </w:p>
    <w:p>
      <w:pPr>
        <w:spacing w:after="0" w:line="20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68" w:lineRule="exact"/>
        <w:rPr>
          <w:sz w:val="20"/>
          <w:szCs w:val="20"/>
          <w:color w:val="auto"/>
        </w:rPr>
      </w:pPr>
    </w:p>
    <w:p>
      <w:pPr>
        <w:ind w:right="580" w:firstLine="576"/>
        <w:spacing w:after="0"/>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95" w:lineRule="exact"/>
        <w:rPr>
          <w:sz w:val="20"/>
          <w:szCs w:val="20"/>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1" w:name="page32"/>
    <w:bookmarkEnd w:id="31"/>
    <w:p>
      <w:pPr>
        <w:ind w:left="1300" w:right="260" w:hanging="442"/>
        <w:spacing w:after="0" w:line="24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333"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28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68" w:lineRule="exact"/>
        <w:rPr>
          <w:sz w:val="20"/>
          <w:szCs w:val="20"/>
          <w:color w:val="auto"/>
        </w:rPr>
      </w:pPr>
    </w:p>
    <w:p>
      <w:pPr>
        <w:ind w:right="300" w:firstLine="576"/>
        <w:spacing w:after="0" w:line="238" w:lineRule="auto"/>
        <w:rPr>
          <w:sz w:val="20"/>
          <w:szCs w:val="20"/>
          <w:color w:val="auto"/>
        </w:rPr>
      </w:pPr>
      <w:r>
        <w:rPr>
          <w:rFonts w:ascii="Arial" w:cs="Arial" w:eastAsia="Arial" w:hAnsi="Arial"/>
          <w:sz w:val="18"/>
          <w:szCs w:val="18"/>
          <w:color w:val="auto"/>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205"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9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6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203"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90" w:right="419" w:bottom="1440" w:gutter="0" w:footer="0" w:header="0"/>
        </w:sectPr>
      </w:pPr>
    </w:p>
    <w:bookmarkStart w:id="32" w:name="page33"/>
    <w:bookmarkEnd w:id="32"/>
    <w:p>
      <w:pPr>
        <w:ind w:right="80" w:firstLine="576"/>
        <w:spacing w:after="0" w:line="237"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8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03"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prospectus titled “Business—Competition.”</w:t>
      </w:r>
    </w:p>
    <w:p>
      <w:pPr>
        <w:spacing w:after="0" w:line="29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8"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08"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9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9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68"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4" w:name="page35"/>
    <w:bookmarkEnd w:id="34"/>
    <w:p>
      <w:pPr>
        <w:ind w:left="58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333" w:lineRule="exact"/>
        <w:rPr>
          <w:sz w:val="20"/>
          <w:szCs w:val="20"/>
          <w:color w:val="auto"/>
        </w:rPr>
      </w:pPr>
    </w:p>
    <w:p>
      <w:pPr>
        <w:ind w:right="220" w:firstLine="576"/>
        <w:spacing w:after="0" w:line="23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9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99"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00" w:lineRule="exact"/>
        <w:rPr>
          <w:sz w:val="20"/>
          <w:szCs w:val="20"/>
          <w:color w:val="auto"/>
        </w:rPr>
      </w:pPr>
    </w:p>
    <w:p>
      <w:pPr>
        <w:spacing w:after="0" w:line="2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91" w:lineRule="exact"/>
        <w:rPr>
          <w:sz w:val="20"/>
          <w:szCs w:val="20"/>
          <w:color w:val="auto"/>
        </w:rPr>
      </w:pPr>
    </w:p>
    <w:p>
      <w:pPr>
        <w:ind w:right="1460"/>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0" w:lineRule="exact"/>
        <w:rPr>
          <w:sz w:val="20"/>
          <w:szCs w:val="20"/>
          <w:color w:val="auto"/>
        </w:rPr>
      </w:pPr>
    </w:p>
    <w:p>
      <w:pPr>
        <w:ind w:left="5460" w:right="3540" w:hanging="4602"/>
        <w:spacing w:after="0" w:line="637" w:lineRule="auto"/>
        <w:tabs>
          <w:tab w:leader="none" w:pos="1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35" w:name="page36"/>
    <w:bookmarkEnd w:id="35"/>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333"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88"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6" w:name="page37"/>
    <w:bookmarkEnd w:id="36"/>
    <w:p>
      <w:pPr>
        <w:ind w:right="20"/>
        <w:spacing w:after="0" w:line="236" w:lineRule="auto"/>
        <w:rPr>
          <w:sz w:val="20"/>
          <w:szCs w:val="20"/>
          <w:color w:val="auto"/>
        </w:rPr>
      </w:pPr>
      <w:r>
        <w:rPr>
          <w:rFonts w:ascii="Arial" w:cs="Arial" w:eastAsia="Arial" w:hAnsi="Arial"/>
          <w:sz w:val="18"/>
          <w:szCs w:val="18"/>
          <w:color w:val="auto"/>
        </w:rPr>
        <w:t>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100" w:lineRule="exact"/>
        <w:rPr>
          <w:sz w:val="20"/>
          <w:szCs w:val="20"/>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33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03"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37" w:name="page38"/>
    <w:bookmarkEnd w:id="37"/>
    <w:p>
      <w:pPr>
        <w:ind w:firstLine="576"/>
        <w:spacing w:after="0" w:line="238"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0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9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88"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213" w:lineRule="exact"/>
        <w:rPr>
          <w:sz w:val="20"/>
          <w:szCs w:val="20"/>
          <w:color w:val="auto"/>
        </w:rPr>
      </w:pPr>
    </w:p>
    <w:p>
      <w:pPr>
        <w:jc w:val="both"/>
        <w:ind w:right="320" w:firstLine="576"/>
        <w:spacing w:after="0"/>
        <w:rPr>
          <w:sz w:val="20"/>
          <w:szCs w:val="20"/>
          <w:color w:val="auto"/>
        </w:rPr>
      </w:pPr>
      <w:r>
        <w:rPr>
          <w:rFonts w:ascii="Arial" w:cs="Arial" w:eastAsia="Arial" w:hAnsi="Arial"/>
          <w:sz w:val="18"/>
          <w:szCs w:val="18"/>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8" w:name="page39"/>
    <w:bookmarkEnd w:id="38"/>
    <w:p>
      <w:pPr>
        <w:spacing w:after="0" w:line="236" w:lineRule="auto"/>
        <w:rPr>
          <w:sz w:val="20"/>
          <w:szCs w:val="20"/>
          <w:color w:val="auto"/>
        </w:rPr>
      </w:pPr>
      <w:r>
        <w:rPr>
          <w:rFonts w:ascii="Arial" w:cs="Arial" w:eastAsia="Arial" w:hAnsi="Arial"/>
          <w:sz w:val="18"/>
          <w:szCs w:val="18"/>
          <w:color w:val="auto"/>
        </w:rPr>
        <w:t>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1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88"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05"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300" w:right="300" w:hanging="442"/>
        <w:spacing w:after="0" w:line="246"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196" w:lineRule="exact"/>
        <w:rPr>
          <w:rFonts w:ascii="Arial" w:cs="Arial" w:eastAsia="Arial" w:hAnsi="Arial"/>
          <w:sz w:val="18"/>
          <w:szCs w:val="18"/>
          <w:color w:val="auto"/>
        </w:rPr>
      </w:pPr>
    </w:p>
    <w:p>
      <w:pPr>
        <w:ind w:left="1300" w:right="480" w:hanging="442"/>
        <w:spacing w:after="0" w:line="246"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9" w:name="page40"/>
    <w:bookmarkEnd w:id="39"/>
    <w:p>
      <w:pPr>
        <w:ind w:left="1300"/>
        <w:spacing w:after="0"/>
        <w:rPr>
          <w:sz w:val="20"/>
          <w:szCs w:val="20"/>
          <w:color w:val="auto"/>
        </w:rPr>
      </w:pPr>
      <w:r>
        <w:rPr>
          <w:rFonts w:ascii="Arial" w:cs="Arial" w:eastAsia="Arial" w:hAnsi="Arial"/>
          <w:sz w:val="18"/>
          <w:szCs w:val="18"/>
          <w:color w:val="auto"/>
        </w:rPr>
        <w:t>toxicities or other characteristics that preclude our obtaining marketing approval or prevent or limit commercial use;</w:t>
      </w:r>
    </w:p>
    <w:p>
      <w:pPr>
        <w:spacing w:after="0" w:line="225" w:lineRule="exact"/>
        <w:rPr>
          <w:sz w:val="20"/>
          <w:szCs w:val="20"/>
          <w:color w:val="auto"/>
        </w:rPr>
      </w:pPr>
    </w:p>
    <w:p>
      <w:pPr>
        <w:ind w:left="1300" w:right="200" w:hanging="442"/>
        <w:spacing w:after="0" w:line="24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196" w:lineRule="exact"/>
        <w:rPr>
          <w:rFonts w:ascii="Arial" w:cs="Arial" w:eastAsia="Arial" w:hAnsi="Arial"/>
          <w:sz w:val="18"/>
          <w:szCs w:val="18"/>
          <w:color w:val="auto"/>
        </w:rPr>
      </w:pPr>
    </w:p>
    <w:p>
      <w:pPr>
        <w:ind w:left="1300" w:right="460" w:hanging="442"/>
        <w:spacing w:after="0" w:line="24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196"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196" w:lineRule="exact"/>
        <w:rPr>
          <w:rFonts w:ascii="Arial" w:cs="Arial" w:eastAsia="Arial" w:hAnsi="Arial"/>
          <w:sz w:val="18"/>
          <w:szCs w:val="18"/>
          <w:color w:val="auto"/>
        </w:rPr>
      </w:pPr>
    </w:p>
    <w:p>
      <w:pPr>
        <w:ind w:left="1300" w:hanging="442"/>
        <w:spacing w:after="0" w:line="274"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74" w:lineRule="exact"/>
        <w:rPr>
          <w:rFonts w:ascii="Arial" w:cs="Arial" w:eastAsia="Arial" w:hAnsi="Arial"/>
          <w:sz w:val="17"/>
          <w:szCs w:val="17"/>
          <w:color w:val="auto"/>
        </w:rPr>
      </w:pPr>
    </w:p>
    <w:p>
      <w:pPr>
        <w:ind w:left="1300" w:right="40" w:hanging="442"/>
        <w:spacing w:after="0" w:line="24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305"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08"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9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88"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0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0" w:name="page41"/>
    <w:bookmarkEnd w:id="40"/>
    <w:p>
      <w:pPr>
        <w:ind w:right="40"/>
        <w:spacing w:after="0" w:line="238" w:lineRule="auto"/>
        <w:rPr>
          <w:sz w:val="20"/>
          <w:szCs w:val="20"/>
          <w:color w:val="auto"/>
        </w:rPr>
      </w:pPr>
      <w:r>
        <w:rPr>
          <w:rFonts w:ascii="Arial" w:cs="Arial" w:eastAsia="Arial" w:hAnsi="Arial"/>
          <w:sz w:val="18"/>
          <w:szCs w:val="18"/>
          <w:color w:val="auto"/>
        </w:rPr>
        <w:t>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205" w:lineRule="exact"/>
        <w:rPr>
          <w:sz w:val="20"/>
          <w:szCs w:val="20"/>
          <w:color w:val="auto"/>
        </w:rPr>
      </w:pPr>
    </w:p>
    <w:p>
      <w:pPr>
        <w:ind w:right="60" w:firstLine="576"/>
        <w:spacing w:after="0" w:line="235"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1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8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7"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41" w:name="page42"/>
    <w:bookmarkEnd w:id="41"/>
    <w:p>
      <w:pPr>
        <w:jc w:val="both"/>
        <w:ind w:right="60"/>
        <w:spacing w:after="0"/>
        <w:rPr>
          <w:sz w:val="20"/>
          <w:szCs w:val="20"/>
          <w:color w:val="auto"/>
        </w:rPr>
      </w:pPr>
      <w:r>
        <w:rPr>
          <w:rFonts w:ascii="Arial" w:cs="Arial" w:eastAsia="Arial" w:hAnsi="Arial"/>
          <w:sz w:val="18"/>
          <w:szCs w:val="18"/>
          <w:color w:val="auto"/>
        </w:rPr>
        <w:t>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26"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89" w:lineRule="exact"/>
        <w:rPr>
          <w:sz w:val="20"/>
          <w:szCs w:val="20"/>
          <w:color w:val="auto"/>
        </w:rPr>
      </w:pPr>
    </w:p>
    <w:p>
      <w:pPr>
        <w:ind w:left="1300" w:right="80" w:hanging="4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196"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196"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196"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225"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2" w:name="page43"/>
    <w:bookmarkEnd w:id="42"/>
    <w:p>
      <w:pPr>
        <w:ind w:right="420" w:firstLine="864"/>
        <w:spacing w:after="0" w:line="24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ability to attain or maintain profitable operations.</w:t>
      </w:r>
    </w:p>
    <w:p>
      <w:pPr>
        <w:spacing w:after="0" w:line="283"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83"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or GLP, regulations and 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98" w:lineRule="exact"/>
        <w:rPr>
          <w:sz w:val="20"/>
          <w:szCs w:val="20"/>
          <w:color w:val="auto"/>
        </w:rPr>
      </w:pPr>
    </w:p>
    <w:p>
      <w:pPr>
        <w:ind w:left="1300" w:right="520" w:hanging="442"/>
        <w:spacing w:after="0" w:line="24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96"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196" w:lineRule="exact"/>
        <w:rPr>
          <w:rFonts w:ascii="Arial" w:cs="Arial" w:eastAsia="Arial" w:hAnsi="Arial"/>
          <w:sz w:val="18"/>
          <w:szCs w:val="18"/>
          <w:color w:val="auto"/>
        </w:rPr>
      </w:pPr>
    </w:p>
    <w:p>
      <w:pPr>
        <w:ind w:left="1300" w:right="320" w:hanging="442"/>
        <w:spacing w:after="0" w:line="24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1300" w:right="280" w:hanging="442"/>
        <w:spacing w:after="0" w:line="24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ind w:right="240" w:firstLine="576"/>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2" w:lineRule="exact"/>
        <w:rPr>
          <w:sz w:val="20"/>
          <w:szCs w:val="20"/>
          <w:color w:val="auto"/>
        </w:rPr>
      </w:pPr>
    </w:p>
    <w:p>
      <w:pPr>
        <w:ind w:firstLine="576"/>
        <w:spacing w:after="0" w:line="261" w:lineRule="auto"/>
        <w:rPr>
          <w:sz w:val="20"/>
          <w:szCs w:val="20"/>
          <w:color w:val="auto"/>
        </w:rPr>
      </w:pPr>
      <w:r>
        <w:rPr>
          <w:rFonts w:ascii="Arial" w:cs="Arial" w:eastAsia="Arial" w:hAnsi="Arial"/>
          <w:sz w:val="17"/>
          <w:szCs w:val="17"/>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43" w:name="page44"/>
    <w:bookmarkEnd w:id="43"/>
    <w:p>
      <w:pPr>
        <w:ind w:right="140"/>
        <w:spacing w:after="0"/>
        <w:rPr>
          <w:sz w:val="20"/>
          <w:szCs w:val="20"/>
          <w:color w:val="auto"/>
        </w:rPr>
      </w:pPr>
      <w:r>
        <w:rPr>
          <w:rFonts w:ascii="Arial" w:cs="Arial" w:eastAsia="Arial" w:hAnsi="Arial"/>
          <w:sz w:val="18"/>
          <w:szCs w:val="18"/>
          <w:color w:val="auto"/>
        </w:rPr>
        <w:t>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03"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90"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90"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05" w:lineRule="exact"/>
        <w:rPr>
          <w:sz w:val="20"/>
          <w:szCs w:val="20"/>
          <w:color w:val="auto"/>
        </w:rPr>
      </w:pPr>
    </w:p>
    <w:p>
      <w:pPr>
        <w:ind w:right="20" w:firstLine="576"/>
        <w:spacing w:after="0" w:line="235"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44" w:name="page45"/>
    <w:bookmarkEnd w:id="44"/>
    <w:p>
      <w:pPr>
        <w:ind w:right="420"/>
        <w:spacing w:after="0" w:line="242"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93"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0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90"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68" w:lineRule="exact"/>
        <w:rPr>
          <w:sz w:val="20"/>
          <w:szCs w:val="20"/>
          <w:color w:val="auto"/>
        </w:rPr>
      </w:pPr>
    </w:p>
    <w:p>
      <w:pPr>
        <w:ind w:right="380" w:firstLine="576"/>
        <w:spacing w:after="0" w:line="23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97" w:lineRule="exact"/>
        <w:rPr>
          <w:sz w:val="20"/>
          <w:szCs w:val="20"/>
          <w:color w:val="auto"/>
        </w:rPr>
      </w:pPr>
    </w:p>
    <w:p>
      <w:pPr>
        <w:ind w:left="130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to our manufacturing arrangements;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modifications to product labeling;</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45" w:name="page46"/>
    <w:bookmarkEnd w:id="45"/>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recall or discontinuation of our products; or</w:t>
      </w:r>
    </w:p>
    <w:p>
      <w:pPr>
        <w:spacing w:after="0" w:line="225"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305"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213" w:lineRule="exact"/>
        <w:rPr>
          <w:sz w:val="20"/>
          <w:szCs w:val="20"/>
          <w:color w:val="auto"/>
        </w:rPr>
      </w:pPr>
    </w:p>
    <w:p>
      <w:pPr>
        <w:ind w:right="20" w:firstLine="576"/>
        <w:spacing w:after="0" w:line="235"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TCJA,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TCJA,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has allocated one hour for oral arguments, which are expected to occur in the fall. It is unclear how such litigation and other efforts to repeal and replace the ACA will impact the ACA and our business. Litigation and legislation over the ACA are likely to continue, with unpredictable and uncertain results.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214"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6" w:name="page47"/>
    <w:bookmarkEnd w:id="46"/>
    <w:p>
      <w:pPr>
        <w:spacing w:after="0" w:line="238" w:lineRule="auto"/>
        <w:rPr>
          <w:sz w:val="20"/>
          <w:szCs w:val="20"/>
          <w:color w:val="auto"/>
        </w:rPr>
      </w:pPr>
      <w:r>
        <w:rPr>
          <w:rFonts w:ascii="Arial" w:cs="Arial" w:eastAsia="Arial" w:hAnsi="Arial"/>
          <w:sz w:val="18"/>
          <w:szCs w:val="18"/>
          <w:color w:val="auto"/>
        </w:rPr>
        <w:t>California on October 25, 2017. Further, on June 14, 2018, the U.S. Court of Appeals for the Federal Circuit ruled that the federal government was not required to pay to third-party payors more than $12 billion in ACA risk corridor payments that they argued were owed to them. This was appealed to the U.S. Supreme Court, who reversed the Federal Circuit’s decision on April 27, 2020, and ruled that the government must make risk corridor payments.</w:t>
      </w:r>
    </w:p>
    <w:p>
      <w:pPr>
        <w:spacing w:after="0" w:line="205"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repealed the Cadillac tax,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213"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In addition, other legislative changes have been proposed and adopted since the ACA was enacted.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w:t>
      </w:r>
    </w:p>
    <w:p>
      <w:pPr>
        <w:spacing w:after="0" w:line="205" w:lineRule="exact"/>
        <w:rPr>
          <w:sz w:val="20"/>
          <w:szCs w:val="20"/>
          <w:color w:val="auto"/>
        </w:rPr>
      </w:pPr>
    </w:p>
    <w:p>
      <w:pPr>
        <w:ind w:right="360" w:firstLine="576"/>
        <w:spacing w:after="0" w:line="238"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7" w:name="page48"/>
    <w:bookmarkEnd w:id="47"/>
    <w:p>
      <w:pPr>
        <w:ind w:firstLine="576"/>
        <w:spacing w:after="0" w:line="236"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7"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0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94" w:lineRule="exact"/>
        <w:rPr>
          <w:sz w:val="20"/>
          <w:szCs w:val="20"/>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333" w:lineRule="exact"/>
        <w:rPr>
          <w:sz w:val="20"/>
          <w:szCs w:val="20"/>
          <w:color w:val="auto"/>
        </w:rPr>
      </w:pPr>
    </w:p>
    <w:p>
      <w:pPr>
        <w:ind w:right="380" w:firstLine="576"/>
        <w:spacing w:after="0" w:line="24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-1050925</wp:posOffset>
            </wp:positionV>
            <wp:extent cx="317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7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48" w:name="page49"/>
    <w:bookmarkEnd w:id="48"/>
    <w:p>
      <w:pPr>
        <w:ind w:right="80"/>
        <w:spacing w:after="0" w:line="247" w:lineRule="auto"/>
        <w:rPr>
          <w:sz w:val="20"/>
          <w:szCs w:val="20"/>
          <w:color w:val="auto"/>
        </w:rPr>
      </w:pPr>
      <w:r>
        <w:rPr>
          <w:rFonts w:ascii="Arial" w:cs="Arial" w:eastAsia="Arial" w:hAnsi="Arial"/>
          <w:sz w:val="18"/>
          <w:szCs w:val="18"/>
          <w:b w:val="1"/>
          <w:bCs w:val="1"/>
          <w:i w:val="1"/>
          <w:iCs w:val="1"/>
          <w:color w:val="auto"/>
        </w:rPr>
        <w:t>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88"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ind w:left="1300" w:right="40" w:hanging="442"/>
        <w:spacing w:after="0" w:line="23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203" w:lineRule="exact"/>
        <w:rPr>
          <w:rFonts w:ascii="Arial" w:cs="Arial" w:eastAsia="Arial" w:hAnsi="Arial"/>
          <w:sz w:val="18"/>
          <w:szCs w:val="18"/>
          <w:color w:val="auto"/>
        </w:rPr>
      </w:pPr>
    </w:p>
    <w:p>
      <w:pPr>
        <w:ind w:left="1300" w:right="60" w:hanging="442"/>
        <w:spacing w:after="0" w:line="23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204" w:lineRule="exact"/>
        <w:rPr>
          <w:rFonts w:ascii="Arial" w:cs="Arial" w:eastAsia="Arial" w:hAnsi="Arial"/>
          <w:sz w:val="18"/>
          <w:szCs w:val="18"/>
          <w:color w:val="auto"/>
        </w:rPr>
      </w:pPr>
    </w:p>
    <w:p>
      <w:pPr>
        <w:ind w:left="1300" w:hanging="442"/>
        <w:spacing w:after="0" w:line="23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ind w:left="1300" w:hanging="442"/>
        <w:spacing w:after="0" w:line="23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07" w:lineRule="exact"/>
        <w:rPr>
          <w:rFonts w:ascii="Arial" w:cs="Arial" w:eastAsia="Arial" w:hAnsi="Arial"/>
          <w:sz w:val="18"/>
          <w:szCs w:val="18"/>
          <w:color w:val="auto"/>
        </w:rPr>
      </w:pPr>
    </w:p>
    <w:p>
      <w:pPr>
        <w:ind w:left="1300" w:hanging="442"/>
        <w:spacing w:after="0" w:line="23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 value made and ownership interests held during the previous year to certain non-physician providers such as physician assistants and nurse practitioners.</w:t>
      </w:r>
    </w:p>
    <w:p>
      <w:pPr>
        <w:spacing w:after="0" w:line="207" w:lineRule="exact"/>
        <w:rPr>
          <w:rFonts w:ascii="Arial" w:cs="Arial" w:eastAsia="Arial" w:hAnsi="Arial"/>
          <w:sz w:val="18"/>
          <w:szCs w:val="18"/>
          <w:color w:val="auto"/>
        </w:rPr>
      </w:pPr>
    </w:p>
    <w:p>
      <w:pPr>
        <w:ind w:left="1300" w:right="360" w:hanging="442"/>
        <w:spacing w:after="0" w:line="24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96" w:lineRule="exact"/>
        <w:rPr>
          <w:rFonts w:ascii="Arial" w:cs="Arial" w:eastAsia="Arial" w:hAnsi="Arial"/>
          <w:sz w:val="18"/>
          <w:szCs w:val="18"/>
          <w:color w:val="auto"/>
        </w:rPr>
      </w:pPr>
    </w:p>
    <w:p>
      <w:pPr>
        <w:ind w:left="1300" w:hanging="442"/>
        <w:spacing w:after="0" w:line="23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312"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0" w:name="page51"/>
    <w:bookmarkEnd w:id="50"/>
    <w:p>
      <w:pPr>
        <w:ind w:right="440"/>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83" w:lineRule="exact"/>
        <w:rPr>
          <w:sz w:val="20"/>
          <w:szCs w:val="20"/>
          <w:color w:val="auto"/>
        </w:rPr>
      </w:pPr>
    </w:p>
    <w:p>
      <w:pPr>
        <w:ind w:right="40" w:firstLine="576"/>
        <w:spacing w:after="0" w:line="23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9"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68"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recent decision by the Court of Justice for the European Union that invalidated the EU-U.S. Privacy Shield. This may increase the complexity of transferring personal data across borders.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ind w:firstLine="576"/>
        <w:spacing w:after="0" w:line="237" w:lineRule="auto"/>
        <w:rPr>
          <w:sz w:val="20"/>
          <w:szCs w:val="20"/>
          <w:color w:val="auto"/>
        </w:rPr>
      </w:pPr>
      <w:r>
        <w:rPr>
          <w:rFonts w:ascii="Arial" w:cs="Arial" w:eastAsia="Arial" w:hAnsi="Arial"/>
          <w:sz w:val="18"/>
          <w:szCs w:val="18"/>
          <w:color w:val="auto"/>
        </w:rPr>
        <w:t>Further, the vote in the United Kingdom, or UK, in favor of exiting the EU, referred to as Brexit, has created uncertainty with regard to data protection regulation in the UK. Specifically, while the Data Protection Act of 2018, that “implements” and complements the GDPR achieved Royal Assent on May 23, 2018 and is now effective in the UK, aspects of data protection in the UK, such as the transfer of data from the EEA to the UK, remain uncertain. During the period of “transition” (i.e., until December 31, 2020), EU law will continue to apply in the UK, including the GDPR, after which the GDPR will be converted into UK law.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203"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Moreover, a new privacy law, the California Privacy Rights Act, or CPRA, was recently certified by the California Secretary of State to appear on the ballot for the November 3, 2020 election. If this initiative is approved by California voters, the CPRA would significantly modify the CCPA, potentially resulting in further uncertainty and requiring us to incur additional costs and expenses in an effort to comply. The CCPA and, if it goes into effect, the CPRA, may impact our business activities and exemplifies the vulnerability of our business to the evolving regulatory environment related to personal data and protected health information.</w:t>
      </w:r>
    </w:p>
    <w:p>
      <w:pPr>
        <w:spacing w:after="0" w:line="205"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9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8" w:lineRule="exact"/>
        <w:rPr>
          <w:sz w:val="20"/>
          <w:szCs w:val="20"/>
          <w:color w:val="auto"/>
        </w:rPr>
      </w:pPr>
    </w:p>
    <w:p>
      <w:pPr>
        <w:jc w:val="both"/>
        <w:ind w:right="80" w:firstLine="576"/>
        <w:spacing w:after="0" w:line="23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2" w:name="page53"/>
    <w:bookmarkEnd w:id="52"/>
    <w:p>
      <w:pPr>
        <w:ind w:right="520" w:firstLine="576"/>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7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68"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212529"/>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Our ability to use net operating losses to offset future taxable income may be subject to certain limitations.</w:t>
      </w:r>
    </w:p>
    <w:p>
      <w:pPr>
        <w:spacing w:after="0" w:line="126"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212529"/>
        </w:rPr>
        <w:t>As of December 31, 2019, we had federal net operating loss carryforwards, or NOLs, to offset future taxable income of approximately $9.4 million and federal tax credit carryforwards of approximately 1.0 million. The federal NOLs generated during and after fiscal 2018 totaling $9.2 million are carried forward indefinitely, while all others, if not utilized, will expire in various years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3" w:name="page54"/>
    <w:bookmarkEnd w:id="53"/>
    <w:p>
      <w:pPr>
        <w:ind w:right="20"/>
        <w:spacing w:after="0" w:line="237" w:lineRule="auto"/>
        <w:rPr>
          <w:sz w:val="20"/>
          <w:szCs w:val="20"/>
          <w:color w:val="auto"/>
        </w:rPr>
      </w:pPr>
      <w:r>
        <w:rPr>
          <w:rFonts w:ascii="Arial" w:cs="Arial" w:eastAsia="Arial" w:hAnsi="Arial"/>
          <w:sz w:val="18"/>
          <w:szCs w:val="18"/>
          <w:color w:val="212529"/>
        </w:rPr>
        <w:t>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 and Jobs Act amendments to the Code. We have recorded a full valuation allowance related to our NOLs and other deferred tax assets due to the uncertainty of the ultimate realization of the future benefits of those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83" w:lineRule="exact"/>
        <w:rPr>
          <w:sz w:val="20"/>
          <w:szCs w:val="20"/>
          <w:color w:val="auto"/>
        </w:rPr>
      </w:pPr>
    </w:p>
    <w:p>
      <w:pPr>
        <w:ind w:right="400" w:firstLine="576"/>
        <w:spacing w:after="0" w:line="246"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197" w:lineRule="exact"/>
        <w:rPr>
          <w:sz w:val="20"/>
          <w:szCs w:val="20"/>
          <w:color w:val="auto"/>
        </w:rPr>
      </w:pPr>
    </w:p>
    <w:p>
      <w:pPr>
        <w:ind w:right="20" w:firstLine="576"/>
        <w:spacing w:after="0" w:line="235"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1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4" w:name="page55"/>
    <w:bookmarkEnd w:id="54"/>
    <w:p>
      <w:pPr>
        <w:ind w:right="160" w:firstLine="576"/>
        <w:spacing w:after="0"/>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8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8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6" w:lineRule="exact"/>
        <w:rPr>
          <w:sz w:val="20"/>
          <w:szCs w:val="20"/>
          <w:color w:val="auto"/>
        </w:rPr>
      </w:pPr>
    </w:p>
    <w:p>
      <w:pPr>
        <w:ind w:left="1300" w:right="14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202"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225" w:lineRule="exact"/>
        <w:rPr>
          <w:rFonts w:ascii="Arial" w:cs="Arial" w:eastAsia="Arial" w:hAnsi="Arial"/>
          <w:sz w:val="18"/>
          <w:szCs w:val="18"/>
          <w:color w:val="auto"/>
        </w:rPr>
      </w:pPr>
    </w:p>
    <w:p>
      <w:pPr>
        <w:ind w:left="1300" w:right="640" w:hanging="442"/>
        <w:spacing w:after="0" w:line="246"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225"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196"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55" w:name="page56"/>
    <w:bookmarkEnd w:id="55"/>
    <w:p>
      <w:pPr>
        <w:ind w:right="20"/>
        <w:spacing w:after="0" w:line="236" w:lineRule="auto"/>
        <w:rPr>
          <w:sz w:val="20"/>
          <w:szCs w:val="20"/>
          <w:color w:val="auto"/>
        </w:rPr>
      </w:pPr>
      <w:r>
        <w:rPr>
          <w:rFonts w:ascii="Arial" w:cs="Arial" w:eastAsia="Arial" w:hAnsi="Arial"/>
          <w:sz w:val="18"/>
          <w:szCs w:val="18"/>
          <w:color w:val="auto"/>
        </w:rPr>
        <w:t>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89"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8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6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6" w:name="page57"/>
    <w:bookmarkEnd w:id="56"/>
    <w:p>
      <w:pPr>
        <w:ind w:right="180"/>
        <w:spacing w:after="0" w:line="301" w:lineRule="auto"/>
        <w:rPr>
          <w:sz w:val="20"/>
          <w:szCs w:val="20"/>
          <w:color w:val="auto"/>
        </w:rPr>
      </w:pPr>
      <w:r>
        <w:rPr>
          <w:rFonts w:ascii="Arial" w:cs="Arial" w:eastAsia="Arial" w:hAnsi="Arial"/>
          <w:sz w:val="17"/>
          <w:szCs w:val="17"/>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4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0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20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3"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89" w:lineRule="exact"/>
        <w:rPr>
          <w:sz w:val="20"/>
          <w:szCs w:val="20"/>
          <w:color w:val="auto"/>
        </w:rPr>
      </w:pPr>
    </w:p>
    <w:p>
      <w:pPr>
        <w:ind w:left="130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225" w:lineRule="exact"/>
        <w:rPr>
          <w:rFonts w:ascii="Arial" w:cs="Arial" w:eastAsia="Arial" w:hAnsi="Arial"/>
          <w:sz w:val="18"/>
          <w:szCs w:val="18"/>
          <w:color w:val="auto"/>
        </w:rPr>
      </w:pPr>
    </w:p>
    <w:p>
      <w:pPr>
        <w:ind w:left="1300" w:right="140" w:hanging="442"/>
        <w:spacing w:after="0" w:line="238"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204" w:lineRule="exact"/>
        <w:rPr>
          <w:rFonts w:ascii="Arial" w:cs="Arial" w:eastAsia="Arial" w:hAnsi="Arial"/>
          <w:sz w:val="18"/>
          <w:szCs w:val="18"/>
          <w:color w:val="auto"/>
        </w:rPr>
      </w:pPr>
    </w:p>
    <w:p>
      <w:pPr>
        <w:ind w:left="1300" w:right="320" w:hanging="442"/>
        <w:spacing w:after="0" w:line="274"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74" w:lineRule="exact"/>
        <w:rPr>
          <w:rFonts w:ascii="Arial" w:cs="Arial" w:eastAsia="Arial" w:hAnsi="Arial"/>
          <w:sz w:val="17"/>
          <w:szCs w:val="17"/>
          <w:color w:val="auto"/>
        </w:rPr>
      </w:pPr>
    </w:p>
    <w:p>
      <w:pPr>
        <w:ind w:left="1300" w:right="120" w:hanging="442"/>
        <w:spacing w:after="0" w:line="246"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196" w:lineRule="exact"/>
        <w:rPr>
          <w:rFonts w:ascii="Arial" w:cs="Arial" w:eastAsia="Arial" w:hAnsi="Arial"/>
          <w:sz w:val="18"/>
          <w:szCs w:val="18"/>
          <w:color w:val="auto"/>
        </w:rPr>
      </w:pPr>
    </w:p>
    <w:p>
      <w:pPr>
        <w:ind w:left="1300" w:right="400" w:hanging="442"/>
        <w:spacing w:after="0" w:line="246"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196" w:lineRule="exact"/>
        <w:rPr>
          <w:rFonts w:ascii="Arial" w:cs="Arial" w:eastAsia="Arial" w:hAnsi="Arial"/>
          <w:sz w:val="18"/>
          <w:szCs w:val="18"/>
          <w:color w:val="auto"/>
        </w:rPr>
      </w:pPr>
    </w:p>
    <w:p>
      <w:pPr>
        <w:ind w:left="1300" w:right="48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02" w:lineRule="exact"/>
        <w:rPr>
          <w:rFonts w:ascii="Arial" w:cs="Arial" w:eastAsia="Arial" w:hAnsi="Arial"/>
          <w:sz w:val="18"/>
          <w:szCs w:val="18"/>
          <w:color w:val="auto"/>
        </w:rPr>
      </w:pPr>
    </w:p>
    <w:p>
      <w:pPr>
        <w:ind w:left="1300" w:right="6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7" w:name="page58"/>
    <w:bookmarkEnd w:id="57"/>
    <w:p>
      <w:pPr>
        <w:ind w:left="1300" w:right="20" w:hanging="442"/>
        <w:spacing w:after="0" w:line="246"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196" w:lineRule="exact"/>
        <w:rPr>
          <w:rFonts w:ascii="Arial" w:cs="Arial" w:eastAsia="Arial" w:hAnsi="Arial"/>
          <w:sz w:val="18"/>
          <w:szCs w:val="18"/>
          <w:color w:val="auto"/>
        </w:rPr>
      </w:pPr>
    </w:p>
    <w:p>
      <w:pPr>
        <w:ind w:left="1300" w:right="300" w:hanging="442"/>
        <w:spacing w:after="0" w:line="246"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3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8"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95" w:lineRule="exact"/>
        <w:rPr>
          <w:sz w:val="20"/>
          <w:szCs w:val="20"/>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1300" w:right="260" w:hanging="442"/>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196"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25"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196"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305" w:lineRule="exact"/>
        <w:rPr>
          <w:sz w:val="20"/>
          <w:szCs w:val="20"/>
          <w:color w:val="auto"/>
        </w:rPr>
      </w:pPr>
    </w:p>
    <w:p>
      <w:pPr>
        <w:ind w:right="360" w:firstLine="864"/>
        <w:spacing w:after="0" w:line="24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26" w:lineRule="exact"/>
        <w:rPr>
          <w:sz w:val="20"/>
          <w:szCs w:val="20"/>
          <w:color w:val="auto"/>
        </w:rPr>
      </w:pPr>
    </w:p>
    <w:p>
      <w:pPr>
        <w:ind w:right="340" w:firstLine="576"/>
        <w:spacing w:after="0" w:line="246"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8" w:name="page59"/>
    <w:bookmarkEnd w:id="58"/>
    <w:p>
      <w:pPr>
        <w:ind w:right="120"/>
        <w:spacing w:after="0" w:line="238" w:lineRule="auto"/>
        <w:rPr>
          <w:sz w:val="20"/>
          <w:szCs w:val="20"/>
          <w:color w:val="auto"/>
        </w:rPr>
      </w:pPr>
      <w:r>
        <w:rPr>
          <w:rFonts w:ascii="Arial" w:cs="Arial" w:eastAsia="Arial" w:hAnsi="Arial"/>
          <w:sz w:val="18"/>
          <w:szCs w:val="18"/>
          <w:color w:val="auto"/>
        </w:rPr>
        <w:t>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05" w:lineRule="exact"/>
        <w:rPr>
          <w:sz w:val="20"/>
          <w:szCs w:val="20"/>
          <w:color w:val="auto"/>
        </w:rPr>
      </w:pPr>
    </w:p>
    <w:p>
      <w:pPr>
        <w:ind w:right="240" w:firstLine="576"/>
        <w:spacing w:after="0" w:line="238"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2" w:lineRule="exact"/>
        <w:rPr>
          <w:sz w:val="20"/>
          <w:szCs w:val="20"/>
          <w:color w:val="auto"/>
        </w:rPr>
      </w:pPr>
    </w:p>
    <w:p>
      <w:pPr>
        <w:ind w:right="260" w:firstLine="576"/>
        <w:spacing w:after="0" w:line="238"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02" w:lineRule="exact"/>
        <w:rPr>
          <w:sz w:val="20"/>
          <w:szCs w:val="20"/>
          <w:color w:val="auto"/>
        </w:rPr>
      </w:pPr>
    </w:p>
    <w:p>
      <w:pPr>
        <w:ind w:right="200" w:firstLine="576"/>
        <w:spacing w:after="0" w:line="237" w:lineRule="auto"/>
        <w:rPr>
          <w:sz w:val="20"/>
          <w:szCs w:val="20"/>
          <w:color w:val="auto"/>
        </w:rPr>
      </w:pPr>
      <w:r>
        <w:rPr>
          <w:rFonts w:ascii="Arial" w:cs="Arial" w:eastAsia="Arial" w:hAnsi="Arial"/>
          <w:sz w:val="18"/>
          <w:szCs w:val="18"/>
          <w:color w:val="auto"/>
        </w:rPr>
        <w:t>We own or in-license nine U.S. issued patents, own or in-license one U.S. pending patent application, own or in-license 12 patents issued in jurisdictions outside of the United States, and own or in-license nine pending patent applications in jurisdictions outside of the United States. However, 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205" w:lineRule="exact"/>
        <w:rPr>
          <w:sz w:val="20"/>
          <w:szCs w:val="20"/>
          <w:color w:val="auto"/>
        </w:rPr>
      </w:pPr>
    </w:p>
    <w:p>
      <w:pPr>
        <w:ind w:right="220" w:firstLine="576"/>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95" w:lineRule="exact"/>
        <w:rPr>
          <w:sz w:val="20"/>
          <w:szCs w:val="20"/>
          <w:color w:val="auto"/>
        </w:rPr>
      </w:pPr>
    </w:p>
    <w:p>
      <w:pPr>
        <w:ind w:left="1300" w:right="560" w:hanging="442"/>
        <w:spacing w:after="0" w:line="238"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4"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96" w:lineRule="exact"/>
        <w:rPr>
          <w:rFonts w:ascii="Arial" w:cs="Arial" w:eastAsia="Arial" w:hAnsi="Arial"/>
          <w:sz w:val="18"/>
          <w:szCs w:val="18"/>
          <w:color w:val="auto"/>
        </w:rPr>
      </w:pPr>
    </w:p>
    <w:p>
      <w:pPr>
        <w:ind w:left="1300" w:right="18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202"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202"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9" w:name="page60"/>
    <w:bookmarkEnd w:id="59"/>
    <w:p>
      <w:pPr>
        <w:ind w:firstLine="576"/>
        <w:spacing w:after="0" w:line="238" w:lineRule="auto"/>
        <w:rPr>
          <w:sz w:val="20"/>
          <w:szCs w:val="20"/>
          <w:color w:val="auto"/>
        </w:rPr>
      </w:pPr>
      <w:r>
        <w:rPr>
          <w:rFonts w:ascii="Arial" w:cs="Arial" w:eastAsia="Arial" w:hAnsi="Arial"/>
          <w:sz w:val="18"/>
          <w:szCs w:val="18"/>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p>
    <w:p>
      <w:pPr>
        <w:spacing w:after="0" w:line="205"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05" w:lineRule="exact"/>
        <w:rPr>
          <w:sz w:val="20"/>
          <w:szCs w:val="20"/>
          <w:color w:val="auto"/>
        </w:rPr>
      </w:pPr>
    </w:p>
    <w:p>
      <w:pPr>
        <w:ind w:right="200" w:firstLine="576"/>
        <w:spacing w:after="0"/>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8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8" w:lineRule="exact"/>
        <w:rPr>
          <w:sz w:val="20"/>
          <w:szCs w:val="20"/>
          <w:color w:val="auto"/>
        </w:rPr>
      </w:pPr>
    </w:p>
    <w:p>
      <w:pPr>
        <w:ind w:right="120" w:firstLine="576"/>
        <w:spacing w:after="0" w:line="257"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189"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208"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or the patents of any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60" w:name="page61"/>
    <w:bookmarkEnd w:id="60"/>
    <w:p>
      <w:pPr>
        <w:ind w:right="20"/>
        <w:spacing w:after="0"/>
        <w:rPr>
          <w:sz w:val="20"/>
          <w:szCs w:val="20"/>
          <w:color w:val="auto"/>
        </w:rPr>
      </w:pPr>
      <w:r>
        <w:rPr>
          <w:rFonts w:ascii="Arial" w:cs="Arial" w:eastAsia="Arial" w:hAnsi="Arial"/>
          <w:sz w:val="18"/>
          <w:szCs w:val="18"/>
          <w:color w:val="auto"/>
        </w:rPr>
        <w:t>management, even if the eventual outcome is favorable to us. In addition, if the breadth or strength of protection provided by our patents and patent applications or the patents and patent applications of any future licensors is threatened, regardless of the outcome, it could dissuade companies from collaborating with us to license, develop, or commercialize current or future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26" w:lineRule="exact"/>
        <w:rPr>
          <w:sz w:val="20"/>
          <w:szCs w:val="20"/>
          <w:color w:val="auto"/>
        </w:rPr>
      </w:pPr>
    </w:p>
    <w:p>
      <w:pPr>
        <w:ind w:right="540" w:firstLine="576"/>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1300" w:right="200" w:hanging="442"/>
        <w:spacing w:after="0" w:line="24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196"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any future licensors or collaborators might not have been the first to make the inventions covered by the issued patents or patent application that we own or license;</w:t>
      </w:r>
    </w:p>
    <w:p>
      <w:pPr>
        <w:spacing w:after="0" w:line="196"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any future licensors or collaborators might not have been the first to file patent applications covering certain of our inventions;</w:t>
      </w:r>
    </w:p>
    <w:p>
      <w:pPr>
        <w:spacing w:after="0" w:line="196" w:lineRule="exact"/>
        <w:rPr>
          <w:rFonts w:ascii="Arial" w:cs="Arial" w:eastAsia="Arial" w:hAnsi="Arial"/>
          <w:sz w:val="18"/>
          <w:szCs w:val="18"/>
          <w:color w:val="auto"/>
        </w:rPr>
      </w:pPr>
    </w:p>
    <w:p>
      <w:pPr>
        <w:ind w:left="1300" w:right="160" w:hanging="442"/>
        <w:spacing w:after="0" w:line="24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225" w:lineRule="exact"/>
        <w:rPr>
          <w:rFonts w:ascii="Arial" w:cs="Arial" w:eastAsia="Arial" w:hAnsi="Arial"/>
          <w:sz w:val="18"/>
          <w:szCs w:val="18"/>
          <w:color w:val="auto"/>
        </w:rPr>
      </w:pPr>
    </w:p>
    <w:p>
      <w:pPr>
        <w:ind w:left="1300" w:right="900" w:hanging="442"/>
        <w:spacing w:after="0" w:line="24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96" w:lineRule="exact"/>
        <w:rPr>
          <w:rFonts w:ascii="Arial" w:cs="Arial" w:eastAsia="Arial" w:hAnsi="Arial"/>
          <w:sz w:val="18"/>
          <w:szCs w:val="18"/>
          <w:color w:val="auto"/>
        </w:rPr>
      </w:pPr>
    </w:p>
    <w:p>
      <w:pPr>
        <w:ind w:left="1300" w:hanging="442"/>
        <w:spacing w:after="0" w:line="274" w:lineRule="auto"/>
        <w:tabs>
          <w:tab w:leader="none" w:pos="1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4" w:lineRule="exact"/>
        <w:rPr>
          <w:rFonts w:ascii="Arial" w:cs="Arial" w:eastAsia="Arial" w:hAnsi="Arial"/>
          <w:sz w:val="17"/>
          <w:szCs w:val="17"/>
          <w:color w:val="auto"/>
        </w:rPr>
      </w:pPr>
    </w:p>
    <w:p>
      <w:pPr>
        <w:ind w:left="1300" w:hanging="44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1300" w:right="1060" w:hanging="442"/>
        <w:spacing w:after="0" w:line="24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83"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61" w:name="page62"/>
    <w:bookmarkEnd w:id="61"/>
    <w:p>
      <w:pPr>
        <w:ind w:right="20" w:firstLine="576"/>
        <w:spacing w:after="0" w:line="236"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96" w:lineRule="exact"/>
        <w:rPr>
          <w:sz w:val="20"/>
          <w:szCs w:val="20"/>
          <w:color w:val="auto"/>
        </w:rPr>
      </w:pPr>
    </w:p>
    <w:p>
      <w:pPr>
        <w:ind w:left="1300" w:hanging="44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25" w:lineRule="exact"/>
        <w:rPr>
          <w:rFonts w:ascii="Arial" w:cs="Arial" w:eastAsia="Arial" w:hAnsi="Arial"/>
          <w:sz w:val="18"/>
          <w:szCs w:val="18"/>
          <w:color w:val="auto"/>
        </w:rPr>
      </w:pPr>
    </w:p>
    <w:p>
      <w:pPr>
        <w:ind w:left="1300" w:right="280" w:hanging="442"/>
        <w:spacing w:after="0" w:line="246"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225"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305"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214"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2" w:name="page63"/>
    <w:bookmarkEnd w:id="62"/>
    <w:p>
      <w:pPr>
        <w:ind w:right="38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68" w:lineRule="exact"/>
        <w:rPr>
          <w:sz w:val="20"/>
          <w:szCs w:val="20"/>
          <w:color w:val="auto"/>
        </w:rPr>
      </w:pPr>
    </w:p>
    <w:p>
      <w:pPr>
        <w:ind w:right="360" w:firstLine="576"/>
        <w:spacing w:after="0" w:line="248"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future licensors’ patents, which could be expensive, time consuming and unsuccessful. Further, our issued patents or any future licensors’ patents could be found invalid or unenforceable if challenged in court.</w:t>
      </w:r>
    </w:p>
    <w:p>
      <w:pPr>
        <w:spacing w:after="0" w:line="8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07"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07"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future licensors’ patent invalid. There is no assurance that all 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 of a claim in our patent and patent applications or the patent and patent applications of any future licensors, which may, nonetheless, ultimately be found to affect the validity or enforceability of a claim.</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3" w:name="page64"/>
    <w:bookmarkEnd w:id="63"/>
    <w:p>
      <w:pPr>
        <w:ind w:right="60" w:firstLine="576"/>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02"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7"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2" w:lineRule="exact"/>
        <w:rPr>
          <w:sz w:val="20"/>
          <w:szCs w:val="20"/>
          <w:color w:val="auto"/>
        </w:rPr>
      </w:pPr>
    </w:p>
    <w:p>
      <w:pPr>
        <w:ind w:right="400" w:firstLine="576"/>
        <w:spacing w:after="0" w:line="24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8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64" w:name="page65"/>
    <w:bookmarkEnd w:id="64"/>
    <w:p>
      <w:pPr>
        <w:ind w:right="20"/>
        <w:spacing w:after="0" w:line="301" w:lineRule="auto"/>
        <w:rPr>
          <w:sz w:val="20"/>
          <w:szCs w:val="20"/>
          <w:color w:val="auto"/>
        </w:rPr>
      </w:pPr>
      <w:r>
        <w:rPr>
          <w:rFonts w:ascii="Arial" w:cs="Arial" w:eastAsia="Arial" w:hAnsi="Arial"/>
          <w:sz w:val="17"/>
          <w:szCs w:val="17"/>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45"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20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2"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29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3" w:lineRule="exact"/>
        <w:rPr>
          <w:sz w:val="20"/>
          <w:szCs w:val="20"/>
          <w:color w:val="auto"/>
        </w:rPr>
      </w:pPr>
    </w:p>
    <w:p>
      <w:pPr>
        <w:ind w:right="380" w:firstLine="576"/>
        <w:spacing w:after="0" w:line="238"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5" w:name="page66"/>
    <w:bookmarkEnd w:id="65"/>
    <w:p>
      <w:pPr>
        <w:ind w:right="300"/>
        <w:spacing w:after="0" w:line="274" w:lineRule="auto"/>
        <w:rPr>
          <w:sz w:val="20"/>
          <w:szCs w:val="20"/>
          <w:color w:val="auto"/>
        </w:rPr>
      </w:pPr>
      <w:r>
        <w:rPr>
          <w:rFonts w:ascii="Arial" w:cs="Arial" w:eastAsia="Arial" w:hAnsi="Arial"/>
          <w:sz w:val="17"/>
          <w:szCs w:val="17"/>
          <w:color w:val="auto"/>
        </w:rPr>
        <w:t>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26" w:lineRule="exact"/>
        <w:rPr>
          <w:sz w:val="20"/>
          <w:szCs w:val="20"/>
          <w:color w:val="auto"/>
        </w:rPr>
      </w:pPr>
    </w:p>
    <w:p>
      <w:pPr>
        <w:ind w:right="40" w:firstLine="576"/>
        <w:spacing w:after="0" w:line="235"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126" w:lineRule="exact"/>
        <w:rPr>
          <w:sz w:val="20"/>
          <w:szCs w:val="20"/>
          <w:color w:val="auto"/>
        </w:rPr>
      </w:pPr>
    </w:p>
    <w:p>
      <w:pPr>
        <w:ind w:right="40" w:firstLine="576"/>
        <w:spacing w:after="0" w:line="261" w:lineRule="auto"/>
        <w:rPr>
          <w:sz w:val="20"/>
          <w:szCs w:val="20"/>
          <w:color w:val="auto"/>
        </w:rPr>
      </w:pPr>
      <w:r>
        <w:rPr>
          <w:rFonts w:ascii="Arial" w:cs="Arial" w:eastAsia="Arial" w:hAnsi="Arial"/>
          <w:sz w:val="17"/>
          <w:szCs w:val="17"/>
          <w:color w:val="auto"/>
        </w:rPr>
        <w:t>We own or in-license nine U.S. issued patents and own one U.S. pending patent application, as well as 12 in-licensed patents issued in jurisdictions outside of the United States, two in-licensed pending patent applications in jurisdictions outside of the United States, and seven owned patent applications pending in jurisdictions outside of the United States. However, filing, prosecuting and defending patents 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66" w:name="page67"/>
    <w:bookmarkEnd w:id="66"/>
    <w:p>
      <w:pPr>
        <w:ind w:right="20"/>
        <w:spacing w:after="0" w:line="236" w:lineRule="auto"/>
        <w:rPr>
          <w:sz w:val="20"/>
          <w:szCs w:val="20"/>
          <w:color w:val="auto"/>
        </w:rPr>
      </w:pPr>
      <w:r>
        <w:rPr>
          <w:rFonts w:ascii="Arial" w:cs="Arial" w:eastAsia="Arial" w:hAnsi="Arial"/>
          <w:sz w:val="18"/>
          <w:szCs w:val="18"/>
          <w:color w:val="auto"/>
        </w:rPr>
        <w:t>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20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7"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8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8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9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8" w:lineRule="exact"/>
        <w:rPr>
          <w:sz w:val="20"/>
          <w:szCs w:val="20"/>
          <w:color w:val="auto"/>
        </w:rPr>
      </w:pPr>
    </w:p>
    <w:p>
      <w:pPr>
        <w:ind w:right="700" w:firstLine="576"/>
        <w:spacing w:after="0" w:line="246"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7" w:name="page68"/>
    <w:bookmarkEnd w:id="67"/>
    <w:p>
      <w:pPr>
        <w:ind w:right="20"/>
        <w:spacing w:after="0" w:line="236" w:lineRule="auto"/>
        <w:rPr>
          <w:sz w:val="20"/>
          <w:szCs w:val="20"/>
          <w:color w:val="auto"/>
        </w:rPr>
      </w:pPr>
      <w:r>
        <w:rPr>
          <w:rFonts w:ascii="Arial" w:cs="Arial" w:eastAsia="Arial" w:hAnsi="Arial"/>
          <w:sz w:val="18"/>
          <w:szCs w:val="18"/>
          <w:color w:val="auto"/>
        </w:rPr>
        <w:t>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ind w:right="260" w:firstLine="576"/>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8" w:lineRule="exact"/>
        <w:rPr>
          <w:sz w:val="20"/>
          <w:szCs w:val="20"/>
          <w:color w:val="auto"/>
        </w:rPr>
      </w:pPr>
    </w:p>
    <w:p>
      <w:pPr>
        <w:ind w:right="200" w:firstLine="576"/>
        <w:spacing w:after="0" w:line="237"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06" w:lineRule="exact"/>
        <w:rPr>
          <w:sz w:val="20"/>
          <w:szCs w:val="20"/>
          <w:color w:val="auto"/>
        </w:rPr>
      </w:pPr>
    </w:p>
    <w:p>
      <w:pPr>
        <w:jc w:val="both"/>
        <w:ind w:right="120" w:firstLine="576"/>
        <w:spacing w:after="0"/>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8" w:name="page69"/>
    <w:bookmarkEnd w:id="68"/>
    <w:p>
      <w:pPr>
        <w:ind w:right="20"/>
        <w:spacing w:after="0"/>
        <w:rPr>
          <w:sz w:val="20"/>
          <w:szCs w:val="20"/>
          <w:color w:val="auto"/>
        </w:rPr>
      </w:pPr>
      <w:r>
        <w:rPr>
          <w:rFonts w:ascii="Arial" w:cs="Arial" w:eastAsia="Arial" w:hAnsi="Arial"/>
          <w:sz w:val="18"/>
          <w:szCs w:val="18"/>
          <w:color w:val="auto"/>
        </w:rPr>
        <w:t>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89"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8"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4"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205"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20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02"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98" w:right="439" w:bottom="1440" w:gutter="0" w:footer="0" w:header="0"/>
        </w:sectPr>
      </w:pPr>
    </w:p>
    <w:bookmarkStart w:id="69" w:name="page70"/>
    <w:bookmarkEnd w:id="69"/>
    <w:p>
      <w:pPr>
        <w:ind w:right="20"/>
        <w:spacing w:after="0" w:line="274" w:lineRule="auto"/>
        <w:rPr>
          <w:sz w:val="20"/>
          <w:szCs w:val="20"/>
          <w:color w:val="auto"/>
        </w:rPr>
      </w:pPr>
      <w:r>
        <w:rPr>
          <w:rFonts w:ascii="Arial" w:cs="Arial" w:eastAsia="Arial" w:hAnsi="Arial"/>
          <w:sz w:val="17"/>
          <w:szCs w:val="17"/>
          <w:color w:val="auto"/>
        </w:rPr>
        <w:t>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61"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83" w:lineRule="exact"/>
        <w:rPr>
          <w:sz w:val="20"/>
          <w:szCs w:val="20"/>
          <w:color w:val="auto"/>
        </w:rPr>
      </w:pPr>
    </w:p>
    <w:p>
      <w:pPr>
        <w:ind w:right="420" w:firstLine="576"/>
        <w:spacing w:after="0" w:line="24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89" w:lineRule="exact"/>
        <w:rPr>
          <w:sz w:val="20"/>
          <w:szCs w:val="20"/>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1300" w:right="440" w:hanging="442"/>
        <w:spacing w:after="0" w:line="246"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225"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33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0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26"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70" w:name="page71"/>
    <w:bookmarkEnd w:id="70"/>
    <w:p>
      <w:pPr>
        <w:ind w:right="140"/>
        <w:spacing w:after="0"/>
        <w:rPr>
          <w:sz w:val="20"/>
          <w:szCs w:val="20"/>
          <w:color w:val="auto"/>
        </w:rPr>
      </w:pPr>
      <w:r>
        <w:rPr>
          <w:rFonts w:ascii="Arial" w:cs="Arial" w:eastAsia="Arial" w:hAnsi="Arial"/>
          <w:sz w:val="18"/>
          <w:szCs w:val="18"/>
          <w:color w:val="auto"/>
        </w:rPr>
        <w:t>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w:t>
      </w:r>
    </w:p>
    <w:p>
      <w:pPr>
        <w:spacing w:after="0" w:line="1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in” rights, certain reporting requirements and a preference for U.S.-based companies. Compliance with such regulations may limit our exclusive rights and limit our ability to contract with non-U.S. manufacturers.</w:t>
      </w:r>
    </w:p>
    <w:p>
      <w:pPr>
        <w:spacing w:after="0" w:line="89"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 and Ownership of Our Common Stock</w:t>
      </w:r>
    </w:p>
    <w:p>
      <w:pPr>
        <w:spacing w:after="0" w:line="10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what the market price of our common stock will be, and, as a result, it may be difficult for you to sell your shares of our common stock.</w:t>
      </w:r>
    </w:p>
    <w:p>
      <w:pPr>
        <w:spacing w:after="0" w:line="68"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Before this offering, there was no public trading market for our common stock. 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1" w:name="page72"/>
    <w:bookmarkEnd w:id="71"/>
    <w:p>
      <w:pPr>
        <w:spacing w:after="0" w:line="271"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68"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The initial public offering price for our common stock was determined through negotiations with the underwriters. This initial public offering price may differ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97" w:lineRule="exact"/>
        <w:rPr>
          <w:sz w:val="20"/>
          <w:szCs w:val="20"/>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nonclinical studies and clinical trials and, in particular, our LIFT-AD and P300 clinical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25" w:lineRule="exact"/>
        <w:rPr>
          <w:rFonts w:ascii="Arial" w:cs="Arial" w:eastAsia="Arial" w:hAnsi="Arial"/>
          <w:sz w:val="18"/>
          <w:szCs w:val="18"/>
          <w:color w:val="auto"/>
        </w:rPr>
      </w:pPr>
    </w:p>
    <w:p>
      <w:pPr>
        <w:ind w:left="1300" w:right="400" w:hanging="442"/>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225" w:lineRule="exact"/>
        <w:rPr>
          <w:rFonts w:ascii="Arial" w:cs="Arial" w:eastAsia="Arial" w:hAnsi="Arial"/>
          <w:sz w:val="18"/>
          <w:szCs w:val="18"/>
          <w:color w:val="auto"/>
        </w:rPr>
      </w:pPr>
    </w:p>
    <w:p>
      <w:pPr>
        <w:ind w:left="1300" w:right="1140" w:hanging="442"/>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25" w:lineRule="exact"/>
        <w:rPr>
          <w:rFonts w:ascii="Arial" w:cs="Arial" w:eastAsia="Arial" w:hAnsi="Arial"/>
          <w:sz w:val="18"/>
          <w:szCs w:val="18"/>
          <w:color w:val="auto"/>
        </w:rPr>
      </w:pPr>
    </w:p>
    <w:p>
      <w:pPr>
        <w:ind w:left="1300" w:right="160" w:hanging="442"/>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380" w:firstLine="576"/>
        <w:spacing w:after="0" w:line="238"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72" w:name="page73"/>
    <w:bookmarkEnd w:id="72"/>
    <w:p>
      <w:pPr>
        <w:ind w:right="80"/>
        <w:spacing w:after="0" w:line="238" w:lineRule="auto"/>
        <w:rPr>
          <w:sz w:val="20"/>
          <w:szCs w:val="20"/>
          <w:color w:val="auto"/>
        </w:rPr>
      </w:pPr>
      <w:r>
        <w:rPr>
          <w:rFonts w:ascii="Arial" w:cs="Arial" w:eastAsia="Arial" w:hAnsi="Arial"/>
          <w:sz w:val="18"/>
          <w:szCs w:val="18"/>
          <w:color w:val="auto"/>
        </w:rPr>
        <w:t>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8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68" w:lineRule="exact"/>
        <w:rPr>
          <w:sz w:val="20"/>
          <w:szCs w:val="20"/>
          <w:color w:val="auto"/>
        </w:rPr>
      </w:pPr>
    </w:p>
    <w:p>
      <w:pPr>
        <w:ind w:right="220" w:firstLine="576"/>
        <w:spacing w:after="0" w:line="24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 effect to the conversion of all outstanding shares of our convertible preferred stock and the exercise of outstanding</w:t>
      </w:r>
    </w:p>
    <w:p>
      <w:pPr>
        <w:spacing w:after="0"/>
        <w:tabs>
          <w:tab w:leader="none" w:pos="3020" w:val="left"/>
          <w:tab w:leader="none" w:pos="6040" w:val="left"/>
        </w:tabs>
        <w:rPr>
          <w:sz w:val="20"/>
          <w:szCs w:val="20"/>
          <w:color w:val="auto"/>
        </w:rPr>
      </w:pPr>
      <w:r>
        <w:rPr>
          <w:rFonts w:ascii="Arial" w:cs="Arial" w:eastAsia="Arial" w:hAnsi="Arial"/>
          <w:sz w:val="18"/>
          <w:szCs w:val="18"/>
          <w:color w:val="auto"/>
        </w:rPr>
        <w:t>warrants into an aggregate of</w:t>
      </w:r>
      <w:r>
        <w:rPr>
          <w:sz w:val="20"/>
          <w:szCs w:val="20"/>
          <w:color w:val="auto"/>
        </w:rPr>
        <w:tab/>
      </w:r>
      <w:r>
        <w:rPr>
          <w:rFonts w:ascii="Arial" w:cs="Arial" w:eastAsia="Arial" w:hAnsi="Arial"/>
          <w:sz w:val="18"/>
          <w:szCs w:val="18"/>
          <w:color w:val="auto"/>
        </w:rPr>
        <w:t>shares of our common stock,</w:t>
      </w:r>
      <w:r>
        <w:rPr>
          <w:sz w:val="20"/>
          <w:szCs w:val="20"/>
          <w:color w:val="auto"/>
        </w:rPr>
        <w:tab/>
      </w:r>
      <w:r>
        <w:rPr>
          <w:rFonts w:ascii="Arial" w:cs="Arial" w:eastAsia="Arial" w:hAnsi="Arial"/>
          <w:sz w:val="17"/>
          <w:szCs w:val="17"/>
          <w:color w:val="auto"/>
        </w:rPr>
        <w:t>shares of our common stock will be outstanding, or</w:t>
      </w:r>
    </w:p>
    <w:p>
      <w:pPr>
        <w:spacing w:after="0" w:line="234" w:lineRule="auto"/>
        <w:rPr>
          <w:sz w:val="20"/>
          <w:szCs w:val="20"/>
          <w:color w:val="auto"/>
        </w:rPr>
      </w:pPr>
      <w:r>
        <w:rPr>
          <w:rFonts w:ascii="Arial" w:cs="Arial" w:eastAsia="Arial" w:hAnsi="Arial"/>
          <w:sz w:val="18"/>
          <w:szCs w:val="18"/>
          <w:color w:val="auto"/>
        </w:rPr>
        <w:t>shares of common stock if the underwriters exercise their option to purchase additional shares in full, based on our shares outstanding as of</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June 30, 2020. Of these shares, the shares we are selling in this offering, or shares if the underwriters exercise their option to purchase additional shares in full, may be resold in the public market immediately. The remaining shares, or % of our outstanding shares after this offering, or % of our outstanding shares after this offering if the underwriters exercise their option to</w:t>
      </w:r>
    </w:p>
    <w:p>
      <w:pPr>
        <w:spacing w:after="0" w:line="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purchase additional shares in full,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these shares will be able to be sold in the public market beginning 180 days after the date of this prospectus.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 See the section of this prospectus titled “Shares Eligible for Future Sale” for additional information.</w:t>
      </w:r>
    </w:p>
    <w:p>
      <w:pPr>
        <w:spacing w:after="0" w:line="207"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Moreover, upon completion of this offering, the holders of approximately shares of our common stock will be eligible to exercise certain rights, subject to various conditions and limitations,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“Underwriting.” If any of these additional shares are sold, or if it is perceived that they will be sold, in the public market, the market price of our common stock could decline.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3" w:name="page74"/>
    <w:bookmarkEnd w:id="73"/>
    <w:p>
      <w:pPr>
        <w:ind w:right="20"/>
        <w:spacing w:after="0" w:line="271"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After this offering, our directors, executive officers, holders of more than 5% of our outstanding common stock and their respective</w:t>
      </w:r>
    </w:p>
    <w:p>
      <w:pPr>
        <w:ind w:right="60"/>
        <w:spacing w:after="0" w:line="238" w:lineRule="auto"/>
        <w:rPr>
          <w:sz w:val="20"/>
          <w:szCs w:val="20"/>
          <w:color w:val="auto"/>
        </w:rPr>
      </w:pPr>
      <w:r>
        <w:rPr>
          <w:rFonts w:ascii="Arial" w:cs="Arial" w:eastAsia="Arial" w:hAnsi="Arial"/>
          <w:sz w:val="18"/>
          <w:szCs w:val="18"/>
          <w:color w:val="auto"/>
        </w:rPr>
        <w:t>affiliates will beneficially own shares representing approximately % of our outstanding common stock, or % of our common stock if the underwriters exercise their option to purchase additional shares in full.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9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8" w:lineRule="exact"/>
        <w:rPr>
          <w:sz w:val="20"/>
          <w:szCs w:val="20"/>
          <w:color w:val="auto"/>
        </w:rPr>
      </w:pPr>
    </w:p>
    <w:p>
      <w:pPr>
        <w:ind w:right="60" w:firstLine="576"/>
        <w:spacing w:after="0" w:line="235"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ind w:right="380"/>
        <w:spacing w:after="0" w:line="271"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76" w:lineRule="exact"/>
        <w:rPr>
          <w:sz w:val="20"/>
          <w:szCs w:val="20"/>
          <w:color w:val="auto"/>
        </w:rPr>
      </w:pPr>
    </w:p>
    <w:p>
      <w:pPr>
        <w:ind w:firstLine="569"/>
        <w:spacing w:after="0" w:line="236" w:lineRule="auto"/>
        <w:rPr>
          <w:sz w:val="20"/>
          <w:szCs w:val="20"/>
          <w:color w:val="auto"/>
        </w:rPr>
      </w:pPr>
      <w:r>
        <w:rPr>
          <w:rFonts w:ascii="Arial" w:cs="Arial" w:eastAsia="Arial" w:hAnsi="Arial"/>
          <w:sz w:val="18"/>
          <w:szCs w:val="18"/>
          <w:color w:val="auto"/>
        </w:rPr>
        <w:t>As a public company, we will operate in an increasingly demanding regulatory environment, which requires us to comply with the Sarbanes-Oxley Act of 2002, or the Sarbanes-Oxley Act, the regulations of the Nasdaq Global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this offering is completed,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Prior to this offering, we have never been required to test our internal controls within a specified period and, as a result, we may experience difficulty in meeting these reporting requirements in a timely manner.</w:t>
      </w:r>
    </w:p>
    <w:p>
      <w:pPr>
        <w:spacing w:after="0" w:line="206" w:lineRule="exact"/>
        <w:rPr>
          <w:sz w:val="20"/>
          <w:szCs w:val="20"/>
          <w:color w:val="auto"/>
        </w:rPr>
      </w:pPr>
    </w:p>
    <w:p>
      <w:pPr>
        <w:ind w:right="20" w:firstLine="569"/>
        <w:spacing w:after="0" w:line="236"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5" w:lineRule="exact"/>
        <w:rPr>
          <w:sz w:val="20"/>
          <w:szCs w:val="20"/>
          <w:color w:val="auto"/>
        </w:rPr>
      </w:pPr>
    </w:p>
    <w:p>
      <w:pPr>
        <w:ind w:right="40" w:firstLine="569"/>
        <w:spacing w:after="0" w:line="257"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75"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68"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As a public company, we will be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03"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5" w:name="page76"/>
    <w:bookmarkEnd w:id="75"/>
    <w:p>
      <w:pPr>
        <w:ind w:right="160" w:firstLine="576"/>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We will have broad discretion in the application of the net proceeds, including for any of the purposes described in the section of this prospectus titled “Use of Proceeds.” We may spend a portion or all of the net proceeds from this offering in ways that our stockholders may not desire or that may not yield a favorable return. Any failure by us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29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6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Provisions of our certificate of incorporation and bylaws that will become effective immediately prior to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ectPr>
          <w:pgSz w:w="11900" w:h="16838" w:orient="portrait"/>
          <w:cols w:equalWidth="0" w:num="1">
            <w:col w:w="11220"/>
          </w:cols>
          <w:pgMar w:left="320" w:top="598" w:right="359" w:bottom="1440" w:gutter="0" w:footer="0" w:header="0"/>
        </w:sectPr>
      </w:pPr>
    </w:p>
    <w:p>
      <w:pPr>
        <w:spacing w:after="0" w:line="8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permit the board of directors to issue up to they may designate;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shares of preferred stock, with any rights, preferences and privileges as</w:t>
      </w:r>
    </w:p>
    <w:p>
      <w:pPr>
        <w:spacing w:after="0" w:line="425" w:lineRule="exact"/>
        <w:rPr>
          <w:sz w:val="20"/>
          <w:szCs w:val="20"/>
          <w:color w:val="auto"/>
        </w:rPr>
      </w:pPr>
    </w:p>
    <w:p>
      <w:pPr>
        <w:sectPr>
          <w:pgSz w:w="11900" w:h="16838" w:orient="portrait"/>
          <w:cols w:equalWidth="0" w:num="3">
            <w:col w:w="920" w:space="380"/>
            <w:col w:w="3360" w:space="660"/>
            <w:col w:w="5900"/>
          </w:cols>
          <w:pgMar w:left="320" w:top="598" w:right="359" w:bottom="1440" w:gutter="0" w:footer="0" w:header="0"/>
          <w:type w:val="continuous"/>
        </w:sect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25"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225" w:lineRule="exact"/>
        <w:rPr>
          <w:rFonts w:ascii="Arial" w:cs="Arial" w:eastAsia="Arial" w:hAnsi="Arial"/>
          <w:sz w:val="18"/>
          <w:szCs w:val="18"/>
          <w:color w:val="auto"/>
        </w:rPr>
      </w:pPr>
    </w:p>
    <w:p>
      <w:pPr>
        <w:ind w:left="1300" w:right="68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196" w:lineRule="exact"/>
        <w:rPr>
          <w:rFonts w:ascii="Arial" w:cs="Arial" w:eastAsia="Arial" w:hAnsi="Arial"/>
          <w:sz w:val="18"/>
          <w:szCs w:val="18"/>
          <w:color w:val="auto"/>
        </w:rPr>
      </w:pPr>
    </w:p>
    <w:p>
      <w:pPr>
        <w:ind w:left="1300" w:right="54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202"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196"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type w:val="continuous"/>
        </w:sectPr>
      </w:pPr>
    </w:p>
    <w:bookmarkStart w:id="76" w:name="page77"/>
    <w:bookmarkEnd w:id="76"/>
    <w:p>
      <w:pPr>
        <w:jc w:val="both"/>
        <w:ind w:left="1300" w:right="6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311"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8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83" w:lineRule="exact"/>
        <w:rPr>
          <w:sz w:val="20"/>
          <w:szCs w:val="20"/>
          <w:color w:val="auto"/>
        </w:rPr>
      </w:pPr>
    </w:p>
    <w:p>
      <w:pPr>
        <w:ind w:right="200" w:firstLine="576"/>
        <w:spacing w:after="0" w:line="237" w:lineRule="auto"/>
        <w:rPr>
          <w:sz w:val="20"/>
          <w:szCs w:val="20"/>
          <w:color w:val="auto"/>
        </w:rPr>
      </w:pPr>
      <w:r>
        <w:rPr>
          <w:rFonts w:ascii="Arial" w:cs="Arial" w:eastAsia="Arial" w:hAnsi="Arial"/>
          <w:sz w:val="18"/>
          <w:szCs w:val="18"/>
          <w:color w:val="auto"/>
        </w:rPr>
        <w:t>Our certificate of incorporation that will become effective immediately prior to the closing of this offering provides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certificate of incorporation that will become effective immediately prior to the closing of this offering further provides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certificate of incorporation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7" w:name="page78"/>
    <w:bookmarkEnd w:id="77"/>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This prospectus contains forward-looking statements that are based on our management’s beliefs and assumptions and on information currently available to our management. Some of the statements in the sections of this prospectus titled “Prospectus Summary,” “Risk Factors,” “Management’s Discussion and Analysis of Financial Condition and Results of Operations” and “Business” and elsewhere in this prospectus contain forward-looking statements. 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w:t>
      </w:r>
    </w:p>
    <w:p>
      <w:pPr>
        <w:spacing w:after="0" w:line="203"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94" w:lineRule="exact"/>
        <w:rPr>
          <w:sz w:val="20"/>
          <w:szCs w:val="20"/>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1300" w:right="440" w:hanging="442"/>
        <w:spacing w:after="0" w:line="24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sufficiency of our existing cash and cash equivalents to fund our future operating expenses and capital expenditure requirements;</w:t>
      </w:r>
    </w:p>
    <w:p>
      <w:pPr>
        <w:spacing w:after="0" w:line="196"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25"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78" w:name="page79"/>
    <w:bookmarkEnd w:id="78"/>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beneficial characteristics, safety and efficacy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w:t>
      </w:r>
    </w:p>
    <w:p>
      <w:pPr>
        <w:spacing w:after="0" w:line="225"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225"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196"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96"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196" w:lineRule="exact"/>
        <w:rPr>
          <w:rFonts w:ascii="Arial" w:cs="Arial" w:eastAsia="Arial" w:hAnsi="Arial"/>
          <w:sz w:val="18"/>
          <w:szCs w:val="18"/>
          <w:color w:val="auto"/>
        </w:rPr>
      </w:pPr>
    </w:p>
    <w:p>
      <w:pPr>
        <w:ind w:left="1300" w:right="34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potential benefits of any strategic collaboration agreements we may enter into;</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anticipated use of the proceeds from this offering;</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333"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MARKET, INDUSTRY AND OTHER DATA</w:t>
      </w:r>
    </w:p>
    <w:p>
      <w:pPr>
        <w:spacing w:after="0" w:line="234"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This prospectus contains estimates, projections and other information concerning market, industry and other data. We obtained this data from our own internal estimates and research and from academic and industry research, publications, surveys, and studies conducted by third parties, including governmental agencies. In some cases, we do not expressly refer to the sources from which these data are derived. These data involve a number of assumptions and limitations, are subject to risks and uncertainties, and are subject to change based on various factors, including those discussed in the section of this prospectus titled “Risk Factors” and elsewhere in this prospectus. These and other factors could cause results to differ materially from those expressed in the estimates made by the independent parties and by us. You are therefore cautioned not to give undue weight to such information. We have not independently verified any third-party information. While we believe such information included in this prospectus is generally reliable, it is inherently imprecise.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60" w:firstLine="864"/>
        <w:spacing w:after="0" w:line="234" w:lineRule="auto"/>
        <w:rPr>
          <w:sz w:val="20"/>
          <w:szCs w:val="20"/>
          <w:color w:val="auto"/>
        </w:rPr>
      </w:pPr>
      <w:r>
        <w:rPr>
          <w:rFonts w:ascii="Arial" w:cs="Arial" w:eastAsia="Arial" w:hAnsi="Arial"/>
          <w:sz w:val="18"/>
          <w:szCs w:val="18"/>
          <w:color w:val="auto"/>
        </w:rPr>
        <w:t>We estimate that the net proceeds from this offering will be approximately $ million (or $ million if the underwriters exercise their option to purchase additional shares in full), assuming an initial offering price of $ per share, which is the midpoint of the price range</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set forth on the cover page of this prospectus, and after deducting underwriting discounts and commissions and offering expenses payable by us.</w:t>
      </w:r>
    </w:p>
    <w:p>
      <w:pPr>
        <w:spacing w:after="0" w:line="197" w:lineRule="exact"/>
        <w:rPr>
          <w:sz w:val="20"/>
          <w:szCs w:val="20"/>
          <w:color w:val="auto"/>
        </w:rPr>
      </w:pPr>
    </w:p>
    <w:p>
      <w:pPr>
        <w:ind w:right="100" w:firstLine="864"/>
        <w:spacing w:after="0" w:line="234" w:lineRule="auto"/>
        <w:rPr>
          <w:sz w:val="20"/>
          <w:szCs w:val="20"/>
          <w:color w:val="auto"/>
        </w:rPr>
      </w:pPr>
      <w:r>
        <w:rPr>
          <w:rFonts w:ascii="Arial" w:cs="Arial" w:eastAsia="Arial" w:hAnsi="Arial"/>
          <w:sz w:val="18"/>
          <w:szCs w:val="18"/>
          <w:color w:val="auto"/>
        </w:rPr>
        <w:t>Each $1.00 increase or decrease in the assumed initial public offering price of $ per share would increase or decrease, as applicable, the net proceeds to us from this offering by $ million, assuming the number of shares offered by us, as set forth on the cover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page of this prospectus, remains the same and after deducting the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 million, assuming that the assumed initial public offering price remains the same and after deducting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accelerate the time when we need to seek additional capital.</w:t>
      </w:r>
    </w:p>
    <w:p>
      <w:pPr>
        <w:spacing w:after="0" w:line="203" w:lineRule="exact"/>
        <w:rPr>
          <w:sz w:val="20"/>
          <w:szCs w:val="20"/>
          <w:color w:val="auto"/>
        </w:rPr>
      </w:pPr>
    </w:p>
    <w:p>
      <w:pPr>
        <w:ind w:right="100" w:firstLine="864"/>
        <w:spacing w:after="0" w:line="238"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establish a public market for our common stock and to facilitate future access to the public equity markets by us, our employees and our stockholders, obtain additional capital to support our operations and increase our visibility in the marketplace. We currently intend to use the net proceeds from this offering together with our existing cash and cash equivalents as follows:</w:t>
      </w:r>
    </w:p>
    <w:p>
      <w:pPr>
        <w:spacing w:after="0" w:line="205" w:lineRule="exact"/>
        <w:rPr>
          <w:sz w:val="20"/>
          <w:szCs w:val="20"/>
          <w:color w:val="auto"/>
        </w:rPr>
      </w:pPr>
    </w:p>
    <w:p>
      <w:pPr>
        <w:ind w:left="1300" w:right="20" w:hanging="442"/>
        <w:spacing w:after="0" w:line="24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 million to fund our planned LIFT-AD potentially pivotal trial of ATH-1017 and our planned P300 Phase 2 trial of ATH-1017, each for the treatment of mild-to-moderate Alzheimer’s disease;</w:t>
      </w:r>
    </w:p>
    <w:p>
      <w:pPr>
        <w:spacing w:after="0" w:line="196" w:lineRule="exact"/>
        <w:rPr>
          <w:rFonts w:ascii="Arial" w:cs="Arial" w:eastAsia="Arial" w:hAnsi="Arial"/>
          <w:sz w:val="18"/>
          <w:szCs w:val="18"/>
          <w:color w:val="auto"/>
        </w:rPr>
      </w:pPr>
    </w:p>
    <w:p>
      <w:pPr>
        <w:ind w:left="1300" w:right="780" w:hanging="442"/>
        <w:spacing w:after="0" w:line="24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 million to fund our planned Phase 2 trial of ATH-1017 for the treatment of Parkinson’s disease dementia;</w:t>
      </w:r>
    </w:p>
    <w:p>
      <w:pPr>
        <w:spacing w:after="0" w:line="196"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 million to fund our IND-enabling studies of ATH-1019 for the treatment of neuropsychiatric indications and ATH-1018 for the treatment of neuropathy; and</w:t>
      </w:r>
    </w:p>
    <w:p>
      <w:pPr>
        <w:spacing w:after="0" w:line="196"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remainder for our other research and development activities, as well as for working capital and other general corporate purposes.</w:t>
      </w:r>
    </w:p>
    <w:p>
      <w:pPr>
        <w:spacing w:after="0" w:line="305" w:lineRule="exact"/>
        <w:rPr>
          <w:sz w:val="20"/>
          <w:szCs w:val="20"/>
          <w:color w:val="auto"/>
        </w:rPr>
      </w:pPr>
    </w:p>
    <w:p>
      <w:pPr>
        <w:ind w:right="240" w:firstLine="864"/>
        <w:spacing w:after="0" w:line="238" w:lineRule="auto"/>
        <w:rPr>
          <w:sz w:val="20"/>
          <w:szCs w:val="20"/>
          <w:color w:val="auto"/>
        </w:rPr>
      </w:pPr>
      <w:r>
        <w:rPr>
          <w:rFonts w:ascii="Arial" w:cs="Arial" w:eastAsia="Arial" w:hAnsi="Arial"/>
          <w:sz w:val="18"/>
          <w:szCs w:val="18"/>
          <w:color w:val="auto"/>
        </w:rPr>
        <w:t>The estimated amounts set forth above do not include any related payments that may be due under our collaboration and grant agreements, including the $1.5 million payable to Washington Life Sciences Discovery Fund upon the completion of this offering. For additional details regarding our collaboration and grant agreements, see the section of this prospectus titled “Business—Our Collaboration and Grant Agreements,” as well as our financial statements and related notes included elsewhere in this prospectus.</w:t>
      </w:r>
    </w:p>
    <w:p>
      <w:pPr>
        <w:spacing w:after="0" w:line="205" w:lineRule="exact"/>
        <w:rPr>
          <w:sz w:val="20"/>
          <w:szCs w:val="20"/>
          <w:color w:val="auto"/>
        </w:rPr>
      </w:pPr>
    </w:p>
    <w:p>
      <w:pPr>
        <w:ind w:right="20" w:firstLine="864"/>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on our current plans and business conditions, which could change in the future as our plans and business conditions evolve. Further, due to the uncertainties inherent in the small molecule development process, it is difficult to estimate with certainty the exact amounts of the net proceeds from this offering that may be used for the above purposes. We may also use a portion of our net proceeds to acquire or invest in complementary products, technologies, or businesses. However, we currently have no agreements or commitments to do so. As a result, 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number, scope and success of our nonclinical studies and clinical trials, and the timing and success of any regulatory submissions.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1" w:name="page82"/>
    <w:bookmarkEnd w:id="81"/>
    <w:p>
      <w:pPr>
        <w:ind w:left="880"/>
        <w:spacing w:after="0"/>
        <w:rPr>
          <w:sz w:val="20"/>
          <w:szCs w:val="20"/>
          <w:color w:val="auto"/>
        </w:rPr>
      </w:pPr>
      <w:r>
        <w:rPr>
          <w:rFonts w:ascii="Arial" w:cs="Arial" w:eastAsia="Arial" w:hAnsi="Arial"/>
          <w:sz w:val="18"/>
          <w:szCs w:val="18"/>
          <w:color w:val="auto"/>
        </w:rPr>
        <w:t>Based upon our current operating plan, we estimate that our existing cash and cash equivalents and the anticipated net proceeds</w:t>
      </w:r>
    </w:p>
    <w:p>
      <w:pPr>
        <w:spacing w:after="0" w:line="248" w:lineRule="auto"/>
        <w:rPr>
          <w:sz w:val="20"/>
          <w:szCs w:val="20"/>
          <w:color w:val="auto"/>
        </w:rPr>
      </w:pPr>
      <w:r>
        <w:rPr>
          <w:rFonts w:ascii="Arial" w:cs="Arial" w:eastAsia="Arial" w:hAnsi="Arial"/>
          <w:sz w:val="17"/>
          <w:szCs w:val="17"/>
          <w:color w:val="auto"/>
        </w:rPr>
        <w:t>from this offering, will be sufficient to fund our operating expenses and capital expenditure requirements for at least the next months. In particular, we expect that the net proceeds from this offering will fund us through receipt of topline data readouts for our planned LIFT-AD potentially pivotal trial of ATH-1017 and our planned P300 Phase 2 trial of ATH-1017, each for the treatment of mild-to-moderate AD, as well as IND-enabling studies and IND applications for ATH-1019 for the treatment of neuropsychiatric indications including depression and anxiety and ATH-1018 for the treatment of neuropathy. In addition, if the data from our planned LIFT-AD clinical trial, P300 clinical trial, or both lead us to decide to initiate additional trials for ATH-1017 for the treatment of AD, we currently estimate the cost of such additional trial will be</w:t>
      </w:r>
    </w:p>
    <w:p>
      <w:pPr>
        <w:spacing w:after="0" w:line="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approximately $ . However, the expected net proceeds from this offering will not be sufficient for us to fund any of our product candidates through regulatory approval and commercialization, and we will need to raise substantial additional capital to complete the development and commercialization of our product candidates. The amounts and timing of our actual expenditures may vary significantly depending on numerous factors. For additional information regarding our potential capital requirements, including factors that could cause actual costs to vary from the estimates set forth above, see the section of this prospectus titled “Risk Factors.”</w:t>
      </w:r>
    </w:p>
    <w:p>
      <w:pPr>
        <w:spacing w:after="0" w:line="202" w:lineRule="exact"/>
        <w:rPr>
          <w:sz w:val="20"/>
          <w:szCs w:val="20"/>
          <w:color w:val="auto"/>
        </w:rPr>
      </w:pPr>
    </w:p>
    <w:p>
      <w:pPr>
        <w:ind w:right="320" w:firstLine="576"/>
        <w:spacing w:after="0"/>
        <w:rPr>
          <w:sz w:val="20"/>
          <w:szCs w:val="20"/>
          <w:color w:val="auto"/>
        </w:rPr>
      </w:pPr>
      <w:r>
        <w:rPr>
          <w:rFonts w:ascii="Arial" w:cs="Arial" w:eastAsia="Arial" w:hAnsi="Arial"/>
          <w:sz w:val="18"/>
          <w:szCs w:val="18"/>
          <w:color w:val="auto"/>
        </w:rPr>
        <w:t>As of the date of this prospectus, we intend to invest the net proceeds in short-term interest-bearing investment-grade securities, certificates of deposit or government securities. The goal with respect to the investment of these net proceeds is capital preservation and liquidity so that such funds are readily available to fund our operations.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any future debt instruments or preferred securities.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and cash equivalents and capitalization as of June 30, 2020:</w:t>
      </w:r>
    </w:p>
    <w:p>
      <w:pPr>
        <w:spacing w:after="0" w:line="104" w:lineRule="exact"/>
        <w:rPr>
          <w:sz w:val="20"/>
          <w:szCs w:val="20"/>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0"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 pro forma basis to reflect (1) the automatic conversion of our convertible preferred stock into an aggregate of</w:t>
      </w:r>
    </w:p>
    <w:p>
      <w:pPr>
        <w:ind w:left="1300" w:right="120" w:firstLine="600"/>
        <w:spacing w:after="0" w:line="238" w:lineRule="auto"/>
        <w:rPr>
          <w:sz w:val="20"/>
          <w:szCs w:val="20"/>
          <w:color w:val="auto"/>
        </w:rPr>
      </w:pPr>
      <w:r>
        <w:rPr>
          <w:rFonts w:ascii="Arial" w:cs="Arial" w:eastAsia="Arial" w:hAnsi="Arial"/>
          <w:sz w:val="18"/>
          <w:szCs w:val="18"/>
          <w:color w:val="auto"/>
        </w:rPr>
        <w:t>shares of our common stock as of June 30, 2020, (2) the issuance of an aggregate of shares of our common stock upon the exercise of outstanding warrants immediately prior to the closing of this offering; (3) the repayment of $1.5 million in grant liability; and (4) the filing of our amended and restated certificate of incorporation, which will occur immediately prior to the closing of this offering; and</w:t>
      </w:r>
    </w:p>
    <w:p>
      <w:pPr>
        <w:spacing w:after="0" w:line="200" w:lineRule="exact"/>
        <w:rPr>
          <w:sz w:val="20"/>
          <w:szCs w:val="20"/>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 pro forma as adjusted basis to reflect (1) the pro forma adjustments set forth above and (2) the sale and issuance by us</w:t>
      </w:r>
    </w:p>
    <w:p>
      <w:pPr>
        <w:ind w:left="1300" w:right="380"/>
        <w:spacing w:after="0"/>
        <w:rPr>
          <w:sz w:val="20"/>
          <w:szCs w:val="20"/>
          <w:color w:val="auto"/>
        </w:rPr>
      </w:pPr>
      <w:r>
        <w:rPr>
          <w:rFonts w:ascii="Arial" w:cs="Arial" w:eastAsia="Arial" w:hAnsi="Arial"/>
          <w:sz w:val="18"/>
          <w:szCs w:val="18"/>
          <w:color w:val="auto"/>
        </w:rPr>
        <w:t>of shares of common stock in this offering at the assumed initial public offering price of $ per share, which is the midpoint of the range reflected on the cover page of this prospectus, after deducting underwriting discounts and commissions and estimated offering expenses payable by us.</w:t>
      </w:r>
    </w:p>
    <w:p>
      <w:pPr>
        <w:spacing w:after="0" w:line="311" w:lineRule="exact"/>
        <w:rPr>
          <w:sz w:val="20"/>
          <w:szCs w:val="20"/>
          <w:color w:val="auto"/>
        </w:rPr>
      </w:pPr>
    </w:p>
    <w:p>
      <w:pPr>
        <w:jc w:val="both"/>
        <w:ind w:right="580" w:firstLine="576"/>
        <w:spacing w:after="0"/>
        <w:rPr>
          <w:sz w:val="20"/>
          <w:szCs w:val="20"/>
          <w:color w:val="auto"/>
        </w:rPr>
      </w:pPr>
      <w:r>
        <w:rPr>
          <w:rFonts w:ascii="Arial" w:cs="Arial" w:eastAsia="Arial" w:hAnsi="Arial"/>
          <w:sz w:val="18"/>
          <w:szCs w:val="18"/>
          <w:color w:val="auto"/>
        </w:rPr>
        <w:t>You should read the information in this table together with our financial statements and related notes included elsewhere in this prospectus, as well as the sections of this prospectus titled “Selected Financial Data” and “Management’s Discussion and Analysis of Financial Condition and Results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As of June 30, 2020</w:t>
            </w: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52"/>
        </w:trPr>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Pro Forma</w:t>
            </w:r>
          </w:p>
        </w:tc>
      </w:tr>
      <w:tr>
        <w:trPr>
          <w:trHeight w:val="179"/>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Actual</w:t>
            </w:r>
          </w:p>
        </w:tc>
        <w:tc>
          <w:tcPr>
            <w:tcW w:w="15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Pro Forma</w:t>
            </w: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73"/>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(1)</w:t>
            </w:r>
          </w:p>
        </w:tc>
      </w:tr>
      <w:tr>
        <w:trPr>
          <w:trHeight w:val="156"/>
        </w:trPr>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5"/>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22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3620" w:type="dxa"/>
            <w:vAlign w:val="bottom"/>
            <w:shd w:val="clear" w:color="auto" w:fill="CFF0FC"/>
          </w:tcPr>
          <w:p>
            <w:pPr>
              <w:spacing w:after="0"/>
              <w:rPr>
                <w:sz w:val="15"/>
                <w:szCs w:val="15"/>
                <w:color w:val="auto"/>
              </w:rPr>
            </w:pPr>
          </w:p>
        </w:tc>
        <w:tc>
          <w:tcPr>
            <w:tcW w:w="2200" w:type="dxa"/>
            <w:vAlign w:val="bottom"/>
            <w:gridSpan w:val="2"/>
            <w:shd w:val="clear" w:color="auto" w:fill="CFF0FC"/>
          </w:tcPr>
          <w:p>
            <w:pPr>
              <w:jc w:val="right"/>
              <w:ind w:right="12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268"/>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93"/>
              <w:spacing w:after="0"/>
              <w:rPr>
                <w:sz w:val="20"/>
                <w:szCs w:val="20"/>
                <w:color w:val="auto"/>
              </w:rPr>
            </w:pPr>
            <w:r>
              <w:rPr>
                <w:rFonts w:ascii="Arial" w:cs="Arial" w:eastAsia="Arial" w:hAnsi="Arial"/>
                <w:sz w:val="14"/>
                <w:szCs w:val="14"/>
                <w:color w:val="auto"/>
                <w:w w:val="76"/>
              </w:rPr>
              <w:t>$</w:t>
            </w:r>
          </w:p>
        </w:tc>
      </w:tr>
      <w:tr>
        <w:trPr>
          <w:trHeight w:val="20"/>
        </w:trPr>
        <w:tc>
          <w:tcPr>
            <w:tcW w:w="1160" w:type="dxa"/>
            <w:vAlign w:val="bottom"/>
            <w:tcBorders>
              <w:top w:val="single" w:sz="8" w:color="CFF0FC"/>
            </w:tcBorders>
            <w:gridSpan w:val="2"/>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6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240" w:type="dxa"/>
            <w:vAlign w:val="bottom"/>
            <w:gridSpan w:val="3"/>
          </w:tcPr>
          <w:p>
            <w:pPr>
              <w:spacing w:after="0" w:line="156" w:lineRule="exact"/>
              <w:rPr>
                <w:sz w:val="20"/>
                <w:szCs w:val="20"/>
                <w:color w:val="auto"/>
              </w:rPr>
            </w:pPr>
            <w:r>
              <w:rPr>
                <w:rFonts w:ascii="Arial" w:cs="Arial" w:eastAsia="Arial" w:hAnsi="Arial"/>
                <w:sz w:val="14"/>
                <w:szCs w:val="14"/>
                <w:color w:val="auto"/>
              </w:rPr>
              <w:t>Grant liability</w:t>
            </w:r>
          </w:p>
        </w:tc>
        <w:tc>
          <w:tcPr>
            <w:tcW w:w="3620" w:type="dxa"/>
            <w:vAlign w:val="bottom"/>
          </w:tcPr>
          <w:p>
            <w:pPr>
              <w:spacing w:after="0"/>
              <w:rPr>
                <w:sz w:val="13"/>
                <w:szCs w:val="13"/>
                <w:color w:val="auto"/>
              </w:rPr>
            </w:pPr>
          </w:p>
        </w:tc>
        <w:tc>
          <w:tcPr>
            <w:tcW w:w="2200" w:type="dxa"/>
            <w:vAlign w:val="bottom"/>
            <w:gridSpan w:val="2"/>
          </w:tcPr>
          <w:p>
            <w:pPr>
              <w:jc w:val="right"/>
              <w:ind w:right="1268"/>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20" w:type="dxa"/>
            <w:vAlign w:val="bottom"/>
          </w:tcPr>
          <w:p>
            <w:pPr>
              <w:jc w:val="right"/>
              <w:ind w:right="1268"/>
              <w:spacing w:after="0" w:line="156"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3"/>
                <w:szCs w:val="13"/>
                <w:color w:val="auto"/>
              </w:rPr>
            </w:pPr>
          </w:p>
        </w:tc>
        <w:tc>
          <w:tcPr>
            <w:tcW w:w="1440" w:type="dxa"/>
            <w:vAlign w:val="bottom"/>
            <w:gridSpan w:val="2"/>
          </w:tcPr>
          <w:p>
            <w:pPr>
              <w:jc w:val="right"/>
              <w:ind w:right="1293"/>
              <w:spacing w:after="0" w:line="156" w:lineRule="exact"/>
              <w:rPr>
                <w:sz w:val="20"/>
                <w:szCs w:val="20"/>
                <w:color w:val="auto"/>
              </w:rPr>
            </w:pPr>
            <w:r>
              <w:rPr>
                <w:rFonts w:ascii="Arial" w:cs="Arial" w:eastAsia="Arial" w:hAnsi="Arial"/>
                <w:sz w:val="14"/>
                <w:szCs w:val="14"/>
                <w:color w:val="auto"/>
                <w:w w:val="76"/>
              </w:rPr>
              <w:t>$</w:t>
            </w:r>
          </w:p>
        </w:tc>
      </w:tr>
      <w:tr>
        <w:trPr>
          <w:trHeight w:val="180"/>
        </w:trPr>
        <w:tc>
          <w:tcPr>
            <w:tcW w:w="8220" w:type="dxa"/>
            <w:vAlign w:val="bottom"/>
            <w:gridSpan w:val="7"/>
            <w:shd w:val="clear" w:color="auto" w:fill="CFF0FC"/>
          </w:tcPr>
          <w:p>
            <w:pPr>
              <w:spacing w:after="0"/>
              <w:rPr>
                <w:sz w:val="20"/>
                <w:szCs w:val="20"/>
                <w:color w:val="auto"/>
              </w:rPr>
            </w:pPr>
            <w:r>
              <w:rPr>
                <w:rFonts w:ascii="Arial" w:cs="Arial" w:eastAsia="Arial" w:hAnsi="Arial"/>
                <w:sz w:val="14"/>
                <w:szCs w:val="14"/>
                <w:color w:val="auto"/>
              </w:rPr>
              <w:t>Convertible preferred stock; $0.0001 par value per share;   shares authorized;   shares issued and</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62"/>
        </w:trPr>
        <w:tc>
          <w:tcPr>
            <w:tcW w:w="22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outstanding,</w:t>
            </w:r>
          </w:p>
        </w:tc>
        <w:tc>
          <w:tcPr>
            <w:tcW w:w="36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62"/>
        </w:trPr>
        <w:tc>
          <w:tcPr>
            <w:tcW w:w="586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actual; no shares authorized, no shares issued and outstanding,</w:t>
            </w:r>
          </w:p>
        </w:tc>
        <w:tc>
          <w:tcPr>
            <w:tcW w:w="7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57"/>
        </w:trPr>
        <w:tc>
          <w:tcPr>
            <w:tcW w:w="5860" w:type="dxa"/>
            <w:vAlign w:val="bottom"/>
            <w:gridSpan w:val="4"/>
            <w:shd w:val="clear" w:color="auto" w:fill="CFF0FC"/>
          </w:tcPr>
          <w:p>
            <w:pPr>
              <w:ind w:left="120"/>
              <w:spacing w:after="0" w:line="157" w:lineRule="exact"/>
              <w:rPr>
                <w:sz w:val="20"/>
                <w:szCs w:val="20"/>
                <w:color w:val="auto"/>
              </w:rPr>
            </w:pPr>
            <w:r>
              <w:rPr>
                <w:rFonts w:ascii="Arial" w:cs="Arial" w:eastAsia="Arial" w:hAnsi="Arial"/>
                <w:sz w:val="14"/>
                <w:szCs w:val="14"/>
                <w:color w:val="auto"/>
              </w:rPr>
              <w:t>pro forma and pro forma as adjusted</w:t>
            </w:r>
          </w:p>
        </w:tc>
        <w:tc>
          <w:tcPr>
            <w:tcW w:w="7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r>
      <w:tr>
        <w:trPr>
          <w:trHeight w:val="175"/>
        </w:trPr>
        <w:tc>
          <w:tcPr>
            <w:tcW w:w="2240" w:type="dxa"/>
            <w:vAlign w:val="bottom"/>
            <w:gridSpan w:val="3"/>
          </w:tcPr>
          <w:p>
            <w:pPr>
              <w:spacing w:after="0"/>
              <w:rPr>
                <w:sz w:val="20"/>
                <w:szCs w:val="20"/>
                <w:color w:val="auto"/>
              </w:rPr>
            </w:pPr>
            <w:r>
              <w:rPr>
                <w:rFonts w:ascii="Arial" w:cs="Arial" w:eastAsia="Arial" w:hAnsi="Arial"/>
                <w:sz w:val="14"/>
                <w:szCs w:val="14"/>
                <w:color w:val="auto"/>
              </w:rPr>
              <w:t>Stockholders’ (deficit) equity:</w:t>
            </w:r>
          </w:p>
        </w:tc>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220" w:type="dxa"/>
            <w:vAlign w:val="bottom"/>
            <w:shd w:val="clear" w:color="auto" w:fill="CFF0FC"/>
          </w:tcPr>
          <w:p>
            <w:pPr>
              <w:spacing w:after="0"/>
              <w:rPr>
                <w:sz w:val="15"/>
                <w:szCs w:val="15"/>
                <w:color w:val="auto"/>
              </w:rPr>
            </w:pPr>
          </w:p>
        </w:tc>
        <w:tc>
          <w:tcPr>
            <w:tcW w:w="564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Preferred stock, $0.0001 par value per share; no shares</w:t>
            </w:r>
          </w:p>
        </w:tc>
        <w:tc>
          <w:tcPr>
            <w:tcW w:w="7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62"/>
        </w:trPr>
        <w:tc>
          <w:tcPr>
            <w:tcW w:w="220" w:type="dxa"/>
            <w:vAlign w:val="bottom"/>
            <w:shd w:val="clear" w:color="auto" w:fill="CFF0FC"/>
          </w:tcPr>
          <w:p>
            <w:pPr>
              <w:spacing w:after="0"/>
              <w:rPr>
                <w:sz w:val="14"/>
                <w:szCs w:val="14"/>
                <w:color w:val="auto"/>
              </w:rPr>
            </w:pPr>
          </w:p>
        </w:tc>
        <w:tc>
          <w:tcPr>
            <w:tcW w:w="564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authorized and no shares issued and outstanding, actual;</w:t>
            </w:r>
          </w:p>
        </w:tc>
        <w:tc>
          <w:tcPr>
            <w:tcW w:w="7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62"/>
        </w:trPr>
        <w:tc>
          <w:tcPr>
            <w:tcW w:w="220" w:type="dxa"/>
            <w:vAlign w:val="bottom"/>
            <w:shd w:val="clear" w:color="auto" w:fill="CFF0FC"/>
          </w:tcPr>
          <w:p>
            <w:pPr>
              <w:spacing w:after="0"/>
              <w:rPr>
                <w:sz w:val="14"/>
                <w:szCs w:val="14"/>
                <w:color w:val="auto"/>
              </w:rPr>
            </w:pPr>
          </w:p>
        </w:tc>
        <w:tc>
          <w:tcPr>
            <w:tcW w:w="5640" w:type="dxa"/>
            <w:vAlign w:val="bottom"/>
            <w:gridSpan w:val="3"/>
            <w:shd w:val="clear" w:color="auto" w:fill="CFF0FC"/>
          </w:tcPr>
          <w:p>
            <w:pPr>
              <w:ind w:left="440"/>
              <w:spacing w:after="0"/>
              <w:rPr>
                <w:sz w:val="20"/>
                <w:szCs w:val="20"/>
                <w:color w:val="auto"/>
              </w:rPr>
            </w:pPr>
            <w:r>
              <w:rPr>
                <w:rFonts w:ascii="Arial" w:cs="Arial" w:eastAsia="Arial" w:hAnsi="Arial"/>
                <w:sz w:val="14"/>
                <w:szCs w:val="14"/>
                <w:color w:val="auto"/>
              </w:rPr>
              <w:t>shares authorized and no shares issued and outstanding,</w:t>
            </w:r>
          </w:p>
        </w:tc>
        <w:tc>
          <w:tcPr>
            <w:tcW w:w="7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57"/>
        </w:trPr>
        <w:tc>
          <w:tcPr>
            <w:tcW w:w="220" w:type="dxa"/>
            <w:vAlign w:val="bottom"/>
            <w:shd w:val="clear" w:color="auto" w:fill="CFF0FC"/>
          </w:tcPr>
          <w:p>
            <w:pPr>
              <w:spacing w:after="0"/>
              <w:rPr>
                <w:sz w:val="13"/>
                <w:szCs w:val="13"/>
                <w:color w:val="auto"/>
              </w:rPr>
            </w:pPr>
          </w:p>
        </w:tc>
        <w:tc>
          <w:tcPr>
            <w:tcW w:w="5640" w:type="dxa"/>
            <w:vAlign w:val="bottom"/>
            <w:gridSpan w:val="3"/>
            <w:shd w:val="clear" w:color="auto" w:fill="CFF0FC"/>
          </w:tcPr>
          <w:p>
            <w:pPr>
              <w:ind w:left="160"/>
              <w:spacing w:after="0" w:line="157" w:lineRule="exact"/>
              <w:rPr>
                <w:sz w:val="20"/>
                <w:szCs w:val="20"/>
                <w:color w:val="auto"/>
              </w:rPr>
            </w:pPr>
            <w:r>
              <w:rPr>
                <w:rFonts w:ascii="Arial" w:cs="Arial" w:eastAsia="Arial" w:hAnsi="Arial"/>
                <w:sz w:val="14"/>
                <w:szCs w:val="14"/>
                <w:color w:val="auto"/>
              </w:rPr>
              <w:t>pro forma and pro forma as adjusted</w:t>
            </w:r>
          </w:p>
        </w:tc>
        <w:tc>
          <w:tcPr>
            <w:tcW w:w="7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r>
      <w:tr>
        <w:trPr>
          <w:trHeight w:val="180"/>
        </w:trPr>
        <w:tc>
          <w:tcPr>
            <w:tcW w:w="220" w:type="dxa"/>
            <w:vAlign w:val="bottom"/>
          </w:tcPr>
          <w:p>
            <w:pPr>
              <w:spacing w:after="0"/>
              <w:rPr>
                <w:sz w:val="15"/>
                <w:szCs w:val="15"/>
                <w:color w:val="auto"/>
              </w:rPr>
            </w:pPr>
          </w:p>
        </w:tc>
        <w:tc>
          <w:tcPr>
            <w:tcW w:w="5640" w:type="dxa"/>
            <w:vAlign w:val="bottom"/>
            <w:gridSpan w:val="3"/>
          </w:tcPr>
          <w:p>
            <w:pPr>
              <w:ind w:left="40"/>
              <w:spacing w:after="0"/>
              <w:rPr>
                <w:sz w:val="20"/>
                <w:szCs w:val="20"/>
                <w:color w:val="auto"/>
              </w:rPr>
            </w:pPr>
            <w:r>
              <w:rPr>
                <w:rFonts w:ascii="Arial" w:cs="Arial" w:eastAsia="Arial" w:hAnsi="Arial"/>
                <w:sz w:val="14"/>
                <w:szCs w:val="14"/>
                <w:color w:val="auto"/>
              </w:rPr>
              <w:t>Common stock, $0.0001 par value per share, 80,000,000</w:t>
            </w: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220" w:type="dxa"/>
            <w:vAlign w:val="bottom"/>
          </w:tcPr>
          <w:p>
            <w:pPr>
              <w:spacing w:after="0"/>
              <w:rPr>
                <w:sz w:val="14"/>
                <w:szCs w:val="14"/>
                <w:color w:val="auto"/>
              </w:rPr>
            </w:pPr>
          </w:p>
        </w:tc>
        <w:tc>
          <w:tcPr>
            <w:tcW w:w="5640" w:type="dxa"/>
            <w:vAlign w:val="bottom"/>
            <w:gridSpan w:val="3"/>
          </w:tcPr>
          <w:p>
            <w:pPr>
              <w:ind w:left="160"/>
              <w:spacing w:after="0"/>
              <w:rPr>
                <w:sz w:val="20"/>
                <w:szCs w:val="20"/>
                <w:color w:val="auto"/>
              </w:rPr>
            </w:pPr>
            <w:r>
              <w:rPr>
                <w:rFonts w:ascii="Arial" w:cs="Arial" w:eastAsia="Arial" w:hAnsi="Arial"/>
                <w:sz w:val="14"/>
                <w:szCs w:val="14"/>
                <w:color w:val="auto"/>
              </w:rPr>
              <w:t>shares authorized,   shares issued and outstanding,</w:t>
            </w: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2020" w:type="dxa"/>
            <w:vAlign w:val="bottom"/>
            <w:gridSpan w:val="2"/>
          </w:tcPr>
          <w:p>
            <w:pPr>
              <w:ind w:left="160"/>
              <w:spacing w:after="0"/>
              <w:rPr>
                <w:sz w:val="20"/>
                <w:szCs w:val="20"/>
                <w:color w:val="auto"/>
              </w:rPr>
            </w:pPr>
            <w:r>
              <w:rPr>
                <w:rFonts w:ascii="Arial" w:cs="Arial" w:eastAsia="Arial" w:hAnsi="Arial"/>
                <w:sz w:val="14"/>
                <w:szCs w:val="14"/>
                <w:color w:val="auto"/>
              </w:rPr>
              <w:t>actual;   shares authorized,</w:t>
            </w:r>
          </w:p>
        </w:tc>
        <w:tc>
          <w:tcPr>
            <w:tcW w:w="3620" w:type="dxa"/>
            <w:vAlign w:val="bottom"/>
          </w:tcPr>
          <w:p>
            <w:pPr>
              <w:ind w:left="220"/>
              <w:spacing w:after="0"/>
              <w:rPr>
                <w:sz w:val="20"/>
                <w:szCs w:val="20"/>
                <w:color w:val="auto"/>
              </w:rPr>
            </w:pPr>
            <w:r>
              <w:rPr>
                <w:rFonts w:ascii="Arial" w:cs="Arial" w:eastAsia="Arial" w:hAnsi="Arial"/>
                <w:sz w:val="14"/>
                <w:szCs w:val="14"/>
                <w:color w:val="auto"/>
              </w:rPr>
              <w:t>shares issued and</w:t>
            </w: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5640" w:type="dxa"/>
            <w:vAlign w:val="bottom"/>
            <w:gridSpan w:val="3"/>
          </w:tcPr>
          <w:p>
            <w:pPr>
              <w:ind w:left="160"/>
              <w:spacing w:after="0"/>
              <w:rPr>
                <w:sz w:val="20"/>
                <w:szCs w:val="20"/>
                <w:color w:val="auto"/>
              </w:rPr>
            </w:pPr>
            <w:r>
              <w:rPr>
                <w:rFonts w:ascii="Arial" w:cs="Arial" w:eastAsia="Arial" w:hAnsi="Arial"/>
                <w:sz w:val="14"/>
                <w:szCs w:val="14"/>
                <w:color w:val="auto"/>
              </w:rPr>
              <w:t>outstanding, pro forma;   shares authorized,   shares</w:t>
            </w: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7"/>
        </w:trPr>
        <w:tc>
          <w:tcPr>
            <w:tcW w:w="220" w:type="dxa"/>
            <w:vAlign w:val="bottom"/>
          </w:tcPr>
          <w:p>
            <w:pPr>
              <w:spacing w:after="0"/>
              <w:rPr>
                <w:sz w:val="13"/>
                <w:szCs w:val="13"/>
                <w:color w:val="auto"/>
              </w:rPr>
            </w:pPr>
          </w:p>
        </w:tc>
        <w:tc>
          <w:tcPr>
            <w:tcW w:w="56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issued and outstanding, pro forma as adjusted</w:t>
            </w:r>
          </w:p>
        </w:tc>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5"/>
        </w:trPr>
        <w:tc>
          <w:tcPr>
            <w:tcW w:w="220" w:type="dxa"/>
            <w:vAlign w:val="bottom"/>
            <w:shd w:val="clear" w:color="auto" w:fill="CFF0FC"/>
          </w:tcPr>
          <w:p>
            <w:pPr>
              <w:spacing w:after="0"/>
              <w:rPr>
                <w:sz w:val="15"/>
                <w:szCs w:val="15"/>
                <w:color w:val="auto"/>
              </w:rPr>
            </w:pPr>
          </w:p>
        </w:tc>
        <w:tc>
          <w:tcPr>
            <w:tcW w:w="20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Additional paid-in capital</w:t>
            </w:r>
          </w:p>
        </w:tc>
        <w:tc>
          <w:tcPr>
            <w:tcW w:w="36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5"/>
        </w:trPr>
        <w:tc>
          <w:tcPr>
            <w:tcW w:w="220" w:type="dxa"/>
            <w:vAlign w:val="bottom"/>
            <w:tcBorders>
              <w:bottom w:val="single" w:sz="8" w:color="CFF0FC"/>
            </w:tcBorders>
          </w:tcPr>
          <w:p>
            <w:pPr>
              <w:spacing w:after="0"/>
              <w:rPr>
                <w:sz w:val="15"/>
                <w:szCs w:val="15"/>
                <w:color w:val="auto"/>
              </w:rPr>
            </w:pPr>
          </w:p>
        </w:tc>
        <w:tc>
          <w:tcPr>
            <w:tcW w:w="2020" w:type="dxa"/>
            <w:vAlign w:val="bottom"/>
            <w:tcBorders>
              <w:bottom w:val="single" w:sz="8" w:color="CFF0FC"/>
            </w:tcBorders>
            <w:gridSpan w:val="2"/>
          </w:tcPr>
          <w:p>
            <w:pPr>
              <w:ind w:left="40"/>
              <w:spacing w:after="0"/>
              <w:rPr>
                <w:sz w:val="20"/>
                <w:szCs w:val="20"/>
                <w:color w:val="auto"/>
              </w:rPr>
            </w:pPr>
            <w:r>
              <w:rPr>
                <w:rFonts w:ascii="Arial" w:cs="Arial" w:eastAsia="Arial" w:hAnsi="Arial"/>
                <w:sz w:val="14"/>
                <w:szCs w:val="14"/>
                <w:color w:val="auto"/>
              </w:rPr>
              <w:t>Accumulated deficit</w:t>
            </w:r>
          </w:p>
        </w:tc>
        <w:tc>
          <w:tcPr>
            <w:tcW w:w="3620" w:type="dxa"/>
            <w:vAlign w:val="bottom"/>
            <w:tcBorders>
              <w:bottom w:val="single" w:sz="8" w:color="CFF0FC"/>
            </w:tcBorders>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69"/>
        </w:trPr>
        <w:tc>
          <w:tcPr>
            <w:tcW w:w="22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Total stockholders’ (deficit) equity</w:t>
            </w:r>
          </w:p>
        </w:tc>
        <w:tc>
          <w:tcPr>
            <w:tcW w:w="36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spacing w:after="0"/>
              <w:rPr>
                <w:sz w:val="14"/>
                <w:szCs w:val="14"/>
                <w:color w:val="auto"/>
              </w:rPr>
            </w:pPr>
          </w:p>
        </w:tc>
      </w:tr>
      <w:tr>
        <w:trPr>
          <w:trHeight w:val="169"/>
        </w:trPr>
        <w:tc>
          <w:tcPr>
            <w:tcW w:w="220" w:type="dxa"/>
            <w:vAlign w:val="bottom"/>
          </w:tcPr>
          <w:p>
            <w:pPr>
              <w:spacing w:after="0"/>
              <w:rPr>
                <w:sz w:val="14"/>
                <w:szCs w:val="14"/>
                <w:color w:val="auto"/>
              </w:rPr>
            </w:pPr>
          </w:p>
        </w:tc>
        <w:tc>
          <w:tcPr>
            <w:tcW w:w="2020" w:type="dxa"/>
            <w:vAlign w:val="bottom"/>
            <w:gridSpan w:val="2"/>
          </w:tcPr>
          <w:p>
            <w:pPr>
              <w:ind w:left="40"/>
              <w:spacing w:after="0"/>
              <w:rPr>
                <w:sz w:val="20"/>
                <w:szCs w:val="20"/>
                <w:color w:val="auto"/>
              </w:rPr>
            </w:pPr>
            <w:r>
              <w:rPr>
                <w:rFonts w:ascii="Arial" w:cs="Arial" w:eastAsia="Arial" w:hAnsi="Arial"/>
                <w:sz w:val="14"/>
                <w:szCs w:val="14"/>
                <w:color w:val="auto"/>
              </w:rPr>
              <w:t>Total capitalization</w:t>
            </w:r>
          </w:p>
        </w:tc>
        <w:tc>
          <w:tcPr>
            <w:tcW w:w="3620" w:type="dxa"/>
            <w:vAlign w:val="bottom"/>
          </w:tcPr>
          <w:p>
            <w:pPr>
              <w:spacing w:after="0"/>
              <w:rPr>
                <w:sz w:val="14"/>
                <w:szCs w:val="14"/>
                <w:color w:val="auto"/>
              </w:rPr>
            </w:pPr>
          </w:p>
        </w:tc>
        <w:tc>
          <w:tcPr>
            <w:tcW w:w="2200" w:type="dxa"/>
            <w:vAlign w:val="bottom"/>
            <w:gridSpan w:val="2"/>
          </w:tcPr>
          <w:p>
            <w:pPr>
              <w:jc w:val="right"/>
              <w:ind w:right="12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20" w:type="dxa"/>
            <w:vAlign w:val="bottom"/>
          </w:tcPr>
          <w:p>
            <w:pPr>
              <w:jc w:val="right"/>
              <w:ind w:right="1268"/>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4"/>
                <w:szCs w:val="14"/>
                <w:color w:val="auto"/>
              </w:rPr>
            </w:pPr>
          </w:p>
        </w:tc>
        <w:tc>
          <w:tcPr>
            <w:tcW w:w="1440" w:type="dxa"/>
            <w:vAlign w:val="bottom"/>
            <w:gridSpan w:val="2"/>
          </w:tcPr>
          <w:p>
            <w:pPr>
              <w:jc w:val="right"/>
              <w:ind w:right="1293"/>
              <w:spacing w:after="0"/>
              <w:rPr>
                <w:sz w:val="20"/>
                <w:szCs w:val="20"/>
                <w:color w:val="auto"/>
              </w:rPr>
            </w:pPr>
            <w:r>
              <w:rPr>
                <w:rFonts w:ascii="Arial" w:cs="Arial" w:eastAsia="Arial" w:hAnsi="Arial"/>
                <w:sz w:val="14"/>
                <w:szCs w:val="14"/>
                <w:color w:val="auto"/>
                <w:w w:val="76"/>
              </w:rPr>
              <w:t>$</w:t>
            </w: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700" w:type="dxa"/>
            <w:vAlign w:val="bottom"/>
            <w:gridSpan w:val="2"/>
          </w:tcPr>
          <w:p>
            <w:pPr>
              <w:spacing w:after="0"/>
              <w:rPr>
                <w:sz w:val="12"/>
                <w:szCs w:val="12"/>
                <w:color w:val="auto"/>
              </w:rPr>
            </w:pPr>
          </w:p>
        </w:tc>
        <w:tc>
          <w:tcPr>
            <w:tcW w:w="5380" w:type="dxa"/>
            <w:vAlign w:val="bottom"/>
            <w:gridSpan w:val="7"/>
          </w:tcPr>
          <w:p>
            <w:pPr>
              <w:spacing w:after="0"/>
              <w:rPr>
                <w:sz w:val="12"/>
                <w:szCs w:val="12"/>
                <w:color w:val="auto"/>
              </w:rPr>
            </w:pPr>
          </w:p>
        </w:tc>
      </w:tr>
      <w:tr>
        <w:trPr>
          <w:trHeight w:val="238"/>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5640" w:type="dxa"/>
            <w:vAlign w:val="bottom"/>
            <w:gridSpan w:val="3"/>
          </w:tcPr>
          <w:p>
            <w:pPr>
              <w:ind w:left="26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5380" w:type="dxa"/>
            <w:vAlign w:val="bottom"/>
            <w:gridSpan w:val="7"/>
          </w:tcPr>
          <w:p>
            <w:pPr>
              <w:jc w:val="right"/>
              <w:ind w:right="493"/>
              <w:spacing w:after="0"/>
              <w:rPr>
                <w:sz w:val="20"/>
                <w:szCs w:val="20"/>
                <w:color w:val="auto"/>
              </w:rPr>
            </w:pPr>
            <w:r>
              <w:rPr>
                <w:rFonts w:ascii="Arial" w:cs="Arial" w:eastAsia="Arial" w:hAnsi="Arial"/>
                <w:sz w:val="14"/>
                <w:szCs w:val="14"/>
                <w:color w:val="auto"/>
              </w:rPr>
              <w:t>per share, the midpoint of the range reflected on the cover page of this</w:t>
            </w:r>
          </w:p>
        </w:tc>
      </w:tr>
      <w:tr>
        <w:trPr>
          <w:trHeight w:val="175"/>
        </w:trPr>
        <w:tc>
          <w:tcPr>
            <w:tcW w:w="220" w:type="dxa"/>
            <w:vAlign w:val="bottom"/>
          </w:tcPr>
          <w:p>
            <w:pPr>
              <w:spacing w:after="0"/>
              <w:rPr>
                <w:sz w:val="15"/>
                <w:szCs w:val="15"/>
                <w:color w:val="auto"/>
              </w:rPr>
            </w:pPr>
          </w:p>
        </w:tc>
        <w:tc>
          <w:tcPr>
            <w:tcW w:w="11020" w:type="dxa"/>
            <w:vAlign w:val="bottom"/>
            <w:gridSpan w:val="10"/>
          </w:tcPr>
          <w:p>
            <w:pPr>
              <w:ind w:left="260"/>
              <w:spacing w:after="0"/>
              <w:rPr>
                <w:sz w:val="20"/>
                <w:szCs w:val="20"/>
                <w:color w:val="auto"/>
              </w:rPr>
            </w:pPr>
            <w:r>
              <w:rPr>
                <w:rFonts w:ascii="Arial" w:cs="Arial" w:eastAsia="Arial" w:hAnsi="Arial"/>
                <w:sz w:val="14"/>
                <w:szCs w:val="14"/>
                <w:color w:val="auto"/>
              </w:rPr>
              <w:t>prospectus, would increase or decrease, as applicable, each of our cash and cash equivalents, additional paid-in capital, total stockholders’ (deficit) equity and total</w:t>
            </w:r>
          </w:p>
        </w:tc>
      </w:tr>
      <w:tr>
        <w:trPr>
          <w:trHeight w:val="189"/>
        </w:trPr>
        <w:tc>
          <w:tcPr>
            <w:tcW w:w="220" w:type="dxa"/>
            <w:vAlign w:val="bottom"/>
          </w:tcPr>
          <w:p>
            <w:pPr>
              <w:spacing w:after="0"/>
              <w:rPr>
                <w:sz w:val="16"/>
                <w:szCs w:val="16"/>
                <w:color w:val="auto"/>
              </w:rPr>
            </w:pPr>
          </w:p>
        </w:tc>
        <w:tc>
          <w:tcPr>
            <w:tcW w:w="2020" w:type="dxa"/>
            <w:vAlign w:val="bottom"/>
            <w:gridSpan w:val="2"/>
          </w:tcPr>
          <w:p>
            <w:pPr>
              <w:ind w:left="260"/>
              <w:spacing w:after="0"/>
              <w:rPr>
                <w:sz w:val="20"/>
                <w:szCs w:val="20"/>
                <w:color w:val="auto"/>
              </w:rPr>
            </w:pPr>
            <w:r>
              <w:rPr>
                <w:rFonts w:ascii="Arial" w:cs="Arial" w:eastAsia="Arial" w:hAnsi="Arial"/>
                <w:sz w:val="14"/>
                <w:szCs w:val="14"/>
                <w:color w:val="auto"/>
              </w:rPr>
              <w:t>capitalization by $</w:t>
            </w:r>
          </w:p>
        </w:tc>
        <w:tc>
          <w:tcPr>
            <w:tcW w:w="9000" w:type="dxa"/>
            <w:vAlign w:val="bottom"/>
            <w:gridSpan w:val="8"/>
          </w:tcPr>
          <w:p>
            <w:pPr>
              <w:jc w:val="right"/>
              <w:ind w:right="233"/>
              <w:spacing w:after="0"/>
              <w:rPr>
                <w:sz w:val="20"/>
                <w:szCs w:val="20"/>
                <w:color w:val="auto"/>
              </w:rPr>
            </w:pPr>
            <w:r>
              <w:rPr>
                <w:rFonts w:ascii="Arial" w:cs="Arial" w:eastAsia="Arial" w:hAnsi="Arial"/>
                <w:sz w:val="14"/>
                <w:szCs w:val="14"/>
                <w:color w:val="auto"/>
              </w:rPr>
              <w:t>million, assuming that the number of shares offered by us, as set forth on the cover page of this prospectus, remains the same, and after</w:t>
            </w:r>
          </w:p>
        </w:tc>
      </w:tr>
    </w:tbl>
    <w:p>
      <w:pPr>
        <w:spacing w:after="0" w:line="3" w:lineRule="exact"/>
        <w:rPr>
          <w:sz w:val="20"/>
          <w:szCs w:val="20"/>
          <w:color w:val="auto"/>
        </w:rPr>
      </w:pPr>
    </w:p>
    <w:p>
      <w:pPr>
        <w:ind w:left="480" w:right="260"/>
        <w:spacing w:after="0" w:line="258" w:lineRule="auto"/>
        <w:rPr>
          <w:sz w:val="20"/>
          <w:szCs w:val="20"/>
          <w:color w:val="auto"/>
        </w:rPr>
      </w:pPr>
      <w:r>
        <w:rPr>
          <w:rFonts w:ascii="Arial" w:cs="Arial" w:eastAsia="Arial" w:hAnsi="Arial"/>
          <w:sz w:val="14"/>
          <w:szCs w:val="14"/>
          <w:color w:val="auto"/>
        </w:rPr>
        <w:t>deducting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each of our cash and cash</w:t>
      </w:r>
    </w:p>
    <w:p>
      <w:pPr>
        <w:spacing w:after="0" w:line="5" w:lineRule="exact"/>
        <w:rPr>
          <w:sz w:val="20"/>
          <w:szCs w:val="20"/>
          <w:color w:val="auto"/>
        </w:rPr>
      </w:pPr>
    </w:p>
    <w:p>
      <w:pPr>
        <w:ind w:left="480" w:right="180"/>
        <w:spacing w:after="0" w:line="255" w:lineRule="auto"/>
        <w:rPr>
          <w:sz w:val="20"/>
          <w:szCs w:val="20"/>
          <w:color w:val="auto"/>
        </w:rPr>
      </w:pPr>
      <w:r>
        <w:rPr>
          <w:rFonts w:ascii="Arial" w:cs="Arial" w:eastAsia="Arial" w:hAnsi="Arial"/>
          <w:sz w:val="14"/>
          <w:szCs w:val="14"/>
          <w:color w:val="auto"/>
        </w:rPr>
        <w:t>equivalents, additional paid-in capital, total stockholders’ (deficit) equity and total capitalization by $ million, assuming that the assumed initial public offering price remains the same, and after deducting underwriting discounts and commissions and estimated offering expenses payable by us. The pro forma and pro forma as adjusted information discussed above is illustrative only and will change based on the actual initial public offering price and other terms of this offering determined at pricing.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ind w:left="580"/>
        <w:spacing w:after="0"/>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w:t>
      </w:r>
    </w:p>
    <w:p>
      <w:pPr>
        <w:ind w:right="300"/>
        <w:spacing w:after="0" w:line="246" w:lineRule="auto"/>
        <w:rPr>
          <w:sz w:val="20"/>
          <w:szCs w:val="20"/>
          <w:color w:val="auto"/>
        </w:rPr>
      </w:pPr>
      <w:r>
        <w:rPr>
          <w:rFonts w:ascii="Arial" w:cs="Arial" w:eastAsia="Arial" w:hAnsi="Arial"/>
          <w:sz w:val="18"/>
          <w:szCs w:val="18"/>
          <w:color w:val="auto"/>
        </w:rPr>
        <w:t>on shares of common stock outstanding as of June 30, 2020 (including our convertible preferred stock on an as-converted basis), and excludes:</w:t>
      </w:r>
    </w:p>
    <w:p>
      <w:pPr>
        <w:spacing w:after="0" w:line="84" w:lineRule="exact"/>
        <w:rPr>
          <w:sz w:val="20"/>
          <w:szCs w:val="20"/>
          <w:color w:val="auto"/>
        </w:rPr>
      </w:pPr>
    </w:p>
    <w:p>
      <w:pPr>
        <w:ind w:left="1940" w:hanging="1082"/>
        <w:spacing w:after="0"/>
        <w:tabs>
          <w:tab w:leader="none" w:pos="1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outstanding options as of June 30, 2020 with a weighted-</w:t>
      </w:r>
    </w:p>
    <w:p>
      <w:pPr>
        <w:ind w:left="1300"/>
        <w:spacing w:after="0"/>
        <w:tabs>
          <w:tab w:leader="none" w:pos="364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7"/>
          <w:szCs w:val="17"/>
          <w:color w:val="auto"/>
        </w:rPr>
        <w:t>per share;</w:t>
      </w:r>
    </w:p>
    <w:p>
      <w:pPr>
        <w:spacing w:after="0" w:line="212" w:lineRule="exact"/>
        <w:rPr>
          <w:sz w:val="20"/>
          <w:szCs w:val="20"/>
          <w:color w:val="auto"/>
        </w:rPr>
      </w:pPr>
    </w:p>
    <w:p>
      <w:pPr>
        <w:ind w:left="1940" w:hanging="1082"/>
        <w:spacing w:after="0"/>
        <w:tabs>
          <w:tab w:leader="none" w:pos="1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2014 Equity Incentive Plan as of June 30, 2020;</w:t>
      </w:r>
    </w:p>
    <w:p>
      <w:pPr>
        <w:spacing w:after="0" w:line="225" w:lineRule="exact"/>
        <w:rPr>
          <w:sz w:val="20"/>
          <w:szCs w:val="20"/>
          <w:color w:val="auto"/>
        </w:rPr>
      </w:pPr>
    </w:p>
    <w:p>
      <w:pPr>
        <w:ind w:left="1300" w:right="520" w:hanging="442"/>
        <w:spacing w:after="0"/>
        <w:tabs>
          <w:tab w:leader="none" w:pos="19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Equity Incentive Plan, which will become effective on the business day immediately prior to the date of effectiveness of the registration statement of which this prospectus forms a part; and</w:t>
      </w:r>
    </w:p>
    <w:p>
      <w:pPr>
        <w:spacing w:after="0" w:line="203" w:lineRule="exact"/>
        <w:rPr>
          <w:sz w:val="20"/>
          <w:szCs w:val="20"/>
          <w:color w:val="auto"/>
        </w:rPr>
      </w:pPr>
    </w:p>
    <w:p>
      <w:pPr>
        <w:ind w:left="1300" w:hanging="442"/>
        <w:spacing w:after="0"/>
        <w:tabs>
          <w:tab w:leader="none" w:pos="19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Employee Stock Purchase Plan, which will become effective on the business day immediately prior to the date of effectiveness of the registration statement of which this prospectus forms a part.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If you invest in our common stock you will experience immediate and substantial dilution in the pro forma net tangible book value of your shares of common stock. Dilution in pro forma net tangible book value represents the difference between the initial public offering price per share of our common stock and the pro forma as adjusted net tangible book value per share of our common stock.</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Historical net tangible book value (deficit) represents our total tangible assets (total assets less deferred offering costs) less total</w:t>
      </w:r>
    </w:p>
    <w:p>
      <w:pPr>
        <w:ind w:right="720"/>
        <w:spacing w:after="0" w:line="246" w:lineRule="auto"/>
        <w:rPr>
          <w:sz w:val="20"/>
          <w:szCs w:val="20"/>
          <w:color w:val="auto"/>
        </w:rPr>
      </w:pPr>
      <w:r>
        <w:rPr>
          <w:rFonts w:ascii="Arial" w:cs="Arial" w:eastAsia="Arial" w:hAnsi="Arial"/>
          <w:sz w:val="18"/>
          <w:szCs w:val="18"/>
          <w:color w:val="auto"/>
        </w:rPr>
        <w:t>liabilities and our convertible preferred stock. As of June 30, 2020, our historical net tangible book deficit was $ million and our historical net tangible book deficit per share was $ .</w:t>
      </w:r>
    </w:p>
    <w:p>
      <w:pPr>
        <w:spacing w:after="0" w:line="197" w:lineRule="exact"/>
        <w:rPr>
          <w:sz w:val="20"/>
          <w:szCs w:val="20"/>
          <w:color w:val="auto"/>
        </w:rPr>
      </w:pPr>
    </w:p>
    <w:p>
      <w:pPr>
        <w:ind w:right="20" w:firstLine="576"/>
        <w:spacing w:after="0" w:line="234" w:lineRule="auto"/>
        <w:rPr>
          <w:sz w:val="20"/>
          <w:szCs w:val="20"/>
          <w:color w:val="auto"/>
        </w:rPr>
      </w:pPr>
      <w:r>
        <w:rPr>
          <w:rFonts w:ascii="Arial" w:cs="Arial" w:eastAsia="Arial" w:hAnsi="Arial"/>
          <w:sz w:val="18"/>
          <w:szCs w:val="18"/>
          <w:color w:val="auto"/>
        </w:rPr>
        <w:t>On a pro forma basis, after giving effect to the automatic conversion of all outstanding shares of convertible preferred stock into an aggregate of shares of our common stock in connection with this offering and the issuance of an aggregate of shares of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common stock upon the exercise of outstanding warrants immediately prior to the closing of this offering, and the repayment of $1.5 million in</w:t>
      </w:r>
    </w:p>
    <w:p>
      <w:pPr>
        <w:spacing w:after="0" w:line="200" w:lineRule="exact"/>
        <w:rPr>
          <w:sz w:val="20"/>
          <w:szCs w:val="20"/>
          <w:color w:val="auto"/>
        </w:rPr>
      </w:pPr>
    </w:p>
    <w:p>
      <w:pPr>
        <w:spacing w:after="0" w:line="209" w:lineRule="exact"/>
        <w:rPr>
          <w:sz w:val="20"/>
          <w:szCs w:val="20"/>
          <w:color w:val="auto"/>
        </w:rPr>
      </w:pPr>
    </w:p>
    <w:p>
      <w:pPr>
        <w:spacing w:after="0"/>
        <w:tabs>
          <w:tab w:leader="none" w:pos="7780" w:val="left"/>
          <w:tab w:leader="none" w:pos="9180" w:val="left"/>
        </w:tabs>
        <w:rPr>
          <w:sz w:val="20"/>
          <w:szCs w:val="20"/>
          <w:color w:val="auto"/>
        </w:rPr>
      </w:pPr>
      <w:r>
        <w:rPr>
          <w:rFonts w:ascii="Arial" w:cs="Arial" w:eastAsia="Arial" w:hAnsi="Arial"/>
          <w:sz w:val="18"/>
          <w:szCs w:val="18"/>
          <w:color w:val="auto"/>
        </w:rPr>
        <w:t>grant liability, our pro forma net tangible book value as of June 30, 2020 would have been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7"/>
          <w:szCs w:val="17"/>
          <w:color w:val="auto"/>
        </w:rPr>
        <w:t>per share.</w:t>
      </w:r>
    </w:p>
    <w:p>
      <w:pPr>
        <w:spacing w:after="0" w:line="212" w:lineRule="exact"/>
        <w:rPr>
          <w:sz w:val="20"/>
          <w:szCs w:val="20"/>
          <w:color w:val="auto"/>
        </w:rPr>
      </w:pPr>
    </w:p>
    <w:p>
      <w:pPr>
        <w:jc w:val="both"/>
        <w:ind w:right="320" w:firstLine="576"/>
        <w:spacing w:after="0" w:line="234" w:lineRule="auto"/>
        <w:rPr>
          <w:sz w:val="20"/>
          <w:szCs w:val="20"/>
          <w:color w:val="auto"/>
        </w:rPr>
      </w:pPr>
      <w:r>
        <w:rPr>
          <w:rFonts w:ascii="Arial" w:cs="Arial" w:eastAsia="Arial" w:hAnsi="Arial"/>
          <w:sz w:val="18"/>
          <w:szCs w:val="18"/>
          <w:color w:val="auto"/>
        </w:rPr>
        <w:t>On a pro forma basis, after giving further effect to the sale and issuance of shares of our common stock in this offering at the assumed initial public offering price of $ per share, which is the midpoint of the range reflected on the cover page of this prospectus,</w:t>
      </w:r>
    </w:p>
    <w:p>
      <w:pPr>
        <w:spacing w:after="0" w:line="236" w:lineRule="auto"/>
        <w:rPr>
          <w:sz w:val="20"/>
          <w:szCs w:val="20"/>
          <w:color w:val="auto"/>
        </w:rPr>
      </w:pPr>
      <w:r>
        <w:rPr>
          <w:rFonts w:ascii="Arial" w:cs="Arial" w:eastAsia="Arial" w:hAnsi="Arial"/>
          <w:sz w:val="18"/>
          <w:szCs w:val="18"/>
          <w:color w:val="auto"/>
        </w:rPr>
        <w:t>after deducting underwriting discounts and commissions and estimated offering expenses payable by us, our pro forma as adjusted net</w:t>
      </w:r>
    </w:p>
    <w:tbl>
      <w:tblPr>
        <w:tblLayout w:type="fixed"/>
        <w:tblInd w:w="0" w:type="dxa"/>
        <w:tblCellMar>
          <w:top w:w="0" w:type="dxa"/>
          <w:left w:w="0" w:type="dxa"/>
          <w:bottom w:w="0" w:type="dxa"/>
          <w:right w:w="0" w:type="dxa"/>
        </w:tblCellMar>
      </w:tblPr>
      <w:tr>
        <w:trPr>
          <w:trHeight w:val="203"/>
        </w:trPr>
        <w:tc>
          <w:tcPr>
            <w:tcW w:w="4980" w:type="dxa"/>
            <w:vAlign w:val="bottom"/>
            <w:gridSpan w:val="3"/>
          </w:tcPr>
          <w:p>
            <w:pPr>
              <w:spacing w:after="0" w:line="203" w:lineRule="exact"/>
              <w:rPr>
                <w:sz w:val="20"/>
                <w:szCs w:val="20"/>
                <w:color w:val="auto"/>
              </w:rPr>
            </w:pPr>
            <w:r>
              <w:rPr>
                <w:rFonts w:ascii="Arial" w:cs="Arial" w:eastAsia="Arial" w:hAnsi="Arial"/>
                <w:sz w:val="18"/>
                <w:szCs w:val="18"/>
                <w:color w:val="auto"/>
              </w:rPr>
              <w:t>tangible book value as of June 30, 2020 would have been $</w:t>
            </w:r>
          </w:p>
        </w:tc>
        <w:tc>
          <w:tcPr>
            <w:tcW w:w="1460" w:type="dxa"/>
            <w:vAlign w:val="bottom"/>
          </w:tcPr>
          <w:p>
            <w:pPr>
              <w:ind w:left="240"/>
              <w:spacing w:after="0" w:line="203" w:lineRule="exact"/>
              <w:rPr>
                <w:sz w:val="20"/>
                <w:szCs w:val="20"/>
                <w:color w:val="auto"/>
              </w:rPr>
            </w:pPr>
            <w:r>
              <w:rPr>
                <w:rFonts w:ascii="Arial" w:cs="Arial" w:eastAsia="Arial" w:hAnsi="Arial"/>
                <w:sz w:val="18"/>
                <w:szCs w:val="18"/>
                <w:color w:val="auto"/>
              </w:rPr>
              <w:t>million, or $</w:t>
            </w:r>
          </w:p>
        </w:tc>
        <w:tc>
          <w:tcPr>
            <w:tcW w:w="4800" w:type="dxa"/>
            <w:vAlign w:val="bottom"/>
          </w:tcPr>
          <w:p>
            <w:pPr>
              <w:jc w:val="right"/>
              <w:ind w:right="70"/>
              <w:spacing w:after="0" w:line="203" w:lineRule="exact"/>
              <w:rPr>
                <w:sz w:val="20"/>
                <w:szCs w:val="20"/>
                <w:color w:val="auto"/>
              </w:rPr>
            </w:pPr>
            <w:r>
              <w:rPr>
                <w:rFonts w:ascii="Arial" w:cs="Arial" w:eastAsia="Arial" w:hAnsi="Arial"/>
                <w:sz w:val="18"/>
                <w:szCs w:val="18"/>
                <w:color w:val="auto"/>
              </w:rPr>
              <w:t>per share. This represents an immediate increase in pro</w:t>
            </w: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forma net tangible book value of $</w:t>
            </w:r>
          </w:p>
        </w:tc>
        <w:tc>
          <w:tcPr>
            <w:tcW w:w="8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per share to existing stockholders and an immediate dilution of the pro forma net tangible book value</w:t>
            </w:r>
          </w:p>
        </w:tc>
      </w:tr>
      <w:tr>
        <w:trPr>
          <w:trHeight w:val="217"/>
        </w:trPr>
        <w:tc>
          <w:tcPr>
            <w:tcW w:w="440" w:type="dxa"/>
            <w:vAlign w:val="bottom"/>
          </w:tcPr>
          <w:p>
            <w:pPr>
              <w:spacing w:after="0"/>
              <w:rPr>
                <w:sz w:val="20"/>
                <w:szCs w:val="20"/>
                <w:color w:val="auto"/>
              </w:rPr>
            </w:pPr>
            <w:r>
              <w:rPr>
                <w:rFonts w:ascii="Arial" w:cs="Arial" w:eastAsia="Arial" w:hAnsi="Arial"/>
                <w:sz w:val="18"/>
                <w:szCs w:val="18"/>
                <w:color w:val="auto"/>
              </w:rPr>
              <w:t>of $</w:t>
            </w:r>
          </w:p>
        </w:tc>
        <w:tc>
          <w:tcPr>
            <w:tcW w:w="6000" w:type="dxa"/>
            <w:vAlign w:val="bottom"/>
            <w:gridSpan w:val="3"/>
          </w:tcPr>
          <w:p>
            <w:pPr>
              <w:ind w:left="340"/>
              <w:spacing w:after="0"/>
              <w:rPr>
                <w:sz w:val="20"/>
                <w:szCs w:val="20"/>
                <w:color w:val="auto"/>
              </w:rPr>
            </w:pPr>
            <w:r>
              <w:rPr>
                <w:rFonts w:ascii="Arial" w:cs="Arial" w:eastAsia="Arial" w:hAnsi="Arial"/>
                <w:sz w:val="18"/>
                <w:szCs w:val="18"/>
                <w:color w:val="auto"/>
              </w:rPr>
              <w:t>per share to new investors purchasing common stock in this offering.</w:t>
            </w:r>
          </w:p>
        </w:tc>
        <w:tc>
          <w:tcPr>
            <w:tcW w:w="4800" w:type="dxa"/>
            <w:vAlign w:val="bottom"/>
          </w:tcPr>
          <w:p>
            <w:pPr>
              <w:spacing w:after="0"/>
              <w:rPr>
                <w:sz w:val="18"/>
                <w:szCs w:val="18"/>
                <w:color w:val="auto"/>
              </w:rPr>
            </w:pPr>
          </w:p>
        </w:tc>
      </w:tr>
      <w:tr>
        <w:trPr>
          <w:trHeight w:val="418"/>
        </w:trPr>
        <w:tc>
          <w:tcPr>
            <w:tcW w:w="440" w:type="dxa"/>
            <w:vAlign w:val="bottom"/>
          </w:tcPr>
          <w:p>
            <w:pPr>
              <w:spacing w:after="0"/>
              <w:rPr>
                <w:sz w:val="24"/>
                <w:szCs w:val="24"/>
                <w:color w:val="auto"/>
              </w:rPr>
            </w:pPr>
          </w:p>
        </w:tc>
        <w:tc>
          <w:tcPr>
            <w:tcW w:w="10800" w:type="dxa"/>
            <w:vAlign w:val="bottom"/>
            <w:gridSpan w:val="4"/>
          </w:tcPr>
          <w:p>
            <w:pPr>
              <w:jc w:val="right"/>
              <w:ind w:right="423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r>
      <w:tr>
        <w:trPr>
          <w:trHeight w:val="203"/>
        </w:trPr>
        <w:tc>
          <w:tcPr>
            <w:tcW w:w="4980" w:type="dxa"/>
            <w:vAlign w:val="bottom"/>
            <w:gridSpan w:val="3"/>
          </w:tcPr>
          <w:p>
            <w:pPr>
              <w:spacing w:after="0"/>
              <w:rPr>
                <w:sz w:val="17"/>
                <w:szCs w:val="17"/>
                <w:color w:val="auto"/>
              </w:rPr>
            </w:pPr>
          </w:p>
        </w:tc>
        <w:tc>
          <w:tcPr>
            <w:tcW w:w="146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16"/>
        </w:trPr>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Assumed initial public offering price per share</w:t>
            </w:r>
          </w:p>
        </w:tc>
        <w:tc>
          <w:tcPr>
            <w:tcW w:w="1460" w:type="dxa"/>
            <w:vAlign w:val="bottom"/>
            <w:shd w:val="clear" w:color="auto" w:fill="CFF0FC"/>
          </w:tcPr>
          <w:p>
            <w:pPr>
              <w:spacing w:after="0"/>
              <w:rPr>
                <w:sz w:val="18"/>
                <w:szCs w:val="18"/>
                <w:color w:val="auto"/>
              </w:rPr>
            </w:pPr>
          </w:p>
        </w:tc>
        <w:tc>
          <w:tcPr>
            <w:tcW w:w="4800" w:type="dxa"/>
            <w:vAlign w:val="bottom"/>
            <w:shd w:val="clear" w:color="auto" w:fill="CFF0FC"/>
          </w:tcPr>
          <w:p>
            <w:pPr>
              <w:jc w:val="right"/>
              <w:ind w:right="1490"/>
              <w:spacing w:after="0"/>
              <w:rPr>
                <w:sz w:val="20"/>
                <w:szCs w:val="20"/>
                <w:color w:val="auto"/>
              </w:rPr>
            </w:pPr>
            <w:r>
              <w:rPr>
                <w:rFonts w:ascii="Arial" w:cs="Arial" w:eastAsia="Arial" w:hAnsi="Arial"/>
                <w:sz w:val="18"/>
                <w:szCs w:val="18"/>
                <w:color w:val="auto"/>
              </w:rPr>
              <w:t>$</w:t>
            </w:r>
          </w:p>
        </w:tc>
      </w:tr>
      <w:tr>
        <w:trPr>
          <w:trHeight w:val="215"/>
        </w:trPr>
        <w:tc>
          <w:tcPr>
            <w:tcW w:w="4980" w:type="dxa"/>
            <w:vAlign w:val="bottom"/>
            <w:gridSpan w:val="3"/>
          </w:tcPr>
          <w:p>
            <w:pPr>
              <w:ind w:left="140"/>
              <w:spacing w:after="0"/>
              <w:rPr>
                <w:sz w:val="20"/>
                <w:szCs w:val="20"/>
                <w:color w:val="auto"/>
              </w:rPr>
            </w:pPr>
            <w:r>
              <w:rPr>
                <w:rFonts w:ascii="Arial" w:cs="Arial" w:eastAsia="Arial" w:hAnsi="Arial"/>
                <w:sz w:val="18"/>
                <w:szCs w:val="18"/>
                <w:color w:val="auto"/>
              </w:rPr>
              <w:t>Historical net tangible book value (deficit) per share</w:t>
            </w:r>
          </w:p>
        </w:tc>
        <w:tc>
          <w:tcPr>
            <w:tcW w:w="1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16"/>
        </w:trPr>
        <w:tc>
          <w:tcPr>
            <w:tcW w:w="2960" w:type="dxa"/>
            <w:vAlign w:val="bottom"/>
            <w:gridSpan w:val="2"/>
          </w:tcPr>
          <w:p>
            <w:pPr>
              <w:ind w:left="280"/>
              <w:spacing w:after="0"/>
              <w:rPr>
                <w:sz w:val="20"/>
                <w:szCs w:val="20"/>
                <w:color w:val="auto"/>
              </w:rPr>
            </w:pPr>
            <w:r>
              <w:rPr>
                <w:rFonts w:ascii="Arial" w:cs="Arial" w:eastAsia="Arial" w:hAnsi="Arial"/>
                <w:sz w:val="18"/>
                <w:szCs w:val="18"/>
                <w:color w:val="auto"/>
              </w:rPr>
              <w:t>as of June 30, 2020</w:t>
            </w:r>
          </w:p>
        </w:tc>
        <w:tc>
          <w:tcPr>
            <w:tcW w:w="2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94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ind w:left="140"/>
        <w:spacing w:after="0" w:line="234" w:lineRule="auto"/>
        <w:rPr>
          <w:sz w:val="20"/>
          <w:szCs w:val="20"/>
          <w:color w:val="auto"/>
        </w:rPr>
      </w:pPr>
      <w:r>
        <w:rPr>
          <w:rFonts w:ascii="Arial" w:cs="Arial" w:eastAsia="Arial" w:hAnsi="Arial"/>
          <w:sz w:val="18"/>
          <w:szCs w:val="18"/>
          <w:color w:val="auto"/>
        </w:rPr>
        <w:t>Pro forma increase in historical net tangible book deficit per share</w:t>
      </w:r>
    </w:p>
    <w:p>
      <w:pPr>
        <w:ind w:left="280"/>
        <w:spacing w:after="0" w:line="235" w:lineRule="auto"/>
        <w:rPr>
          <w:sz w:val="20"/>
          <w:szCs w:val="20"/>
          <w:color w:val="auto"/>
        </w:rPr>
      </w:pPr>
      <w:r>
        <w:rPr>
          <w:rFonts w:ascii="Arial" w:cs="Arial" w:eastAsia="Arial" w:hAnsi="Arial"/>
          <w:sz w:val="18"/>
          <w:szCs w:val="18"/>
          <w:color w:val="auto"/>
        </w:rPr>
        <w:t>as of June 30, 2020 attributable to the pro forma adjustments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-1905</wp:posOffset>
            </wp:positionV>
            <wp:extent cx="10541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 forma net tangible book value per share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65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Increase in pro forma net tangible book value per share</w:t>
      </w:r>
    </w:p>
    <w:p>
      <w:pPr>
        <w:ind w:left="280"/>
        <w:spacing w:after="0"/>
        <w:rPr>
          <w:sz w:val="20"/>
          <w:szCs w:val="20"/>
          <w:color w:val="auto"/>
        </w:rPr>
      </w:pPr>
      <w:r>
        <w:rPr>
          <w:rFonts w:ascii="Arial" w:cs="Arial" w:eastAsia="Arial" w:hAnsi="Arial"/>
          <w:sz w:val="18"/>
          <w:szCs w:val="18"/>
          <w:color w:val="auto"/>
        </w:rPr>
        <w:t>attributable to new investors participating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-1905</wp:posOffset>
            </wp:positionV>
            <wp:extent cx="10541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 forma as adjusted net tangible book value per share</w:t>
      </w:r>
    </w:p>
    <w:p>
      <w:pPr>
        <w:ind w:left="160"/>
        <w:spacing w:after="0"/>
        <w:rPr>
          <w:sz w:val="20"/>
          <w:szCs w:val="20"/>
          <w:color w:val="auto"/>
        </w:rPr>
      </w:pPr>
      <w:r>
        <w:rPr>
          <w:rFonts w:ascii="Arial" w:cs="Arial" w:eastAsia="Arial" w:hAnsi="Arial"/>
          <w:sz w:val="18"/>
          <w:szCs w:val="18"/>
          <w:color w:val="auto"/>
        </w:rPr>
        <w:t>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Dilution per share to new investors participating in this offering</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14605</wp:posOffset>
            </wp:positionV>
            <wp:extent cx="10629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ind w:right="220" w:firstLine="576"/>
        <w:spacing w:after="0" w:line="234" w:lineRule="auto"/>
        <w:rPr>
          <w:sz w:val="20"/>
          <w:szCs w:val="20"/>
          <w:color w:val="auto"/>
        </w:rPr>
      </w:pPr>
      <w:r>
        <w:rPr>
          <w:rFonts w:ascii="Arial" w:cs="Arial" w:eastAsia="Arial" w:hAnsi="Arial"/>
          <w:sz w:val="18"/>
          <w:szCs w:val="18"/>
          <w:color w:val="auto"/>
        </w:rPr>
        <w:t>Each $1.00 increase or decrease in the assumed initial public offering price of $ per share would increase or decrease, as applicable, our pro forma as adjusted net tangible book value by $ million, or $ per share, and increase or decrease, as applicable, the dilution per share to investors participating in this offering by $ per share, assuming that the number of shares offered by us, as set</w:t>
      </w:r>
    </w:p>
    <w:p>
      <w:pPr>
        <w:spacing w:after="0" w:line="2" w:lineRule="exact"/>
        <w:rPr>
          <w:sz w:val="20"/>
          <w:szCs w:val="20"/>
          <w:color w:val="auto"/>
        </w:rPr>
      </w:pPr>
    </w:p>
    <w:p>
      <w:pPr>
        <w:ind w:right="20"/>
        <w:spacing w:after="0" w:line="372" w:lineRule="auto"/>
        <w:rPr>
          <w:sz w:val="20"/>
          <w:szCs w:val="20"/>
          <w:color w:val="auto"/>
        </w:rPr>
      </w:pPr>
      <w:r>
        <w:rPr>
          <w:rFonts w:ascii="Arial" w:cs="Arial" w:eastAsia="Arial" w:hAnsi="Arial"/>
          <w:sz w:val="17"/>
          <w:szCs w:val="17"/>
          <w:color w:val="auto"/>
        </w:rPr>
        <w:t>forth on the cover page of this prospectus, remains the same, and after deducting underwriting discounts and commissions and estimated offering expenses payable by us. We may also increase or decrease the number of shares we are offering. Each increase of 1.0 million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number of shares offered by us would increase our pro forma as adjusted net tangible book value by $ million, or $ per share, and the dilution per share to investors participating in this offering would be $ per share, assuming that the assumed initial public offering</w:t>
      </w:r>
    </w:p>
    <w:p>
      <w:pPr>
        <w:spacing w:after="0" w:line="1"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price remains the same, and after deducting underwriting discounts and commissions and estimated offering expenses payable by us. Similarly, each decrease of 1.0 million shares in the number of shares offered by us would decrease our pro forma as adjusted net tangible</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book value by $ million, or $ per share, and the dilution per share to investors participating in this offering would be $ per share, assuming that the assumed initial public offering price remains the same, and after deducting underwriting discounts and commissions and estimated offering expenses payable by us. The pro forma as adjusted information discussed above is illustrative only and will change based on the actual initial public offering price and other terms of this offering determined at pricing.</w:t>
      </w:r>
    </w:p>
    <w:p>
      <w:pPr>
        <w:spacing w:after="0" w:line="205"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If the underwriters exercise their option in full to purchase additional shares of common stock in this offering, the pro forma as adjusted net tangible book value per share after the offering would be $ per share, the increase in the pro forma net tangible book value per share to existing stockholders would be $ per share, and the pro forma as adjusted dilution to new investors purchasing common stock in this offering would be $ per share.</w:t>
      </w:r>
    </w:p>
    <w:p>
      <w:pPr>
        <w:spacing w:after="0" w:line="205" w:lineRule="exact"/>
        <w:rPr>
          <w:sz w:val="20"/>
          <w:szCs w:val="20"/>
          <w:color w:val="auto"/>
        </w:rPr>
      </w:pPr>
    </w:p>
    <w:p>
      <w:pPr>
        <w:ind w:right="220" w:firstLine="576"/>
        <w:spacing w:after="0" w:line="234" w:lineRule="auto"/>
        <w:rPr>
          <w:sz w:val="20"/>
          <w:szCs w:val="20"/>
          <w:color w:val="auto"/>
        </w:rPr>
      </w:pPr>
      <w:r>
        <w:rPr>
          <w:rFonts w:ascii="Arial" w:cs="Arial" w:eastAsia="Arial" w:hAnsi="Arial"/>
          <w:sz w:val="18"/>
          <w:szCs w:val="18"/>
          <w:color w:val="auto"/>
        </w:rPr>
        <w:t>The following table summarizes, on a pro forma basis as adjusted basis as described above as of June 30, 2020, the differences between the number of shares of common stock purchased from us, the total consideration and the weighted-average price per share paid</w:t>
      </w:r>
    </w:p>
    <w:p>
      <w:pPr>
        <w:spacing w:after="0" w:line="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by existing stockholders and by investors participating in this offering at the initial public offering price of $ per share, before deducting underwriting discounts and commissions and estimated offering expenses payable by 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75"/>
        </w:trPr>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Total Consideration</w:t>
            </w:r>
          </w:p>
        </w:tc>
        <w:tc>
          <w:tcPr>
            <w:tcW w:w="3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r>
      <w:tr>
        <w:trPr>
          <w:trHeight w:val="169"/>
        </w:trPr>
        <w:tc>
          <w:tcPr>
            <w:tcW w:w="480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Existing stockholders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21"/>
              <w:spacing w:after="0"/>
              <w:rPr>
                <w:sz w:val="20"/>
                <w:szCs w:val="20"/>
                <w:color w:val="auto"/>
              </w:rPr>
            </w:pPr>
            <w:r>
              <w:rPr>
                <w:rFonts w:ascii="Arial" w:cs="Arial" w:eastAsia="Arial" w:hAnsi="Arial"/>
                <w:sz w:val="18"/>
                <w:szCs w:val="18"/>
                <w:color w:val="auto"/>
                <w:w w:val="79"/>
              </w:rPr>
              <w:t>$</w:t>
            </w:r>
          </w:p>
        </w:tc>
      </w:tr>
      <w:tr>
        <w:trPr>
          <w:trHeight w:val="216"/>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public investors</w:t>
            </w:r>
          </w:p>
        </w:tc>
        <w:tc>
          <w:tcPr>
            <w:tcW w:w="34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FF0FC"/>
          </w:tcPr>
          <w:p>
            <w:pPr>
              <w:jc w:val="right"/>
              <w:ind w:right="921"/>
              <w:spacing w:after="0"/>
              <w:rPr>
                <w:sz w:val="20"/>
                <w:szCs w:val="20"/>
                <w:color w:val="auto"/>
              </w:rPr>
            </w:pPr>
            <w:r>
              <w:rPr>
                <w:rFonts w:ascii="Arial" w:cs="Arial" w:eastAsia="Arial" w:hAnsi="Arial"/>
                <w:sz w:val="18"/>
                <w:szCs w:val="18"/>
                <w:color w:val="auto"/>
                <w:w w:val="79"/>
              </w:rPr>
              <w:t>$</w:t>
            </w:r>
          </w:p>
        </w:tc>
      </w:tr>
      <w:tr>
        <w:trPr>
          <w:trHeight w:val="20"/>
        </w:trPr>
        <w:tc>
          <w:tcPr>
            <w:tcW w:w="5140" w:type="dxa"/>
            <w:vAlign w:val="bottom"/>
            <w:tcBorders>
              <w:top w:val="single" w:sz="8" w:color="CFF0FC"/>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7140" w:type="dxa"/>
            <w:vAlign w:val="bottom"/>
            <w:gridSpan w:val="5"/>
          </w:tcPr>
          <w:p>
            <w:pPr>
              <w:ind w:left="58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220" w:type="dxa"/>
            <w:vAlign w:val="bottom"/>
          </w:tcPr>
          <w:p>
            <w:pPr>
              <w:spacing w:after="0"/>
              <w:rPr>
                <w:sz w:val="24"/>
                <w:szCs w:val="24"/>
                <w:color w:val="auto"/>
              </w:rPr>
            </w:pPr>
          </w:p>
        </w:tc>
        <w:tc>
          <w:tcPr>
            <w:tcW w:w="3880" w:type="dxa"/>
            <w:vAlign w:val="bottom"/>
            <w:gridSpan w:val="7"/>
          </w:tcPr>
          <w:p>
            <w:pPr>
              <w:jc w:val="right"/>
              <w:ind w:right="441"/>
              <w:spacing w:after="0"/>
              <w:rPr>
                <w:sz w:val="20"/>
                <w:szCs w:val="20"/>
                <w:color w:val="auto"/>
              </w:rPr>
            </w:pPr>
            <w:r>
              <w:rPr>
                <w:rFonts w:ascii="Arial" w:cs="Arial" w:eastAsia="Arial" w:hAnsi="Arial"/>
                <w:sz w:val="18"/>
                <w:szCs w:val="18"/>
                <w:color w:val="auto"/>
              </w:rPr>
              <w:t>per share would increase or decrease, as</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applicable, total consideration paid by new investors by $</w:t>
            </w:r>
          </w:p>
        </w:tc>
        <w:tc>
          <w:tcPr>
            <w:tcW w:w="6440" w:type="dxa"/>
            <w:vAlign w:val="bottom"/>
            <w:gridSpan w:val="12"/>
          </w:tcPr>
          <w:p>
            <w:pPr>
              <w:jc w:val="right"/>
              <w:ind w:right="21"/>
              <w:spacing w:after="0" w:line="202" w:lineRule="exact"/>
              <w:rPr>
                <w:sz w:val="20"/>
                <w:szCs w:val="20"/>
                <w:color w:val="auto"/>
              </w:rPr>
            </w:pPr>
            <w:r>
              <w:rPr>
                <w:rFonts w:ascii="Arial" w:cs="Arial" w:eastAsia="Arial" w:hAnsi="Arial"/>
                <w:sz w:val="18"/>
                <w:szCs w:val="18"/>
                <w:color w:val="auto"/>
              </w:rPr>
              <w:t>, assuming that the number of shares offered by us, as set forth on the cover</w:t>
            </w:r>
          </w:p>
        </w:tc>
      </w:tr>
    </w:tbl>
    <w:p>
      <w:pPr>
        <w:jc w:val="both"/>
        <w:spacing w:after="0" w:line="234" w:lineRule="auto"/>
        <w:rPr>
          <w:sz w:val="20"/>
          <w:szCs w:val="20"/>
          <w:color w:val="auto"/>
        </w:rPr>
      </w:pPr>
      <w:r>
        <w:rPr>
          <w:rFonts w:ascii="Arial" w:cs="Arial" w:eastAsia="Arial" w:hAnsi="Arial"/>
          <w:sz w:val="18"/>
          <w:szCs w:val="18"/>
          <w:color w:val="auto"/>
        </w:rPr>
        <w:t>page of this prospectus, remains the same, after deducting underwriting discounts and commissions and estimated offering expenses payable by us. We may also increase or decrease the number of shares we are offering. An increase or decrease of 1.0 million in the number</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of shares offered by us would increase or decrease, as applicable, total consideration paid by new investors by $ million, assuming that the assumed initial public offering price remains the same, and after deducting underwriting discounts and commissions and estimated offering expenses payable by us.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the</w:t>
      </w:r>
    </w:p>
    <w:p>
      <w:pPr>
        <w:spacing w:after="0" w:line="234" w:lineRule="auto"/>
        <w:rPr>
          <w:sz w:val="20"/>
          <w:szCs w:val="20"/>
          <w:color w:val="auto"/>
        </w:rPr>
      </w:pPr>
      <w:r>
        <w:rPr>
          <w:rFonts w:ascii="Arial" w:cs="Arial" w:eastAsia="Arial" w:hAnsi="Arial"/>
          <w:sz w:val="18"/>
          <w:szCs w:val="18"/>
          <w:color w:val="auto"/>
        </w:rPr>
        <w:t>shares of common stock outstanding as of June 30, 2020 (including our convertible preferred stock on an as-converted basis), which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excludes:</w:t>
      </w:r>
    </w:p>
    <w:p>
      <w:pPr>
        <w:spacing w:after="0" w:line="99" w:lineRule="exact"/>
        <w:rPr>
          <w:sz w:val="20"/>
          <w:szCs w:val="20"/>
          <w:color w:val="auto"/>
        </w:rPr>
      </w:pPr>
    </w:p>
    <w:p>
      <w:pPr>
        <w:ind w:left="1700" w:hanging="842"/>
        <w:spacing w:after="0"/>
        <w:tabs>
          <w:tab w:leader="none" w:pos="1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outstanding options as of June 30, 2020 with a weighted-</w:t>
      </w:r>
    </w:p>
    <w:p>
      <w:pPr>
        <w:ind w:left="1300"/>
        <w:spacing w:after="0"/>
        <w:tabs>
          <w:tab w:leader="none" w:pos="378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8"/>
          <w:szCs w:val="18"/>
          <w:color w:val="auto"/>
        </w:rPr>
        <w:t>per share;</w:t>
      </w:r>
    </w:p>
    <w:p>
      <w:pPr>
        <w:spacing w:after="0" w:line="212" w:lineRule="exact"/>
        <w:rPr>
          <w:sz w:val="20"/>
          <w:szCs w:val="20"/>
          <w:color w:val="auto"/>
        </w:rPr>
      </w:pPr>
    </w:p>
    <w:p>
      <w:pPr>
        <w:ind w:left="5460" w:right="640" w:hanging="4602"/>
        <w:spacing w:after="0" w:line="637" w:lineRule="auto"/>
        <w:tabs>
          <w:tab w:leader="none" w:pos="1686"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2014 Equity Incentive Plan as of June 30, 2020;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7" w:name="page88"/>
    <w:bookmarkEnd w:id="87"/>
    <w:p>
      <w:pPr>
        <w:ind w:left="1300" w:right="60" w:hanging="442"/>
        <w:spacing w:after="0"/>
        <w:tabs>
          <w:tab w:leader="none" w:pos="1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Equity Incentive Plan, which will become effective on the business day immediately prior to the date of effectiveness of the registration statement of which this prospectus forms a part; and</w:t>
      </w:r>
    </w:p>
    <w:p>
      <w:pPr>
        <w:spacing w:after="0" w:line="202" w:lineRule="exact"/>
        <w:rPr>
          <w:rFonts w:ascii="Arial" w:cs="Arial" w:eastAsia="Arial" w:hAnsi="Arial"/>
          <w:sz w:val="18"/>
          <w:szCs w:val="18"/>
          <w:color w:val="auto"/>
        </w:rPr>
      </w:pPr>
    </w:p>
    <w:p>
      <w:pPr>
        <w:ind w:left="1300" w:hanging="442"/>
        <w:spacing w:after="0"/>
        <w:tabs>
          <w:tab w:leader="none" w:pos="1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Employee Stock Purchase Plan, which will become effective on the business day immediately prior to the date of effectiveness of the registration statement of which this prospectus forms a part.</w:t>
      </w:r>
    </w:p>
    <w:p>
      <w:pPr>
        <w:spacing w:after="0" w:line="311"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set forth our selected financial data. The selected statements of operations data for the years ended</w:t>
      </w:r>
    </w:p>
    <w:p>
      <w:pPr>
        <w:spacing w:after="0" w:line="234" w:lineRule="auto"/>
        <w:rPr>
          <w:sz w:val="20"/>
          <w:szCs w:val="20"/>
          <w:color w:val="auto"/>
        </w:rPr>
      </w:pPr>
      <w:r>
        <w:rPr>
          <w:rFonts w:ascii="Arial" w:cs="Arial" w:eastAsia="Arial" w:hAnsi="Arial"/>
          <w:sz w:val="18"/>
          <w:szCs w:val="18"/>
          <w:color w:val="auto"/>
        </w:rPr>
        <w:t>December 31, 2018 and 2019 and the selected balance sheet data as of December 31, 2018 and 2019 are derived from our audited financial</w:t>
      </w:r>
    </w:p>
    <w:p>
      <w:pPr>
        <w:spacing w:after="0" w:line="235" w:lineRule="auto"/>
        <w:rPr>
          <w:sz w:val="20"/>
          <w:szCs w:val="20"/>
          <w:color w:val="auto"/>
        </w:rPr>
      </w:pPr>
      <w:r>
        <w:rPr>
          <w:rFonts w:ascii="Arial" w:cs="Arial" w:eastAsia="Arial" w:hAnsi="Arial"/>
          <w:sz w:val="18"/>
          <w:szCs w:val="18"/>
          <w:color w:val="auto"/>
        </w:rPr>
        <w:t>statements included elsewhere in this prospectus. The selected statements of operations data for the six months ended June 30, 2019 and</w:t>
      </w:r>
    </w:p>
    <w:p>
      <w:pPr>
        <w:spacing w:after="0" w:line="235" w:lineRule="auto"/>
        <w:rPr>
          <w:sz w:val="20"/>
          <w:szCs w:val="20"/>
          <w:color w:val="auto"/>
        </w:rPr>
      </w:pPr>
      <w:r>
        <w:rPr>
          <w:rFonts w:ascii="Arial" w:cs="Arial" w:eastAsia="Arial" w:hAnsi="Arial"/>
          <w:sz w:val="18"/>
          <w:szCs w:val="18"/>
          <w:color w:val="auto"/>
        </w:rPr>
        <w:t>2020 and the selected balance sheet data as of June 30, 2020 are derived from our unaudited interim condensed financial statements</w:t>
      </w:r>
    </w:p>
    <w:p>
      <w:pPr>
        <w:spacing w:after="0" w:line="235" w:lineRule="auto"/>
        <w:rPr>
          <w:sz w:val="20"/>
          <w:szCs w:val="20"/>
          <w:color w:val="auto"/>
        </w:rPr>
      </w:pPr>
      <w:r>
        <w:rPr>
          <w:rFonts w:ascii="Arial" w:cs="Arial" w:eastAsia="Arial" w:hAnsi="Arial"/>
          <w:sz w:val="18"/>
          <w:szCs w:val="18"/>
          <w:color w:val="auto"/>
        </w:rPr>
        <w:t>included elsewhere in this prospectus. Our unaudited interim condensed financial statements have been prepared on a basis similar to our</w:t>
      </w:r>
    </w:p>
    <w:p>
      <w:pPr>
        <w:spacing w:after="0" w:line="235" w:lineRule="auto"/>
        <w:rPr>
          <w:sz w:val="20"/>
          <w:szCs w:val="20"/>
          <w:color w:val="auto"/>
        </w:rPr>
      </w:pPr>
      <w:r>
        <w:rPr>
          <w:rFonts w:ascii="Arial" w:cs="Arial" w:eastAsia="Arial" w:hAnsi="Arial"/>
          <w:sz w:val="18"/>
          <w:szCs w:val="18"/>
          <w:color w:val="auto"/>
        </w:rPr>
        <w:t>audited financial statements and, in the opinion of management, reflect all adjustments, consisting solely of normal recurring adjustments,</w:t>
      </w:r>
    </w:p>
    <w:p>
      <w:pPr>
        <w:spacing w:after="0" w:line="234" w:lineRule="auto"/>
        <w:rPr>
          <w:sz w:val="20"/>
          <w:szCs w:val="20"/>
          <w:color w:val="auto"/>
        </w:rPr>
      </w:pPr>
      <w:r>
        <w:rPr>
          <w:rFonts w:ascii="Arial" w:cs="Arial" w:eastAsia="Arial" w:hAnsi="Arial"/>
          <w:sz w:val="18"/>
          <w:szCs w:val="18"/>
          <w:color w:val="auto"/>
        </w:rPr>
        <w:t>necessary for the fair presentation of the financial information in those statements. You should read this selected data together with our</w:t>
      </w:r>
    </w:p>
    <w:p>
      <w:pPr>
        <w:spacing w:after="0" w:line="235" w:lineRule="auto"/>
        <w:rPr>
          <w:sz w:val="20"/>
          <w:szCs w:val="20"/>
          <w:color w:val="auto"/>
        </w:rPr>
      </w:pPr>
      <w:r>
        <w:rPr>
          <w:rFonts w:ascii="Arial" w:cs="Arial" w:eastAsia="Arial" w:hAnsi="Arial"/>
          <w:sz w:val="18"/>
          <w:szCs w:val="18"/>
          <w:color w:val="auto"/>
        </w:rPr>
        <w:t>financial statements and related notes appearing elsewhere in this prospectus and the information in the section of this prospectus titled</w:t>
      </w:r>
    </w:p>
    <w:p>
      <w:pPr>
        <w:spacing w:after="0" w:line="235" w:lineRule="auto"/>
        <w:rPr>
          <w:sz w:val="20"/>
          <w:szCs w:val="20"/>
          <w:color w:val="auto"/>
        </w:rPr>
      </w:pPr>
      <w:r>
        <w:rPr>
          <w:rFonts w:ascii="Arial" w:cs="Arial" w:eastAsia="Arial" w:hAnsi="Arial"/>
          <w:sz w:val="18"/>
          <w:szCs w:val="18"/>
          <w:color w:val="auto"/>
        </w:rPr>
        <w:t>“Management’s Discussion and Analysis of Financial Condition and Results of Operations.” Our historical results are not necessarily</w:t>
      </w:r>
    </w:p>
    <w:p>
      <w:pPr>
        <w:spacing w:after="0" w:line="235" w:lineRule="auto"/>
        <w:rPr>
          <w:sz w:val="20"/>
          <w:szCs w:val="20"/>
          <w:color w:val="auto"/>
        </w:rPr>
      </w:pPr>
      <w:r>
        <w:rPr>
          <w:rFonts w:ascii="Arial" w:cs="Arial" w:eastAsia="Arial" w:hAnsi="Arial"/>
          <w:sz w:val="18"/>
          <w:szCs w:val="18"/>
          <w:color w:val="auto"/>
        </w:rPr>
        <w:t>indicative of our future results, and the results of operations for the six months ended June 30, 2020 are not necessarily indicative of the</w:t>
      </w:r>
    </w:p>
    <w:p>
      <w:pPr>
        <w:spacing w:after="0" w:line="235" w:lineRule="auto"/>
        <w:rPr>
          <w:sz w:val="20"/>
          <w:szCs w:val="20"/>
          <w:color w:val="auto"/>
        </w:rPr>
      </w:pPr>
      <w:r>
        <w:rPr>
          <w:rFonts w:ascii="Arial" w:cs="Arial" w:eastAsia="Arial" w:hAnsi="Arial"/>
          <w:sz w:val="18"/>
          <w:szCs w:val="18"/>
          <w:color w:val="auto"/>
        </w:rPr>
        <w:t>results to be expected for the full year ending December 31, 2020 or any other period. The selected financial data in this section are not</w:t>
      </w:r>
    </w:p>
    <w:p>
      <w:pPr>
        <w:spacing w:after="0"/>
        <w:rPr>
          <w:sz w:val="20"/>
          <w:szCs w:val="20"/>
          <w:color w:val="auto"/>
        </w:rPr>
      </w:pPr>
      <w:r>
        <w:rPr>
          <w:rFonts w:ascii="Arial" w:cs="Arial" w:eastAsia="Arial" w:hAnsi="Arial"/>
          <w:sz w:val="18"/>
          <w:szCs w:val="18"/>
          <w:color w:val="auto"/>
        </w:rPr>
        <w:t>intended to replace our financial statements and the related notes included elsewhere in this prospectus.</w:t>
      </w:r>
    </w:p>
    <w:p>
      <w:pPr>
        <w:sectPr>
          <w:pgSz w:w="11900" w:h="16838" w:orient="portrait"/>
          <w:cols w:equalWidth="0" w:num="1">
            <w:col w:w="11260"/>
          </w:cols>
          <w:pgMar w:left="320" w:top="360" w:right="319" w:bottom="1440" w:gutter="0" w:footer="0" w:header="0"/>
        </w:sectPr>
      </w:pPr>
    </w:p>
    <w:p>
      <w:pPr>
        <w:spacing w:after="0" w:line="267"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8890</wp:posOffset>
            </wp:positionV>
            <wp:extent cx="16116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9" w:lineRule="exact"/>
        <w:rPr>
          <w:sz w:val="20"/>
          <w:szCs w:val="20"/>
          <w:color w:val="auto"/>
        </w:rPr>
      </w:pPr>
    </w:p>
    <w:p>
      <w:pPr>
        <w:ind w:left="6220"/>
        <w:spacing w:after="0"/>
        <w:tabs>
          <w:tab w:leader="none" w:pos="7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8890</wp:posOffset>
            </wp:positionV>
            <wp:extent cx="1680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9" w:lineRule="exact"/>
        <w:rPr>
          <w:sz w:val="20"/>
          <w:szCs w:val="20"/>
          <w:color w:val="auto"/>
        </w:rPr>
      </w:pPr>
    </w:p>
    <w:p>
      <w:pPr>
        <w:ind w:left="80"/>
        <w:spacing w:after="0"/>
        <w:tabs>
          <w:tab w:leader="none" w:pos="1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13" w:lineRule="exact"/>
        <w:rPr>
          <w:sz w:val="20"/>
          <w:szCs w:val="20"/>
          <w:color w:val="auto"/>
        </w:rPr>
      </w:pPr>
    </w:p>
    <w:p>
      <w:pPr>
        <w:sectPr>
          <w:pgSz w:w="11900" w:h="16838" w:orient="portrait"/>
          <w:cols w:equalWidth="0" w:num="2">
            <w:col w:w="8260" w:space="720"/>
            <w:col w:w="2280"/>
          </w:cols>
          <w:pgMar w:left="320" w:top="360"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4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tcBorders>
              <w:top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3,793</w:t>
            </w:r>
          </w:p>
        </w:tc>
        <w:tc>
          <w:tcPr>
            <w:tcW w:w="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1400" w:type="dxa"/>
            <w:vAlign w:val="bottom"/>
            <w:gridSpan w:val="2"/>
            <w:shd w:val="clear" w:color="auto" w:fill="CFF0FC"/>
          </w:tcPr>
          <w:p>
            <w:pPr>
              <w:jc w:val="right"/>
              <w:ind w:right="10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1,656</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5,449</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(5,009)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(5,449)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288</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(5,097)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(5,161)</w:t>
            </w:r>
          </w:p>
        </w:tc>
        <w:tc>
          <w:tcPr>
            <w:tcW w:w="11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78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color w:val="auto"/>
              </w:rPr>
              <w:t>Net loss per share attributable to common</w:t>
            </w:r>
          </w:p>
        </w:tc>
        <w:tc>
          <w:tcPr>
            <w:tcW w:w="10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right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8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1200" w:type="dxa"/>
            <w:vAlign w:val="bottom"/>
            <w:gridSpan w:val="2"/>
            <w:shd w:val="clear" w:color="auto" w:fill="CFF0FC"/>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60"/>
              <w:spacing w:after="0" w:line="206" w:lineRule="exact"/>
              <w:rPr>
                <w:sz w:val="20"/>
                <w:szCs w:val="20"/>
                <w:color w:val="auto"/>
              </w:rPr>
            </w:pPr>
            <w:r>
              <w:rPr>
                <w:rFonts w:ascii="Arial" w:cs="Arial" w:eastAsia="Arial" w:hAnsi="Arial"/>
                <w:sz w:val="18"/>
                <w:szCs w:val="18"/>
                <w:color w:val="auto"/>
              </w:rPr>
              <w:t>(0.19)</w:t>
            </w:r>
          </w:p>
        </w:tc>
        <w:tc>
          <w:tcPr>
            <w:tcW w:w="240" w:type="dxa"/>
            <w:vAlign w:val="bottom"/>
            <w:gridSpan w:val="2"/>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100" w:type="dxa"/>
            <w:vAlign w:val="bottom"/>
            <w:gridSpan w:val="5"/>
            <w:shd w:val="clear" w:color="auto" w:fill="CFF0FC"/>
          </w:tcPr>
          <w:p>
            <w:pPr>
              <w:jc w:val="right"/>
              <w:spacing w:after="0" w:line="206" w:lineRule="exact"/>
              <w:rPr>
                <w:sz w:val="20"/>
                <w:szCs w:val="20"/>
                <w:color w:val="auto"/>
              </w:rPr>
            </w:pPr>
            <w:r>
              <w:rPr>
                <w:rFonts w:ascii="Arial" w:cs="Arial" w:eastAsia="Arial" w:hAnsi="Arial"/>
                <w:sz w:val="18"/>
                <w:szCs w:val="18"/>
                <w:color w:val="auto"/>
              </w:rPr>
              <w:t>(0.18)</w:t>
            </w:r>
          </w:p>
        </w:tc>
        <w:tc>
          <w:tcPr>
            <w:tcW w:w="1120" w:type="dxa"/>
            <w:vAlign w:val="bottom"/>
            <w:gridSpan w:val="2"/>
            <w:shd w:val="clear" w:color="auto" w:fill="CFF0FC"/>
          </w:tcPr>
          <w:p>
            <w:pPr>
              <w:jc w:val="right"/>
              <w:ind w:right="768"/>
              <w:spacing w:after="0" w:line="206" w:lineRule="exact"/>
              <w:rPr>
                <w:sz w:val="20"/>
                <w:szCs w:val="20"/>
                <w:color w:val="auto"/>
              </w:rPr>
            </w:pPr>
            <w:r>
              <w:rPr>
                <w:rFonts w:ascii="Arial" w:cs="Arial" w:eastAsia="Arial" w:hAnsi="Arial"/>
                <w:sz w:val="18"/>
                <w:szCs w:val="18"/>
                <w:color w:val="auto"/>
              </w:rPr>
              <w:t>$</w:t>
            </w:r>
          </w:p>
        </w:tc>
        <w:tc>
          <w:tcPr>
            <w:tcW w:w="300" w:type="dxa"/>
            <w:vAlign w:val="bottom"/>
            <w:tcBorders>
              <w:right w:val="single" w:sz="8" w:color="CFF0FC"/>
            </w:tcBorders>
            <w:shd w:val="clear" w:color="auto" w:fill="CFF0FC"/>
          </w:tcPr>
          <w:p>
            <w:pPr>
              <w:spacing w:after="0"/>
              <w:rPr>
                <w:sz w:val="17"/>
                <w:szCs w:val="17"/>
                <w:color w:val="auto"/>
              </w:rPr>
            </w:pPr>
          </w:p>
        </w:tc>
        <w:tc>
          <w:tcPr>
            <w:tcW w:w="1400" w:type="dxa"/>
            <w:vAlign w:val="bottom"/>
            <w:gridSpan w:val="2"/>
            <w:shd w:val="clear" w:color="auto" w:fill="CFF0FC"/>
          </w:tcPr>
          <w:p>
            <w:pPr>
              <w:jc w:val="right"/>
              <w:ind w:right="1088"/>
              <w:spacing w:after="0" w:line="20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used in computing net loss per share</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80" w:type="dxa"/>
            <w:vAlign w:val="bottom"/>
          </w:tcPr>
          <w:p>
            <w:pPr>
              <w:ind w:left="160"/>
              <w:spacing w:after="0" w:line="200" w:lineRule="exact"/>
              <w:rPr>
                <w:sz w:val="20"/>
                <w:szCs w:val="20"/>
                <w:color w:val="auto"/>
              </w:rPr>
            </w:pPr>
            <w:r>
              <w:rPr>
                <w:rFonts w:ascii="Arial" w:cs="Arial" w:eastAsia="Arial" w:hAnsi="Arial"/>
                <w:sz w:val="18"/>
                <w:szCs w:val="18"/>
                <w:color w:val="auto"/>
              </w:rPr>
              <w:t>attributable to common stockholders,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780" w:type="dxa"/>
            <w:vAlign w:val="bottom"/>
            <w:tcBorders>
              <w:bottom w:val="single" w:sz="8" w:color="CFF0FC"/>
            </w:tcBorders>
          </w:tcPr>
          <w:p>
            <w:pPr>
              <w:ind w:left="160"/>
              <w:spacing w:after="0" w:line="206" w:lineRule="exact"/>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0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0"/>
              <w:spacing w:after="0" w:line="206" w:lineRule="exact"/>
              <w:rPr>
                <w:sz w:val="20"/>
                <w:szCs w:val="20"/>
                <w:color w:val="auto"/>
              </w:rPr>
            </w:pPr>
            <w:r>
              <w:rPr>
                <w:rFonts w:ascii="Arial" w:cs="Arial" w:eastAsia="Arial" w:hAnsi="Arial"/>
                <w:sz w:val="18"/>
                <w:szCs w:val="18"/>
                <w:color w:val="auto"/>
              </w:rPr>
              <w:t>27,511,082</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4"/>
          </w:tcPr>
          <w:p>
            <w:pPr>
              <w:jc w:val="right"/>
              <w:ind w:right="20"/>
              <w:spacing w:after="0" w:line="206" w:lineRule="exact"/>
              <w:rPr>
                <w:sz w:val="20"/>
                <w:szCs w:val="20"/>
                <w:color w:val="auto"/>
              </w:rPr>
            </w:pPr>
            <w:r>
              <w:rPr>
                <w:rFonts w:ascii="Arial" w:cs="Arial" w:eastAsia="Arial" w:hAnsi="Arial"/>
                <w:sz w:val="18"/>
                <w:szCs w:val="18"/>
                <w:color w:val="auto"/>
              </w:rPr>
              <w:t>28,285,902</w:t>
            </w: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Pro forma net loss per share attributable</w:t>
            </w: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80" w:type="dxa"/>
            <w:vAlign w:val="bottom"/>
            <w:shd w:val="clear" w:color="auto" w:fill="CFF0FC"/>
          </w:tcPr>
          <w:p>
            <w:pPr>
              <w:ind w:left="160"/>
              <w:spacing w:after="0" w:line="200" w:lineRule="exact"/>
              <w:rPr>
                <w:sz w:val="20"/>
                <w:szCs w:val="20"/>
                <w:color w:val="auto"/>
              </w:rPr>
            </w:pPr>
            <w:r>
              <w:rPr>
                <w:rFonts w:ascii="Arial" w:cs="Arial" w:eastAsia="Arial" w:hAnsi="Arial"/>
                <w:sz w:val="18"/>
                <w:szCs w:val="18"/>
                <w:color w:val="auto"/>
              </w:rPr>
              <w:t>to common stockholders, basic and diluted</w:t>
            </w: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1400" w:type="dxa"/>
            <w:vAlign w:val="bottom"/>
            <w:gridSpan w:val="2"/>
            <w:shd w:val="clear" w:color="auto" w:fill="CFF0FC"/>
          </w:tcPr>
          <w:p>
            <w:pPr>
              <w:jc w:val="right"/>
              <w:ind w:right="1088"/>
              <w:spacing w:after="0" w:line="20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in computing pro forma net loss per share</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80" w:type="dxa"/>
            <w:vAlign w:val="bottom"/>
          </w:tcPr>
          <w:p>
            <w:pPr>
              <w:ind w:left="160"/>
              <w:spacing w:after="0" w:line="200" w:lineRule="exact"/>
              <w:rPr>
                <w:sz w:val="20"/>
                <w:szCs w:val="20"/>
                <w:color w:val="auto"/>
              </w:rPr>
            </w:pPr>
            <w:r>
              <w:rPr>
                <w:rFonts w:ascii="Arial" w:cs="Arial" w:eastAsia="Arial" w:hAnsi="Arial"/>
                <w:sz w:val="18"/>
                <w:szCs w:val="18"/>
                <w:color w:val="auto"/>
              </w:rPr>
              <w:t>attributable to common stockholders,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tcPr>
          <w:p>
            <w:pPr>
              <w:ind w:left="160"/>
              <w:spacing w:after="0" w:line="206" w:lineRule="exact"/>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8"/>
          </w:tcPr>
          <w:p>
            <w:pPr>
              <w:jc w:val="right"/>
              <w:ind w:right="110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24"/>
                <w:szCs w:val="24"/>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rPr>
              <w:t>As of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4,817</w:t>
            </w:r>
          </w:p>
        </w:tc>
        <w:tc>
          <w:tcPr>
            <w:tcW w:w="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2,056</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2,189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17,051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17,051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(deficit) equity</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(14,887)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(19,723)</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type w:val="continuous"/>
        </w:sectPr>
      </w:pPr>
    </w:p>
    <w:bookmarkStart w:id="89" w:name="page90"/>
    <w:bookmarkEnd w:id="89"/>
    <w:p>
      <w:pPr>
        <w:ind w:left="472" w:hanging="479"/>
        <w:spacing w:after="0" w:line="249" w:lineRule="auto"/>
        <w:tabs>
          <w:tab w:leader="none" w:pos="452"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283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345" cy="8890"/>
                    </a:xfrm>
                    <a:prstGeom prst="rect">
                      <a:avLst/>
                    </a:prstGeom>
                    <a:noFill/>
                  </pic:spPr>
                </pic:pic>
              </a:graphicData>
            </a:graphic>
          </wp:anchor>
        </w:drawing>
        <w:t>(1)</w:t>
      </w:r>
      <w:r>
        <w:rPr>
          <w:sz w:val="20"/>
          <w:szCs w:val="20"/>
          <w:color w:val="auto"/>
        </w:rPr>
        <w:tab/>
      </w:r>
      <w:r>
        <w:rPr>
          <w:rFonts w:ascii="Arial" w:cs="Arial" w:eastAsia="Arial" w:hAnsi="Arial"/>
          <w:sz w:val="14"/>
          <w:szCs w:val="14"/>
          <w:color w:val="auto"/>
        </w:rPr>
        <w:t>See Notes 15 and 16 to our audited financial statements and Notes and to our unaudited interim condensed financial statements included elsewhere in this prospectus tor the calculation of our basic and diluted net loss per share attributable to common stockholders and our basic and diluted pro forma net loss per share attributable to common stockholders and the weighted-average number of shares used in computing the per share amounts.</w:t>
      </w:r>
    </w:p>
    <w:p>
      <w:pPr>
        <w:spacing w:after="0" w:line="11" w:lineRule="exact"/>
        <w:rPr>
          <w:sz w:val="20"/>
          <w:szCs w:val="20"/>
          <w:color w:val="auto"/>
        </w:rPr>
      </w:pPr>
    </w:p>
    <w:p>
      <w:pPr>
        <w:ind w:left="472" w:right="20" w:hanging="472"/>
        <w:spacing w:after="0" w:line="279" w:lineRule="auto"/>
        <w:tabs>
          <w:tab w:leader="none" w:pos="472"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52"/>
          </w:cols>
          <w:pgMar w:left="328" w:top="576" w:right="51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prospectus titled “Selected Financial Data” and our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firstLine="519"/>
        <w:spacing w:after="0" w:line="235"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All of these characteristics are expected to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Nonclinical studies and Phase 1 clinical trials with ATH-1017 demonstrated improvements in brain network activity indicating positive effects on brain function. In the AD subjects, multiple dosing of ATH-1017 significantly improved brain activity as measured by P300 latency, a functional measure that is highly correlated with cognition. By the end of 2020, we plan to initiate a pivotal Phase 2/3 clinical trial for ATH-1017, or LIFT-AD, for the treatment of mild-to-moderate AD with topline results expected by the end of 2022. By the end of 2020, we also plan to initiate a P300 Phase 2 clinical trial in mild-to-moderate AD to better understand the overall effects of ATH-1017 on working memory processing speed and cognitive measures, with topline results expected by early 2022.</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1" w:name="page92"/>
    <w:bookmarkEnd w:id="91"/>
    <w:p>
      <w:pPr>
        <w:ind w:left="580"/>
        <w:spacing w:after="0"/>
        <w:rPr>
          <w:sz w:val="20"/>
          <w:szCs w:val="20"/>
          <w:color w:val="auto"/>
        </w:rPr>
      </w:pPr>
      <w:r>
        <w:rPr>
          <w:rFonts w:ascii="Arial" w:cs="Arial" w:eastAsia="Arial" w:hAnsi="Arial"/>
          <w:sz w:val="18"/>
          <w:szCs w:val="18"/>
          <w:color w:val="auto"/>
        </w:rPr>
        <w:t>The following illustrates the development stages of our current ATH compounds and discovery research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6240780" cy="3188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4078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0" w:hanging="472"/>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ATH-1017 for AD, is moving from Phase 1b to a potentially pivotal Phase 2/3 clinical trial based on discussions with FDA.</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Following IND clearance, we plan to initiate a Phase 2 clinical trial in PDD based on results from Phase 1a and 1b clinical trials in AD with ATH-1017.</w:t>
      </w:r>
    </w:p>
    <w:p>
      <w:pPr>
        <w:spacing w:after="0" w:line="211" w:lineRule="exact"/>
        <w:rPr>
          <w:sz w:val="20"/>
          <w:szCs w:val="20"/>
          <w:color w:val="auto"/>
        </w:rPr>
      </w:pPr>
    </w:p>
    <w:p>
      <w:pPr>
        <w:ind w:right="860" w:firstLine="576"/>
        <w:spacing w:after="0" w:line="24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97"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2" w:name="page93"/>
    <w:bookmarkEnd w:id="92"/>
    <w:p>
      <w:pPr>
        <w:ind w:right="280"/>
        <w:spacing w:after="0" w:line="246" w:lineRule="auto"/>
        <w:rPr>
          <w:sz w:val="20"/>
          <w:szCs w:val="20"/>
          <w:color w:val="auto"/>
        </w:rPr>
      </w:pPr>
      <w:r>
        <w:rPr>
          <w:rFonts w:ascii="Arial" w:cs="Arial" w:eastAsia="Arial" w:hAnsi="Arial"/>
          <w:sz w:val="18"/>
          <w:szCs w:val="18"/>
          <w:color w:val="auto"/>
        </w:rPr>
        <w: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197"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To date, we have funded our operations primarily with proceeds from the sale and issuance of convertible preferred stock and convertible notes, and to a lesser extent from grant income and stock option exercises. From inception to December 31, 2019, we have raised aggregate cash proceeds of $ 18.4 million primarily from the issuance of our convertible preferred stock and convertible notes. Additionally, in the second quarter of 2020, we closed our Series B convertible preferred stock financing for net proceeds of $81.8 million. We have incurred significant operating losses to date. Our net losses were $5.1 million and $5.2 million for the years ended December 31, 2018 and 2019, respectively. As of December 31, 2019, we had an accumulated deficit of $21.1 million and cash and cash equivalents of $2.1 million.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212" w:lineRule="exact"/>
        <w:rPr>
          <w:sz w:val="20"/>
          <w:szCs w:val="20"/>
          <w:color w:val="auto"/>
        </w:rPr>
      </w:pPr>
    </w:p>
    <w:p>
      <w:pPr>
        <w:ind w:left="1300" w:right="160" w:hanging="442"/>
        <w:spacing w:after="0" w:line="246"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planned potentially pivotal Phase 2/3 clinical trial for ATH-1017 for the treatment of mild-to-moderate AD;</w:t>
      </w:r>
    </w:p>
    <w:p>
      <w:pPr>
        <w:spacing w:after="0" w:line="304" w:lineRule="exact"/>
        <w:rPr>
          <w:rFonts w:ascii="Arial" w:cs="Arial" w:eastAsia="Arial" w:hAnsi="Arial"/>
          <w:sz w:val="18"/>
          <w:szCs w:val="18"/>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expand our pipeline of product candidates;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to grow our discovery organization and invest in the ATH platform;</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ramp up manufacturing activities;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relocate to our new facility and build out lab space;</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 and</w:t>
      </w:r>
    </w:p>
    <w:p>
      <w:pPr>
        <w:spacing w:after="0" w:line="333"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305" w:lineRule="exact"/>
        <w:rPr>
          <w:sz w:val="20"/>
          <w:szCs w:val="20"/>
          <w:color w:val="auto"/>
        </w:rPr>
      </w:pPr>
    </w:p>
    <w:p>
      <w:pPr>
        <w:ind w:right="240" w:firstLine="576"/>
        <w:spacing w:after="0" w:line="24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97" w:lineRule="exact"/>
        <w:rPr>
          <w:sz w:val="20"/>
          <w:szCs w:val="20"/>
          <w:color w:val="auto"/>
        </w:rPr>
      </w:pPr>
    </w:p>
    <w:p>
      <w:pPr>
        <w:ind w:right="20" w:firstLine="576"/>
        <w:spacing w:after="0" w:line="261" w:lineRule="auto"/>
        <w:rPr>
          <w:sz w:val="20"/>
          <w:szCs w:val="20"/>
          <w:color w:val="auto"/>
        </w:rPr>
      </w:pPr>
      <w:r>
        <w:rPr>
          <w:rFonts w:ascii="Arial" w:cs="Arial" w:eastAsia="Arial" w:hAnsi="Arial"/>
          <w:sz w:val="17"/>
          <w:szCs w:val="17"/>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93" w:name="page94"/>
    <w:bookmarkEnd w:id="93"/>
    <w:p>
      <w:pPr>
        <w:ind w:right="60"/>
        <w:spacing w:after="0" w:line="248" w:lineRule="auto"/>
        <w:rPr>
          <w:sz w:val="20"/>
          <w:szCs w:val="20"/>
          <w:color w:val="auto"/>
        </w:rPr>
      </w:pPr>
      <w:r>
        <w:rPr>
          <w:rFonts w:ascii="Arial" w:cs="Arial" w:eastAsia="Arial" w:hAnsi="Arial"/>
          <w:sz w:val="17"/>
          <w:szCs w:val="17"/>
          <w:color w:val="auto"/>
        </w:rPr>
        <w:t>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and cash equivalents and the net proceeds from this offering, will be sufficient to fund our operating</w:t>
      </w:r>
    </w:p>
    <w:p>
      <w:pPr>
        <w:spacing w:after="0" w:line="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expenses and capital expenditure requirements for at least the next</w:t>
      </w:r>
      <w:r>
        <w:rPr>
          <w:sz w:val="20"/>
          <w:szCs w:val="20"/>
          <w:color w:val="auto"/>
        </w:rPr>
        <w:tab/>
      </w:r>
      <w:r>
        <w:rPr>
          <w:rFonts w:ascii="Arial" w:cs="Arial" w:eastAsia="Arial" w:hAnsi="Arial"/>
          <w:sz w:val="17"/>
          <w:szCs w:val="17"/>
          <w:color w:val="auto"/>
        </w:rPr>
        <w:t>months.</w:t>
      </w:r>
    </w:p>
    <w:p>
      <w:pPr>
        <w:spacing w:after="0" w:line="212"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216" w:lineRule="exact"/>
        <w:rPr>
          <w:sz w:val="20"/>
          <w:szCs w:val="20"/>
          <w:color w:val="auto"/>
        </w:rPr>
      </w:pPr>
    </w:p>
    <w:p>
      <w:pPr>
        <w:ind w:right="420" w:firstLine="576"/>
        <w:spacing w:after="0" w:line="267"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17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The term of the license begins on the effective date and continues until the earlier of the date in which no valid claim remains enforceable and the payment of royalties ceases for more than four consecutive quarters after such royalty payments begin.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212" w:lineRule="exact"/>
        <w:rPr>
          <w:sz w:val="20"/>
          <w:szCs w:val="20"/>
          <w:color w:val="auto"/>
        </w:rPr>
      </w:pPr>
    </w:p>
    <w:p>
      <w:pPr>
        <w:ind w:left="1300" w:right="340" w:hanging="442"/>
        <w:spacing w:after="0" w:line="246"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304"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304"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94" w:name="page95"/>
    <w:bookmarkEnd w:id="94"/>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ind w:right="200" w:firstLine="576"/>
        <w:spacing w:after="0"/>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 based sublicense royalties.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Liability</w:t>
      </w:r>
    </w:p>
    <w:p>
      <w:pPr>
        <w:spacing w:after="0" w:line="230"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In connection with the agreements, LSDF retained the right to receive cash payments of up to 2.0 times the amounts received, or $1.5 million, upon the occurrence of specified triggering events, including completion of this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20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05"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As of the date of this prospectus,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5" w:name="page96"/>
    <w:bookmarkEnd w:id="95"/>
    <w:p>
      <w:pPr>
        <w:ind w:firstLine="576"/>
        <w:spacing w:after="0"/>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203" w:lineRule="exact"/>
        <w:rPr>
          <w:sz w:val="20"/>
          <w:szCs w:val="20"/>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phases of development of our product candidates;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activities;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 subject trial costs;</w:t>
      </w:r>
    </w:p>
    <w:p>
      <w:pPr>
        <w:spacing w:after="0" w:line="333" w:lineRule="exact"/>
        <w:rPr>
          <w:rFonts w:ascii="Arial" w:cs="Arial" w:eastAsia="Arial" w:hAnsi="Arial"/>
          <w:sz w:val="18"/>
          <w:szCs w:val="18"/>
          <w:color w:val="auto"/>
        </w:rPr>
      </w:pPr>
    </w:p>
    <w:p>
      <w:pPr>
        <w:ind w:left="1300" w:right="500" w:hanging="442"/>
        <w:spacing w:after="0" w:line="246"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04"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subjects that participate in the trials;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drop-out and discontinuation rate of subjects;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duration of subject participation in the trials and follow-up;</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and timing of manufacturing of our product candidates;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hiring and retention of research and development personnel;</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degree to which we obtain, maintain, defend and enforce our intellectual property rights; and</w:t>
      </w:r>
    </w:p>
    <w:p>
      <w:pPr>
        <w:spacing w:after="0" w:line="333" w:lineRule="exact"/>
        <w:rPr>
          <w:rFonts w:ascii="Arial" w:cs="Arial" w:eastAsia="Arial" w:hAnsi="Arial"/>
          <w:sz w:val="18"/>
          <w:szCs w:val="18"/>
          <w:color w:val="auto"/>
        </w:rPr>
      </w:pPr>
    </w:p>
    <w:p>
      <w:pPr>
        <w:ind w:left="1300" w:right="300" w:hanging="442"/>
        <w:spacing w:after="0" w:line="246"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305" w:lineRule="exact"/>
        <w:rPr>
          <w:sz w:val="20"/>
          <w:szCs w:val="20"/>
          <w:color w:val="auto"/>
        </w:rPr>
      </w:pPr>
    </w:p>
    <w:p>
      <w:pPr>
        <w:ind w:right="940" w:firstLine="576"/>
        <w:spacing w:after="0" w:line="24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ind w:right="200" w:firstLine="576"/>
        <w:spacing w:after="0"/>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96" w:name="page97"/>
    <w:bookmarkEnd w:id="96"/>
    <w:p>
      <w:pPr>
        <w:ind w:right="840"/>
        <w:spacing w:after="0" w:line="246" w:lineRule="auto"/>
        <w:rPr>
          <w:sz w:val="20"/>
          <w:szCs w:val="20"/>
          <w:color w:val="auto"/>
        </w:rPr>
      </w:pPr>
      <w:r>
        <w:rPr>
          <w:rFonts w:ascii="Arial" w:cs="Arial" w:eastAsia="Arial" w:hAnsi="Arial"/>
          <w:sz w:val="18"/>
          <w:szCs w:val="18"/>
          <w:color w:val="auto"/>
        </w:rPr>
        <w:t>accounting, auditing and tax related fees, consulting fees and facilities and other expenses not otherwise included as research and development expenses. We expense general and administrative costs as incurred.</w:t>
      </w:r>
    </w:p>
    <w:p>
      <w:pPr>
        <w:spacing w:after="0" w:line="197" w:lineRule="exact"/>
        <w:rPr>
          <w:sz w:val="20"/>
          <w:szCs w:val="20"/>
          <w:color w:val="auto"/>
        </w:rPr>
      </w:pPr>
    </w:p>
    <w:p>
      <w:pPr>
        <w:ind w:right="200" w:firstLine="576"/>
        <w:spacing w:after="0" w:line="237"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Following the completion of this offering,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also expect to increase the size of our administrative function to support the growth of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4" w:lineRule="exact"/>
        <w:rPr>
          <w:sz w:val="20"/>
          <w:szCs w:val="20"/>
          <w:color w:val="auto"/>
        </w:rPr>
      </w:pPr>
    </w:p>
    <w:p>
      <w:pPr>
        <w:ind w:right="220" w:firstLine="576"/>
        <w:spacing w:after="0"/>
        <w:rPr>
          <w:sz w:val="20"/>
          <w:szCs w:val="20"/>
          <w:color w:val="auto"/>
        </w:rPr>
      </w:pPr>
      <w:r>
        <w:rPr>
          <w:rFonts w:ascii="Arial" w:cs="Arial" w:eastAsia="Arial" w:hAnsi="Arial"/>
          <w:sz w:val="18"/>
          <w:szCs w:val="18"/>
          <w:color w:val="auto"/>
        </w:rPr>
        <w:t>Other income (expense), net consists of interest earned on our cash, cash equivalents, and short-term investments, grant income, periodic mark to market gains and losses on the derivative and grant liabilities carried at fair value, and interest expense on our convertible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57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7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8"/>
                <w:szCs w:val="18"/>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8"/>
                <w:szCs w:val="18"/>
                <w:color w:val="auto"/>
              </w:rPr>
            </w:pPr>
          </w:p>
        </w:tc>
      </w:tr>
      <w:tr>
        <w:trPr>
          <w:trHeight w:val="210"/>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8"/>
                <w:szCs w:val="18"/>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(5,009)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(5,449)</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(5,097)</w:t>
            </w: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(5,161)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3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2,773</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Total direct costs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500"/>
              <w:spacing w:after="0"/>
              <w:rPr>
                <w:sz w:val="20"/>
                <w:szCs w:val="20"/>
                <w:color w:val="auto"/>
              </w:rPr>
            </w:pPr>
            <w:r>
              <w:rPr>
                <w:rFonts w:ascii="Arial" w:cs="Arial" w:eastAsia="Arial" w:hAnsi="Arial"/>
                <w:sz w:val="18"/>
                <w:szCs w:val="18"/>
                <w:color w:val="auto"/>
              </w:rPr>
              <w:t>Personnel-related costs, including</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660"/>
              <w:spacing w:after="0" w:line="203" w:lineRule="exact"/>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619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791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172</w:t>
            </w: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Research and development expenses increased by $0.2 million, or 6%, from $3.6 million for the year ended December 31, 2018</w:t>
      </w:r>
    </w:p>
    <w:p>
      <w:pPr>
        <w:ind w:right="20"/>
        <w:spacing w:after="0" w:line="237" w:lineRule="auto"/>
        <w:rPr>
          <w:sz w:val="20"/>
          <w:szCs w:val="20"/>
          <w:color w:val="auto"/>
        </w:rPr>
      </w:pPr>
      <w:r>
        <w:rPr>
          <w:rFonts w:ascii="Arial" w:cs="Arial" w:eastAsia="Arial" w:hAnsi="Arial"/>
          <w:sz w:val="18"/>
          <w:szCs w:val="18"/>
          <w:color w:val="auto"/>
        </w:rPr>
        <w:t>to $3.8 million for the year ended December 31, 2019. The increase was driven primarily by an increase in personnel-related costs, and to a lesser extent, by increases in preclinical program costs as we expanded the number of research targets, as well as in facilities and other costs supporting our overall growth. In addition, expenses for ATH -1017 decreased by $0.2 million, primarily due to a decrease in clinical trial costs of $1.0 million related to the timing of activities in our Phase 1a and 1b clinical trials, partially offset by an increase in preclinical costs of $0.6 million as we completed certain toxicology studies in 2019, and by increases in manufacturing costs of $0.2 million as we began preparing for Phase 2 clinical trial drug supply production in late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4" w:lineRule="exact"/>
        <w:rPr>
          <w:sz w:val="20"/>
          <w:szCs w:val="20"/>
          <w:color w:val="auto"/>
        </w:rPr>
      </w:pPr>
    </w:p>
    <w:p>
      <w:pPr>
        <w:ind w:right="220" w:firstLine="576"/>
        <w:spacing w:after="0"/>
        <w:rPr>
          <w:sz w:val="20"/>
          <w:szCs w:val="20"/>
          <w:color w:val="auto"/>
        </w:rPr>
      </w:pPr>
      <w:r>
        <w:rPr>
          <w:rFonts w:ascii="Arial" w:cs="Arial" w:eastAsia="Arial" w:hAnsi="Arial"/>
          <w:sz w:val="18"/>
          <w:szCs w:val="18"/>
          <w:color w:val="auto"/>
        </w:rPr>
        <w:t>General and administrative expenses increased by $0.3 million, or 17%, from $ 1.4 million for the year ended December 31, 2018 to $1.7 million for the year ended December 31, 2019. The increase was primarily due to an increase in personnel-related costs as staffing increased to support our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4"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 xml:space="preserve">Other income (expense), net changed from an expense of $ 0.1 million for the year ended December 31, 2018 to income of $0.3 million for the year ended December 31, 2019. The change of $0.4 million was primarily due to income from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$0.8 million received in 2019, partially offset primarily by an increase in interest expense on outstanding convertible notes of $0.3 million and to a lesser extent by a decrease in interest and other income and an increase in losses from changes in liabilities recorded at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4" w:lineRule="exact"/>
        <w:rPr>
          <w:sz w:val="20"/>
          <w:szCs w:val="20"/>
          <w:color w:val="auto"/>
        </w:rPr>
      </w:pPr>
    </w:p>
    <w:p>
      <w:pPr>
        <w:jc w:val="both"/>
        <w:ind w:right="40" w:firstLine="576"/>
        <w:spacing w:after="0"/>
        <w:rPr>
          <w:sz w:val="20"/>
          <w:szCs w:val="20"/>
          <w:color w:val="auto"/>
        </w:rPr>
      </w:pPr>
      <w:r>
        <w:rPr>
          <w:rFonts w:ascii="Arial" w:cs="Arial" w:eastAsia="Arial" w:hAnsi="Arial"/>
          <w:sz w:val="18"/>
          <w:szCs w:val="18"/>
          <w:color w:val="auto"/>
        </w:rPr>
        <w:t>Since our inception, we have funded our operations primarily with proceeds from the sale and issuance of convertible preferred stock and convertible notes, and to a lesser extent from grant income and stock option exercises. From our inception through December 31, 2019, we have raised aggregate net cash proceeds of $18.4 million primarily from the issuance of our convertible preferred stock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8" w:name="page99"/>
    <w:bookmarkEnd w:id="98"/>
    <w:p>
      <w:pPr>
        <w:ind w:right="140"/>
        <w:spacing w:after="0" w:line="237" w:lineRule="auto"/>
        <w:rPr>
          <w:sz w:val="20"/>
          <w:szCs w:val="20"/>
          <w:color w:val="auto"/>
        </w:rPr>
      </w:pPr>
      <w:r>
        <w:rPr>
          <w:rFonts w:ascii="Arial" w:cs="Arial" w:eastAsia="Arial" w:hAnsi="Arial"/>
          <w:sz w:val="18"/>
          <w:szCs w:val="18"/>
          <w:color w:val="auto"/>
        </w:rPr>
        <w:t>convertible notes. As of December 31, 2019, we had $2.1 million in cash and cash equivalents and have not generated positive cash flows from operations. In the second quarter of 2020, we received an aggregate of approximately $81.8 million in net proceeds from our Series B convertible preferred stock financing.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34" w:lineRule="exact"/>
        <w:rPr>
          <w:sz w:val="20"/>
          <w:szCs w:val="20"/>
          <w:color w:val="auto"/>
        </w:rPr>
      </w:pPr>
    </w:p>
    <w:p>
      <w:pPr>
        <w:ind w:right="40" w:firstLine="576"/>
        <w:spacing w:after="0" w:line="234" w:lineRule="auto"/>
        <w:rPr>
          <w:sz w:val="20"/>
          <w:szCs w:val="20"/>
          <w:color w:val="auto"/>
        </w:rPr>
      </w:pPr>
      <w:r>
        <w:rPr>
          <w:rFonts w:ascii="Arial" w:cs="Arial" w:eastAsia="Arial" w:hAnsi="Arial"/>
          <w:sz w:val="18"/>
          <w:szCs w:val="18"/>
          <w:color w:val="auto"/>
        </w:rPr>
        <w:t>Based upon our current operating plan, we estimate that our $2.1 million of cash and cash equivalents at December 31, 2019 and the $81.8 million in net proceeds received upon closing of our Series B convertible preferred stock financing, will be sufficient to fund our operating expenses and capital expenditure requirements through at least the 12 months following the date of this prospectus. However, we believe our cash and cash equivalents as of the date of this prospectus, together with the net proceeds from this offering, will be sufficient to</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fund our operating expenses and capital expenditure requirements for at least the next months. Even after this offering,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13"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205" w:lineRule="exact"/>
        <w:rPr>
          <w:sz w:val="20"/>
          <w:szCs w:val="20"/>
          <w:color w:val="auto"/>
        </w:rPr>
      </w:pPr>
    </w:p>
    <w:p>
      <w:pPr>
        <w:ind w:left="1300" w:hanging="44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333"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04"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99" w:name="page100"/>
    <w:bookmarkEnd w:id="99"/>
    <w:p>
      <w:pPr>
        <w:jc w:val="both"/>
        <w:ind w:left="1300" w:right="440" w:hanging="442"/>
        <w:spacing w:after="0" w:line="274" w:lineRule="auto"/>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282" w:lineRule="exact"/>
        <w:rPr>
          <w:rFonts w:ascii="Arial" w:cs="Arial" w:eastAsia="Arial" w:hAnsi="Arial"/>
          <w:sz w:val="17"/>
          <w:szCs w:val="17"/>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333"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304"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333" w:lineRule="exact"/>
        <w:rPr>
          <w:rFonts w:ascii="Arial" w:cs="Arial" w:eastAsia="Arial" w:hAnsi="Arial"/>
          <w:sz w:val="18"/>
          <w:szCs w:val="18"/>
          <w:color w:val="auto"/>
        </w:rPr>
      </w:pPr>
    </w:p>
    <w:p>
      <w:pPr>
        <w:ind w:left="1300" w:right="640" w:hanging="442"/>
        <w:spacing w:after="0" w:line="246"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304"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expenses needed to attract, hire and retain skilled personnel;</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associated with relocating to our new facility and building out lab space; and</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333"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4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provided by (used in):</w:t>
            </w:r>
          </w:p>
        </w:tc>
        <w:tc>
          <w:tcPr>
            <w:tcW w:w="3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424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(4,483)</w:t>
            </w:r>
          </w:p>
        </w:tc>
        <w:tc>
          <w:tcPr>
            <w:tcW w:w="11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3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3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424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(1,012)</w:t>
            </w:r>
          </w:p>
        </w:tc>
        <w:tc>
          <w:tcPr>
            <w:tcW w:w="1100" w:type="dxa"/>
            <w:vAlign w:val="bottom"/>
            <w:gridSpan w:val="2"/>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3240" w:type="dxa"/>
            <w:vAlign w:val="bottom"/>
            <w:tcBorders>
              <w:top w:val="single" w:sz="8" w:color="CFF0FC"/>
              <w:bottom w:val="single" w:sz="8" w:color="CFF0FC"/>
            </w:tcBorders>
            <w:vMerge w:val="restart"/>
          </w:tcPr>
          <w:p>
            <w:pPr>
              <w:jc w:val="right"/>
              <w:ind w:right="1835"/>
              <w:spacing w:after="0"/>
              <w:rPr>
                <w:sz w:val="20"/>
                <w:szCs w:val="20"/>
                <w:color w:val="auto"/>
              </w:rPr>
            </w:pPr>
            <w:r>
              <w:rPr>
                <w:rFonts w:ascii="Arial" w:cs="Arial" w:eastAsia="Arial" w:hAnsi="Arial"/>
                <w:sz w:val="18"/>
                <w:szCs w:val="18"/>
                <w:color w:val="auto"/>
              </w:rPr>
              <w:t>-97-</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4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00" w:name="page101"/>
    <w:bookmarkEnd w:id="100"/>
    <w:p>
      <w:pPr>
        <w:ind w:left="580"/>
        <w:spacing w:after="0"/>
        <w:rPr>
          <w:sz w:val="20"/>
          <w:szCs w:val="20"/>
          <w:color w:val="auto"/>
        </w:rPr>
      </w:pPr>
      <w:r>
        <w:rPr>
          <w:rFonts w:ascii="Arial" w:cs="Arial" w:eastAsia="Arial" w:hAnsi="Arial"/>
          <w:sz w:val="18"/>
          <w:szCs w:val="18"/>
          <w:i w:val="1"/>
          <w:iCs w:val="1"/>
          <w:color w:val="auto"/>
        </w:rPr>
        <w:t>Operating Activities</w:t>
      </w:r>
    </w:p>
    <w:p>
      <w:pPr>
        <w:spacing w:after="0" w:line="230"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During the year ended December 31, 2019, net cash used in operating activities was $3.7 million. This consisted primarily of a net loss of $5.2 million, partially offset by non-cash charges of $0.8 million and an increase in our net operating assets of $0.7 million. The non-cash charges primarily consisted of stock-based compensation expense, non-cash interest expense and accretion of discounts on our convertible notes, and changes in the carrying value of liabilities stated at fair value. The increase in our net operating assets was due to an increase in accounts payable and accrued expenses.</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During the year ended December 31, 2018, net cash used in operating activities was $4.5 million. This consisted primarily of a net loss of $5.1 million, partially offset by non-cash charges of $0.4 million and an increase in our net operating assets of $0.2 million. The non-cash charges primarily consisted of stock-based compensation expense, non-cash interest expense on our convertible notes, and changes in the carrying value of liabilities stated at fair value. The increase in our net operating assets was due to an increase in accounts payable and accrued expenses.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Investing Activities</w:t>
      </w:r>
    </w:p>
    <w:p>
      <w:pPr>
        <w:spacing w:after="0" w:line="230" w:lineRule="exact"/>
        <w:rPr>
          <w:sz w:val="20"/>
          <w:szCs w:val="20"/>
          <w:color w:val="auto"/>
        </w:rPr>
      </w:pPr>
    </w:p>
    <w:p>
      <w:pPr>
        <w:ind w:right="380" w:firstLine="576"/>
        <w:spacing w:after="0"/>
        <w:rPr>
          <w:sz w:val="20"/>
          <w:szCs w:val="20"/>
          <w:color w:val="auto"/>
        </w:rPr>
      </w:pPr>
      <w:r>
        <w:rPr>
          <w:rFonts w:ascii="Arial" w:cs="Arial" w:eastAsia="Arial" w:hAnsi="Arial"/>
          <w:sz w:val="18"/>
          <w:szCs w:val="18"/>
          <w:color w:val="auto"/>
        </w:rPr>
        <w:t>During the year ended December 31, 2019, cash provided by investing activities was $1.5 million. This consisted primarily of $2.5 million in proceeds received from short-term investments which matured during the period, partially offset by purchases of short-term investments of $1.0 million.</w:t>
      </w:r>
    </w:p>
    <w:p>
      <w:pPr>
        <w:spacing w:after="0" w:line="203" w:lineRule="exact"/>
        <w:rPr>
          <w:sz w:val="20"/>
          <w:szCs w:val="20"/>
          <w:color w:val="auto"/>
        </w:rPr>
      </w:pPr>
    </w:p>
    <w:p>
      <w:pPr>
        <w:ind w:right="380" w:firstLine="576"/>
        <w:spacing w:after="0"/>
        <w:rPr>
          <w:sz w:val="20"/>
          <w:szCs w:val="20"/>
          <w:color w:val="auto"/>
        </w:rPr>
      </w:pPr>
      <w:r>
        <w:rPr>
          <w:rFonts w:ascii="Arial" w:cs="Arial" w:eastAsia="Arial" w:hAnsi="Arial"/>
          <w:sz w:val="18"/>
          <w:szCs w:val="18"/>
          <w:color w:val="auto"/>
        </w:rPr>
        <w:t>During the year ended December 31, 2018, cash provided by investing activities was $2.0 million. This consisted primarily of $7.3 million in proceeds received from short-term investments which matured during the period, partially offset by purchases of short-term investments of $5.3 million.</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Financing Activities</w:t>
      </w:r>
    </w:p>
    <w:p>
      <w:pPr>
        <w:spacing w:after="0" w:line="230" w:lineRule="exact"/>
        <w:rPr>
          <w:sz w:val="20"/>
          <w:szCs w:val="20"/>
          <w:color w:val="auto"/>
        </w:rPr>
      </w:pPr>
    </w:p>
    <w:p>
      <w:pPr>
        <w:ind w:right="520" w:firstLine="576"/>
        <w:spacing w:after="0" w:line="246" w:lineRule="auto"/>
        <w:rPr>
          <w:sz w:val="20"/>
          <w:szCs w:val="20"/>
          <w:color w:val="auto"/>
        </w:rPr>
      </w:pPr>
      <w:r>
        <w:rPr>
          <w:rFonts w:ascii="Arial" w:cs="Arial" w:eastAsia="Arial" w:hAnsi="Arial"/>
          <w:sz w:val="18"/>
          <w:szCs w:val="18"/>
          <w:color w:val="auto"/>
        </w:rPr>
        <w:t>During the year ended December 31, 2019, cash provided in financing activities was $0.9 million. This consisted primarily of net proceeds received from the issuance of our convertible notes of $0.9 million and to a lesser extent from exercises of stock options.</w:t>
      </w:r>
    </w:p>
    <w:p>
      <w:pPr>
        <w:spacing w:after="0" w:line="197" w:lineRule="exact"/>
        <w:rPr>
          <w:sz w:val="20"/>
          <w:szCs w:val="20"/>
          <w:color w:val="auto"/>
        </w:rPr>
      </w:pPr>
    </w:p>
    <w:p>
      <w:pPr>
        <w:ind w:right="320" w:firstLine="576"/>
        <w:spacing w:after="0"/>
        <w:rPr>
          <w:sz w:val="20"/>
          <w:szCs w:val="20"/>
          <w:color w:val="auto"/>
        </w:rPr>
      </w:pPr>
      <w:r>
        <w:rPr>
          <w:rFonts w:ascii="Arial" w:cs="Arial" w:eastAsia="Arial" w:hAnsi="Arial"/>
          <w:sz w:val="18"/>
          <w:szCs w:val="18"/>
          <w:color w:val="auto"/>
        </w:rPr>
        <w:t>During the year ended December 31, 2018, cash provided in financing activities was $1.5 million. This consisted primarily of net proceeds received from the issuance of our convertible notes of $1.3 million, $0.1 million from exercises of stock options, and $0.1 million from the issuance of additional shares of Series A convertible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center"/>
              <w:ind w:left="601"/>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3"/>
                <w:szCs w:val="13"/>
                <w:color w:val="auto"/>
              </w:rPr>
            </w:pPr>
          </w:p>
        </w:tc>
        <w:tc>
          <w:tcPr>
            <w:tcW w:w="800" w:type="dxa"/>
            <w:vAlign w:val="bottom"/>
          </w:tcPr>
          <w:p>
            <w:pPr>
              <w:jc w:val="right"/>
              <w:ind w:right="241"/>
              <w:spacing w:after="0" w:line="156" w:lineRule="exact"/>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3 to 5</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More than</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1 year</w:t>
            </w:r>
          </w:p>
        </w:tc>
        <w:tc>
          <w:tcPr>
            <w:tcW w:w="22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69"/>
        </w:trPr>
        <w:tc>
          <w:tcPr>
            <w:tcW w:w="3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promissory notes</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FF0FC"/>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tcPr>
          <w:p>
            <w:pPr>
              <w:ind w:left="260"/>
              <w:spacing w:after="0"/>
              <w:rPr>
                <w:sz w:val="20"/>
                <w:szCs w:val="20"/>
                <w:color w:val="auto"/>
              </w:rPr>
            </w:pPr>
            <w:r>
              <w:rPr>
                <w:rFonts w:ascii="Arial" w:cs="Arial" w:eastAsia="Arial" w:hAnsi="Arial"/>
                <w:sz w:val="18"/>
                <w:szCs w:val="18"/>
                <w:color w:val="auto"/>
              </w:rPr>
              <w:t>Total contractual obligations</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2,452</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We issued unsecured convertible promissory notes with aggregate principal amounts of $1.3 million and $0.9 million in 2018 and 2019, respectively. The convertible notes accrued interest at 5.0% per year with principal and interest due at maturity. The convertible notes automatically convert upon a qualified financing event at a conversion price equal to 85% of the price per share of the qualified financing. In May 2020, the outstanding principal balance of the convertible notes of $2.2 million and accrued interest of $0.1 million converted into 2,333,117 shares of our Series B-1 convertible preferred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jc w:val="both"/>
        <w:ind w:right="440" w:firstLine="576"/>
        <w:spacing w:after="0"/>
        <w:rPr>
          <w:sz w:val="20"/>
          <w:szCs w:val="20"/>
          <w:color w:val="auto"/>
        </w:rPr>
      </w:pPr>
      <w:r>
        <w:rPr>
          <w:rFonts w:ascii="Arial" w:cs="Arial" w:eastAsia="Arial" w:hAnsi="Arial"/>
          <w:sz w:val="18"/>
          <w:szCs w:val="18"/>
          <w:color w:val="auto"/>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w:t>
      </w:r>
    </w:p>
    <w:p>
      <w:pPr>
        <w:spacing w:after="0" w:line="20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received an aggregate of $0.8 million in grants from the LSDF. In connection with the agreements, LSDF retained the right to receive cash payments of up to 2.0 times the amounts received, or $1.5 million, upon the occurrence of specified triggering events, including an initial public offering. We carry a liability on our balance sheet equal to the fair value of this repayment obligation. As of December 31, 2019, we were unable to estimate with certainty the timing or likelihood of achieving any such milestones or triggering events, or making future product sales and, therefore, any related payments are not separately presented within our contractual obligations. For additional information regarding these agreements, including our payment obligations thereunder, see the sections of this prospectus titled “—Our Collaboration and Grant Agreements,” “Business—Our Collaboration and Grant Agreements,” as well as our financial statements and related notes included elsewhere in this prospectus.</w:t>
      </w:r>
    </w:p>
    <w:p>
      <w:pPr>
        <w:spacing w:after="0" w:line="208" w:lineRule="exact"/>
        <w:rPr>
          <w:sz w:val="20"/>
          <w:szCs w:val="20"/>
          <w:color w:val="auto"/>
        </w:rPr>
      </w:pPr>
    </w:p>
    <w:p>
      <w:pPr>
        <w:jc w:val="both"/>
        <w:ind w:right="700" w:firstLine="576"/>
        <w:spacing w:after="0"/>
        <w:rPr>
          <w:sz w:val="20"/>
          <w:szCs w:val="20"/>
          <w:color w:val="auto"/>
        </w:rPr>
      </w:pPr>
      <w:r>
        <w:rPr>
          <w:rFonts w:ascii="Arial" w:cs="Arial" w:eastAsia="Arial" w:hAnsi="Arial"/>
          <w:sz w:val="18"/>
          <w:szCs w:val="18"/>
          <w:color w:val="auto"/>
        </w:rPr>
        <w:t>We enter into agreements in the normal course of business with contract manufacturing organizations and contract research organizations for clinical trials, preclinical studies, manufacturing, and other services and products for operating purposes, which are generally cancelable upon written notice. These obligations and commitments are also not are not separately presented here within.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34"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234"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Our convertible notes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our statements of operations and comprehensive loss. The derivative liability related to these features is recorded at estimated fair value on a recurring basis. Any changes in fair value are reflected in other income (expense), net in our statements of operations and comprehensive loss at each period end while such instruments are outstanding. The derivative liability was remeasured to fair value until its settlement in May 2020 upon the conversion of the underlying convertible notes into shares of our Series B-1 convertible preferred stock.</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23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 xml:space="preserve">The grant liability associated with the grants from the LSDF is accounted for under Accounting Standards Codification, or ASC, 825-10,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The estimated fair value of the grant liability is reassessed at each balance sheet date, with changes in fair value reflected in other income (expense), net in our statements of operations and comprehensive loss at each period end. The fair value of the grant liability was estimated using a discounted cash flow simulation methodology that assigns probabilities to the timing and likelihood of each triggering event, a discount rate based on market data for securities with similar durations and credit ratings to us, and the expected payment amount. The assumptions used to calculate the fair value of the grant liability are subject to significant judgment, and payment may be in an amount different from the liability that we estimate. However, total payments under the agreements will not exceed $1.5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16"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 xml:space="preserve">In January 2019, the Alzheimer’s Association awarded us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our ATH-1017 product candidate in the Alzheimer’s disease setting. Under the terms of the agreement, we received $776,000 in 2019 and may potentially receive the remaining $ 224,000 in 2020 upon the completion of certain development milestones. Reporting of expenses incurred supported by the grant as well as research updates are sent to the Alzheimer’s Association semi-annually. We recognize income related to the grant as qualifying expenses under the grant agreement are incurred, in grant income within other income (expense), net in our statement of operations and comprehensive loss. As of December 31, 2019, we had recognized $754,000 in grant income, which is included in other income (expense), net in our statements of operations and comprehensive loss, and had cash received in excess of qualifying expenses of approximately $22,000, which is included in accrued expenses on our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97"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03" w:name="page104"/>
    <w:bookmarkEnd w:id="103"/>
    <w:p>
      <w:pPr>
        <w:ind w:right="520" w:firstLine="576"/>
        <w:spacing w:after="0" w:line="24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179" w:lineRule="exact"/>
        <w:rPr>
          <w:sz w:val="20"/>
          <w:szCs w:val="20"/>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333" w:lineRule="exact"/>
        <w:rPr>
          <w:rFonts w:ascii="Arial" w:cs="Arial" w:eastAsia="Arial" w:hAnsi="Arial"/>
          <w:sz w:val="18"/>
          <w:szCs w:val="18"/>
          <w:color w:val="auto"/>
        </w:rPr>
      </w:pPr>
    </w:p>
    <w:p>
      <w:pPr>
        <w:ind w:left="1300" w:right="180" w:hanging="442"/>
        <w:spacing w:after="0" w:line="26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268" w:lineRule="exact"/>
        <w:rPr>
          <w:rFonts w:ascii="Arial" w:cs="Arial" w:eastAsia="Arial" w:hAnsi="Arial"/>
          <w:sz w:val="18"/>
          <w:szCs w:val="18"/>
          <w:color w:val="auto"/>
        </w:rPr>
      </w:pPr>
    </w:p>
    <w:p>
      <w:pPr>
        <w:ind w:left="1300" w:hanging="442"/>
        <w:spacing w:after="0" w:line="242"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have been privately held and do not have any trading history for our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292" w:lineRule="exact"/>
        <w:rPr>
          <w:rFonts w:ascii="Arial" w:cs="Arial" w:eastAsia="Arial" w:hAnsi="Arial"/>
          <w:sz w:val="18"/>
          <w:szCs w:val="18"/>
          <w:color w:val="auto"/>
        </w:rPr>
      </w:pPr>
    </w:p>
    <w:p>
      <w:pPr>
        <w:ind w:left="1300" w:right="40" w:hanging="442"/>
        <w:spacing w:after="0" w:line="250"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284" w:lineRule="exact"/>
        <w:rPr>
          <w:rFonts w:ascii="Arial" w:cs="Arial" w:eastAsia="Arial" w:hAnsi="Arial"/>
          <w:sz w:val="18"/>
          <w:szCs w:val="18"/>
          <w:color w:val="auto"/>
        </w:rPr>
      </w:pPr>
    </w:p>
    <w:p>
      <w:pPr>
        <w:ind w:left="1300" w:right="300" w:hanging="442"/>
        <w:spacing w:after="0" w:line="26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we used an expected dividend yield of zero.</w:t>
      </w:r>
    </w:p>
    <w:p>
      <w:pPr>
        <w:spacing w:after="0" w:line="286"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See Note 12 to our audited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205"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We recorded stock-based compensation expense of $0.2 million and $0.3 million for the years ended December 31, 2018 and 2019, respectively. As of December 31, 2019, there was $0.4 million of total unrecognized stock-based compensation expense related to unvested stock options which we expect to recognize over a remaining weighted-average period of 1.41 years. We expect to continue to grant stock options and other equity-based awards in the future, and to the extent that we do, our stock-based compensation expense recognized in future periods will likely increase.</w:t>
      </w:r>
    </w:p>
    <w:p>
      <w:pPr>
        <w:spacing w:after="0" w:line="2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intrinsic value of all outstanding options as of June 30, 2020 was $ million based on an assumed initial public offering price of $ per share, the midpoint of the price range set forth on the cover of this prospectus, of which approximately $ million is related to vested options and approximately $ million is related to unvested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23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 xml:space="preserve">Historically, for all periods prior to this offering, since there has been no public market of our common stock to date, the fair value of the shares of common stock 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and our board of directors’ assessment of additional objective and subjective factors that it believed were relevant,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4" w:name="page105"/>
    <w:bookmarkEnd w:id="104"/>
    <w:p>
      <w:pPr>
        <w:ind w:right="160"/>
        <w:spacing w:after="0" w:line="246" w:lineRule="auto"/>
        <w:rPr>
          <w:sz w:val="20"/>
          <w:szCs w:val="20"/>
          <w:color w:val="auto"/>
        </w:rPr>
      </w:pPr>
      <w:r>
        <w:rPr>
          <w:rFonts w:ascii="Arial" w:cs="Arial" w:eastAsia="Arial" w:hAnsi="Arial"/>
          <w:sz w:val="18"/>
          <w:szCs w:val="18"/>
          <w:color w:val="auto"/>
        </w:rPr>
        <w:t>and factors that may have changed from the date of the most recent valuation through the date of the grant. These factors include, but are not limited to:</w:t>
      </w:r>
    </w:p>
    <w:p>
      <w:pPr>
        <w:spacing w:after="0" w:line="197" w:lineRule="exact"/>
        <w:rPr>
          <w:sz w:val="20"/>
          <w:szCs w:val="20"/>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333"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304" w:lineRule="exact"/>
        <w:rPr>
          <w:rFonts w:ascii="Arial" w:cs="Arial" w:eastAsia="Arial" w:hAnsi="Arial"/>
          <w:sz w:val="18"/>
          <w:szCs w:val="18"/>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333"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304" w:lineRule="exact"/>
        <w:rPr>
          <w:rFonts w:ascii="Arial" w:cs="Arial" w:eastAsia="Arial" w:hAnsi="Arial"/>
          <w:sz w:val="18"/>
          <w:szCs w:val="18"/>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333" w:lineRule="exact"/>
        <w:rPr>
          <w:rFonts w:ascii="Arial" w:cs="Arial" w:eastAsia="Arial" w:hAnsi="Arial"/>
          <w:sz w:val="18"/>
          <w:szCs w:val="18"/>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33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For our valuations performed prior to December 31,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w:t>
      </w:r>
    </w:p>
    <w:p>
      <w:pPr>
        <w:spacing w:after="0" w:line="2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For our valuations performed subsequent to December 31, 2019, we used a hybrid method of the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205"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Following the closing of this offering, our board of directors will determine the fair market value of our common stock based on its closing price as reported on the date of grant on the primary stock exchange on which our common stock is traded.</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98" w:right="4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205" w:lineRule="exact"/>
        <w:rPr>
          <w:sz w:val="20"/>
          <w:szCs w:val="20"/>
          <w:color w:val="auto"/>
        </w:rPr>
      </w:pPr>
    </w:p>
    <w:p>
      <w:pPr>
        <w:ind w:right="140" w:firstLine="576"/>
        <w:spacing w:after="0" w:line="274" w:lineRule="auto"/>
        <w:rPr>
          <w:sz w:val="20"/>
          <w:szCs w:val="20"/>
          <w:color w:val="auto"/>
        </w:rPr>
      </w:pPr>
      <w:r>
        <w:rPr>
          <w:rFonts w:ascii="Arial" w:cs="Arial" w:eastAsia="Arial" w:hAnsi="Arial"/>
          <w:sz w:val="17"/>
          <w:szCs w:val="17"/>
          <w:color w:val="auto"/>
        </w:rPr>
        <w:t>As of December 31, 2019, we had $ 9.4 million of federal net operating loss, or NOL, carryforwards and $1.0 million of tax credit carryforwards which expire over a period of 11 to 20 years. As of December 31, 2019, we had $9.2 million of such NOLs that do not expire.</w:t>
      </w:r>
    </w:p>
    <w:p>
      <w:pPr>
        <w:spacing w:after="0" w:line="175"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2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2 to our audited financial statements included elsewhere in this prospectus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As of December 31, 2019, we had cash and cash equivalents of $2.1 million. Because our investments are short-term in duration and are invested in instruments with a low risk profile to preserve our capital, we believe that our exposure to interest rate risk is not significant, and a hypothetical 10% change in interest rates during any of the periods presented would not have had a material impact on our financial statements included elsewhere in this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3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Our functional currency is the U.S. dollar. As of the date of this prospectus, we are exposed to foreign currency rate risk related to various third-party service contracts denominated in foreign currencies. Transaction gains and losses are included in other income (expense), net on our statements of operations and comprehensive loss and were not material for any of the periods presented. A hypothetical 10% change in exchange rates during any of the periods presented would not have had a material impact on our financial statements included elsewhere in this prospectus. However, in the third quarter of 2020, we established an Australian subsidiary to facilitate the P300 Phase 2 clinical trial. As a result, our exposure to the foreign currencies, particularly the Australian dollar, will increase.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34" w:lineRule="exact"/>
        <w:rPr>
          <w:sz w:val="20"/>
          <w:szCs w:val="20"/>
          <w:color w:val="auto"/>
        </w:rPr>
      </w:pPr>
    </w:p>
    <w:p>
      <w:pPr>
        <w:ind w:right="360" w:firstLine="576"/>
        <w:spacing w:after="0" w:line="246" w:lineRule="auto"/>
        <w:rPr>
          <w:sz w:val="20"/>
          <w:szCs w:val="20"/>
          <w:color w:val="auto"/>
        </w:rPr>
      </w:pPr>
      <w:r>
        <w:rPr>
          <w:rFonts w:ascii="Arial" w:cs="Arial" w:eastAsia="Arial" w:hAnsi="Arial"/>
          <w:sz w:val="18"/>
          <w:szCs w:val="18"/>
          <w:color w:val="auto"/>
        </w:rPr>
        <w:t>Inflation generally affects us by increasing our cost of labor and clinical trial costs. We believe that inflation has not had a material effect on our financial statements included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05"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this offering.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Athira is derived from the word Athir, the energy that reaches everyone. It captures our mission to develop therapies that can reach and positively impact everyone. We aim to restore neuronal health for those suffering from devastating neurological diseases, including Alzheimer’s disease, so that patients can regain their memories, lives, and family relationships.</w:t>
      </w:r>
    </w:p>
    <w:p>
      <w:pPr>
        <w:spacing w:after="0" w:line="230" w:lineRule="exact"/>
        <w:rPr>
          <w:sz w:val="20"/>
          <w:szCs w:val="20"/>
          <w:color w:val="auto"/>
        </w:rPr>
      </w:pPr>
    </w:p>
    <w:p>
      <w:pPr>
        <w:ind w:firstLine="519"/>
        <w:spacing w:after="0" w:line="235"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HGF/MET, a naturally occurring regenerative system. We believe enhancing HGF/MET signaling has the potential to protect existing neurons from damage, reduce inflammation, promote regeneration, and positively modulate brain activity. All of these characteristics are expected to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Nonclinical studies and Phase 1 clinical trials with ATH-1017 demonstrated improvements in brain network activity indicating positive effects on brain function. In the AD subjects, multiple dosing of ATH-1017 significantly improved brain activity as measured by P300 latency, a functional measure that is highly correlated with cognition. By the end of 2020, we plan to initiate a pivotal Phase 2/3 clinical trial for ATH-1017, or LIFT-AD, for the treatment of mild-to-moderate AD with topline results expected by the end of 2022. By the end of 2020, we also plan to initiate a P300 Phase 2 clinical trial in mild-to-moderate AD to better understand the overall effects of ATH-1017 on working memory processing speed and cognitive measures, with topline results expected by early 2022.</w:t>
      </w:r>
    </w:p>
    <w:p>
      <w:pPr>
        <w:spacing w:after="0" w:line="240"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treatment increased high frequency gamma power activity with a single dose in both young healthy volunteers and elderly healthy volunteers. Gamma power also improved in AD subjects. P300 latency, a functional measure of working memory processing speed that highly correlates with cognition, was also substantially improved. After a single dose of ATH-1017, all AD subjects tested had improved P300 latency and by the end of an 8-day treatment cycle, average latency across the AD treatment group had returned to levels close to those observed in healthy elderly subjects. Taken together, these results suggest that ATH-1017 has the potential to substantially improve synaptic connectivity and brain function in AD subjects.</w:t>
      </w:r>
    </w:p>
    <w:p>
      <w:pPr>
        <w:spacing w:after="0" w:line="204"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hepatocyte growth factor/MET, or HGF/MET growth factor in the brain will lead to increased synaptic density, network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recovery and information transmission in the brain, which could ultimately result in cognitive improvement and clinical benefit.</w:t>
      </w:r>
    </w:p>
    <w:p>
      <w:pPr>
        <w:spacing w:after="0" w:line="212" w:lineRule="exact"/>
        <w:rPr>
          <w:sz w:val="20"/>
          <w:szCs w:val="20"/>
          <w:color w:val="auto"/>
        </w:rPr>
      </w:pPr>
    </w:p>
    <w:p>
      <w:pPr>
        <w:ind w:right="340" w:firstLine="576"/>
        <w:spacing w:after="0" w:line="238" w:lineRule="auto"/>
        <w:rPr>
          <w:sz w:val="20"/>
          <w:szCs w:val="20"/>
          <w:color w:val="auto"/>
        </w:rPr>
      </w:pPr>
      <w:r>
        <w:rPr>
          <w:rFonts w:ascii="Arial" w:cs="Arial" w:eastAsia="Arial" w:hAnsi="Arial"/>
          <w:sz w:val="18"/>
          <w:szCs w:val="18"/>
          <w:color w:val="auto"/>
        </w:rPr>
        <w:t>ATH-1017 is designed to address the broader dementia patient population beyond AD and we are planning to initiate a Phase 2 clinical trial for the treatment of Parkinson’s disease dementia, or PDD, by the end of 2021. Dementia is a significant unmet medical need affecting over 50 million worldwide. Given underlying healthcare trends, specifically the aging population globally, dementia patients are expected to grow significantly and almost triple by 2050.</w:t>
      </w:r>
    </w:p>
    <w:p>
      <w:pPr>
        <w:spacing w:after="0" w:line="205" w:lineRule="exact"/>
        <w:rPr>
          <w:sz w:val="20"/>
          <w:szCs w:val="20"/>
          <w:color w:val="auto"/>
        </w:rPr>
      </w:pPr>
    </w:p>
    <w:p>
      <w:pPr>
        <w:ind w:right="40" w:firstLine="576"/>
        <w:spacing w:after="0" w:line="253" w:lineRule="auto"/>
        <w:rPr>
          <w:sz w:val="20"/>
          <w:szCs w:val="20"/>
          <w:color w:val="auto"/>
        </w:rPr>
      </w:pPr>
      <w:r>
        <w:rPr>
          <w:rFonts w:ascii="Arial" w:cs="Arial" w:eastAsia="Arial" w:hAnsi="Arial"/>
          <w:sz w:val="17"/>
          <w:szCs w:val="17"/>
          <w:color w:val="auto"/>
        </w:rPr>
        <w:t>We are pioneering the use of small molecules to promote hepatocyte growth factor/MET,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91"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We believe that our ability to enhance the body’s repair mechanism of HGF/MET through our ATH platform has the potential to address a wide range of clinical applications ranging from CNS disorders, such as AD, PDD, multiple sclerosis, or MS, and amyotrophic lateral sclerosis, or ALS, to more peripheral conditions such as neuropathy. In addition, we believe that HGF/MET biology plays a role in neuropsychiatric disorders such as depression and anxiety. Currently we have two preclinical candidates for non-AD indications: ATH-1018, which is being advanced to address depression, and ATH-1019, which is being advanced to address peripheral neuropathy. Our ATH platform allows us the flexibility to engineer compounds that are BBB-penetrating or that generate specific activity in the periphery and molecules are suitable for subcutaneous or oral route of administration.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126" w:lineRule="exact"/>
        <w:rPr>
          <w:sz w:val="20"/>
          <w:szCs w:val="20"/>
          <w:color w:val="auto"/>
        </w:rPr>
      </w:pPr>
    </w:p>
    <w:p>
      <w:pPr>
        <w:ind w:right="220" w:firstLine="576"/>
        <w:spacing w:after="0" w:line="237" w:lineRule="auto"/>
        <w:rPr>
          <w:sz w:val="20"/>
          <w:szCs w:val="20"/>
          <w:color w:val="auto"/>
        </w:rPr>
      </w:pPr>
      <w:r>
        <w:rPr>
          <w:rFonts w:ascii="Arial" w:cs="Arial" w:eastAsia="Arial" w:hAnsi="Arial"/>
          <w:sz w:val="18"/>
          <w:szCs w:val="18"/>
          <w:color w:val="auto"/>
        </w:rPr>
        <w:t>Our leadership team includes experienced neuroscience biotech executives who have both developed and commercialized CNS drugs and founded successful companies. Dr. Kawas, our founder and chief executive officer, has been essential in creating our innovative translational development strategy. Dr. Hans Moebius, our chief medical officer, is a pioneer in the AD space and led the effort in getting Namenda, among other CNS drugs, approved. Dr. Mark Litton, our chief operating officer, is one of the co-founders and builders of Alder BioPharmaceuticals, which was acquired by Lundbeck A/S in October 2019. Dr. Kevin Church, our vice president of discovery, has over 10 years of research and management experience in the biotech space and is an expert in HGF biology.</w:t>
      </w:r>
    </w:p>
    <w:p>
      <w:pPr>
        <w:spacing w:after="0" w:line="2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Our advisory board is a world-class team of leaders in the neuroregenerative, drug development and neurophysiology fields, including Dr. Larry Ereshefsky and Dr. Marwan Sabbagh. Dr. Ereshefsky is a pioneer in the application of translational drug development tools, including neurocircuitry/biomarker-based strategies, such as qEEG, ERP P300 latency, and cognitive and behavioral paradigms. Dr. Sabbagh, the Director of Cleveland Clinic Lou Ruvo Center for Brain Health, is considered to be one of the leading experts in AD and dementia.</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team is further supported by a group of investors that share our vision, mission, and commitment to develop innovative therapies for neurodegeneration. Our key investors include Perceptive Advisors, RTW Investments, Viking Global Investors, Venrock Healthcare Capital Partners, Franklin Templeton, Rock Springs Capital, LifeSci Venture Partners, Surveyor Capital (a Citadel company), Highside Capital Management, Logos Capital, funds managed by Janus Henderson Investors, Sofinnova Investments, and Avidity Partners.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Our Pipeline</w:t>
      </w:r>
    </w:p>
    <w:p>
      <w:pPr>
        <w:spacing w:after="0" w:line="12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Figure 1 below illustrates the current development stage of our ATH compounds and discovery research programs. We are expanding our ATH platform to additional indications in the CNS and peripheral nervous system as we aim to improve neuronal health in multiple disorders.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240780" cy="3188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4078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 w:hanging="472"/>
        <w:spacing w:after="0"/>
        <w:tabs>
          <w:tab w:leader="none" w:pos="4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ATH-1017 for AD, is moving from Phase 1b to a potentially pivotal Phase 2/3 clinical trial based on discussions with FDA.</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Following IND clearance, we plan to initiate a Phase 2 clinical trial in PDD based on results from Phase 1a and 1b clinical trials with ATH-1017.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right="720" w:firstLine="576"/>
        <w:spacing w:after="0" w:line="24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287" w:lineRule="exact"/>
        <w:rPr>
          <w:sz w:val="20"/>
          <w:szCs w:val="20"/>
          <w:color w:val="auto"/>
        </w:rPr>
      </w:pPr>
    </w:p>
    <w:p>
      <w:pPr>
        <w:ind w:left="1300" w:hanging="442"/>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Rapidly advance ATH-1017 through clinical development for AD</w:t>
      </w:r>
      <w:r>
        <w:rPr>
          <w:rFonts w:ascii="Arial" w:cs="Arial" w:eastAsia="Arial" w:hAnsi="Arial"/>
          <w:sz w:val="18"/>
          <w:szCs w:val="18"/>
          <w:color w:val="auto"/>
        </w:rPr>
        <w:t>. We believe ATH-1017 has the potential to rapidly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cognition and durably improve the lives of the millions of people suffering from AD who currently have limited therapeutic options. We plan to initiate two clinical trials for AD by the end of 2020 to accelerate our development timelines and further inform our development decisions. The first of these clinical trials is LIFT-AD, our pivotal Phase 2/3 clinical trial evaluating the holistic impact of ATH-1017, with topline results expected by the end of 2022. The second clinical trial will be our P300 Phase 2 clinical trial for AD evaluating the overall effects of ATH-1017 on working memory processing speed and cognitive measures, with topline results expected by early 2022,.</w:t>
      </w:r>
    </w:p>
    <w:p>
      <w:pPr>
        <w:spacing w:after="0" w:line="184" w:lineRule="exact"/>
        <w:rPr>
          <w:rFonts w:ascii="Arial" w:cs="Arial" w:eastAsia="Arial" w:hAnsi="Arial"/>
          <w:sz w:val="18"/>
          <w:szCs w:val="18"/>
          <w:color w:val="auto"/>
        </w:rPr>
      </w:pPr>
    </w:p>
    <w:p>
      <w:pPr>
        <w:ind w:left="1300" w:right="140" w:hanging="442"/>
        <w:spacing w:after="0" w:line="26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Expand the development of ATH-1017 to include additional indications and delivery methods</w:t>
      </w:r>
      <w:r>
        <w:rPr>
          <w:rFonts w:ascii="Arial" w:cs="Arial" w:eastAsia="Arial" w:hAnsi="Arial"/>
          <w:sz w:val="18"/>
          <w:szCs w:val="18"/>
          <w:color w:val="auto"/>
        </w:rPr>
        <w:t>. We are developing ATH-1017</w:t>
      </w:r>
      <w:r>
        <w:rPr>
          <w:rFonts w:ascii="Arial" w:cs="Arial" w:eastAsia="Arial" w:hAnsi="Arial"/>
          <w:sz w:val="18"/>
          <w:szCs w:val="18"/>
          <w:i w:val="1"/>
          <w:iCs w:val="1"/>
          <w:color w:val="auto"/>
        </w:rPr>
        <w:t xml:space="preserve"> </w:t>
      </w:r>
      <w:r>
        <w:rPr>
          <w:rFonts w:ascii="Arial" w:cs="Arial" w:eastAsia="Arial" w:hAnsi="Arial"/>
          <w:sz w:val="18"/>
          <w:szCs w:val="18"/>
          <w:color w:val="auto"/>
        </w:rPr>
        <w:t>as a treatment for mild-to-moderate AD, but over time we aim</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ind w:left="1300" w:right="60"/>
        <w:spacing w:after="0" w:line="238" w:lineRule="auto"/>
        <w:rPr>
          <w:sz w:val="20"/>
          <w:szCs w:val="20"/>
          <w:color w:val="auto"/>
        </w:rPr>
      </w:pPr>
      <w:r>
        <w:rPr>
          <w:rFonts w:ascii="Arial" w:cs="Arial" w:eastAsia="Arial" w:hAnsi="Arial"/>
          <w:sz w:val="18"/>
          <w:szCs w:val="18"/>
          <w:color w:val="auto"/>
        </w:rPr>
        <w:t>to expand development to cover all stages of AD. Beyond AD, we believe that ATH-1017 can ultimately address the broader dementia patient population. In an effort to begin this expansion, we are planning to conduct a Phase 2 clinical trial for PDD to commence by the end of 2021. ATH-1017 is initially being developed to be delivered via pre-filled syringes, and we are exploring the development of alternative delivery devices, including multi-dose pen injectors, to increase patient comfort and ease of use for patients and caregivers, ultimately improving patient compliance and outcomes.</w:t>
      </w:r>
    </w:p>
    <w:p>
      <w:pPr>
        <w:spacing w:after="0" w:line="184" w:lineRule="exact"/>
        <w:rPr>
          <w:sz w:val="20"/>
          <w:szCs w:val="20"/>
          <w:color w:val="auto"/>
        </w:rPr>
      </w:pPr>
    </w:p>
    <w:p>
      <w:pPr>
        <w:ind w:left="1300" w:right="120" w:hanging="442"/>
        <w:spacing w:after="0" w:line="242"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Focus on translational and functional endpoints to efficiently develop product candidates</w:t>
      </w:r>
      <w:r>
        <w:rPr>
          <w:rFonts w:ascii="Arial" w:cs="Arial" w:eastAsia="Arial" w:hAnsi="Arial"/>
          <w:sz w:val="18"/>
          <w:szCs w:val="18"/>
          <w:color w:val="auto"/>
        </w:rPr>
        <w:t>. We intend to use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translatable and predictive measures, such as EEG and event-related potential, or ERP, methods, early in development to guide clinical dose decisions, provide predictable measures for potential clinical benefit, and rapidly advance product candidates through clinical development. We have focused on changes in cognition and function, coupled with measures of brain function with EEG and ERP, allowing for more efficient and cost-effective clinical trials.</w:t>
      </w:r>
    </w:p>
    <w:p>
      <w:pPr>
        <w:spacing w:after="0" w:line="184" w:lineRule="exact"/>
        <w:rPr>
          <w:rFonts w:ascii="Arial" w:cs="Arial" w:eastAsia="Arial" w:hAnsi="Arial"/>
          <w:sz w:val="18"/>
          <w:szCs w:val="18"/>
          <w:color w:val="auto"/>
        </w:rPr>
      </w:pPr>
    </w:p>
    <w:p>
      <w:pPr>
        <w:ind w:left="1300" w:right="20" w:hanging="442"/>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Continue developing additional pipeline programs and utilize our ATH platform for further drug discovery</w:t>
      </w:r>
      <w:r>
        <w:rPr>
          <w:rFonts w:ascii="Arial" w:cs="Arial" w:eastAsia="Arial" w:hAnsi="Arial"/>
          <w:sz w:val="18"/>
          <w:szCs w:val="18"/>
          <w:color w:val="auto"/>
        </w:rPr>
        <w:t>. Our strategy is to</w:t>
      </w:r>
      <w:r>
        <w:rPr>
          <w:rFonts w:ascii="Arial" w:cs="Arial" w:eastAsia="Arial" w:hAnsi="Arial"/>
          <w:sz w:val="18"/>
          <w:szCs w:val="18"/>
          <w:i w:val="1"/>
          <w:iCs w:val="1"/>
          <w:color w:val="auto"/>
        </w:rPr>
        <w:t xml:space="preserve"> </w:t>
      </w:r>
      <w:r>
        <w:rPr>
          <w:rFonts w:ascii="Arial" w:cs="Arial" w:eastAsia="Arial" w:hAnsi="Arial"/>
          <w:sz w:val="18"/>
          <w:szCs w:val="18"/>
          <w:color w:val="auto"/>
        </w:rPr>
        <w:t>only advance product candidates that show both strong translation and early predictive clinical data. We plan to continue growing our discovery organization in the field of neuronal health and regeneration by building on our strong foundational knowledge of neuronal network, behavior, and translatable measures. We believe that our ability to enhance the body’s repair mechanism of HGF/MET through our ATH platform has the potential to address a wide range of clinical applications ranging from CNS disorders, such as AD, PDD, MS, and ALS, to more peripheral conditions such as neuropathy. In addition, we believe that HGF/MET biology plays a role in neuropsychiatric disorders such as depression and anxiety.</w:t>
      </w:r>
    </w:p>
    <w:p>
      <w:pPr>
        <w:spacing w:after="0" w:line="184" w:lineRule="exact"/>
        <w:rPr>
          <w:rFonts w:ascii="Arial" w:cs="Arial" w:eastAsia="Arial" w:hAnsi="Arial"/>
          <w:sz w:val="18"/>
          <w:szCs w:val="18"/>
          <w:color w:val="auto"/>
        </w:rPr>
      </w:pPr>
    </w:p>
    <w:p>
      <w:pPr>
        <w:ind w:left="1300" w:hanging="442"/>
        <w:spacing w:after="0" w:line="245"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Optimize the value of ATH-1017 and other candidates in major markets</w:t>
      </w:r>
      <w:r>
        <w:rPr>
          <w:rFonts w:ascii="Arial" w:cs="Arial" w:eastAsia="Arial" w:hAnsi="Arial"/>
          <w:sz w:val="18"/>
          <w:szCs w:val="18"/>
          <w:color w:val="auto"/>
        </w:rPr>
        <w:t>. We own worldwide rights to ATH-1017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pipeline of small molecule candidates. We plan to develop and pursue approval of ATH-1017 and other future candidates in major markets. Where appropriate, we may use strategic collaborations or partnerships to accelerate development and maximize the commercial potential of our programs.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Addressing the Key Aspects of Neuronal Health and Alzheimer’s Disease</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Maintenance of neuronal health is critical to preserving normal neuronal and brain function. Several neurodegenerative diseases, such as AD, PDD, MS, and ALS, share a common consequence of continued neuronal damage and death that ultimately lead to progressive impairment of the neuronal network and loss of both cognitive and general functions. Globally, these diseases affect millions of people.</w:t>
      </w:r>
    </w:p>
    <w:p>
      <w:pPr>
        <w:spacing w:after="0" w:line="203" w:lineRule="exact"/>
        <w:rPr>
          <w:sz w:val="20"/>
          <w:szCs w:val="20"/>
          <w:color w:val="auto"/>
        </w:rPr>
      </w:pPr>
    </w:p>
    <w:p>
      <w:pPr>
        <w:ind w:right="40" w:firstLine="576"/>
        <w:spacing w:after="0" w:line="257" w:lineRule="auto"/>
        <w:rPr>
          <w:sz w:val="20"/>
          <w:szCs w:val="20"/>
          <w:color w:val="auto"/>
        </w:rPr>
      </w:pPr>
      <w:r>
        <w:rPr>
          <w:rFonts w:ascii="Arial" w:cs="Arial" w:eastAsia="Arial" w:hAnsi="Arial"/>
          <w:sz w:val="17"/>
          <w:szCs w:val="17"/>
          <w:color w:val="auto"/>
        </w:rPr>
        <w:t>AD, our initial focus, is a progressive dementia caused by widespread neurodegeneration. The causal pathophysiological mechanism of AD has yet to be identified. This fundamental lack of understanding, combined with the complex range of pathological features, has led to a history of late-stage drug development failures. Regardless of the underlying pathology, it has been established that the loss of synaptic density and breakdown of the neuronal network leads to cognitive impairment in subjects with AD and other forms of dementia.</w:t>
      </w:r>
    </w:p>
    <w:p>
      <w:pPr>
        <w:spacing w:after="0" w:line="189" w:lineRule="exact"/>
        <w:rPr>
          <w:sz w:val="20"/>
          <w:szCs w:val="20"/>
          <w:color w:val="auto"/>
        </w:rPr>
      </w:pPr>
    </w:p>
    <w:p>
      <w:pPr>
        <w:ind w:right="220" w:firstLine="576"/>
        <w:spacing w:after="0" w:line="237" w:lineRule="auto"/>
        <w:rPr>
          <w:sz w:val="20"/>
          <w:szCs w:val="20"/>
          <w:color w:val="auto"/>
        </w:rPr>
      </w:pPr>
      <w:r>
        <w:rPr>
          <w:rFonts w:ascii="Arial" w:cs="Arial" w:eastAsia="Arial" w:hAnsi="Arial"/>
          <w:sz w:val="18"/>
          <w:szCs w:val="18"/>
          <w:color w:val="auto"/>
        </w:rPr>
        <w:t>There is a vast unmet need for effective pharmacological treatment for AD. Despite significant investments in drug discovery programs and strategies to treat AD there have been no approved therapeutics developed that can boost cognition, alter the course of the disease, and provide long-term symptomatic improvement. There are currently four marketed drugs for the management of AD symptoms: donepezil, galantamine, and rivastigmine (all acting on cholinergic pathways) and memantine (targeting the NMDA receptor and glutaminergic pathways). The long-term efficacy for these drugs has not been proven and they provide only temporary and modest clinical improvement.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11" w:name="page112"/>
    <w:bookmarkEnd w:id="111"/>
    <w:p>
      <w:pPr>
        <w:ind w:right="40" w:firstLine="576"/>
        <w:spacing w:after="0" w:line="238" w:lineRule="auto"/>
        <w:rPr>
          <w:sz w:val="20"/>
          <w:szCs w:val="20"/>
          <w:color w:val="auto"/>
        </w:rPr>
      </w:pPr>
      <w:r>
        <w:rPr>
          <w:rFonts w:ascii="Arial" w:cs="Arial" w:eastAsia="Arial" w:hAnsi="Arial"/>
          <w:sz w:val="18"/>
          <w:szCs w:val="18"/>
          <w:color w:val="auto"/>
        </w:rPr>
        <w:t>Additionally, there are currently a number of experimental therapeutic agents for AD in various stages of development with clinical testing directed towards amyloid-beta, or Aβ, clearance, and inhibition of Tau protein aggregation or phosphorylated-Tau, or pTau, clearance. Recent clinical failures involving Aβ clearance highlight the incomplete understanding of the pathological processes in AD and clearly demonstrate the need for novel strategies to fight the disease.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HGF/MET Pathway – A Crucial System for Regeneration</w:t>
      </w:r>
    </w:p>
    <w:p>
      <w:pPr>
        <w:spacing w:after="0" w:line="126" w:lineRule="exact"/>
        <w:rPr>
          <w:sz w:val="20"/>
          <w:szCs w:val="20"/>
          <w:color w:val="auto"/>
        </w:rPr>
      </w:pPr>
    </w:p>
    <w:p>
      <w:pPr>
        <w:ind w:right="280" w:firstLine="576"/>
        <w:spacing w:after="0" w:line="257" w:lineRule="auto"/>
        <w:rPr>
          <w:sz w:val="20"/>
          <w:szCs w:val="20"/>
          <w:color w:val="auto"/>
        </w:rPr>
      </w:pPr>
      <w:r>
        <w:rPr>
          <w:rFonts w:ascii="Arial" w:cs="Arial" w:eastAsia="Arial" w:hAnsi="Arial"/>
          <w:sz w:val="17"/>
          <w:szCs w:val="17"/>
          <w:color w:val="auto"/>
        </w:rPr>
        <w:t>The HGF/MET system has diverse roles relevant for synaptic function, network recovery, survival, and regeneration. We believe activation of HGF/MET offers a unique opportunity to address many aspects of AD pathology through a single target approach. Promoting the HGF/MET system has been shown to have multiple downstream beneficial effects relevant to improving symptoms and reversing the neurodegenerative process, making it an ideal target for complex neurodegenerative diseases, as illustrated below in Figure 2.</w:t>
      </w:r>
    </w:p>
    <w:p>
      <w:pPr>
        <w:spacing w:after="0" w:line="171" w:lineRule="exact"/>
        <w:rPr>
          <w:sz w:val="20"/>
          <w:szCs w:val="20"/>
          <w:color w:val="auto"/>
        </w:rPr>
      </w:pPr>
    </w:p>
    <w:p>
      <w:pPr>
        <w:ind w:firstLine="569"/>
        <w:spacing w:after="0" w:line="242" w:lineRule="auto"/>
        <w:rPr>
          <w:sz w:val="20"/>
          <w:szCs w:val="20"/>
          <w:color w:val="auto"/>
        </w:rPr>
      </w:pPr>
      <w:r>
        <w:rPr>
          <w:rFonts w:ascii="Arial" w:cs="Arial" w:eastAsia="Arial" w:hAnsi="Arial"/>
          <w:sz w:val="18"/>
          <w:szCs w:val="18"/>
          <w:i w:val="1"/>
          <w:iCs w:val="1"/>
          <w:color w:val="auto"/>
        </w:rPr>
        <w:t xml:space="preserve">Figure 2. Normal HGF/MET System and Pathway. </w:t>
      </w:r>
      <w:r>
        <w:rPr>
          <w:rFonts w:ascii="Arial" w:cs="Arial" w:eastAsia="Arial" w:hAnsi="Arial"/>
          <w:sz w:val="18"/>
          <w:szCs w:val="18"/>
          <w:color w:val="auto"/>
        </w:rPr>
        <w:t>HGF is a protein ligand that binds to MET, which is a receptor expressed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neurons, glia, and vascular cells in the brain. HGF binding converts MET to an active state and initiates processes including changes in gene expression that help maintain normal cellular health and function. In the brain, the HGF/MET system contributes to neuronal signaling and healthy function including regulating N-methyl-D-aspartate, or NMDA, receptor activity, modulating glial activity to regulate inflammation, and helping maintain cerebral blood flow. These multiple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downstream effects of the HGF/MET system play critical roles in maintaining healthy connectivity and brain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-1905</wp:posOffset>
            </wp:positionV>
            <wp:extent cx="4131945" cy="5983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131945" cy="598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multi-modal effect of HGF/MET across the nervous, vascular, and immune systems may address the impact of neurodegnerative diseases where neuronal health, cerebral blood flow, and excess inflammation play a significant role in disease progression. Promotion of the HGF/MET system has the potential to directly halt neurodegeneration, induce regeneration, improve cerebral blood flow, and reduce inflammation.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Significant Scientific Data Support HGF/MET’s Role in Maintaining Neuronal Health and Function</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Normal MET expression is crucial in maintaining the healthy adult brain. Multiple studies have demonstrated that the MET system is strictly regulated to have a stable expression pattern. MET is one of a small number of uniquely regulated genes with very high differential stability in its quantitative pattern of mRNA gene transcript levels across hundreds of structures throughout the neurotypical healthy adult brain. In fact, compared to approximately 17,000 other human genes, the MET receptor has the most differentially stable expression pattern in the cortex of the normal adult human brain. The cortex is a brain region that has important roles in learning, memory, and executive functioning, and this stable expression pattern demonstrates that the MET receptor is an important signature of a healthy brain.</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Additionally, although MET expression is very stable in healthy adults, expression is reduced in AD subjects, particularly in the hippocampus, as illustrated below in Figure 3. Previous studies have shown that AD subjects have approximately 25%-75% less MET expression in different brain regions compared to healthy age-matched adults. This reduction highlights another rationale to rescue the activity of this critical regenerative system. The HGF/MET system is neuroprotective in models of neurodegenerative disorders, including AD, PDD, MS, and ALS. Amplification of the HGF/MET system has the potential to provide critical neuroprotective and neuroregenerative effects to rescue damaged and dysfunctional neurons and promote recovery of cognitive functions.</w:t>
      </w:r>
    </w:p>
    <w:p>
      <w:pPr>
        <w:spacing w:after="0" w:line="187" w:lineRule="exact"/>
        <w:rPr>
          <w:sz w:val="20"/>
          <w:szCs w:val="20"/>
          <w:color w:val="auto"/>
        </w:rPr>
      </w:pPr>
    </w:p>
    <w:p>
      <w:pPr>
        <w:ind w:right="320" w:firstLine="576"/>
        <w:spacing w:after="0" w:line="250" w:lineRule="auto"/>
        <w:rPr>
          <w:sz w:val="20"/>
          <w:szCs w:val="20"/>
          <w:color w:val="auto"/>
        </w:rPr>
      </w:pPr>
      <w:r>
        <w:rPr>
          <w:rFonts w:ascii="Arial" w:cs="Arial" w:eastAsia="Arial" w:hAnsi="Arial"/>
          <w:sz w:val="18"/>
          <w:szCs w:val="18"/>
          <w:i w:val="1"/>
          <w:iCs w:val="1"/>
          <w:color w:val="auto"/>
        </w:rPr>
        <w:t xml:space="preserve">Figure 3. Neuronal MET Expression Is Reduced in the Hippocampus of AD Subjects. </w:t>
      </w:r>
      <w:r>
        <w:rPr>
          <w:rFonts w:ascii="Arial" w:cs="Arial" w:eastAsia="Arial" w:hAnsi="Arial"/>
          <w:sz w:val="18"/>
          <w:szCs w:val="18"/>
          <w:color w:val="auto"/>
        </w:rPr>
        <w:t>A study measuring MET mRNA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hippocampus of AD subjects shows reduced MET expression compared to healthy samples, suggesting that the reduced activity of this critical regenerative system may potentially play a role in the progressive neurodegeneration in AD</w:t>
      </w:r>
      <w:r>
        <w:rPr>
          <w:rFonts w:ascii="Arial" w:cs="Arial" w:eastAsia="Arial" w:hAnsi="Arial"/>
          <w:sz w:val="18"/>
          <w:szCs w:val="18"/>
          <w:i w:val="1"/>
          <w:iCs w:val="1"/>
          <w:color w:val="auto"/>
        </w:rPr>
        <w: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MET and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226060</wp:posOffset>
            </wp:positionV>
            <wp:extent cx="814070" cy="1534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407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Hokama et al., 2014</w:t>
      </w:r>
      <w:r>
        <w:rPr>
          <w:rFonts w:ascii="Arial" w:cs="Arial" w:eastAsia="Arial" w:hAnsi="Arial"/>
          <w:sz w:val="14"/>
          <w:szCs w:val="14"/>
          <w:color w:val="auto"/>
        </w:rPr>
        <w:t>.</w:t>
      </w:r>
    </w:p>
    <w:p>
      <w:pPr>
        <w:spacing w:after="0" w:line="225"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with examples shown in Figure 4 below. Notably, promotion of the HGF/MET system improved memory in AD and PDD models and improvement in neuronal survival was reported in various disease models including MS and ALS. These studies indicate that an enhanced HGF/MET system has substantial beneficial effects and support the HGF/MET system as a therapeutic target in a diverse array of nervous system disorders.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14" w:name="page115"/>
    <w:bookmarkEnd w:id="114"/>
    <w:p>
      <w:pPr>
        <w:ind w:right="20" w:firstLine="576"/>
        <w:spacing w:after="0" w:line="242" w:lineRule="auto"/>
        <w:rPr>
          <w:sz w:val="20"/>
          <w:szCs w:val="20"/>
          <w:color w:val="auto"/>
        </w:rPr>
      </w:pPr>
      <w:r>
        <w:rPr>
          <w:rFonts w:ascii="Arial" w:cs="Arial" w:eastAsia="Arial" w:hAnsi="Arial"/>
          <w:sz w:val="18"/>
          <w:szCs w:val="18"/>
          <w:i w:val="1"/>
          <w:iCs w:val="1"/>
          <w:color w:val="auto"/>
        </w:rPr>
        <w:t xml:space="preserve">Figure 4. Effects of HGF Treatment in Animal Models of CNS Disorders. </w:t>
      </w:r>
      <w:r>
        <w:rPr>
          <w:rFonts w:ascii="Arial" w:cs="Arial" w:eastAsia="Arial" w:hAnsi="Arial"/>
          <w:sz w:val="18"/>
          <w:szCs w:val="18"/>
          <w:color w:val="auto"/>
        </w:rPr>
        <w:t>Below is a list of preclinical studies conducted by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shows the beneficial effects of HGF/MET on functional endpoint or processes that are critical in recovering neuronal health and function. These studies demonstrate that boosting the activity of the HGF/MET system, whether through direct injection of HGF or increasing expression of HGF by gene therapy techniques, promotes neuronal health and regeneration, and rescues memory and function in several animal models of CNS disorders.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Borders>
              <w:top w:val="single" w:sz="8" w:color="5B9BD5"/>
              <w:bottom w:val="single" w:sz="8" w:color="5B9BD5"/>
            </w:tcBorders>
          </w:tcPr>
          <w:p>
            <w:pPr>
              <w:jc w:val="center"/>
              <w:spacing w:after="0"/>
              <w:rPr>
                <w:sz w:val="20"/>
                <w:szCs w:val="20"/>
                <w:color w:val="auto"/>
              </w:rPr>
            </w:pPr>
            <w:r>
              <w:rPr>
                <w:rFonts w:ascii="Arial" w:cs="Arial" w:eastAsia="Arial" w:hAnsi="Arial"/>
                <w:sz w:val="13"/>
                <w:szCs w:val="13"/>
                <w:b w:val="1"/>
                <w:bCs w:val="1"/>
                <w:color w:val="auto"/>
                <w:w w:val="97"/>
              </w:rPr>
              <w:t>Disease</w:t>
            </w:r>
          </w:p>
        </w:tc>
        <w:tc>
          <w:tcPr>
            <w:tcW w:w="2480" w:type="dxa"/>
            <w:vAlign w:val="bottom"/>
            <w:tcBorders>
              <w:top w:val="single" w:sz="8" w:color="5B9BD5"/>
              <w:bottom w:val="single" w:sz="8" w:color="5B9BD5"/>
            </w:tcBorders>
          </w:tcPr>
          <w:p>
            <w:pPr>
              <w:jc w:val="center"/>
              <w:ind w:left="97"/>
              <w:spacing w:after="0"/>
              <w:rPr>
                <w:sz w:val="20"/>
                <w:szCs w:val="20"/>
                <w:color w:val="auto"/>
              </w:rPr>
            </w:pPr>
            <w:r>
              <w:rPr>
                <w:rFonts w:ascii="Arial" w:cs="Arial" w:eastAsia="Arial" w:hAnsi="Arial"/>
                <w:sz w:val="13"/>
                <w:szCs w:val="13"/>
                <w:b w:val="1"/>
                <w:bCs w:val="1"/>
                <w:color w:val="auto"/>
                <w:w w:val="96"/>
              </w:rPr>
              <w:t>Animal model (species)</w:t>
            </w:r>
          </w:p>
        </w:tc>
        <w:tc>
          <w:tcPr>
            <w:tcW w:w="1920" w:type="dxa"/>
            <w:vAlign w:val="bottom"/>
            <w:tcBorders>
              <w:top w:val="single" w:sz="8" w:color="5B9BD5"/>
              <w:bottom w:val="single" w:sz="8" w:color="5B9BD5"/>
            </w:tcBorders>
          </w:tcPr>
          <w:p>
            <w:pPr>
              <w:jc w:val="center"/>
              <w:ind w:left="237"/>
              <w:spacing w:after="0"/>
              <w:rPr>
                <w:sz w:val="20"/>
                <w:szCs w:val="20"/>
                <w:color w:val="auto"/>
              </w:rPr>
            </w:pPr>
            <w:r>
              <w:rPr>
                <w:rFonts w:ascii="Arial" w:cs="Arial" w:eastAsia="Arial" w:hAnsi="Arial"/>
                <w:sz w:val="13"/>
                <w:szCs w:val="13"/>
                <w:b w:val="1"/>
                <w:bCs w:val="1"/>
                <w:color w:val="auto"/>
                <w:w w:val="95"/>
              </w:rPr>
              <w:t>HGF Delivery Method</w:t>
            </w:r>
          </w:p>
        </w:tc>
        <w:tc>
          <w:tcPr>
            <w:tcW w:w="3420" w:type="dxa"/>
            <w:vAlign w:val="bottom"/>
            <w:tcBorders>
              <w:top w:val="single" w:sz="8" w:color="5B9BD5"/>
              <w:bottom w:val="single" w:sz="8" w:color="5B9BD5"/>
            </w:tcBorders>
          </w:tcPr>
          <w:p>
            <w:pPr>
              <w:jc w:val="center"/>
              <w:ind w:right="57"/>
              <w:spacing w:after="0"/>
              <w:rPr>
                <w:sz w:val="20"/>
                <w:szCs w:val="20"/>
                <w:color w:val="auto"/>
              </w:rPr>
            </w:pPr>
            <w:r>
              <w:rPr>
                <w:rFonts w:ascii="Arial" w:cs="Arial" w:eastAsia="Arial" w:hAnsi="Arial"/>
                <w:sz w:val="13"/>
                <w:szCs w:val="13"/>
                <w:b w:val="1"/>
                <w:bCs w:val="1"/>
                <w:color w:val="auto"/>
                <w:w w:val="97"/>
              </w:rPr>
              <w:t>Outcomes</w:t>
            </w:r>
          </w:p>
        </w:tc>
        <w:tc>
          <w:tcPr>
            <w:tcW w:w="2020" w:type="dxa"/>
            <w:vAlign w:val="bottom"/>
            <w:tcBorders>
              <w:top w:val="single" w:sz="8" w:color="5B9BD5"/>
              <w:bottom w:val="single" w:sz="8" w:color="5B9BD5"/>
            </w:tcBorders>
          </w:tcPr>
          <w:p>
            <w:pPr>
              <w:jc w:val="center"/>
              <w:ind w:right="197"/>
              <w:spacing w:after="0"/>
              <w:rPr>
                <w:sz w:val="20"/>
                <w:szCs w:val="20"/>
                <w:color w:val="auto"/>
              </w:rPr>
            </w:pPr>
            <w:r>
              <w:rPr>
                <w:rFonts w:ascii="Arial" w:cs="Arial" w:eastAsia="Arial" w:hAnsi="Arial"/>
                <w:sz w:val="13"/>
                <w:szCs w:val="13"/>
                <w:b w:val="1"/>
                <w:bCs w:val="1"/>
                <w:color w:val="auto"/>
                <w:w w:val="95"/>
              </w:rPr>
              <w:t>Reference</w:t>
            </w:r>
          </w:p>
        </w:tc>
        <w:tc>
          <w:tcPr>
            <w:tcW w:w="0" w:type="dxa"/>
            <w:vAlign w:val="bottom"/>
          </w:tcPr>
          <w:p>
            <w:pPr>
              <w:spacing w:after="0"/>
              <w:rPr>
                <w:sz w:val="1"/>
                <w:szCs w:val="1"/>
                <w:color w:val="auto"/>
              </w:rPr>
            </w:pPr>
          </w:p>
        </w:tc>
      </w:tr>
      <w:tr>
        <w:trPr>
          <w:trHeight w:val="136"/>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9"/>
              </w:rPr>
              <w:t>AD</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Aβ-injection</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shd w:val="clear" w:color="auto" w:fill="EAEFF7"/>
          </w:tcPr>
          <w:p>
            <w:pPr>
              <w:jc w:val="center"/>
              <w:ind w:right="37"/>
              <w:spacing w:after="0" w:line="136" w:lineRule="exact"/>
              <w:rPr>
                <w:sz w:val="20"/>
                <w:szCs w:val="20"/>
                <w:color w:val="auto"/>
              </w:rPr>
            </w:pPr>
            <w:r>
              <w:rPr>
                <w:rFonts w:ascii="Arial" w:cs="Arial" w:eastAsia="Arial" w:hAnsi="Arial"/>
                <w:sz w:val="13"/>
                <w:szCs w:val="13"/>
                <w:color w:val="auto"/>
                <w:w w:val="96"/>
              </w:rPr>
              <w:t>Improvement in memory, increased cerebral blood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Takeuchi et. al. 2008</w:t>
            </w:r>
          </w:p>
        </w:tc>
        <w:tc>
          <w:tcPr>
            <w:tcW w:w="0" w:type="dxa"/>
            <w:vAlign w:val="bottom"/>
          </w:tcPr>
          <w:p>
            <w:pPr>
              <w:spacing w:after="0"/>
              <w:rPr>
                <w:sz w:val="1"/>
                <w:szCs w:val="1"/>
                <w:color w:val="auto"/>
              </w:rPr>
            </w:pPr>
          </w:p>
        </w:tc>
      </w:tr>
      <w:tr>
        <w:trPr>
          <w:trHeight w:val="84"/>
        </w:trPr>
        <w:tc>
          <w:tcPr>
            <w:tcW w:w="1400" w:type="dxa"/>
            <w:vAlign w:val="bottom"/>
            <w:vMerge w:val="continue"/>
            <w:shd w:val="clear" w:color="auto" w:fill="EAEFF7"/>
          </w:tcPr>
          <w:p>
            <w:pPr>
              <w:spacing w:after="0"/>
              <w:rPr>
                <w:sz w:val="7"/>
                <w:szCs w:val="7"/>
                <w:color w:val="auto"/>
              </w:rPr>
            </w:pPr>
          </w:p>
        </w:tc>
        <w:tc>
          <w:tcPr>
            <w:tcW w:w="2480" w:type="dxa"/>
            <w:vAlign w:val="bottom"/>
            <w:vMerge w:val="continue"/>
            <w:shd w:val="clear" w:color="auto" w:fill="EAEFF7"/>
          </w:tcPr>
          <w:p>
            <w:pPr>
              <w:spacing w:after="0"/>
              <w:rPr>
                <w:sz w:val="7"/>
                <w:szCs w:val="7"/>
                <w:color w:val="auto"/>
              </w:rPr>
            </w:pPr>
          </w:p>
        </w:tc>
        <w:tc>
          <w:tcPr>
            <w:tcW w:w="1920" w:type="dxa"/>
            <w:vAlign w:val="bottom"/>
            <w:vMerge w:val="continue"/>
            <w:shd w:val="clear" w:color="auto" w:fill="EAEFF7"/>
          </w:tcPr>
          <w:p>
            <w:pPr>
              <w:spacing w:after="0"/>
              <w:rPr>
                <w:sz w:val="7"/>
                <w:szCs w:val="7"/>
                <w:color w:val="auto"/>
              </w:rPr>
            </w:pPr>
          </w:p>
        </w:tc>
        <w:tc>
          <w:tcPr>
            <w:tcW w:w="3420" w:type="dxa"/>
            <w:vAlign w:val="bottom"/>
            <w:vMerge w:val="restart"/>
            <w:shd w:val="clear" w:color="auto" w:fill="EAEFF7"/>
          </w:tcPr>
          <w:p>
            <w:pPr>
              <w:jc w:val="center"/>
              <w:ind w:right="57"/>
              <w:spacing w:after="0" w:line="141" w:lineRule="exact"/>
              <w:rPr>
                <w:sz w:val="20"/>
                <w:szCs w:val="20"/>
                <w:color w:val="auto"/>
              </w:rPr>
            </w:pPr>
            <w:r>
              <w:rPr>
                <w:rFonts w:ascii="Arial" w:cs="Arial" w:eastAsia="Arial" w:hAnsi="Arial"/>
                <w:sz w:val="13"/>
                <w:szCs w:val="13"/>
                <w:color w:val="auto"/>
                <w:w w:val="96"/>
              </w:rPr>
              <w:t>flow, increased BDNF expression</w:t>
            </w:r>
          </w:p>
        </w:tc>
        <w:tc>
          <w:tcPr>
            <w:tcW w:w="2020" w:type="dxa"/>
            <w:vAlign w:val="bottom"/>
            <w:vMerge w:val="continue"/>
            <w:shd w:val="clear" w:color="auto" w:fill="EAEFF7"/>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5"/>
              </w:rPr>
              <w:t>Parkinson’s</w:t>
            </w: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6-OHDA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43" w:lineRule="exact"/>
              <w:rPr>
                <w:sz w:val="20"/>
                <w:szCs w:val="20"/>
                <w:color w:val="auto"/>
              </w:rPr>
            </w:pPr>
            <w:r>
              <w:rPr>
                <w:rFonts w:ascii="Arial" w:cs="Arial" w:eastAsia="Arial" w:hAnsi="Arial"/>
                <w:sz w:val="13"/>
                <w:szCs w:val="13"/>
                <w:color w:val="auto"/>
                <w:w w:val="97"/>
              </w:rPr>
              <w:t>Improved survival of dopaminergic neurons, improved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4"/>
              </w:rPr>
              <w:t>Koike et. al.</w:t>
            </w:r>
          </w:p>
        </w:tc>
        <w:tc>
          <w:tcPr>
            <w:tcW w:w="0" w:type="dxa"/>
            <w:vAlign w:val="bottom"/>
          </w:tcPr>
          <w:p>
            <w:pPr>
              <w:spacing w:after="0"/>
              <w:rPr>
                <w:sz w:val="1"/>
                <w:szCs w:val="1"/>
                <w:color w:val="auto"/>
              </w:rPr>
            </w:pPr>
          </w:p>
        </w:tc>
      </w:tr>
      <w:tr>
        <w:trPr>
          <w:trHeight w:val="84"/>
        </w:trPr>
        <w:tc>
          <w:tcPr>
            <w:tcW w:w="14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7"/>
              </w:rPr>
              <w:t>motor function</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2006</w:t>
            </w:r>
          </w:p>
        </w:tc>
        <w:tc>
          <w:tcPr>
            <w:tcW w:w="0" w:type="dxa"/>
            <w:vAlign w:val="bottom"/>
          </w:tcPr>
          <w:p>
            <w:pPr>
              <w:spacing w:after="0"/>
              <w:rPr>
                <w:sz w:val="1"/>
                <w:szCs w:val="1"/>
                <w:color w:val="auto"/>
              </w:rPr>
            </w:pPr>
          </w:p>
        </w:tc>
      </w:tr>
      <w:tr>
        <w:trPr>
          <w:trHeight w:val="138"/>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jc w:val="center"/>
              <w:spacing w:after="0"/>
              <w:rPr>
                <w:sz w:val="20"/>
                <w:szCs w:val="20"/>
                <w:color w:val="auto"/>
              </w:rPr>
            </w:pPr>
            <w:r>
              <w:rPr>
                <w:rFonts w:ascii="Arial" w:cs="Arial" w:eastAsia="Arial" w:hAnsi="Arial"/>
                <w:sz w:val="13"/>
                <w:szCs w:val="13"/>
                <w:color w:val="auto"/>
                <w:w w:val="96"/>
              </w:rPr>
              <w:t>Brain ischemia</w:t>
            </w:r>
          </w:p>
        </w:tc>
        <w:tc>
          <w:tcPr>
            <w:tcW w:w="2480" w:type="dxa"/>
            <w:vAlign w:val="bottom"/>
            <w:shd w:val="clear" w:color="auto" w:fill="EAEFF7"/>
          </w:tcPr>
          <w:p>
            <w:pPr>
              <w:jc w:val="center"/>
              <w:ind w:left="77"/>
              <w:spacing w:after="0"/>
              <w:rPr>
                <w:sz w:val="20"/>
                <w:szCs w:val="20"/>
                <w:color w:val="auto"/>
              </w:rPr>
            </w:pPr>
            <w:r>
              <w:rPr>
                <w:rFonts w:ascii="Arial" w:cs="Arial" w:eastAsia="Arial" w:hAnsi="Arial"/>
                <w:sz w:val="13"/>
                <w:szCs w:val="13"/>
                <w:color w:val="auto"/>
                <w:w w:val="97"/>
              </w:rPr>
              <w:t>Transient ischemia</w:t>
            </w:r>
          </w:p>
        </w:tc>
        <w:tc>
          <w:tcPr>
            <w:tcW w:w="1920" w:type="dxa"/>
            <w:vAlign w:val="bottom"/>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rPr>
                <w:sz w:val="20"/>
                <w:szCs w:val="20"/>
                <w:color w:val="auto"/>
              </w:rPr>
            </w:pPr>
            <w:r>
              <w:rPr>
                <w:rFonts w:ascii="Arial" w:cs="Arial" w:eastAsia="Arial" w:hAnsi="Arial"/>
                <w:sz w:val="13"/>
                <w:szCs w:val="13"/>
                <w:color w:val="auto"/>
                <w:w w:val="96"/>
              </w:rPr>
              <w:t>Improved neuronal survival</w:t>
            </w:r>
          </w:p>
        </w:tc>
        <w:tc>
          <w:tcPr>
            <w:tcW w:w="2020" w:type="dxa"/>
            <w:vAlign w:val="bottom"/>
            <w:shd w:val="clear" w:color="auto" w:fill="EAEFF7"/>
          </w:tcPr>
          <w:p>
            <w:pPr>
              <w:jc w:val="center"/>
              <w:ind w:right="197"/>
              <w:spacing w:after="0"/>
              <w:rPr>
                <w:sz w:val="20"/>
                <w:szCs w:val="20"/>
                <w:color w:val="auto"/>
              </w:rPr>
            </w:pPr>
            <w:r>
              <w:rPr>
                <w:rFonts w:ascii="Arial" w:cs="Arial" w:eastAsia="Arial" w:hAnsi="Arial"/>
                <w:sz w:val="13"/>
                <w:szCs w:val="13"/>
                <w:color w:val="auto"/>
                <w:w w:val="95"/>
              </w:rPr>
              <w:t>Miyazawa et. al. 2007</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shd w:val="clear" w:color="auto" w:fill="EAEFF7"/>
          </w:tcPr>
          <w:p>
            <w:pPr>
              <w:jc w:val="center"/>
              <w:ind w:left="97"/>
              <w:spacing w:after="0"/>
              <w:rPr>
                <w:sz w:val="20"/>
                <w:szCs w:val="20"/>
                <w:color w:val="auto"/>
              </w:rPr>
            </w:pPr>
            <w:r>
              <w:rPr>
                <w:rFonts w:ascii="Arial" w:cs="Arial" w:eastAsia="Arial" w:hAnsi="Arial"/>
                <w:sz w:val="13"/>
                <w:szCs w:val="13"/>
                <w:color w:val="auto"/>
                <w:w w:val="98"/>
              </w:rPr>
              <w:t>(gerbil)</w:t>
            </w: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7"/>
              </w:rPr>
              <w:t>ALS</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SOD1-G93)</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43" w:lineRule="exact"/>
              <w:rPr>
                <w:sz w:val="20"/>
                <w:szCs w:val="20"/>
                <w:color w:val="auto"/>
              </w:rPr>
            </w:pPr>
            <w:r>
              <w:rPr>
                <w:rFonts w:ascii="Arial" w:cs="Arial" w:eastAsia="Arial" w:hAnsi="Arial"/>
                <w:sz w:val="13"/>
                <w:szCs w:val="13"/>
                <w:color w:val="auto"/>
                <w:w w:val="96"/>
              </w:rPr>
              <w:t>Improved survival of motor neurons, prolonged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Sun et. al.</w:t>
            </w:r>
          </w:p>
        </w:tc>
        <w:tc>
          <w:tcPr>
            <w:tcW w:w="0" w:type="dxa"/>
            <w:vAlign w:val="bottom"/>
          </w:tcPr>
          <w:p>
            <w:pPr>
              <w:spacing w:after="0"/>
              <w:rPr>
                <w:sz w:val="1"/>
                <w:szCs w:val="1"/>
                <w:color w:val="auto"/>
              </w:rPr>
            </w:pPr>
          </w:p>
        </w:tc>
      </w:tr>
      <w:tr>
        <w:trPr>
          <w:trHeight w:val="84"/>
        </w:trPr>
        <w:tc>
          <w:tcPr>
            <w:tcW w:w="14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8"/>
              </w:rPr>
              <w:t>lifespan</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2002</w:t>
            </w:r>
          </w:p>
        </w:tc>
        <w:tc>
          <w:tcPr>
            <w:tcW w:w="0" w:type="dxa"/>
            <w:vAlign w:val="bottom"/>
          </w:tcPr>
          <w:p>
            <w:pPr>
              <w:spacing w:after="0"/>
              <w:rPr>
                <w:sz w:val="1"/>
                <w:szCs w:val="1"/>
                <w:color w:val="auto"/>
              </w:rPr>
            </w:pPr>
          </w:p>
        </w:tc>
      </w:tr>
      <w:tr>
        <w:trPr>
          <w:trHeight w:val="138"/>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7"/>
              </w:rPr>
              <w:t>Cerebral infarction</w:t>
            </w: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w w:val="98"/>
              </w:rPr>
              <w:t>Embolism</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43" w:lineRule="exact"/>
              <w:rPr>
                <w:sz w:val="20"/>
                <w:szCs w:val="20"/>
                <w:color w:val="auto"/>
              </w:rPr>
            </w:pPr>
            <w:r>
              <w:rPr>
                <w:rFonts w:ascii="Arial" w:cs="Arial" w:eastAsia="Arial" w:hAnsi="Arial"/>
                <w:sz w:val="13"/>
                <w:szCs w:val="13"/>
                <w:color w:val="auto"/>
                <w:w w:val="96"/>
              </w:rPr>
              <w:t>Improvement in learning and memory,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5"/>
              </w:rPr>
              <w:t>Date et. al.</w:t>
            </w:r>
          </w:p>
        </w:tc>
        <w:tc>
          <w:tcPr>
            <w:tcW w:w="0" w:type="dxa"/>
            <w:vAlign w:val="bottom"/>
          </w:tcPr>
          <w:p>
            <w:pPr>
              <w:spacing w:after="0"/>
              <w:rPr>
                <w:sz w:val="1"/>
                <w:szCs w:val="1"/>
                <w:color w:val="auto"/>
              </w:rPr>
            </w:pPr>
          </w:p>
        </w:tc>
      </w:tr>
      <w:tr>
        <w:trPr>
          <w:trHeight w:val="84"/>
        </w:trPr>
        <w:tc>
          <w:tcPr>
            <w:tcW w:w="1400" w:type="dxa"/>
            <w:vAlign w:val="bottom"/>
            <w:vMerge w:val="continue"/>
            <w:shd w:val="clear" w:color="auto" w:fill="EAEFF7"/>
          </w:tcPr>
          <w:p>
            <w:pPr>
              <w:spacing w:after="0"/>
              <w:rPr>
                <w:sz w:val="7"/>
                <w:szCs w:val="7"/>
                <w:color w:val="auto"/>
              </w:rPr>
            </w:pPr>
          </w:p>
        </w:tc>
        <w:tc>
          <w:tcPr>
            <w:tcW w:w="2480" w:type="dxa"/>
            <w:vAlign w:val="bottom"/>
            <w:vMerge w:val="continue"/>
            <w:shd w:val="clear" w:color="auto" w:fill="EAEFF7"/>
          </w:tcPr>
          <w:p>
            <w:pPr>
              <w:spacing w:after="0"/>
              <w:rPr>
                <w:sz w:val="7"/>
                <w:szCs w:val="7"/>
                <w:color w:val="auto"/>
              </w:rPr>
            </w:pPr>
          </w:p>
        </w:tc>
        <w:tc>
          <w:tcPr>
            <w:tcW w:w="1920" w:type="dxa"/>
            <w:vAlign w:val="bottom"/>
            <w:vMerge w:val="continue"/>
            <w:shd w:val="clear" w:color="auto" w:fill="EAEFF7"/>
          </w:tcPr>
          <w:p>
            <w:pPr>
              <w:spacing w:after="0"/>
              <w:rPr>
                <w:sz w:val="7"/>
                <w:szCs w:val="7"/>
                <w:color w:val="auto"/>
              </w:rPr>
            </w:pPr>
          </w:p>
        </w:tc>
        <w:tc>
          <w:tcPr>
            <w:tcW w:w="3420" w:type="dxa"/>
            <w:vAlign w:val="bottom"/>
            <w:vMerge w:val="restart"/>
            <w:shd w:val="clear" w:color="auto" w:fill="EAEFF7"/>
          </w:tcPr>
          <w:p>
            <w:pPr>
              <w:jc w:val="center"/>
              <w:ind w:right="57"/>
              <w:spacing w:after="0" w:line="141" w:lineRule="exact"/>
              <w:rPr>
                <w:sz w:val="20"/>
                <w:szCs w:val="20"/>
                <w:color w:val="auto"/>
              </w:rPr>
            </w:pPr>
            <w:r>
              <w:rPr>
                <w:rFonts w:ascii="Arial" w:cs="Arial" w:eastAsia="Arial" w:hAnsi="Arial"/>
                <w:sz w:val="13"/>
                <w:szCs w:val="13"/>
                <w:color w:val="auto"/>
                <w:w w:val="95"/>
              </w:rPr>
              <w:t>neuronal survival</w:t>
            </w:r>
          </w:p>
        </w:tc>
        <w:tc>
          <w:tcPr>
            <w:tcW w:w="2020" w:type="dxa"/>
            <w:vAlign w:val="bottom"/>
            <w:vMerge w:val="continue"/>
            <w:shd w:val="clear" w:color="auto" w:fill="EAEFF7"/>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2004</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vMerge w:val="continue"/>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Spinal cord injury</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3"/>
              </w:rPr>
              <w:t>Trauma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43" w:lineRule="exact"/>
              <w:rPr>
                <w:sz w:val="20"/>
                <w:szCs w:val="20"/>
                <w:color w:val="auto"/>
              </w:rPr>
            </w:pPr>
            <w:r>
              <w:rPr>
                <w:rFonts w:ascii="Arial" w:cs="Arial" w:eastAsia="Arial" w:hAnsi="Arial"/>
                <w:sz w:val="13"/>
                <w:szCs w:val="13"/>
                <w:color w:val="auto"/>
                <w:w w:val="96"/>
              </w:rPr>
              <w:t>Promoted neuron survival and axonal regrowth,</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Kitamura et. al. 2007</w:t>
            </w:r>
          </w:p>
        </w:tc>
        <w:tc>
          <w:tcPr>
            <w:tcW w:w="0" w:type="dxa"/>
            <w:vAlign w:val="bottom"/>
          </w:tcPr>
          <w:p>
            <w:pPr>
              <w:spacing w:after="0"/>
              <w:rPr>
                <w:sz w:val="1"/>
                <w:szCs w:val="1"/>
                <w:color w:val="auto"/>
              </w:rPr>
            </w:pPr>
          </w:p>
        </w:tc>
      </w:tr>
      <w:tr>
        <w:trPr>
          <w:trHeight w:val="84"/>
        </w:trPr>
        <w:tc>
          <w:tcPr>
            <w:tcW w:w="14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improved functional recovery</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rPr>
              <w:t>MS</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9"/>
              </w:rPr>
              <w:t>EAE</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43" w:lineRule="exact"/>
              <w:rPr>
                <w:sz w:val="20"/>
                <w:szCs w:val="20"/>
                <w:color w:val="auto"/>
              </w:rPr>
            </w:pPr>
            <w:r>
              <w:rPr>
                <w:rFonts w:ascii="Arial" w:cs="Arial" w:eastAsia="Arial" w:hAnsi="Arial"/>
                <w:sz w:val="13"/>
                <w:szCs w:val="13"/>
                <w:color w:val="auto"/>
                <w:w w:val="96"/>
              </w:rPr>
              <w:t>Promoted remyelination of damaged axons,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Bai et al., 2012</w:t>
            </w:r>
          </w:p>
        </w:tc>
        <w:tc>
          <w:tcPr>
            <w:tcW w:w="0" w:type="dxa"/>
            <w:vAlign w:val="bottom"/>
          </w:tcPr>
          <w:p>
            <w:pPr>
              <w:spacing w:after="0"/>
              <w:rPr>
                <w:sz w:val="1"/>
                <w:szCs w:val="1"/>
                <w:color w:val="auto"/>
              </w:rPr>
            </w:pPr>
          </w:p>
        </w:tc>
      </w:tr>
      <w:tr>
        <w:trPr>
          <w:trHeight w:val="84"/>
        </w:trPr>
        <w:tc>
          <w:tcPr>
            <w:tcW w:w="1400" w:type="dxa"/>
            <w:vAlign w:val="bottom"/>
            <w:vMerge w:val="continue"/>
            <w:shd w:val="clear" w:color="auto" w:fill="EAEFF7"/>
          </w:tcPr>
          <w:p>
            <w:pPr>
              <w:spacing w:after="0"/>
              <w:rPr>
                <w:sz w:val="7"/>
                <w:szCs w:val="7"/>
                <w:color w:val="auto"/>
              </w:rPr>
            </w:pPr>
          </w:p>
        </w:tc>
        <w:tc>
          <w:tcPr>
            <w:tcW w:w="2480" w:type="dxa"/>
            <w:vAlign w:val="bottom"/>
            <w:vMerge w:val="continue"/>
            <w:shd w:val="clear" w:color="auto" w:fill="EAEFF7"/>
          </w:tcPr>
          <w:p>
            <w:pPr>
              <w:spacing w:after="0"/>
              <w:rPr>
                <w:sz w:val="7"/>
                <w:szCs w:val="7"/>
                <w:color w:val="auto"/>
              </w:rPr>
            </w:pPr>
          </w:p>
        </w:tc>
        <w:tc>
          <w:tcPr>
            <w:tcW w:w="1920" w:type="dxa"/>
            <w:vAlign w:val="bottom"/>
            <w:vMerge w:val="continue"/>
            <w:shd w:val="clear" w:color="auto" w:fill="EAEFF7"/>
          </w:tcPr>
          <w:p>
            <w:pPr>
              <w:spacing w:after="0"/>
              <w:rPr>
                <w:sz w:val="7"/>
                <w:szCs w:val="7"/>
                <w:color w:val="auto"/>
              </w:rPr>
            </w:pPr>
          </w:p>
        </w:tc>
        <w:tc>
          <w:tcPr>
            <w:tcW w:w="3420" w:type="dxa"/>
            <w:vAlign w:val="bottom"/>
            <w:vMerge w:val="restart"/>
            <w:shd w:val="clear" w:color="auto" w:fill="EAEFF7"/>
          </w:tcPr>
          <w:p>
            <w:pPr>
              <w:jc w:val="center"/>
              <w:ind w:right="57"/>
              <w:spacing w:after="0" w:line="141" w:lineRule="exact"/>
              <w:rPr>
                <w:sz w:val="20"/>
                <w:szCs w:val="20"/>
                <w:color w:val="auto"/>
              </w:rPr>
            </w:pPr>
            <w:r>
              <w:rPr>
                <w:rFonts w:ascii="Arial" w:cs="Arial" w:eastAsia="Arial" w:hAnsi="Arial"/>
                <w:sz w:val="13"/>
                <w:szCs w:val="13"/>
                <w:color w:val="auto"/>
                <w:w w:val="96"/>
              </w:rPr>
              <w:t>clinical scoring</w:t>
            </w:r>
          </w:p>
        </w:tc>
        <w:tc>
          <w:tcPr>
            <w:tcW w:w="2020" w:type="dxa"/>
            <w:vAlign w:val="bottom"/>
            <w:vMerge w:val="continue"/>
            <w:shd w:val="clear" w:color="auto" w:fill="EAEFF7"/>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6"/>
              </w:rPr>
              <w:t>Nerve crush</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57"/>
              <w:spacing w:after="0" w:line="143" w:lineRule="exact"/>
              <w:rPr>
                <w:sz w:val="20"/>
                <w:szCs w:val="20"/>
                <w:color w:val="auto"/>
              </w:rPr>
            </w:pPr>
            <w:r>
              <w:rPr>
                <w:rFonts w:ascii="Arial" w:cs="Arial" w:eastAsia="Arial" w:hAnsi="Arial"/>
                <w:sz w:val="13"/>
                <w:szCs w:val="13"/>
                <w:color w:val="auto"/>
                <w:w w:val="97"/>
              </w:rPr>
              <w:t>Promoted regeneration of nerve tissue by recruitment</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Peripheral neuropathy</w:t>
            </w: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of Schwann cells and remyelination</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Ko et al., 2018</w:t>
            </w:r>
          </w:p>
        </w:tc>
        <w:tc>
          <w:tcPr>
            <w:tcW w:w="0" w:type="dxa"/>
            <w:vAlign w:val="bottom"/>
          </w:tcPr>
          <w:p>
            <w:pPr>
              <w:spacing w:after="0"/>
              <w:rPr>
                <w:sz w:val="1"/>
                <w:szCs w:val="1"/>
                <w:color w:val="auto"/>
              </w:rPr>
            </w:pPr>
          </w:p>
        </w:tc>
      </w:tr>
      <w:tr>
        <w:trPr>
          <w:trHeight w:val="64"/>
        </w:trPr>
        <w:tc>
          <w:tcPr>
            <w:tcW w:w="140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480"/>
        <w:spacing w:after="0"/>
        <w:rPr>
          <w:sz w:val="20"/>
          <w:szCs w:val="20"/>
          <w:color w:val="auto"/>
        </w:rPr>
      </w:pPr>
      <w:r>
        <w:rPr>
          <w:rFonts w:ascii="Arial" w:cs="Arial" w:eastAsia="Arial" w:hAnsi="Arial"/>
          <w:sz w:val="13"/>
          <w:szCs w:val="13"/>
          <w:color w:val="auto"/>
        </w:rPr>
        <w:t>(mouse)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6-OHDA: 6-hydroxydopamine; BDNF: brain-derived neurotrophic factor; EAE: experimental autoimmune encephalomyelitis</w:t>
      </w:r>
    </w:p>
    <w:p>
      <w:pPr>
        <w:spacing w:after="0" w:line="257" w:lineRule="exact"/>
        <w:rPr>
          <w:sz w:val="20"/>
          <w:szCs w:val="20"/>
          <w:color w:val="auto"/>
        </w:rPr>
      </w:pPr>
    </w:p>
    <w:p>
      <w:pPr>
        <w:ind w:right="320" w:firstLine="432"/>
        <w:spacing w:after="0" w:line="238" w:lineRule="auto"/>
        <w:rPr>
          <w:sz w:val="20"/>
          <w:szCs w:val="20"/>
          <w:color w:val="auto"/>
        </w:rPr>
      </w:pPr>
      <w:r>
        <w:rPr>
          <w:rFonts w:ascii="Arial" w:cs="Arial" w:eastAsia="Arial" w:hAnsi="Arial"/>
          <w:sz w:val="18"/>
          <w:szCs w:val="18"/>
          <w:color w:val="auto"/>
        </w:rPr>
        <w:t>As demonstrated by these studies, HGF/MET has long been known as a promising therapeutic target for CNS disorders, but the delivery of large proteins or gene therapy to the CNS to augment HGF/MET has been problematic and fraught with challenges. These approaches are not BBB-penetrating and require invasive methods to deliver to the CNS, which increases the risk of an immune reaction. Further, they are also expensive and more challenging to scale which might limit their availability to patients.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26"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20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This can lead to variability of treatment outcomes and longer clinical development timelines.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ind w:firstLine="576"/>
        <w:spacing w:after="0" w:line="237"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Historically,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 We believe that these traditional methods can be replaced or supplemented by the use of rapid, non-invasive markers of brain activity and cognitive processing, like EEG and ERP.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2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77" w:lineRule="exact"/>
        <w:rPr>
          <w:sz w:val="20"/>
          <w:szCs w:val="20"/>
          <w:color w:val="auto"/>
        </w:rPr>
      </w:pPr>
    </w:p>
    <w:p>
      <w:pPr>
        <w:ind w:left="1300" w:hanging="442"/>
        <w:spacing w:after="0" w:line="245"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180" w:lineRule="exact"/>
        <w:rPr>
          <w:rFonts w:ascii="Arial" w:cs="Arial" w:eastAsia="Arial" w:hAnsi="Arial"/>
          <w:sz w:val="18"/>
          <w:szCs w:val="18"/>
          <w:color w:val="auto"/>
        </w:rPr>
      </w:pPr>
    </w:p>
    <w:p>
      <w:pPr>
        <w:ind w:left="1300" w:right="100" w:hanging="442"/>
        <w:spacing w:after="0" w:line="250"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oxidative stress, which is expected to reduce damage and slow down disease progression and improve network activity. Many therapies in development are focused only on slowing disease progression.</w:t>
      </w:r>
    </w:p>
    <w:p>
      <w:pPr>
        <w:spacing w:after="0" w:line="176" w:lineRule="exact"/>
        <w:rPr>
          <w:rFonts w:ascii="Arial" w:cs="Arial" w:eastAsia="Arial" w:hAnsi="Arial"/>
          <w:sz w:val="18"/>
          <w:szCs w:val="18"/>
          <w:color w:val="auto"/>
        </w:rPr>
      </w:pPr>
    </w:p>
    <w:p>
      <w:pPr>
        <w:ind w:left="1300" w:right="140" w:hanging="442"/>
        <w:spacing w:after="0" w:line="26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286" w:lineRule="exact"/>
        <w:rPr>
          <w:sz w:val="20"/>
          <w:szCs w:val="20"/>
          <w:color w:val="auto"/>
        </w:rPr>
      </w:pPr>
    </w:p>
    <w:p>
      <w:pPr>
        <w:jc w:val="both"/>
        <w:ind w:right="340" w:firstLine="576"/>
        <w:spacing w:after="0"/>
        <w:rPr>
          <w:sz w:val="20"/>
          <w:szCs w:val="20"/>
          <w:color w:val="auto"/>
        </w:rPr>
      </w:pPr>
      <w:r>
        <w:rPr>
          <w:rFonts w:ascii="Arial" w:cs="Arial" w:eastAsia="Arial" w:hAnsi="Arial"/>
          <w:sz w:val="18"/>
          <w:szCs w:val="18"/>
          <w:color w:val="auto"/>
        </w:rPr>
        <w:t>These factors positively impact neuronal health and function, not only by slowing down disease progression but also by improving brain network activity and function. We believe these effects position Athira, and initially ATH-1017, to address the complex pathology in neurodegenerative diseases.</w:t>
      </w:r>
    </w:p>
    <w:p>
      <w:pPr>
        <w:spacing w:after="0" w:line="203"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We have designed ATH-1017 to enhance the ability of HGF to activate MET. This substantially increases MET activation levels, and amplifies the beneficial effects downstream of the HGF/MET system.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16" w:name="page117"/>
    <w:bookmarkEnd w:id="116"/>
    <w:p>
      <w:pPr>
        <w:ind w:right="480" w:firstLine="576"/>
        <w:spacing w:after="0" w:line="267" w:lineRule="auto"/>
        <w:rPr>
          <w:sz w:val="20"/>
          <w:szCs w:val="20"/>
          <w:color w:val="auto"/>
        </w:rPr>
      </w:pPr>
      <w:r>
        <w:rPr>
          <w:rFonts w:ascii="Arial" w:cs="Arial" w:eastAsia="Arial" w:hAnsi="Arial"/>
          <w:sz w:val="18"/>
          <w:szCs w:val="18"/>
          <w:i w:val="1"/>
          <w:iCs w:val="1"/>
          <w:color w:val="auto"/>
        </w:rPr>
        <w:t>Figure 5. Our ATH Small Molecule Candidates Enhance the HGF/MET System and Promote Multiple Beneficial Effects with the Potential to Improve Connectivity and Brain Function in Neurodegenerative Diseases.</w:t>
      </w:r>
    </w:p>
    <w:p>
      <w:pPr>
        <w:sectPr>
          <w:pgSz w:w="11900" w:h="16838" w:orient="portrait"/>
          <w:cols w:equalWidth="0" w:num="1">
            <w:col w:w="11180"/>
          </w:cols>
          <w:pgMar w:left="320" w:top="580" w:right="399" w:bottom="1440" w:gutter="0" w:footer="0" w:header="0"/>
        </w:sectPr>
      </w:pPr>
    </w:p>
    <w:p>
      <w:pPr>
        <w:spacing w:after="0" w:line="156" w:lineRule="exact"/>
        <w:rPr>
          <w:sz w:val="20"/>
          <w:szCs w:val="20"/>
          <w:color w:val="auto"/>
        </w:rPr>
      </w:pPr>
    </w:p>
    <w:p>
      <w:pPr>
        <w:jc w:val="center"/>
        <w:ind w:left="280"/>
        <w:spacing w:after="0" w:line="271" w:lineRule="auto"/>
        <w:rPr>
          <w:sz w:val="20"/>
          <w:szCs w:val="20"/>
          <w:color w:val="auto"/>
        </w:rPr>
      </w:pPr>
      <w:r>
        <w:rPr>
          <w:rFonts w:ascii="Arial" w:cs="Arial" w:eastAsia="Arial" w:hAnsi="Arial"/>
          <w:sz w:val="18"/>
          <w:szCs w:val="18"/>
          <w:b w:val="1"/>
          <w:bCs w:val="1"/>
          <w:color w:val="auto"/>
        </w:rPr>
        <w:t>HGF Activity is Responsible for Healthy Brain Function and Is Reduced in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631440" cy="3540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31440" cy="3540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ATH-1017 Enhances HGF Activity to Promote Brain Health and Neuronal Regeneration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111760</wp:posOffset>
            </wp:positionV>
            <wp:extent cx="2442845" cy="35401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42845" cy="3540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320"/>
            <w:col w:w="5320"/>
          </w:cols>
          <w:pgMar w:left="320" w:top="58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0" w:firstLine="576"/>
        <w:spacing w:after="0" w:line="238" w:lineRule="auto"/>
        <w:rPr>
          <w:sz w:val="20"/>
          <w:szCs w:val="20"/>
          <w:color w:val="auto"/>
        </w:rPr>
      </w:pPr>
      <w:r>
        <w:rPr>
          <w:rFonts w:ascii="Arial" w:cs="Arial" w:eastAsia="Arial" w:hAnsi="Arial"/>
          <w:sz w:val="18"/>
          <w:szCs w:val="18"/>
          <w:color w:val="auto"/>
        </w:rPr>
        <w:t>By promoting endogenous pro-survival and regenerative mechanisms orchestrated by HGF/MET signaling, our ATH platform represents a novel path to treat AD and neurodegeneration using a systemic approach. Activation of the HGF/MET system captures the modulation of the NMDA neurotransmitter pathway. Modulation of neurotransmitter systems serves as the basis for the four currently approved AD drugs. However, unlike these currently approved AD drugs, ATH-1017 is designed to also activate regenerative and anti-inflammatory pathways.</w:t>
      </w:r>
    </w:p>
    <w:p>
      <w:pPr>
        <w:spacing w:after="0" w:line="184" w:lineRule="exact"/>
        <w:rPr>
          <w:sz w:val="20"/>
          <w:szCs w:val="20"/>
          <w:color w:val="auto"/>
        </w:rPr>
      </w:pPr>
    </w:p>
    <w:p>
      <w:pPr>
        <w:ind w:right="220" w:firstLine="569"/>
        <w:spacing w:after="0" w:line="250" w:lineRule="auto"/>
        <w:rPr>
          <w:sz w:val="20"/>
          <w:szCs w:val="20"/>
          <w:color w:val="auto"/>
        </w:rPr>
      </w:pPr>
      <w:r>
        <w:rPr>
          <w:rFonts w:ascii="Arial" w:cs="Arial" w:eastAsia="Arial" w:hAnsi="Arial"/>
          <w:sz w:val="18"/>
          <w:szCs w:val="18"/>
          <w:i w:val="1"/>
          <w:iCs w:val="1"/>
          <w:color w:val="auto"/>
        </w:rPr>
        <w:t xml:space="preserve">Figure 6. Our ATH Candidates Promote the HGF/MET System Leading to Both Rapid and Long-term Beneficial Effects. </w:t>
      </w:r>
      <w:r>
        <w:rPr>
          <w:rFonts w:ascii="Arial" w:cs="Arial" w:eastAsia="Arial" w:hAnsi="Arial"/>
          <w:sz w:val="18"/>
          <w:szCs w:val="18"/>
          <w:color w:val="auto"/>
        </w:rPr>
        <w:t>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following administration of ATH-1017, the HGF/MET system will activate and lead to several downstream effects. These effects are expected to rapidly boost cognition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color w:val="auto"/>
        </w:rPr>
        <w:t>with multiple regenerative mechanisms leading to a stable and sustained recovery of the brain network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66040</wp:posOffset>
            </wp:positionV>
            <wp:extent cx="5349240" cy="2074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4924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780" w:firstLine="576"/>
        <w:spacing w:after="0" w:line="246" w:lineRule="auto"/>
        <w:rPr>
          <w:sz w:val="20"/>
          <w:szCs w:val="20"/>
          <w:color w:val="auto"/>
        </w:rPr>
      </w:pPr>
      <w:r>
        <w:rPr>
          <w:rFonts w:ascii="Arial" w:cs="Arial" w:eastAsia="Arial" w:hAnsi="Arial"/>
          <w:sz w:val="18"/>
          <w:szCs w:val="18"/>
          <w:color w:val="auto"/>
        </w:rPr>
        <w:t>For therapeutic applications in CNS disorders, particularly AD, treatments that target neuronal growth factors can potentially accomplish several therapeutic goals including rapid cognitive improvement and sustained neuroprotective effects.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26"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cognition and function, can result in more efficient and cost-effective clinical trials, and potentially provide an accelerated development path compared to traditional AD drug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EEG and ERP Methods Reflect Brain Activity and Function</w:t>
      </w:r>
    </w:p>
    <w:p>
      <w:pPr>
        <w:spacing w:after="0" w:line="12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the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EEG methods measure the brain’s electrical activity from electrodes on the scalp. This noninvasive look at brain activity is highly informative and can give insight into the brain penetration and neuroactivity of therapeutics directed to the brain. EEG is a measure of the brain at rest, while ERP is measured from the same electrodes but only arises in response to a task-related stimulus. EEG/ERP methods can give substantial insight into the overall brain health and connectivity, as these measures are significantly altered in disorders that lead to cognitive impairment, such as AD. Certain EEG/ERP components are valuable measures of cognition, such as quantitative EEG, or qEEG, an assessment of high frequency gamma power brain waves, and the P300 latency component of ERP.</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18" w:name="page119"/>
    <w:bookmarkEnd w:id="118"/>
    <w:p>
      <w:pPr>
        <w:ind w:right="60" w:firstLine="576"/>
        <w:spacing w:after="0" w:line="238" w:lineRule="auto"/>
        <w:rPr>
          <w:sz w:val="20"/>
          <w:szCs w:val="20"/>
          <w:color w:val="auto"/>
        </w:rPr>
      </w:pPr>
      <w:r>
        <w:rPr>
          <w:rFonts w:ascii="Arial" w:cs="Arial" w:eastAsia="Arial" w:hAnsi="Arial"/>
          <w:sz w:val="18"/>
          <w:szCs w:val="18"/>
          <w:color w:val="auto"/>
        </w:rPr>
        <w:t>For ATH-1017, we incorporated a variety of translatable tools and measures into our clinical development plan. These measures, including both qEEG and P300 latency, have guided dose selection and provided predictive measures of cognitive improvement. By focusing on these direct measures of brain activity and cognition, we believe we will be able to more efficiently develop ATH-1017 for treatment of AD and broader dementia.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Electroencephalogram: qEEG</w:t>
      </w:r>
    </w:p>
    <w:p>
      <w:pPr>
        <w:spacing w:after="0" w:line="122"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EEG is a way to measure the electrical activity of the brain using small electrodes placed on the scalp. Neurons communicate and perform all functions using electrical impulses. EEG captures this electrical activity through the scalp and displays these electrical impulses as waves, as illustrated in Figure 7 below. The electrical activity will present at different frequencies or waves which provide various insights into neuronal health. We are most focused on the faster, higher frequency gamma waves which are associated with learning, memory formation and higher cognitive functions. qEEG is a method to quantitatively determine the amount of electrical signal that resides in each waveform, often described as power.</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7. Noninvasive EEG Recordings Reflect Brain Activity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146050</wp:posOffset>
            </wp:positionV>
            <wp:extent cx="4603115" cy="32575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0311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Changes in qEEG power or shifts in the amount of activity in each waveform can be caused by several factors including response to stimulus, cognitive state (healthy or dementia), and CNS-directed therapies. Because qEEG is a non-invasive direct measure of brain activity, it represents a valuable tool for investigating therapies in AD and broader dementia. Changes in qEEG signals following administration of therapies targeting the brain indicate the therapy has reached the brain and likely engaged the intended target. Additionally, AD subjects present a general slowing of qEEG, where activity in higher frequency waves, such as gamma, is reduced. If therapies can reverse this pattern in AD, and increase gamma power, this may suggest treatment has helped improve brain activity. We utilized qEEG in our ATH-1017 Phase 1 clinical trial in healthy young, healthy elderly, and AD subjects as a measure of CNS penetration and target engagement.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Event-related Potential: P300</w:t>
      </w:r>
    </w:p>
    <w:p>
      <w:pPr>
        <w:spacing w:after="0" w:line="122"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ERP refers to changes in the electrical activity of the brain in response to external stimuli. Recording brain activity while a subject is presented with a task reveals neural activity related to cognitive processing. Presenting subjects with a stimulus associated with a task, such as counting specific tones within a sequence, induces a series of electrical peaks that represent cognitive processing and memory access</w:t>
      </w:r>
      <w:r>
        <w:rPr>
          <w:rFonts w:ascii="Arial" w:cs="Arial" w:eastAsia="Arial" w:hAnsi="Arial"/>
          <w:sz w:val="18"/>
          <w:szCs w:val="18"/>
          <w:i w:val="1"/>
          <w:iCs w:val="1"/>
          <w:color w:val="auto"/>
        </w:rPr>
        <w:t>.</w:t>
      </w:r>
      <w:r>
        <w:rPr>
          <w:rFonts w:ascii="Arial" w:cs="Arial" w:eastAsia="Arial" w:hAnsi="Arial"/>
          <w:sz w:val="18"/>
          <w:szCs w:val="18"/>
          <w:color w:val="auto"/>
        </w:rPr>
        <w:t xml:space="preserve"> P300 is the peak positive signal which is reported to typically arise 300 milliseconds after a tone stimulus and is the most studied component of the ERP waveform.</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8. ERP Recording with an Auditory Oddball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146050</wp:posOffset>
            </wp:positionV>
            <wp:extent cx="4311650" cy="3977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165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latency, or the amount of time that it takes to reach the peak of the positive wave following the stimulus, is typically reported to be 300 milliseconds in healthy, cognitively normal individuals. Numerous studies have shown that P300 latency is strongly correlated with cognition. P300 latency is increased and continues to worsen as AD and cognitive decline progresses. As an example, P300 latency is expected to be increased in subjects with severe AD, compared to subjects with mild AD. The connection between P300 latency and increased cognitive decline has been characterized in a number of diseases including AD, PDD, Lewy body dementia, Huntington’s, major depressive disorder with cognitive impairment, and traumatic brain injury. Loss of synaptic connections and neuronal dysfunction are well characterized in AD, and likely are the primary causes of the increased P300 latency. Figure 9 below illustrates the latency of cognitive processing as demonstrated by the delayed peaks in P300 in AD subjects compared to healthy, age-matched subjects. While the P300 amplitude is often reported as lower in AD subjects compared to healthy, age-matched subjects, this measure is much less consistent and not as strongly correlated to cognition as latency.</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20" w:name="page121"/>
    <w:bookmarkEnd w:id="120"/>
    <w:p>
      <w:pPr>
        <w:ind w:left="580"/>
        <w:spacing w:after="0"/>
        <w:rPr>
          <w:sz w:val="20"/>
          <w:szCs w:val="20"/>
          <w:color w:val="auto"/>
        </w:rPr>
      </w:pPr>
      <w:r>
        <w:rPr>
          <w:rFonts w:ascii="Arial" w:cs="Arial" w:eastAsia="Arial" w:hAnsi="Arial"/>
          <w:sz w:val="18"/>
          <w:szCs w:val="18"/>
          <w:i w:val="1"/>
          <w:iCs w:val="1"/>
          <w:color w:val="auto"/>
        </w:rPr>
        <w:t>Figure 9. ERP Waveforms in AD Subjects Show Increased P300 Latency.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146050</wp:posOffset>
            </wp:positionV>
            <wp:extent cx="4663440" cy="3008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6634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ADAS-cog, as shown in Figure 10 below. While these changes induced by acetylcholinesterase inhibitors are modest and often transient, these previously published results support the correlation of P300 latency and cognition in AD subjects.</w:t>
      </w: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121" w:name="page122"/>
    <w:bookmarkEnd w:id="121"/>
    <w:p>
      <w:pPr>
        <w:jc w:val="center"/>
        <w:ind w:right="-99"/>
        <w:spacing w:after="0"/>
        <w:rPr>
          <w:sz w:val="20"/>
          <w:szCs w:val="20"/>
          <w:color w:val="auto"/>
        </w:rPr>
      </w:pPr>
      <w:r>
        <w:rPr>
          <w:rFonts w:ascii="Arial" w:cs="Arial" w:eastAsia="Arial" w:hAnsi="Arial"/>
          <w:sz w:val="18"/>
          <w:szCs w:val="18"/>
          <w:i w:val="1"/>
          <w:iCs w:val="1"/>
          <w:color w:val="auto"/>
        </w:rPr>
        <w:t>Figure 10. Changes in P300 Latency Correlate with Cognitive Outcomes with Treatment of Approved Therapies in AD Subjects.</w:t>
      </w:r>
    </w:p>
    <w:p>
      <w:pPr>
        <w:spacing w:after="0" w:line="100" w:lineRule="exact"/>
        <w:rPr>
          <w:sz w:val="20"/>
          <w:szCs w:val="20"/>
          <w:color w:val="auto"/>
        </w:rPr>
      </w:pPr>
    </w:p>
    <w:p>
      <w:pPr>
        <w:ind w:left="2320"/>
        <w:spacing w:after="0"/>
        <w:tabs>
          <w:tab w:leader="none" w:pos="7780" w:val="left"/>
        </w:tabs>
        <w:rPr>
          <w:sz w:val="20"/>
          <w:szCs w:val="20"/>
          <w:color w:val="auto"/>
        </w:rPr>
      </w:pPr>
      <w:r>
        <w:rPr>
          <w:rFonts w:ascii="Arial" w:cs="Arial" w:eastAsia="Arial" w:hAnsi="Arial"/>
          <w:sz w:val="18"/>
          <w:szCs w:val="18"/>
          <w:b w:val="1"/>
          <w:bCs w:val="1"/>
          <w:color w:val="auto"/>
        </w:rPr>
        <w:t>Donepezil</w:t>
      </w:r>
      <w:r>
        <w:rPr>
          <w:sz w:val="20"/>
          <w:szCs w:val="20"/>
          <w:color w:val="auto"/>
        </w:rPr>
        <w:tab/>
      </w:r>
      <w:r>
        <w:rPr>
          <w:rFonts w:ascii="Arial" w:cs="Arial" w:eastAsia="Arial" w:hAnsi="Arial"/>
          <w:sz w:val="18"/>
          <w:szCs w:val="18"/>
          <w:b w:val="1"/>
          <w:bCs w:val="1"/>
          <w:color w:val="auto"/>
        </w:rPr>
        <w:t>Rivastigmine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148590</wp:posOffset>
            </wp:positionV>
            <wp:extent cx="5280660" cy="16459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8066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Adapted from Thomas et al., 2001.</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11. Studies Suggest Changes in P300 Latency Have Been Predictive of Changes in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146050</wp:posOffset>
            </wp:positionV>
            <wp:extent cx="5340350" cy="21856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4035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22" w:name="page123"/>
    <w:bookmarkEnd w:id="122"/>
    <w:p>
      <w:pPr>
        <w:ind w:firstLine="576"/>
        <w:spacing w:after="0" w:line="274" w:lineRule="auto"/>
        <w:rPr>
          <w:sz w:val="20"/>
          <w:szCs w:val="20"/>
          <w:color w:val="auto"/>
        </w:rPr>
      </w:pPr>
      <w:r>
        <w:rPr>
          <w:rFonts w:ascii="Arial" w:cs="Arial" w:eastAsia="Arial" w:hAnsi="Arial"/>
          <w:sz w:val="17"/>
          <w:szCs w:val="17"/>
          <w:color w:val="auto"/>
        </w:rPr>
        <w:t>The magnitude of effects in P300 latency measures for current AD treatments is shown in Figure 12 below. We believe the large and rapid effect of ATH-1017 illustrated below further supports the likely translational therapeutic potential of ATH-1017 to impact cognition in AD.</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12. ATH-1017 Had a Large and Rapid Effect on P300 Latency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146050</wp:posOffset>
            </wp:positionV>
            <wp:extent cx="5340350" cy="5349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0350" cy="534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i w:val="1"/>
          <w:iCs w:val="1"/>
          <w:color w:val="auto"/>
        </w:rPr>
        <w:t>Source: Data for donepezil and rivastigmine adapted from Thomas et al., 2001. ATH-1017 was not tested for the same duration as donepezil and rivastigmine (9 days for ATH-1017 vs 26 weeks).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Applications to our ATH Platform</w:t>
      </w:r>
    </w:p>
    <w:p>
      <w:pPr>
        <w:spacing w:after="0" w:line="23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inconclusive in determining the connection of these biomarkers to cognition. We sought to develop a translational strategy for ATH that was highly correlated to brain function and cognition which led us to use EEG/ERP for the clinical development of ATH-1017. We believe these measures are particularly well-suited to provide insight into early therapeutic effects in AD, given that as cognitive decline progresses, subjects display a decrease in EEG gamma power, and a progressive increase in ERP P300 latency.</w:t>
      </w:r>
    </w:p>
    <w:p>
      <w:pPr>
        <w:spacing w:after="0" w:line="202" w:lineRule="exact"/>
        <w:rPr>
          <w:sz w:val="20"/>
          <w:szCs w:val="20"/>
          <w:color w:val="auto"/>
        </w:rPr>
      </w:pPr>
    </w:p>
    <w:p>
      <w:pPr>
        <w:ind w:right="360" w:firstLine="576"/>
        <w:spacing w:after="0" w:line="238" w:lineRule="auto"/>
        <w:rPr>
          <w:sz w:val="20"/>
          <w:szCs w:val="20"/>
          <w:color w:val="auto"/>
        </w:rPr>
      </w:pPr>
      <w:r>
        <w:rPr>
          <w:rFonts w:ascii="Arial" w:cs="Arial" w:eastAsia="Arial" w:hAnsi="Arial"/>
          <w:sz w:val="18"/>
          <w:szCs w:val="18"/>
          <w:color w:val="auto"/>
        </w:rPr>
        <w:t>Utilizing EEG/ERP as non-invasive and efficient translatable measures early in clinical development allows us to rapidly assess therapeutic effects and helps to inform future clinical trial design. Positive changes in EEG and ERP P300 latency potentially indicate a positive cognitive effect of our ATH treatments, which increases our confidence that these effects may translate to clinical benefit in later-stage clinical trials.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 and Other Neuronal Diseases</w:t>
      </w:r>
    </w:p>
    <w:p>
      <w:pPr>
        <w:spacing w:after="0" w:line="126"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 for the treatment of AD was well tolerated with no serious adverse events across 88 subjects, including 11 subjects with mild-to-moderate AD. Additionally, ATH-1017 treatment led to improvements in brain network activity that indicated positive effects on brain function. In the AD subjects, multiple dosing of ATH-1017 significantly improved brain activity as measured by P300 latency. We identified ATH-1017 in 2016 and less than five years later, we are planning to initiate our Phase 2/3 Lift-AD trial, which has the potential to be a pivotal trial. By the end of 2020, we plan to initiate our potentially pivotal LIFT-AD clinical trial for ATH-1017 for the treatment of mild-to-moderate AD, with topline results expected by the end of 2022. By the end of 2020, we also plan to initiate our P300 Phase 2 clinical trial in mild-to-moderate AD to evaluate the overall effects of ATH-1017 on working memory processing speed and cognitive measurements, with topline results expected by early 2022, which will inform our strategy with respect to an additional Phase 3 clinical trial. We believe that ATH-1017 has the potential to provide meaningful benefit to individuals impacted by AD and substantially enhance overall quality of life for the subjects and their families.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26" w:lineRule="exact"/>
        <w:rPr>
          <w:sz w:val="20"/>
          <w:szCs w:val="20"/>
          <w:color w:val="auto"/>
        </w:rPr>
      </w:pPr>
    </w:p>
    <w:p>
      <w:pPr>
        <w:ind w:right="360" w:firstLine="576"/>
        <w:spacing w:after="0" w:line="238"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Our lead candidate, ATH-1017, is a small molecule therapeutic specifically designed to promote the ability of HGF to activate MET. This promotion substantially increases MET activation levels and amplifies the beneficial downstream effects of the HGF/MET system, with several attributes relevant to AD:</w:t>
      </w:r>
    </w:p>
    <w:p>
      <w:pPr>
        <w:spacing w:after="0" w:line="94" w:lineRule="exact"/>
        <w:rPr>
          <w:sz w:val="20"/>
          <w:szCs w:val="20"/>
          <w:color w:val="auto"/>
        </w:rPr>
      </w:pPr>
    </w:p>
    <w:p>
      <w:pPr>
        <w:ind w:left="1300" w:hanging="442"/>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225"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196"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24" w:name="page125"/>
    <w:bookmarkEnd w:id="124"/>
    <w:p>
      <w:pPr>
        <w:ind w:right="140" w:firstLine="576"/>
        <w:spacing w:after="0" w:line="267" w:lineRule="auto"/>
        <w:rPr>
          <w:sz w:val="20"/>
          <w:szCs w:val="20"/>
          <w:color w:val="auto"/>
        </w:rPr>
      </w:pPr>
      <w:r>
        <w:rPr>
          <w:rFonts w:ascii="Arial" w:cs="Arial" w:eastAsia="Arial" w:hAnsi="Arial"/>
          <w:sz w:val="18"/>
          <w:szCs w:val="18"/>
          <w:i w:val="1"/>
          <w:iCs w:val="1"/>
          <w:color w:val="auto"/>
        </w:rPr>
        <w:t>Figure 13. ATH-1017 Is Designed to Increase HGF/MET Activity and May Promote Regeneration of Neurons, Reduce Inflammation, Enhance Cognitive Processing Represented by a Decreased P300 Latency, and Improve Overall Brain Health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113665</wp:posOffset>
            </wp:positionV>
            <wp:extent cx="5340350" cy="3068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4035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00" w:firstLine="576"/>
        <w:spacing w:after="0" w:line="246" w:lineRule="auto"/>
        <w:rPr>
          <w:sz w:val="20"/>
          <w:szCs w:val="20"/>
          <w:color w:val="auto"/>
        </w:rPr>
      </w:pPr>
      <w:r>
        <w:rPr>
          <w:rFonts w:ascii="Arial" w:cs="Arial" w:eastAsia="Arial" w:hAnsi="Arial"/>
          <w:sz w:val="18"/>
          <w:szCs w:val="18"/>
          <w:color w:val="auto"/>
        </w:rPr>
        <w:t>Unlike most approved or in development drugs, ATH-1017 has the potential to be regenerative, and is designed to slow, halt, or potentially reverse the effects of AD all while using a naturally modulated approach.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and Phase 1b Clinical Trials</w:t>
      </w:r>
    </w:p>
    <w:p>
      <w:pPr>
        <w:spacing w:after="0" w:line="12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IND for ATH-1017 in AD was filed in September 2017. Since then, we have completed our Phase 1a and Phase 1b clinical trials, which enrolled a total of 88 subjects, including 11 AD subjects, as illustrated below in Figure 14. The clinical trials were randomized, placebo-controlled and double-blind and consisted of daily single injections over a nine-day period. While the primary endpoints of our Phase 1a single ascending dose, or SAD, and Phase 1b multiple ascending dose, or MAD, trials were focused on safety and assessment of human pharmacokinetics, we also included measures to evaluate effects of ATH-1017 on brain activity in AD subjects. Together, these clinical trials assessed qEEG as a measure of brain circuitry and network activity and ERP as a measure of working memory access and cognitive processes in the brain.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25" w:name="page126"/>
    <w:bookmarkEnd w:id="125"/>
    <w:p>
      <w:pPr>
        <w:ind w:left="580"/>
        <w:spacing w:after="0"/>
        <w:rPr>
          <w:sz w:val="20"/>
          <w:szCs w:val="20"/>
          <w:color w:val="auto"/>
        </w:rPr>
      </w:pPr>
      <w:r>
        <w:rPr>
          <w:rFonts w:ascii="Arial" w:cs="Arial" w:eastAsia="Arial" w:hAnsi="Arial"/>
          <w:sz w:val="18"/>
          <w:szCs w:val="18"/>
          <w:i w:val="1"/>
          <w:iCs w:val="1"/>
          <w:color w:val="auto"/>
        </w:rPr>
        <w:t>Figure 14. 88 Subjects Included in the Phase 1a and Phase 1b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146050</wp:posOffset>
            </wp:positionV>
            <wp:extent cx="5332095" cy="21170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3209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ATH-1017 was shown to be well tolerated with no serious adverse events across a wide dose range (2-90 mg) with single and multiple doses over 9 days. As shown in Figure 15, the PK profile is compelling, with linear dose relationship, no accumulation, and no sex or age effect. We did not have any subject dropout due to serious adverse events during these clinical trials.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15. ATH-1017 Demonstrated a Dose-Linear PK Profile and Did Not Accumulate with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163195</wp:posOffset>
            </wp:positionV>
            <wp:extent cx="5332095" cy="16459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3209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of ATH-1017 Changes in Brain Circuitry Activity</w:t>
      </w:r>
    </w:p>
    <w:p>
      <w:pPr>
        <w:spacing w:after="0" w:line="122" w:lineRule="exact"/>
        <w:rPr>
          <w:sz w:val="20"/>
          <w:szCs w:val="20"/>
          <w:color w:val="auto"/>
        </w:rPr>
      </w:pPr>
    </w:p>
    <w:p>
      <w:pPr>
        <w:jc w:val="both"/>
        <w:ind w:right="100" w:firstLine="576"/>
        <w:spacing w:after="0"/>
        <w:rPr>
          <w:sz w:val="20"/>
          <w:szCs w:val="20"/>
          <w:color w:val="auto"/>
        </w:rPr>
      </w:pPr>
      <w:r>
        <w:rPr>
          <w:rFonts w:ascii="Arial" w:cs="Arial" w:eastAsia="Arial" w:hAnsi="Arial"/>
          <w:sz w:val="18"/>
          <w:szCs w:val="18"/>
          <w:color w:val="auto"/>
        </w:rPr>
        <w:t>qEEG was used as a translational tool to recapitulate the changes in brain network activity from ATH-1017 that were observed in our preclinical models and to help guide dose selection for late-stage clinical development. We collected qEEG recordings from healthy young, healthy elderly, and AD subjects to determine qEEG changes after the administration of ATH-1017.</w:t>
      </w:r>
    </w:p>
    <w:p>
      <w:pPr>
        <w:spacing w:after="0" w:line="203"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In the clinical trials, ATH-1017 increased the levels of the high frequency gamma power which is the frequency band that is associated with learning, memory, and cognitive function. Gamma is typically decreased in AD subjects. ATH-1017 showed dose-dependent and consistent changes in brain activity across all treated cohorts, consistent with the changes observed in non-clinical models.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i w:val="1"/>
          <w:iCs w:val="1"/>
          <w:color w:val="auto"/>
        </w:rPr>
        <w:t>Quantitative EEG Changes Observed in the Phase 1a SAD Clinical Trial</w:t>
      </w:r>
    </w:p>
    <w:p>
      <w:pPr>
        <w:spacing w:after="0" w:line="12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Rapid induction in the high frequency gamma power was observed after a single dose and is most likely explained by ATH-1017 promoting HGF/MET induced synaptic relocation of NMDA receptors and potentiation of NMDA receptor currents. A dose-dependent increase was observed across the low, mid, and high doses with statistically significant changes at the highest dose levels assessed. Figure 16 below shows the change in qEEG gamma power from baseline following administration of placebo, low dose ATH-1017 (2 and 6 mg, pooled), mid dose (20 and 40 mg, pooled), and high dose (60 and 90 mg, pooled).The p-value maps show the statistics based on analysis of covariance, or ANCOVA, analysis.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16. Single Dose of ATH-1017 Increased qEEG Gamma Power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163195</wp:posOffset>
            </wp:positionV>
            <wp:extent cx="4594860" cy="17487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9486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Phase 1b MAD Clinical Trial in Healthy Elderly Subjects</w:t>
      </w:r>
    </w:p>
    <w:p>
      <w:pPr>
        <w:spacing w:after="0" w:line="12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main qEEG effect of ATH-1017 administration at all doses (20, 40, and 60 mg) in the healthy elderly subjects was increased gamma power, both at 3 hours post-dose on Day 1 and across multiple data points collected on Days 4 and 8 for all assessed doses of ATH-1017. Figure 17 below shows the change in gamma power with once-daily administration of the 20 mg dose of ATH-1017 over 9 days. Similar results were observed for the 40 and 60 mg doses.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17. ATH-1017 Administration Increased qEEG Gamma Power in Elderly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146050</wp:posOffset>
            </wp:positionV>
            <wp:extent cx="4526280" cy="21088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2628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40" w:firstLine="576"/>
        <w:spacing w:after="0" w:line="246" w:lineRule="auto"/>
        <w:rPr>
          <w:sz w:val="20"/>
          <w:szCs w:val="20"/>
          <w:color w:val="auto"/>
        </w:rPr>
      </w:pPr>
      <w:r>
        <w:rPr>
          <w:rFonts w:ascii="Arial" w:cs="Arial" w:eastAsia="Arial" w:hAnsi="Arial"/>
          <w:sz w:val="18"/>
          <w:szCs w:val="18"/>
          <w:color w:val="auto"/>
        </w:rPr>
        <w:t>We also observed increased gamma power on Days 4 and 8 at the pre-dose recording: 24 hours after the last dose of ATH-1017, ATH-1017 was measured and shown to be completely cleared from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27" w:name="page128"/>
    <w:bookmarkEnd w:id="127"/>
    <w:p>
      <w:pPr>
        <w:ind w:right="500"/>
        <w:spacing w:after="0" w:line="246" w:lineRule="auto"/>
        <w:rPr>
          <w:sz w:val="20"/>
          <w:szCs w:val="20"/>
          <w:color w:val="auto"/>
        </w:rPr>
      </w:pPr>
      <w:r>
        <w:rPr>
          <w:rFonts w:ascii="Arial" w:cs="Arial" w:eastAsia="Arial" w:hAnsi="Arial"/>
          <w:sz w:val="18"/>
          <w:szCs w:val="18"/>
          <w:color w:val="auto"/>
        </w:rPr>
        <w:t>plasma. These results suggest that the beneficial effects of ATH-1017 are sustained. The increase in gamma power was specific to the treatment groups as no increase was observed in subjects receiving placebo.</w:t>
      </w:r>
    </w:p>
    <w:p>
      <w:pPr>
        <w:spacing w:after="0" w:line="197"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 multiple dose clinical trial in AD subjects (40 mg subcutaneous injection once daily over 9 days) suggested a potential effect in AD subjects. Analysis of qEEG indicates an acute induction of gamma power (Day 4 and Day 8) after multiple doses. Figure 18 below shows emerging recovery of acute gamma power induction after 4 days of ATH-1017 treatment which continues to increase after 8 days of treatment. This pattern was not observed in subjects receiving placebo, where there was no consistent change in acute gamma power induction.</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18. ATH-1017 Administration Rescued Acute Gamma Power Signal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163195</wp:posOffset>
            </wp:positionV>
            <wp:extent cx="4311650" cy="23660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165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firstLine="576"/>
        <w:spacing w:after="0" w:line="246" w:lineRule="auto"/>
        <w:rPr>
          <w:sz w:val="20"/>
          <w:szCs w:val="20"/>
          <w:color w:val="auto"/>
        </w:rPr>
      </w:pPr>
      <w:r>
        <w:rPr>
          <w:rFonts w:ascii="Arial" w:cs="Arial" w:eastAsia="Arial" w:hAnsi="Arial"/>
          <w:sz w:val="18"/>
          <w:szCs w:val="18"/>
          <w:color w:val="auto"/>
        </w:rPr>
        <w:t>Overall, the qEEG results in humans are indicative of CNS penetration and target engagement, suggesting an active dose range of ATH-1017 from 20 to 90 mg.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Event-related Potential</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our Phase 1b clinical trial, ERP P300 recordings were collected from the MAD healthy elderly and AD subjects. Analysis of these P300 data demonstrated that one daily dose of ATH-1017 improved P300 latency over an 8-day dosing period, as shown in Figures 19-21. P300 latency, a functional measure of working memory processing speed that highly correlates with cognition, was dramatically improved. All AD subjects tested had improved P300 latency after a single dose of ATH-1017 and average latency across the AD treatment group had returned to levels close to those observed in healthy elderly subjects by the end of an 8-day treatment cycle. The acute effect observed on Day 1 is likely the result of the rapid augmentation of NMDA neurotransmitter receptors. The sustained effects on P300 latency observed in the pre-dose recordings on subsequent testing days (the arrows in Figure 19 show the average P300 latency value from the ATH-1017 group as a heat map) most likely reflect the long-term regeneration of neuronal connections and the improvement in brain function; at these time points, which are 24 hours after the last dose, ATH-1017 was measured and shown to be completely cleared from the plasma. These data indicate ATH-1017 treatment has recovered disruptions to brain function and network connectivity, likely through several components of the mechanism, including NMDA receptor modulation, increased connectivity through recovery of synaptic density, and improved overall neuronal health and function.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28" w:name="page129"/>
    <w:bookmarkEnd w:id="128"/>
    <w:p>
      <w:pPr>
        <w:ind w:right="180" w:firstLine="576"/>
        <w:spacing w:after="0" w:line="267" w:lineRule="auto"/>
        <w:rPr>
          <w:sz w:val="20"/>
          <w:szCs w:val="20"/>
          <w:color w:val="auto"/>
        </w:rPr>
      </w:pPr>
      <w:r>
        <w:rPr>
          <w:rFonts w:ascii="Arial" w:cs="Arial" w:eastAsia="Arial" w:hAnsi="Arial"/>
          <w:sz w:val="18"/>
          <w:szCs w:val="18"/>
          <w:i w:val="1"/>
          <w:iCs w:val="1"/>
          <w:color w:val="auto"/>
        </w:rPr>
        <w:t xml:space="preserve">Figure 19. ATH-1017 Treatment Led to Continued and Sustained Improvement in P300 Latency. </w:t>
      </w:r>
      <w:r>
        <w:rPr>
          <w:rFonts w:ascii="Arial" w:cs="Arial" w:eastAsia="Arial" w:hAnsi="Arial"/>
          <w:sz w:val="18"/>
          <w:szCs w:val="18"/>
          <w:color w:val="auto"/>
        </w:rPr>
        <w:t>The arrows highlight the sustained</w:t>
      </w:r>
      <w:r>
        <w:rPr>
          <w:rFonts w:ascii="Arial" w:cs="Arial" w:eastAsia="Arial" w:hAnsi="Arial"/>
          <w:sz w:val="18"/>
          <w:szCs w:val="18"/>
          <w:i w:val="1"/>
          <w:iCs w:val="1"/>
          <w:color w:val="auto"/>
        </w:rPr>
        <w:t xml:space="preserve"> </w:t>
      </w:r>
      <w:r>
        <w:rPr>
          <w:rFonts w:ascii="Arial" w:cs="Arial" w:eastAsia="Arial" w:hAnsi="Arial"/>
          <w:sz w:val="18"/>
          <w:szCs w:val="18"/>
          <w:color w:val="auto"/>
        </w:rPr>
        <w:t>P300 latency benefit due to ATH-1017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113665</wp:posOffset>
            </wp:positionV>
            <wp:extent cx="5332095" cy="21685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3209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576"/>
        <w:spacing w:after="0" w:line="250" w:lineRule="auto"/>
        <w:rPr>
          <w:sz w:val="20"/>
          <w:szCs w:val="20"/>
          <w:color w:val="auto"/>
        </w:rPr>
      </w:pPr>
      <w:r>
        <w:rPr>
          <w:rFonts w:ascii="Arial" w:cs="Arial" w:eastAsia="Arial" w:hAnsi="Arial"/>
          <w:sz w:val="18"/>
          <w:szCs w:val="18"/>
          <w:i w:val="1"/>
          <w:iCs w:val="1"/>
          <w:color w:val="auto"/>
        </w:rPr>
        <w:t xml:space="preserve">Figure 20. Quantification of the Change in P300 Latency from Baseline, ATH-1017 Significantly Reduced P300 Latency Compared to the Placebo Group on Day 8 Recordings. </w:t>
      </w:r>
      <w:r>
        <w:rPr>
          <w:rFonts w:ascii="Arial" w:cs="Arial" w:eastAsia="Arial" w:hAnsi="Arial"/>
          <w:sz w:val="18"/>
          <w:szCs w:val="18"/>
          <w:color w:val="auto"/>
        </w:rPr>
        <w:t>Data show average P300 latency values of 7 AD subjects treated with ATH-1017 vs. 8 AD subjects</w:t>
      </w:r>
      <w:r>
        <w:rPr>
          <w:rFonts w:ascii="Arial" w:cs="Arial" w:eastAsia="Arial" w:hAnsi="Arial"/>
          <w:sz w:val="18"/>
          <w:szCs w:val="18"/>
          <w:i w:val="1"/>
          <w:iCs w:val="1"/>
          <w:color w:val="auto"/>
        </w:rPr>
        <w:t xml:space="preserve"> </w:t>
      </w:r>
      <w:r>
        <w:rPr>
          <w:rFonts w:ascii="Arial" w:cs="Arial" w:eastAsia="Arial" w:hAnsi="Arial"/>
          <w:sz w:val="18"/>
          <w:szCs w:val="18"/>
          <w:color w:val="auto"/>
        </w:rPr>
        <w:t>on placebo * p≤0.05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141605</wp:posOffset>
            </wp:positionV>
            <wp:extent cx="3917315" cy="23914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91731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29" w:name="page130"/>
    <w:bookmarkEnd w:id="129"/>
    <w:p>
      <w:pPr>
        <w:ind w:right="240" w:firstLine="576"/>
        <w:spacing w:after="0" w:line="250" w:lineRule="auto"/>
        <w:rPr>
          <w:sz w:val="20"/>
          <w:szCs w:val="20"/>
          <w:color w:val="auto"/>
        </w:rPr>
      </w:pPr>
      <w:r>
        <w:rPr>
          <w:rFonts w:ascii="Arial" w:cs="Arial" w:eastAsia="Arial" w:hAnsi="Arial"/>
          <w:sz w:val="18"/>
          <w:szCs w:val="18"/>
          <w:i w:val="1"/>
          <w:iCs w:val="1"/>
          <w:color w:val="auto"/>
        </w:rPr>
        <w:t>Figure 21. Data from Each Subject in the Clinical Trial Showing the Change in P300 Latency from Baseline, What Is Clear Is that Every Subject Receiving ATH-1017 Showed a Level of Improvement in P300 Latency and Subjects Receiving Placebo Had No Consistent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141605</wp:posOffset>
            </wp:positionV>
            <wp:extent cx="3840480" cy="29832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4048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22"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ATH-1017 was well tolerated with no serious adverse events in our placebo-controlled double blind Phase 1a and Phase 1b clinical trials conducted to date where we enrolled 88 subjects including 11 subjects with mild-to-moderate AD.</w:t>
      </w:r>
    </w:p>
    <w:p>
      <w:pPr>
        <w:spacing w:after="0" w:line="197"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Additionally, standard 26-week chronic GLP toxicology studies in rats and dogs showed no adverse findings in clinical observations, behavior, and clinical pathology laboratory parameters. Daily subcutaneous administration of ATH-1017 to rats for 26 weeks was tolerated. The only adverse finding was necrosis of the injection site subcutaneous tissue in male animals that largely resolved after the 28-day recovery period.</w:t>
      </w:r>
    </w:p>
    <w:p>
      <w:pPr>
        <w:spacing w:after="0" w:line="205"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In summary, human exposures from the planned dose range of 20-80 mg for the Phase 2 clinical trials are well below the animal no observable adverse event level, or NOAEL, exposures. Furthermore, the NOAEL from the 26-week GLP toxicity study was defined by injection site reactions, which are monitorable and reversible, and may be less of a risk in humans due to greater surface area, a higher number of injection sites, and a lower volume of injection relative to body size.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ATH-1017 is delivered by once-daily subcutaneous injection. The ATH-1017 formulation is non-viscous, with a neutral pH, and is expected to be dispensed and administered at room temperature. These attributes and the use of small-gauge needles, and minimal volumes (≤ 1 mL) significantly optimize the ATH-1017 product profile for a subcutaneous route of administration. Subcutaneous injections are a common route of administration of chronic therapies, including those for diabetic or MS patients, and are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130" w:name="page131"/>
    <w:bookmarkEnd w:id="130"/>
    <w:p>
      <w:pPr>
        <w:ind w:right="220"/>
        <w:spacing w:after="0" w:line="246" w:lineRule="auto"/>
        <w:rPr>
          <w:sz w:val="20"/>
          <w:szCs w:val="20"/>
          <w:color w:val="auto"/>
        </w:rPr>
      </w:pPr>
      <w:r>
        <w:rPr>
          <w:rFonts w:ascii="Arial" w:cs="Arial" w:eastAsia="Arial" w:hAnsi="Arial"/>
          <w:sz w:val="18"/>
          <w:szCs w:val="18"/>
          <w:color w:val="auto"/>
        </w:rPr>
        <w:t>easy to administer for patients and/or caregivers while being generally well tolerated. With the progression of neurodegenerative disorders, oral administration can become challenging as:</w:t>
      </w:r>
    </w:p>
    <w:p>
      <w:pPr>
        <w:spacing w:after="0" w:line="89" w:lineRule="exact"/>
        <w:rPr>
          <w:sz w:val="20"/>
          <w:szCs w:val="20"/>
          <w:color w:val="auto"/>
        </w:rPr>
      </w:pPr>
    </w:p>
    <w:p>
      <w:pPr>
        <w:ind w:left="1300" w:hanging="442"/>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safe swallowing often becomes increasingly difficult;</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daily trays of multiple solid oral dosage forms add to patient/caregiver burden;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potential resistance to care can also impact compliance.</w:t>
      </w:r>
    </w:p>
    <w:p>
      <w:pPr>
        <w:spacing w:after="0" w:line="333"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Subcutaneous injectables are expected to improve compliance and overall treatment outcomes. We have conducted a medication management research initiative, where we surveyed a number of caregivers and medical professionals to understand compliance challenges in the AD population. Top issues impeding compliance included forgetfulness, resistance to care, pill handling, and swallowing. The results of this study combined with the potential for a subcutaneous product profile to address several of these challenges, support ATH-1017 to be advanced as a once-daily subcutaneous injectable therapy for AD and dementia patients.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Plans for Alternative Delivery Devices for ATH-1017</w:t>
      </w:r>
    </w:p>
    <w:p>
      <w:pPr>
        <w:spacing w:after="0" w:line="122"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ATH-1017 is initially being developed to be delivered via pre-filled syringes for Phase 2/3 clinical trials and initial market penetration. We are exploring the development of alternative delivery devices, including multi-dose pen injectors, to increase patient comfort and ease of use for patients and caregivers, with a view towards improving patient compliance and outcomes.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Pivotal Trial: A 26-Week Phase 2/3 Clinical Trial in Mild-to-Moderate AD Subjects</w:t>
      </w:r>
    </w:p>
    <w:p>
      <w:pPr>
        <w:spacing w:after="0" w:line="122"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Based on the safety and translational Phase 1a and Phase 1b clinical trial results, including AD subjects, we plan to initiate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 Subjects enrolled in the clinical trial will have a severity range within the conventional boundaries for mild-to -moderate AD, based on MMSE 14-24 inclusive. Clinical dementia rating, or CDR, is a 5-point scale used to assess cognition and function in AD and related dementias. CDR 1 or 2 are an additional inclusion criterion to ensure overt dementia. We plan to initiate the LIFT-AD potentially pivotal trial by the end of 2020, with topline results expected by the end of 2022.</w:t>
      </w:r>
    </w:p>
    <w:p>
      <w:pPr>
        <w:spacing w:after="0" w:line="203" w:lineRule="exact"/>
        <w:rPr>
          <w:sz w:val="20"/>
          <w:szCs w:val="20"/>
          <w:color w:val="auto"/>
        </w:rPr>
      </w:pPr>
    </w:p>
    <w:p>
      <w:pPr>
        <w:jc w:val="both"/>
        <w:ind w:right="80" w:firstLine="576"/>
        <w:spacing w:after="0"/>
        <w:rPr>
          <w:sz w:val="20"/>
          <w:szCs w:val="20"/>
          <w:color w:val="auto"/>
        </w:rPr>
      </w:pPr>
      <w:r>
        <w:rPr>
          <w:rFonts w:ascii="Arial" w:cs="Arial" w:eastAsia="Arial" w:hAnsi="Arial"/>
          <w:sz w:val="18"/>
          <w:szCs w:val="18"/>
          <w:color w:val="auto"/>
        </w:rPr>
        <w:t>Compared to therapies focused on AD progression, which traditionally require multi-year clinical trials to measure changes in disease progression, ATH-1017 is expected to induce a rapid boost in cognition, which enables us to design our trial with a 26-week treatment period and potentially accelerate the clinical development of ATH-1017.</w:t>
      </w:r>
    </w:p>
    <w:p>
      <w:pPr>
        <w:spacing w:after="0" w:line="20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primary endpoint in this clinical trial will be the Global Statistical Test, or GST, and this outcome will provide proof-of-concept data. GST is based on actual psychometric performance tests of ADAS-cog-11 and ADCS-CGIC, both of which are key secondary endpoints and will potentially provide pivotal evidence to support registration. GST provides a more sensitive endpoint to the overall treatment effect of multiple variables and increases our chances of understanding the full impact of ATH-1017 clinical outcomes. If GST is positive, then the study will support proof of concept, and if the trial results for each of the separately measured endpoints — ADAS-cog-11 and ADCS-CGIC — are also positive, the LIFT-AD study will potentially provide pivotal evidence to support regulatory approval.</w:t>
      </w:r>
    </w:p>
    <w:p>
      <w:pPr>
        <w:spacing w:after="0" w:line="205" w:lineRule="exact"/>
        <w:rPr>
          <w:sz w:val="20"/>
          <w:szCs w:val="20"/>
          <w:color w:val="auto"/>
        </w:rPr>
      </w:pPr>
    </w:p>
    <w:p>
      <w:pPr>
        <w:ind w:right="300" w:firstLine="576"/>
        <w:spacing w:after="0"/>
        <w:rPr>
          <w:sz w:val="20"/>
          <w:szCs w:val="20"/>
          <w:color w:val="auto"/>
        </w:rPr>
      </w:pPr>
      <w:r>
        <w:rPr>
          <w:rFonts w:ascii="Arial" w:cs="Arial" w:eastAsia="Arial" w:hAnsi="Arial"/>
          <w:sz w:val="18"/>
          <w:szCs w:val="18"/>
          <w:color w:val="auto"/>
        </w:rPr>
        <w:t>Further secondary endpoints will include the Controlled Oral Word Association Test, or COWAT, to specifically assess changes in executive memory function, the Disability Assessment for Dementia, or DAD, scale to assess instrumental activities of daily living, and the Neuropsychiatric Inventory, or NPI, to assess any changes in behavior.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1" w:name="page132"/>
    <w:bookmarkEnd w:id="131"/>
    <w:p>
      <w:pPr>
        <w:ind w:right="680" w:firstLine="576"/>
        <w:spacing w:after="0" w:line="246" w:lineRule="auto"/>
        <w:rPr>
          <w:sz w:val="20"/>
          <w:szCs w:val="20"/>
          <w:color w:val="auto"/>
        </w:rPr>
      </w:pPr>
      <w:r>
        <w:rPr>
          <w:rFonts w:ascii="Arial" w:cs="Arial" w:eastAsia="Arial" w:hAnsi="Arial"/>
          <w:sz w:val="18"/>
          <w:szCs w:val="18"/>
          <w:color w:val="auto"/>
        </w:rPr>
        <w:t>Exploratory pharmaco-economic outcomes will be comprised of validated scales to capture resource utilization (RUD-lite 3.3), caregiver burden (Zarit Burden Interview) and the 5Q-5D-EL.</w:t>
      </w:r>
    </w:p>
    <w:p>
      <w:pPr>
        <w:spacing w:after="0" w:line="197" w:lineRule="exact"/>
        <w:rPr>
          <w:sz w:val="20"/>
          <w:szCs w:val="20"/>
          <w:color w:val="auto"/>
        </w:rPr>
      </w:pPr>
    </w:p>
    <w:p>
      <w:pPr>
        <w:ind w:right="800" w:firstLine="576"/>
        <w:spacing w:after="0"/>
        <w:rPr>
          <w:sz w:val="20"/>
          <w:szCs w:val="20"/>
          <w:color w:val="auto"/>
        </w:rPr>
      </w:pPr>
      <w:r>
        <w:rPr>
          <w:rFonts w:ascii="Arial" w:cs="Arial" w:eastAsia="Arial" w:hAnsi="Arial"/>
          <w:sz w:val="18"/>
          <w:szCs w:val="18"/>
          <w:color w:val="auto"/>
        </w:rPr>
        <w:t>The clinical trial design for LIFT-AD was informed by our previous interactions and discussions with the FDA. In order to be considered a pivotal trial supportive of FDA approval for mild to moderate AD, LIFT-AD will need to achieve a statistically significant improvement separately on both the ADAS-Cog11 and ADCS-CGIC.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P300 Trial: A 26-Week Phase 2 Clinical Trial in Mild-to-Moderate AD Subjects</w:t>
      </w:r>
    </w:p>
    <w:p>
      <w:pPr>
        <w:spacing w:after="0" w:line="12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addition to LIFT-AD, we are planning a randomized, placebo-controlled P300 Phase 2 clinical trial that will be initiated in parallel. This clinical trial is designed to test the same dose levels of ATH-1017 (low and high) in subjects with mild-to-moderate AD compared to placebo. We intend to enroll approximately 60 to 75 mild-to-moderate AD subjects using the same enrollment criteria as described above and include a 26-week treatment period.</w:t>
      </w:r>
    </w:p>
    <w:p>
      <w:pPr>
        <w:spacing w:after="0" w:line="205"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The primary endpoint of this clinical trial is to establish the correlation of P300 latency changes due to ATH-1017 treatment to cognitive benefits, as previously shown for cholinergic drugs and cognitive therapies. This clinical trial will help define the safety profile and effect size of ATH-1017 in mild-to-moderate AD. Additionally, because this clinical trial is expected to have a faster readout due to a smaller sample size than LIFT-AD, it will help support strategic decisions around additional clinical trials, including any additional pivotal trials that we may initiate in parallel to the potentially pivotal LIFT-AD trial if the results from the P300 Phase 2 clinical trial do not meet our expectations. By the end of 2020, we plan to initiate the P300 Phase 2 clinical trial in mild-to-moderate AD to better understand the overall effects of ATH-1017 on working memory processing speed and cognitive measures, with topline results expected by early 2022.</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Expand Development of ATH-1017 to Include Additional Indications.</w:t>
      </w:r>
    </w:p>
    <w:p>
      <w:pPr>
        <w:spacing w:after="0" w:line="122"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We are developing ATH-1017 as a treatment for mild-to-moderate AD patients, but over time, we aim to expand development to cover all stages of AD. Ultimately, we believe that ATH-1017 can address the broader dementia patient population.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Proof-of-Concept Clinical Trial in PDD Subjects</w:t>
      </w:r>
    </w:p>
    <w:p>
      <w:pPr>
        <w:spacing w:after="0" w:line="122"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In addition to the two AD clinical trials, we are also planning to test the effects of ATH-1017 in PDD subjects. PDD is a disease that impacts neuronal health and leads to a progressive damage of the brain network, ultimately impacting function and cognition. Like AD, PDD subjects demonstrate an increase in their P300 latency, which increases the likelihood that ATH-1017 can potentially address dementia in PDD subjects. This clinical trial will be a randomized, placebo-controlled, Phase 2 proof-of-concept clinical trial in PDD subjects with a planned start by the end of 2021. The population severity will include Hoehn-Yahr stages 2 and 3, who will receive 40 mg ATH-1017 versus placebo. Endpoints will include P300 latency and Parkinson’s Disease-Cognitive Rating Scale, or PD-CRS.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126"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 xml:space="preserve">ATH-1017 was assessed in multiple preclinical studies, including in vitro assays and several animal models of memory deficits. ATH-1017 promoted the formation of new spines and functional synapses in hippocampal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(neuronal cultures). In the aged animal model of dementia, ATH-1017 increased synaptic density and in multiple models of dementia improved performance in tests of spatial memory.</w:t>
      </w:r>
    </w:p>
    <w:p>
      <w:pPr>
        <w:spacing w:after="0" w:line="205" w:lineRule="exact"/>
        <w:rPr>
          <w:sz w:val="20"/>
          <w:szCs w:val="20"/>
          <w:color w:val="auto"/>
        </w:rPr>
      </w:pPr>
    </w:p>
    <w:p>
      <w:pPr>
        <w:ind w:right="820" w:firstLine="576"/>
        <w:spacing w:after="0" w:line="246" w:lineRule="auto"/>
        <w:rPr>
          <w:sz w:val="20"/>
          <w:szCs w:val="20"/>
          <w:color w:val="auto"/>
        </w:rPr>
      </w:pPr>
      <w:r>
        <w:rPr>
          <w:rFonts w:ascii="Arial" w:cs="Arial" w:eastAsia="Arial" w:hAnsi="Arial"/>
          <w:sz w:val="18"/>
          <w:szCs w:val="18"/>
          <w:color w:val="auto"/>
        </w:rPr>
        <w:t>Similar to the clinical findings, ATH-1017 treatment also increased the qEEG gamma power that is associated with cognitive processing and memory in a non-clinical AD animal model (APP1/PS1),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shown in Figure 22. Changes in gamma brain activity signals are highly translatable which helped guide our selection of the clinical doses.</w:t>
      </w:r>
    </w:p>
    <w:p>
      <w:pPr>
        <w:spacing w:after="0" w:line="194" w:lineRule="exact"/>
        <w:rPr>
          <w:sz w:val="20"/>
          <w:szCs w:val="20"/>
          <w:color w:val="auto"/>
        </w:rPr>
      </w:pPr>
    </w:p>
    <w:p>
      <w:pPr>
        <w:ind w:right="640" w:firstLine="576"/>
        <w:spacing w:after="0" w:line="267" w:lineRule="auto"/>
        <w:rPr>
          <w:sz w:val="20"/>
          <w:szCs w:val="20"/>
          <w:color w:val="auto"/>
        </w:rPr>
      </w:pPr>
      <w:r>
        <w:rPr>
          <w:rFonts w:ascii="Arial" w:cs="Arial" w:eastAsia="Arial" w:hAnsi="Arial"/>
          <w:sz w:val="18"/>
          <w:szCs w:val="18"/>
          <w:i w:val="1"/>
          <w:iCs w:val="1"/>
          <w:color w:val="auto"/>
        </w:rPr>
        <w:t>Figure 22. ATH-1017 Treatment Induces Acute Increases in Gamma Power within One Hour of Administration (left); and Daily Treatment for Two Weeks Followed by a Seven-Day Washout Shows a Sustained Effect on Gamma Power (right).</w:t>
      </w:r>
    </w:p>
    <w:p>
      <w:pPr>
        <w:sectPr>
          <w:pgSz w:w="11900" w:h="16838" w:orient="portrait"/>
          <w:cols w:equalWidth="0" w:num="1">
            <w:col w:w="11200"/>
          </w:cols>
          <w:pgMar w:left="320" w:top="598" w:right="379" w:bottom="1440" w:gutter="0" w:footer="0" w:header="0"/>
        </w:sectPr>
      </w:pPr>
    </w:p>
    <w:p>
      <w:pPr>
        <w:spacing w:after="0" w:line="156" w:lineRule="exact"/>
        <w:rPr>
          <w:sz w:val="20"/>
          <w:szCs w:val="20"/>
          <w:color w:val="auto"/>
        </w:rPr>
      </w:pPr>
    </w:p>
    <w:p>
      <w:pPr>
        <w:jc w:val="center"/>
        <w:ind w:left="60"/>
        <w:spacing w:after="0" w:line="271" w:lineRule="auto"/>
        <w:rPr>
          <w:sz w:val="20"/>
          <w:szCs w:val="20"/>
          <w:color w:val="auto"/>
        </w:rPr>
      </w:pPr>
      <w:r>
        <w:rPr>
          <w:rFonts w:ascii="Arial" w:cs="Arial" w:eastAsia="Arial" w:hAnsi="Arial"/>
          <w:sz w:val="18"/>
          <w:szCs w:val="18"/>
          <w:b w:val="1"/>
          <w:bCs w:val="1"/>
          <w:color w:val="auto"/>
        </w:rPr>
        <w:t>ATH-1017 Induces an Acute Dose-Dependent Increase in Gamma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111760</wp:posOffset>
            </wp:positionV>
            <wp:extent cx="2254250" cy="19284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54250" cy="1928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160"/>
        <w:spacing w:after="0" w:line="271" w:lineRule="auto"/>
        <w:rPr>
          <w:sz w:val="20"/>
          <w:szCs w:val="20"/>
          <w:color w:val="auto"/>
        </w:rPr>
      </w:pPr>
      <w:r>
        <w:rPr>
          <w:rFonts w:ascii="Arial" w:cs="Arial" w:eastAsia="Arial" w:hAnsi="Arial"/>
          <w:sz w:val="18"/>
          <w:szCs w:val="18"/>
          <w:b w:val="1"/>
          <w:bCs w:val="1"/>
          <w:color w:val="auto"/>
        </w:rPr>
        <w:t>Two Weeks of ATH-1017 Treatment Induced Increased Gamma Power That Was Sustained After Seven Days of Washout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111760</wp:posOffset>
            </wp:positionV>
            <wp:extent cx="2871470" cy="18942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71470" cy="1894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260"/>
            <w:col w:w="6060"/>
          </w:cols>
          <w:pgMar w:left="320" w:top="59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ATH Platform</w:t>
      </w:r>
    </w:p>
    <w:p>
      <w:pPr>
        <w:spacing w:after="0" w:line="126" w:lineRule="exact"/>
        <w:rPr>
          <w:sz w:val="20"/>
          <w:szCs w:val="20"/>
          <w:color w:val="auto"/>
        </w:rPr>
      </w:pPr>
    </w:p>
    <w:p>
      <w:pPr>
        <w:ind w:firstLine="576"/>
        <w:spacing w:after="0" w:line="257" w:lineRule="auto"/>
        <w:rPr>
          <w:sz w:val="20"/>
          <w:szCs w:val="20"/>
          <w:color w:val="auto"/>
        </w:rPr>
      </w:pPr>
      <w:r>
        <w:rPr>
          <w:rFonts w:ascii="Arial" w:cs="Arial" w:eastAsia="Arial" w:hAnsi="Arial"/>
          <w:sz w:val="17"/>
          <w:szCs w:val="17"/>
          <w:color w:val="auto"/>
        </w:rPr>
        <w:t>Our ATH platform leverages the activity of a validated regenerative pathway, the HGF/MET system, that is critical for normal brain function. We believe that our ability to enhance the body’s repair mechanism of HGF/MET through our ATH platform has the potential to address a wide range of clinical applications ranging from CNS disorders, such as AD, PDD, MS, and ALS, to more peripheral conditions such as neuropathy. In addition, we believe that HGF/MET biology plays a role in neuropsychiatric disorders such as depression and anxiety.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Aspects of Our ATH Platform</w:t>
      </w:r>
    </w:p>
    <w:p>
      <w:pPr>
        <w:spacing w:after="0" w:line="126" w:lineRule="exact"/>
        <w:rPr>
          <w:sz w:val="20"/>
          <w:szCs w:val="20"/>
          <w:color w:val="auto"/>
        </w:rPr>
      </w:pPr>
    </w:p>
    <w:p>
      <w:pPr>
        <w:jc w:val="both"/>
        <w:ind w:right="380" w:firstLine="576"/>
        <w:spacing w:after="0"/>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77" w:lineRule="exact"/>
        <w:rPr>
          <w:sz w:val="20"/>
          <w:szCs w:val="20"/>
          <w:color w:val="auto"/>
        </w:rPr>
      </w:pPr>
    </w:p>
    <w:p>
      <w:pPr>
        <w:ind w:left="1300" w:right="120" w:hanging="442"/>
        <w:spacing w:after="0" w:line="250"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Small molecules</w:t>
      </w:r>
      <w:r>
        <w:rPr>
          <w:rFonts w:ascii="Arial" w:cs="Arial" w:eastAsia="Arial" w:hAnsi="Arial"/>
          <w:sz w:val="18"/>
          <w:szCs w:val="18"/>
          <w:color w:val="auto"/>
        </w:rPr>
        <w:t>. Previous attempts to promote neurotrophic factor activity with recombinant proteins or stem cells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invasive surgeries or risked immune response. Our small molecules overcome these challenges, allowing for non-invasive systemic drug delivery through subcutaneous or oral routes that distribute to the nervous system.</w:t>
      </w:r>
    </w:p>
    <w:p>
      <w:pPr>
        <w:spacing w:after="0" w:line="176" w:lineRule="exact"/>
        <w:rPr>
          <w:rFonts w:ascii="Arial" w:cs="Arial" w:eastAsia="Arial" w:hAnsi="Arial"/>
          <w:sz w:val="18"/>
          <w:szCs w:val="18"/>
          <w:color w:val="auto"/>
        </w:rPr>
      </w:pPr>
    </w:p>
    <w:p>
      <w:pPr>
        <w:ind w:left="1300" w:right="120" w:hanging="442"/>
        <w:spacing w:after="0" w:line="26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Efficient and scalable manufacturing process</w:t>
      </w:r>
      <w:r>
        <w:rPr>
          <w:rFonts w:ascii="Arial" w:cs="Arial" w:eastAsia="Arial" w:hAnsi="Arial"/>
          <w:sz w:val="18"/>
          <w:szCs w:val="18"/>
          <w:color w:val="auto"/>
        </w:rPr>
        <w:t>. Small molecules are manufactured using scalable chemical synthesis routes,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cost and time efficient process that does not require custom manufacturing infrastructure.</w:t>
      </w:r>
    </w:p>
    <w:p>
      <w:pPr>
        <w:spacing w:after="0" w:line="160" w:lineRule="exact"/>
        <w:rPr>
          <w:rFonts w:ascii="Arial" w:cs="Arial" w:eastAsia="Arial" w:hAnsi="Arial"/>
          <w:sz w:val="18"/>
          <w:szCs w:val="18"/>
          <w:color w:val="auto"/>
        </w:rPr>
      </w:pPr>
    </w:p>
    <w:p>
      <w:pPr>
        <w:ind w:left="1300" w:right="60" w:hanging="442"/>
        <w:spacing w:after="0" w:line="250"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Avoids alteration of target system regulation</w:t>
      </w:r>
      <w:r>
        <w:rPr>
          <w:rFonts w:ascii="Arial" w:cs="Arial" w:eastAsia="Arial" w:hAnsi="Arial"/>
          <w:sz w:val="18"/>
          <w:szCs w:val="18"/>
          <w:color w:val="auto"/>
        </w:rPr>
        <w:t>. ATH compounds are designed to enhance the activity of the target system with</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disruption to nor evasion of the normal regulatory processes that are in place to prevent hypo- or hyper-activation. This design aims to reduce safety risks.</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type w:val="continuous"/>
        </w:sectPr>
      </w:pPr>
    </w:p>
    <w:bookmarkStart w:id="133" w:name="page134"/>
    <w:bookmarkEnd w:id="133"/>
    <w:p>
      <w:pPr>
        <w:ind w:right="420" w:firstLine="576"/>
        <w:spacing w:after="0" w:line="246" w:lineRule="auto"/>
        <w:rPr>
          <w:sz w:val="20"/>
          <w:szCs w:val="20"/>
          <w:color w:val="auto"/>
        </w:rPr>
      </w:pPr>
      <w:r>
        <w:rPr>
          <w:rFonts w:ascii="Arial" w:cs="Arial" w:eastAsia="Arial" w:hAnsi="Arial"/>
          <w:sz w:val="18"/>
          <w:szCs w:val="18"/>
          <w:color w:val="auto"/>
        </w:rPr>
        <w:t>We believe that the ATH platform represents a significant opportunity to develop therapeutics for the treatment of diseases of the nervous system and has the potential to drive significant advancement in regenerative medicine.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Therapeutic Discovery Process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utilize a rigorous process to identify small-molecule compounds that activate regenerative systems.</w:t>
      </w:r>
    </w:p>
    <w:p>
      <w:pPr>
        <w:spacing w:after="0" w:line="86" w:lineRule="exact"/>
        <w:rPr>
          <w:sz w:val="20"/>
          <w:szCs w:val="20"/>
          <w:color w:val="auto"/>
        </w:rPr>
      </w:pPr>
    </w:p>
    <w:p>
      <w:pPr>
        <w:ind w:left="1300" w:right="40" w:hanging="442"/>
        <w:spacing w:after="0" w:line="250"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Focus on activity</w:t>
      </w:r>
      <w:r>
        <w:rPr>
          <w:rFonts w:ascii="Arial" w:cs="Arial" w:eastAsia="Arial" w:hAnsi="Arial"/>
          <w:sz w:val="18"/>
          <w:szCs w:val="18"/>
          <w:color w:val="auto"/>
        </w:rPr>
        <w:t>. Our drug screening process is an efficient blend of modern and traditional methods, starting with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to create compound libraries. In our process, focus is placed on early activity assays, in which potential hits are rapidly advanced to further discovery.</w:t>
      </w:r>
    </w:p>
    <w:p>
      <w:pPr>
        <w:spacing w:after="0" w:line="176" w:lineRule="exact"/>
        <w:rPr>
          <w:rFonts w:ascii="Arial" w:cs="Arial" w:eastAsia="Arial" w:hAnsi="Arial"/>
          <w:sz w:val="18"/>
          <w:szCs w:val="18"/>
          <w:color w:val="auto"/>
        </w:rPr>
      </w:pPr>
    </w:p>
    <w:p>
      <w:pPr>
        <w:ind w:left="1300" w:hanging="442"/>
        <w:spacing w:after="0" w:line="250"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Maximize hit potential</w:t>
      </w:r>
      <w:r>
        <w:rPr>
          <w:rFonts w:ascii="Arial" w:cs="Arial" w:eastAsia="Arial" w:hAnsi="Arial"/>
          <w:sz w:val="18"/>
          <w:szCs w:val="18"/>
          <w:color w:val="auto"/>
        </w:rPr>
        <w:t>. When hits are identified, we employ a comprehensive set of studies to collect compound</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and optimize for drug-like characteristics with medicinal chemistry and structure-activity relationship studies to produce candidates ready for further development.</w:t>
      </w:r>
    </w:p>
    <w:p>
      <w:pPr>
        <w:spacing w:after="0" w:line="176" w:lineRule="exact"/>
        <w:rPr>
          <w:rFonts w:ascii="Arial" w:cs="Arial" w:eastAsia="Arial" w:hAnsi="Arial"/>
          <w:sz w:val="18"/>
          <w:szCs w:val="18"/>
          <w:color w:val="auto"/>
        </w:rPr>
      </w:pPr>
    </w:p>
    <w:p>
      <w:pPr>
        <w:jc w:val="both"/>
        <w:ind w:left="1300" w:right="280" w:hanging="442"/>
        <w:spacing w:after="0" w:line="296" w:lineRule="auto"/>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Gain insight to inform future therapeutic development</w:t>
      </w:r>
      <w:r>
        <w:rPr>
          <w:rFonts w:ascii="Arial" w:cs="Arial" w:eastAsia="Arial" w:hAnsi="Arial"/>
          <w:sz w:val="17"/>
          <w:szCs w:val="17"/>
          <w:color w:val="auto"/>
        </w:rPr>
        <w:t>. We consider the drug discovery process as a cycle, with past work</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informing future drug design, ultimately optimizing the process as we advance our knowledge and expertise.</w:t>
      </w:r>
    </w:p>
    <w:p>
      <w:pPr>
        <w:spacing w:after="0" w:line="265"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This system has supported the identification of several candidates for development, including ATH-1017. We are using our ATH platform and discovery engine to explore potential development of therapeutic candidates in additional nervous system disorders including ALS, MS, and neuropsychiatric disorders, as well as in peripheral indications such as peripheral neuropathy. We are also actively exploring the potential of expanding the focus of our discovery engine to multiple molecular targets relevant to nervous system disorders.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Development Opportunities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Neuropsychiatric Program (ATH-1019)</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We are currently developing ATH compounds for neuropsychiatric conditions including depression and anxiety. The lifetime prevalence of common mental disorders is reported to be almost 30% and, despite the sizable number of available treatments, a large portion of subjects show an unsatisfactory or a lack of response to treatment. This context, combined with slow responses to common treatments, results in a major burden for patients, public healthcare, and disability systems. ATH compounds represent a novel mechanism for the treatment of neuropsychiatric conditions with a fast onset of action that may help to reduce disease burden on multiple levels. ATH-1019 is a novel, orally active candidate that has been shown to activate the HGF/MET system, and distribute to the CNS, and is neuroactive in animal models.</w:t>
      </w:r>
    </w:p>
    <w:p>
      <w:pPr>
        <w:spacing w:after="0" w:line="203" w:lineRule="exact"/>
        <w:rPr>
          <w:sz w:val="20"/>
          <w:szCs w:val="20"/>
          <w:color w:val="auto"/>
        </w:rPr>
      </w:pPr>
    </w:p>
    <w:p>
      <w:pPr>
        <w:ind w:right="660" w:firstLine="576"/>
        <w:spacing w:after="0" w:line="246" w:lineRule="auto"/>
        <w:rPr>
          <w:sz w:val="20"/>
          <w:szCs w:val="20"/>
          <w:color w:val="auto"/>
        </w:rPr>
      </w:pPr>
      <w:r>
        <w:rPr>
          <w:rFonts w:ascii="Arial" w:cs="Arial" w:eastAsia="Arial" w:hAnsi="Arial"/>
          <w:sz w:val="18"/>
          <w:szCs w:val="18"/>
          <w:color w:val="auto"/>
        </w:rPr>
        <w:t>We believe the stimulating activity of ATH-1019 on the HGF/MET system is well-suited to address neuropsychiatric conditions because:</w:t>
      </w:r>
    </w:p>
    <w:p>
      <w:pPr>
        <w:spacing w:after="0" w:line="89" w:lineRule="exact"/>
        <w:rPr>
          <w:sz w:val="20"/>
          <w:szCs w:val="20"/>
          <w:color w:val="auto"/>
        </w:rPr>
      </w:pPr>
    </w:p>
    <w:p>
      <w:pPr>
        <w:ind w:left="1300" w:hanging="44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HGF/MET signaling is deficient in neuropsychiatric patients and negatively correlated to disease severity;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reductions in HGF/MET signaling is a causative agent of depression and anxiety behaviors in rodents;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enhancement of HGF concentrations in the brain has anti-depressive and anxiolytic effects in rodent models.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4" w:name="page135"/>
    <w:bookmarkEnd w:id="134"/>
    <w:p>
      <w:pPr>
        <w:ind w:left="580"/>
        <w:spacing w:after="0"/>
        <w:rPr>
          <w:sz w:val="20"/>
          <w:szCs w:val="20"/>
          <w:color w:val="auto"/>
        </w:rPr>
      </w:pPr>
      <w:r>
        <w:rPr>
          <w:rFonts w:ascii="Arial" w:cs="Arial" w:eastAsia="Arial" w:hAnsi="Arial"/>
          <w:sz w:val="18"/>
          <w:szCs w:val="18"/>
          <w:i w:val="1"/>
          <w:iCs w:val="1"/>
          <w:color w:val="auto"/>
        </w:rPr>
        <w:t>Figure 23. ATH-1019 Has the Potential to Rescue HGF/MET Signaling and Promote Activity to Address Depression and Anxiety.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146050</wp:posOffset>
            </wp:positionV>
            <wp:extent cx="5340350" cy="3600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4035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Further, patients suffering from major depression display reduced function and connectivity of neural pathways, resulting in prolonged P300 latency compared to healthy controls. This effect is particularly apparent in those experiencing cognitive dysfunction. The extent of P300 latency slowing is strongly correlated with the severity of depression, and a normalization of P300 latency is associated with response to treatment. Our HGF activator for the treatment of AD, ATH-1017, normalized the P300 latency of AD subjects in a Phase 1b clinical trial within 8 days of treatment. While the patient populations in neuropsychiatric conditions and AD are substantially different, the root cause of the diseases may not be, and properties of P300 latency have been shown to be conserved across many diseases. These results highlight the ability of HGF/MET activators to impact P300 latency, which when combined with the preexisting research on the effects of activating the HGF/MET system in neuropsychiatric disorders indicates that treatment with HGF/MET activating compounds may be capable of improving patient outcomes in neuropsychiatric indications. We are advancing ATH-1019 to further development for neuropsychiatric indications including depression and anxiety and are targeting an IND submission to the FDA for depression and/or anxiety in the first half of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Neuropathy Program (ATH-1018)</w:t>
      </w:r>
    </w:p>
    <w:p>
      <w:pPr>
        <w:spacing w:after="0" w:line="126" w:lineRule="exact"/>
        <w:rPr>
          <w:sz w:val="20"/>
          <w:szCs w:val="20"/>
          <w:color w:val="auto"/>
        </w:rPr>
      </w:pPr>
    </w:p>
    <w:p>
      <w:pPr>
        <w:ind w:right="220" w:firstLine="576"/>
        <w:spacing w:after="0" w:line="237" w:lineRule="auto"/>
        <w:rPr>
          <w:sz w:val="20"/>
          <w:szCs w:val="20"/>
          <w:color w:val="auto"/>
        </w:rPr>
      </w:pPr>
      <w:r>
        <w:rPr>
          <w:rFonts w:ascii="Arial" w:cs="Arial" w:eastAsia="Arial" w:hAnsi="Arial"/>
          <w:sz w:val="18"/>
          <w:szCs w:val="18"/>
          <w:color w:val="auto"/>
        </w:rPr>
        <w:t>We have initiated a discovery program to evaluate ATH compounds for peripheral neuropathy. ATH-1018 is a novel, orally active candidate that has demonstrated ability to significantly promote the activity of the HGF/MET system. We are planning to administer ATH-1018 at doses that are expected to largely relegate its activity to the periphery. ATH-1018 potentially represents a new strategy to address neuropathy by promoting the regenerative power of the HGF/MET system with a small molecule therapy. Consideration of HGF/MET activators as a therapeutic approach for neuropathy was initiated following review of studies demonstrating that HGF/MET activating treatment repaired peripheral nerve injury and reduced neuropathy.</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35" w:name="page136"/>
    <w:bookmarkEnd w:id="135"/>
    <w:p>
      <w:pPr>
        <w:ind w:right="20" w:firstLine="576"/>
        <w:spacing w:after="0" w:line="238" w:lineRule="auto"/>
        <w:rPr>
          <w:sz w:val="20"/>
          <w:szCs w:val="20"/>
          <w:color w:val="auto"/>
        </w:rPr>
      </w:pPr>
      <w:r>
        <w:rPr>
          <w:rFonts w:ascii="Arial" w:cs="Arial" w:eastAsia="Arial" w:hAnsi="Arial"/>
          <w:sz w:val="18"/>
          <w:szCs w:val="18"/>
          <w:color w:val="auto"/>
        </w:rPr>
        <w:t>Despite a reported prevalence of up to 10% of the population, neuropathy has proven difficult to manage, and clinical outcomes are unsatisfactory. Management of pain symptoms with opiates serves as a common form of pain therapy and the only reliable one but is palliative only. As well, opiates are fraught with major clinical liabilities. Nerve injury and subsequent neuropathy are typically caused by lesion or disease, commonly diabetes, MS, or stroke. The nerve injury is then followed by an inflammatory response and upregulation of pain signaling factors, which lead to chronic neuropathy.</w:t>
      </w:r>
    </w:p>
    <w:p>
      <w:pPr>
        <w:spacing w:after="0" w:line="202"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We believe the activity of ATH compounds, through enhancement of the HGF/MET system, is well-suited to address neuropathy given that HGF/MET signaling has been shown to:</w:t>
      </w:r>
    </w:p>
    <w:p>
      <w:pPr>
        <w:spacing w:after="0" w:line="89" w:lineRule="exact"/>
        <w:rPr>
          <w:sz w:val="20"/>
          <w:szCs w:val="20"/>
          <w:color w:val="auto"/>
        </w:rPr>
      </w:pPr>
    </w:p>
    <w:p>
      <w:pPr>
        <w:ind w:left="1300" w:hanging="44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promote regeneration of damaged peripheral nerves, mediated through Schwann cell activity;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inhibit inflammation by reduction of the expression of pro-inflammatory cytokines;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down-regulate the expression of pain-related genes in damaged peripheral neurons, including ATF3.</w:t>
      </w:r>
    </w:p>
    <w:p>
      <w:pPr>
        <w:spacing w:after="0" w:line="315" w:lineRule="exact"/>
        <w:rPr>
          <w:sz w:val="20"/>
          <w:szCs w:val="20"/>
          <w:color w:val="auto"/>
        </w:rPr>
      </w:pPr>
    </w:p>
    <w:p>
      <w:pPr>
        <w:ind w:right="220" w:firstLine="576"/>
        <w:spacing w:after="0" w:line="267" w:lineRule="auto"/>
        <w:rPr>
          <w:sz w:val="20"/>
          <w:szCs w:val="20"/>
          <w:color w:val="auto"/>
        </w:rPr>
      </w:pPr>
      <w:r>
        <w:rPr>
          <w:rFonts w:ascii="Arial" w:cs="Arial" w:eastAsia="Arial" w:hAnsi="Arial"/>
          <w:sz w:val="18"/>
          <w:szCs w:val="18"/>
          <w:i w:val="1"/>
          <w:iCs w:val="1"/>
          <w:color w:val="auto"/>
        </w:rPr>
        <w:t>Figure 24. ATH-1018 Activity Has the Potential Both to Block Several Processes that Lead to Neuropathy and to Promote Neuronal Regeneration.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113665</wp:posOffset>
            </wp:positionV>
            <wp:extent cx="4671695" cy="44062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67169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Furthermore, previous clinical trials have shown that with HGF plasmid therapy, designed to increase circulating HGF, promoting the HGF/MET system significantly reduced pain in patients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6" w:name="page137"/>
    <w:bookmarkEnd w:id="136"/>
    <w:p>
      <w:pPr>
        <w:spacing w:after="0" w:line="237" w:lineRule="auto"/>
        <w:rPr>
          <w:sz w:val="20"/>
          <w:szCs w:val="20"/>
          <w:color w:val="auto"/>
        </w:rPr>
      </w:pPr>
      <w:r>
        <w:rPr>
          <w:rFonts w:ascii="Arial" w:cs="Arial" w:eastAsia="Arial" w:hAnsi="Arial"/>
          <w:sz w:val="18"/>
          <w:szCs w:val="18"/>
          <w:color w:val="auto"/>
        </w:rPr>
        <w:t>diabetic peripheral neuropathy. We believe these clinical trials provide a proof of concept for the therapeutic target. However, our oral small-molecule candidates offer distinct advantages over plasmid therapies, including controlled dose and ease of administration. Targeting HGF/MET signaling for the treatment of neuropathy is supported by both preclinical and clinical research, and we are evaluating the next generation oral ATH compounds for activity to address neuropathy. Validated methods for the assessment of peripheral nerve function (neurography) and pain (VAS rating) are well established. We are advancing ATH-1018 to further development for neuropathy indications and are targeting an IND submission to the FDA by the end of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26"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ATH-1017 is being advanced for mild-to-moderate AD patients initially. The AD dementia market today in 2020 is reported to be 5.8 million Americans and is projected to reach nearly 14 million by 2050 in the U.S. Worldwide, as many as 35 million people are estimated to have AD and the patient population was projected in 2007 to grow to over 100 million by 2050. Our strategy is to ultimately position ATH-1017 as a treatment for dementia broadly. Spanning all dementias globally, an estimated 50 million people are reported to be affected today in 2020 and this number is projected to be 150 million by 2050. Many factors contribute to the growing numbers of the potentially treatable population, including “baby boomers” reaching age 65 and increasing life expectancy beyond 80.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26" w:lineRule="exact"/>
        <w:rPr>
          <w:sz w:val="20"/>
          <w:szCs w:val="20"/>
          <w:color w:val="auto"/>
        </w:rPr>
      </w:pPr>
    </w:p>
    <w:p>
      <w:pPr>
        <w:ind w:right="260" w:firstLine="576"/>
        <w:spacing w:after="0" w:line="238" w:lineRule="auto"/>
        <w:rPr>
          <w:sz w:val="20"/>
          <w:szCs w:val="20"/>
          <w:color w:val="auto"/>
        </w:rPr>
      </w:pPr>
      <w:r>
        <w:rPr>
          <w:rFonts w:ascii="Arial" w:cs="Arial" w:eastAsia="Arial" w:hAnsi="Arial"/>
          <w:sz w:val="18"/>
          <w:szCs w:val="18"/>
          <w:color w:val="auto"/>
        </w:rPr>
        <w:t>Our immediate next pipeline opportunities include: ATH-1019 for neuropsychiatry and ATH-1018 for neuropathy. Neuropsychiatric indications, specifically depression, are estimated to affect 7% of all U.S. adults 18 and older representing an estimated addressable potential patient population of approximately 17 million adults as of 2017, and was projected in 2008 to reach approximately 37 million by 2050. Beyond depression, and with a reported lifetime prevalence of nearly 30% for all neuropsychiatric indications, the addressable 2020 patient population of adults 18 and older is reported to reach nearly 50 million in the U.S. alone.</w:t>
      </w:r>
    </w:p>
    <w:p>
      <w:pPr>
        <w:spacing w:after="0" w:line="202" w:lineRule="exact"/>
        <w:rPr>
          <w:sz w:val="20"/>
          <w:szCs w:val="20"/>
          <w:color w:val="auto"/>
        </w:rPr>
      </w:pPr>
    </w:p>
    <w:p>
      <w:pPr>
        <w:ind w:right="300" w:firstLine="576"/>
        <w:spacing w:after="0" w:line="238" w:lineRule="auto"/>
        <w:rPr>
          <w:sz w:val="20"/>
          <w:szCs w:val="20"/>
          <w:color w:val="auto"/>
        </w:rPr>
      </w:pPr>
      <w:r>
        <w:rPr>
          <w:rFonts w:ascii="Arial" w:cs="Arial" w:eastAsia="Arial" w:hAnsi="Arial"/>
          <w:sz w:val="18"/>
          <w:szCs w:val="18"/>
          <w:color w:val="auto"/>
        </w:rPr>
        <w:t>The estimated prevalence of neuropathy in the U.S. averages approximately 10% but could be higher due to a larger undiagnosed population. Conservatively, and with nearly 10% of the U.S. population over 30 years old estimated to be diagnosed with some form of neuropathy, the reported addressable patient population today is approximately 30 million patients for peripheral neuropathy, a type of neuropathic pain, alone.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ATH-1017 is initially being developed as a regenerative medicine for AD. For the initial target patient population of mild-to-moderate</w:t>
      </w:r>
    </w:p>
    <w:p>
      <w:pPr>
        <w:spacing w:after="0"/>
        <w:rPr>
          <w:sz w:val="20"/>
          <w:szCs w:val="20"/>
          <w:color w:val="auto"/>
        </w:rPr>
      </w:pPr>
      <w:r>
        <w:rPr>
          <w:rFonts w:ascii="Arial" w:cs="Arial" w:eastAsia="Arial" w:hAnsi="Arial"/>
          <w:sz w:val="18"/>
          <w:szCs w:val="18"/>
          <w:color w:val="auto"/>
        </w:rPr>
        <w:t>AD patients, our commercialization strategy of ATH-1017 will consider the following key elements:</w:t>
      </w:r>
    </w:p>
    <w:p>
      <w:pPr>
        <w:spacing w:after="0" w:line="104" w:lineRule="exact"/>
        <w:rPr>
          <w:sz w:val="20"/>
          <w:szCs w:val="20"/>
          <w:color w:val="auto"/>
        </w:rPr>
      </w:pPr>
    </w:p>
    <w:p>
      <w:pPr>
        <w:ind w:left="1300" w:hanging="44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add-on therapy for patients on existing therapies;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monotherapy for patients who are not suitable for acetylcholinesterase inhibitors, or AChEIs;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monotherapy for patients who have stopped AChEIs due to loss of effect or side effects;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treatment to other dementias such as PDD, Lewy body dementia and Frontal temporal dementia over time.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37" w:name="page138"/>
    <w:bookmarkEnd w:id="137"/>
    <w:p>
      <w:pPr>
        <w:ind w:right="100" w:firstLine="576"/>
        <w:spacing w:after="0"/>
        <w:rPr>
          <w:sz w:val="20"/>
          <w:szCs w:val="20"/>
          <w:color w:val="auto"/>
        </w:rPr>
      </w:pPr>
      <w:r>
        <w:rPr>
          <w:rFonts w:ascii="Arial" w:cs="Arial" w:eastAsia="Arial" w:hAnsi="Arial"/>
          <w:sz w:val="18"/>
          <w:szCs w:val="18"/>
          <w:color w:val="auto"/>
        </w:rPr>
        <w:t>We aim to demonstrate the unique short- and long-term value provided by ATH-1017 by linking the core symptoms of dementia (cognition and behavioral and psychological symptoms of dementia) to both improved outcomes and reduced costs and the benefits of ATH-1017 through increased compliance rates in our initial indications.</w:t>
      </w:r>
    </w:p>
    <w:p>
      <w:pPr>
        <w:spacing w:after="0" w:line="203"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We anticipate exploring two distribution strategies for ATH-1017,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6"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20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have enough ATH-1017 supply to begin our planned potentially pivotal LIFT-AD and our P300 Phase 2 clinical trials in AD. We believe the synthesis of ATH-1017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ATH-1017 is purified as a stable solid and then released to additional CDMOs for formulation and packaging into final drug product for use in clinical testing.</w:t>
      </w:r>
    </w:p>
    <w:p>
      <w:pPr>
        <w:spacing w:after="0" w:line="202"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ATH-1017. The syringes utilize materials and components that are readily available commercially. The ATH-1017 drug product has shown extended stability (at least 2 years) under storage conditions when stored in vials that were composed of identical materials to the syringes. Confirmatory stability studies in syringes are ongoing and data collected thus far support the translation of the extended stability from vials to syringes under refrigerated conditions as well as short-term dispensation and at-home storage in ambient conditions. Room temperature storage allows patients to avoid cumbersome storage requirements and reduces overall burden.</w:t>
      </w:r>
    </w:p>
    <w:p>
      <w:pPr>
        <w:spacing w:after="0" w:line="205" w:lineRule="exact"/>
        <w:rPr>
          <w:sz w:val="20"/>
          <w:szCs w:val="20"/>
          <w:color w:val="auto"/>
        </w:rPr>
      </w:pPr>
    </w:p>
    <w:p>
      <w:pPr>
        <w:ind w:right="440" w:firstLine="576"/>
        <w:spacing w:after="0" w:line="246"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97"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justifies investment in internal manufacturing capabilities.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stop neurodegeneration, with our most advanced product candidates focused on the treatment of AD and dementia, we face, and in the future may face increased, competitive pressures from both large and small pharmaceutical companies and from established and emerging biotechnology companies, as well as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8" w:name="page139"/>
    <w:bookmarkEnd w:id="138"/>
    <w:p>
      <w:pPr>
        <w:ind w:right="20"/>
        <w:spacing w:after="0" w:line="237" w:lineRule="auto"/>
        <w:rPr>
          <w:sz w:val="20"/>
          <w:szCs w:val="20"/>
          <w:color w:val="auto"/>
        </w:rPr>
      </w:pPr>
      <w:r>
        <w:rPr>
          <w:rFonts w:ascii="Arial" w:cs="Arial" w:eastAsia="Arial" w:hAnsi="Arial"/>
          <w:sz w:val="18"/>
          <w:szCs w:val="18"/>
          <w:color w:val="auto"/>
        </w:rPr>
        <w:t>academic, government, and public and private research institutions. Any product candidates that we successfully develop and commercialize will compete with current treatments and new treatments that may become available in the future. With the advancement of ATH-1017 as a novel small molecule therapeutic activating a neurotrophic factor pathway, the HGF/MET system, and its liquid formulation as a subcutaneous deliverable, we also consider as competitors companies developing small molecule AD therapies targeting neurotrophic factors with or without a subcutaneous route of administration. Despite the immediate commercialization plan to launch ATH-1017, if approved, in pre-filled syringes with future plans for device innovation, including potentially smart multi-dose pen injectors, we do not view the medical device industry as competition but rather potential partners enabling the manufacture and commercialization of ATH-1017.</w:t>
      </w:r>
    </w:p>
    <w:p>
      <w:pPr>
        <w:spacing w:after="0" w:line="203"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and/or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ATH-1017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ATH-1017, but also our novel pipeline of therapeutics with a focus on overall neuronal health. In particular, the following summarizes certain categories of our potential competition.</w:t>
      </w:r>
    </w:p>
    <w:p>
      <w:pPr>
        <w:spacing w:after="0" w:line="202"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As a small molecule therapeutic targeting the HGF/MET system, we are aware of a number of potential competitors in this space, including ANG-3777, an HGF mimetic, developed by Angion for the treatment of kidney injury and Collategene developed by Mitsubishi Tanabe and AnGes as a gene therapy for the treatment of critical limb ischemia. ANG-3777 is currently in Phase 3 clinical trials while Collategene was launched in Japan in the third quarter of 2019. In addition, we are aware of p75 ligands being developed by PharmatrophiX for the treatment of neurodegenerative and other disorders, including AD, as well as VM-202, a regenerative plasmid DNA therapy candidate in development by Helixmith for the treatment of diabetic peripheral neuropathy. We are not aware of any direct competitors currently targeting the HGF/MET system for neurological conditions.</w:t>
      </w:r>
    </w:p>
    <w:p>
      <w:pPr>
        <w:spacing w:after="0" w:line="203"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ATH-1017 is being advanced as either a monotherapy or an add-on therapy for patients on AChEIs. In addition to being a potential add-on therapy to currently approved therapies, we do not anticipate ATH-1017 to be a direct competitor to, but rather complementary to, other therapeutic developments focused on Aβ, pTau, AChE, BACE inhibitors, inflammation and others. Similarly, because ATH-1017 presents a novel mechanism of action, we do not view monoclonal antibody therapies currently under development by large pharmaceutical companies of which we are aware, including Biogen, Eli Lilly and Roche, as competitors, but potentially as complementary to our approach.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ind w:right="120" w:firstLine="576"/>
        <w:spacing w:after="0" w:line="246"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9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As of the date of this prospectus, our patent portfolio consists of nine owned or in-licensed U.S. issued patents, one owned or in-licensed U.S. pending patent application, 12 owned or in-licensed patents issued in jurisdictions outside of the United States, and nine owned or in-licensed pending patent applications in jurisdictions outside of the United States. The patents and patent applications issued and pending outside the United States are generally counterparts to the foregoing U.S. patents and patent applications and are held primarily in Europe, Canada, Japan, Australia, Hong Kong, India, and China. Our solely-owned and in-licensed patents and patent applications include, among others, claims directed to:</w:t>
      </w:r>
    </w:p>
    <w:p>
      <w:pPr>
        <w:spacing w:after="0" w:line="97" w:lineRule="exact"/>
        <w:rPr>
          <w:sz w:val="20"/>
          <w:szCs w:val="20"/>
          <w:color w:val="auto"/>
        </w:rPr>
      </w:pPr>
    </w:p>
    <w:p>
      <w:pPr>
        <w:ind w:left="1300" w:hanging="44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ATH-1017 and related compounds;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methods of using ATH-1017;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methods of using related compounds.</w:t>
      </w:r>
    </w:p>
    <w:p>
      <w:pPr>
        <w:spacing w:after="0" w:line="333"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intend to pursue, when possible, further composition, method of use, dosing, formulation, and device patent protection directed to the neuroregenerative products and processes we develop. We may also pursue patent protection with respect to manufacturing and drug development processes and technology.</w:t>
      </w:r>
    </w:p>
    <w:p>
      <w:pPr>
        <w:spacing w:after="0" w:line="20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addition, in certain instances, a patent term can be adjusted or extended to recapture a portion of the term effectively lost as a result of the USPTO delay and the FDA regulatory review period.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Our in-licensed issued patents will expire on dates ranging from 2023 to 2035, exclusive of any patent term adjustment or patent term extension. If patents are issued on our pending patent applications, the resulting patents are projected to expire on dates ranging from 2032 to 2037, exclusive of any patent term adjustment or patent term extension.</w:t>
      </w:r>
    </w:p>
    <w:p>
      <w:pPr>
        <w:spacing w:after="0" w:line="20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further seek to protect our technology and product candidates,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205" w:lineRule="exact"/>
        <w:rPr>
          <w:sz w:val="20"/>
          <w:szCs w:val="20"/>
          <w:color w:val="auto"/>
        </w:rPr>
      </w:pPr>
    </w:p>
    <w:p>
      <w:pPr>
        <w:ind w:right="720" w:firstLine="576"/>
        <w:spacing w:after="0" w:line="246" w:lineRule="auto"/>
        <w:rPr>
          <w:sz w:val="20"/>
          <w:szCs w:val="20"/>
          <w:color w:val="auto"/>
        </w:rPr>
      </w:pPr>
      <w:r>
        <w:rPr>
          <w:rFonts w:ascii="Arial" w:cs="Arial" w:eastAsia="Arial" w:hAnsi="Arial"/>
          <w:sz w:val="18"/>
          <w:szCs w:val="18"/>
          <w:color w:val="auto"/>
        </w:rPr>
        <w:t>Our trademark portfolio currently consists of two pending trademark applications in the United States, two pending trademark applications in Australia, and two issued trademark registrations in the European Union.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8"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70"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40" w:name="page141"/>
    <w:bookmarkEnd w:id="140"/>
    <w:p>
      <w:pPr>
        <w:ind w:right="20"/>
        <w:spacing w:after="0" w:line="238" w:lineRule="auto"/>
        <w:rPr>
          <w:sz w:val="20"/>
          <w:szCs w:val="20"/>
          <w:color w:val="auto"/>
        </w:rPr>
      </w:pPr>
      <w:r>
        <w:rPr>
          <w:rFonts w:ascii="Arial" w:cs="Arial" w:eastAsia="Arial" w:hAnsi="Arial"/>
          <w:sz w:val="18"/>
          <w:szCs w:val="18"/>
          <w:color w:val="auto"/>
        </w:rPr>
        <w:t>September of 2015. Under this agreement, WSU granted us an exclusive license to make, use, sell, and offer for sale licensed products and licensed processes that embody the licensed patents (including WSU’s rights to a patent jointly owned with Pacific Norwest Biotechnology, Inc.) and that form the underlying technology of the drug therapies we are developing. The term of the license begins on the effective date and continues until the earlier of the date on which no valid claim remains enforceable or the payment of royalties ceases for more than four consecutive quarters after such royalty payments begin.</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300" w:right="320" w:hanging="442"/>
        <w:spacing w:after="0" w:line="246"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96"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3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104"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Liability</w:t>
      </w:r>
    </w:p>
    <w:p>
      <w:pPr>
        <w:spacing w:after="0" w:line="12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In connection with the agreements, LSDF retained the right to receive cash payments of up to twice the amounts received, or $1.5 million, upon the occurrence of specified triggering events, including the completion of this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41" w:name="page142"/>
    <w:bookmarkEnd w:id="141"/>
    <w:p>
      <w:pPr>
        <w:ind w:left="5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300" w:right="100" w:hanging="442"/>
        <w:spacing w:after="0" w:line="24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196"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202"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3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7"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42" w:name="page143"/>
    <w:bookmarkEnd w:id="142"/>
    <w:p>
      <w:pPr>
        <w:ind w:left="5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86" w:lineRule="exact"/>
        <w:rPr>
          <w:sz w:val="20"/>
          <w:szCs w:val="20"/>
          <w:color w:val="auto"/>
        </w:rPr>
      </w:pPr>
    </w:p>
    <w:p>
      <w:pPr>
        <w:ind w:left="1300" w:right="100" w:hanging="442"/>
        <w:spacing w:after="0" w:line="260" w:lineRule="auto"/>
        <w:tabs>
          <w:tab w:leader="none" w:pos="130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The product candidate is initially introduced into healthy human subjects or patients with the target disease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169" w:lineRule="exact"/>
        <w:rPr>
          <w:rFonts w:ascii="Arial" w:cs="Arial" w:eastAsia="Arial" w:hAnsi="Arial"/>
          <w:sz w:val="17"/>
          <w:szCs w:val="17"/>
          <w:color w:val="auto"/>
        </w:rPr>
      </w:pPr>
    </w:p>
    <w:p>
      <w:pPr>
        <w:ind w:left="1300" w:right="320" w:hanging="442"/>
        <w:spacing w:after="0" w:line="245"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80" w:lineRule="exact"/>
        <w:rPr>
          <w:rFonts w:ascii="Arial" w:cs="Arial" w:eastAsia="Arial" w:hAnsi="Arial"/>
          <w:sz w:val="18"/>
          <w:szCs w:val="18"/>
          <w:color w:val="auto"/>
        </w:rPr>
      </w:pPr>
    </w:p>
    <w:p>
      <w:pPr>
        <w:ind w:left="1300" w:hanging="442"/>
        <w:spacing w:after="0" w:line="245"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307"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203"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205"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05"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43" w:name="page144"/>
    <w:bookmarkEnd w:id="143"/>
    <w:p>
      <w:pPr>
        <w:jc w:val="both"/>
        <w:ind w:right="320"/>
        <w:spacing w:after="0"/>
        <w:rPr>
          <w:sz w:val="20"/>
          <w:szCs w:val="20"/>
          <w:color w:val="auto"/>
        </w:rPr>
      </w:pPr>
      <w:r>
        <w:rPr>
          <w:rFonts w:ascii="Arial" w:cs="Arial" w:eastAsia="Arial" w:hAnsi="Arial"/>
          <w:sz w:val="18"/>
          <w:szCs w:val="18"/>
          <w:color w:val="auto"/>
        </w:rPr>
        <w:t xml:space="preserve">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234" w:lineRule="exact"/>
        <w:rPr>
          <w:sz w:val="20"/>
          <w:szCs w:val="20"/>
          <w:color w:val="auto"/>
        </w:rPr>
      </w:pPr>
    </w:p>
    <w:p>
      <w:pPr>
        <w:ind w:right="220" w:firstLine="576"/>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207"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3"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4" w:name="page145"/>
    <w:bookmarkEnd w:id="144"/>
    <w:p>
      <w:pPr>
        <w:ind w:right="40" w:firstLine="576"/>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34"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05" w:lineRule="exact"/>
        <w:rPr>
          <w:sz w:val="20"/>
          <w:szCs w:val="20"/>
          <w:color w:val="auto"/>
        </w:rPr>
      </w:pPr>
    </w:p>
    <w:p>
      <w:pPr>
        <w:ind w:right="200" w:firstLine="576"/>
        <w:spacing w:after="0" w:line="237"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203"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20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5" w:name="page146"/>
    <w:bookmarkEnd w:id="145"/>
    <w:p>
      <w:pPr>
        <w:ind w:right="20"/>
        <w:spacing w:after="0"/>
        <w:rPr>
          <w:sz w:val="20"/>
          <w:szCs w:val="20"/>
          <w:color w:val="auto"/>
        </w:rPr>
      </w:pPr>
      <w:r>
        <w:rPr>
          <w:rFonts w:ascii="Arial" w:cs="Arial" w:eastAsia="Arial" w:hAnsi="Arial"/>
          <w:sz w:val="18"/>
          <w:szCs w:val="18"/>
          <w:color w:val="auto"/>
        </w:rPr>
        <w:t>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203"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34"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5" w:lineRule="exact"/>
        <w:rPr>
          <w:sz w:val="20"/>
          <w:szCs w:val="20"/>
          <w:color w:val="auto"/>
        </w:rPr>
      </w:pPr>
    </w:p>
    <w:p>
      <w:pPr>
        <w:ind w:right="240" w:firstLine="576"/>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7" w:lineRule="exact"/>
        <w:rPr>
          <w:sz w:val="20"/>
          <w:szCs w:val="20"/>
          <w:color w:val="auto"/>
        </w:rPr>
      </w:pPr>
    </w:p>
    <w:p>
      <w:pPr>
        <w:ind w:left="1300" w:right="40" w:hanging="442"/>
        <w:spacing w:after="0" w:line="246"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clinical holds on post-approval or Phase IV clinical studies, if applicable;</w:t>
      </w:r>
    </w:p>
    <w:p>
      <w:pPr>
        <w:spacing w:after="0" w:line="225" w:lineRule="exact"/>
        <w:rPr>
          <w:rFonts w:ascii="Arial" w:cs="Arial" w:eastAsia="Arial" w:hAnsi="Arial"/>
          <w:sz w:val="18"/>
          <w:szCs w:val="18"/>
          <w:color w:val="auto"/>
        </w:rPr>
      </w:pPr>
    </w:p>
    <w:p>
      <w:pPr>
        <w:ind w:left="1300" w:right="80" w:hanging="442"/>
        <w:spacing w:after="0" w:line="246"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25" w:lineRule="exact"/>
        <w:rPr>
          <w:rFonts w:ascii="Arial" w:cs="Arial" w:eastAsia="Arial" w:hAnsi="Arial"/>
          <w:sz w:val="18"/>
          <w:szCs w:val="18"/>
          <w:color w:val="auto"/>
        </w:rPr>
      </w:pPr>
    </w:p>
    <w:p>
      <w:pPr>
        <w:ind w:left="1300" w:right="660" w:hanging="442"/>
        <w:spacing w:after="0" w:line="246"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46" w:name="page147"/>
    <w:bookmarkEnd w:id="146"/>
    <w:p>
      <w:pPr>
        <w:ind w:firstLine="576"/>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34"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05"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208" w:lineRule="exact"/>
        <w:rPr>
          <w:sz w:val="20"/>
          <w:szCs w:val="20"/>
          <w:color w:val="auto"/>
        </w:rPr>
      </w:pPr>
    </w:p>
    <w:p>
      <w:pPr>
        <w:jc w:val="both"/>
        <w:ind w:right="440" w:firstLine="576"/>
        <w:spacing w:after="0" w:line="238"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6"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21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208"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48" w:name="page149"/>
    <w:bookmarkEnd w:id="148"/>
    <w:p>
      <w:pPr>
        <w:ind w:right="100"/>
        <w:spacing w:after="0"/>
        <w:rPr>
          <w:sz w:val="20"/>
          <w:szCs w:val="20"/>
          <w:color w:val="auto"/>
        </w:rPr>
      </w:pPr>
      <w:r>
        <w:rPr>
          <w:rFonts w:ascii="Arial" w:cs="Arial" w:eastAsia="Arial" w:hAnsi="Arial"/>
          <w:sz w:val="18"/>
          <w:szCs w:val="18"/>
          <w:color w:val="auto"/>
        </w:rPr>
        <w: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0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204" w:lineRule="exact"/>
        <w:rPr>
          <w:sz w:val="20"/>
          <w:szCs w:val="20"/>
          <w:color w:val="auto"/>
        </w:rPr>
      </w:pPr>
    </w:p>
    <w:p>
      <w:pPr>
        <w:ind w:right="40" w:firstLine="576"/>
        <w:spacing w:after="0" w:line="235"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in 2017, Congress enacted the Tax Act, which eliminated the tax-based shared responsibility payment imposed by the ACA on certain individuals who fail to maintain qualifying health coverage for all or part of a year, a process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49" w:name="page150"/>
    <w:bookmarkEnd w:id="149"/>
    <w:p>
      <w:pPr>
        <w:ind w:right="180"/>
        <w:spacing w:after="0"/>
        <w:rPr>
          <w:sz w:val="20"/>
          <w:szCs w:val="20"/>
          <w:color w:val="auto"/>
        </w:rPr>
      </w:pPr>
      <w:r>
        <w:rPr>
          <w:rFonts w:ascii="Arial" w:cs="Arial" w:eastAsia="Arial" w:hAnsi="Arial"/>
          <w:sz w:val="18"/>
          <w:szCs w:val="18"/>
          <w:color w:val="auto"/>
        </w:rPr>
        <w:t>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203"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and which is designed to provide financial support and resources to individuals and businesses affected by the COVID-19 pandemic, suspended the 2% Medicare sequester from May 1, 2020, through December 31, 2020, and extended the end date of the sequester by one year, through 2030, in order to offset the 2020 suspension.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at the federal level, the Trump administration released a “Blueprint”, designed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they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to address the COVID-19 pandemic. Furthermore, there has been increased interest by third party payors and governmental authorities in reference to pricing systems and publication of discounts and list prices.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As of June 30, 2020, we had 15 employees, 14 of whom were full-time and eight of whom were engaged in research and development activities. Nine of our employees hold Ph.D. or M.D. degrees. Substantially all our employees are located in or around Seattle, Washington. None of our employees are represented by a labor union or covered under a collective bargaining agreement. We consider our relationship with our employees to be good.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Our corporate headquarters are located in Seattle, Washington, where we currently lease approximately 1,270 square feet of laboratory and office space. Our Seattle lease expires in June 2021. We intend to relocate to facilities in Bothell, Washington starting in September 2020 as we add employees and scale our operations. We believe these facilities will be adequate for the foreseeable future and that suitable additional or substitute space will be available as and when needed.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320" w:top="684" w:right="7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June 30,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Age</w:t>
            </w:r>
          </w:p>
        </w:tc>
        <w:tc>
          <w:tcPr>
            <w:tcW w:w="4340" w:type="dxa"/>
            <w:vAlign w:val="bottom"/>
          </w:tcPr>
          <w:p>
            <w:pPr>
              <w:ind w:left="18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340" w:type="dxa"/>
            <w:vAlign w:val="bottom"/>
            <w:tcBorders>
              <w:top w:val="single" w:sz="8" w:color="auto"/>
            </w:tcBorders>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Leen Kawas,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Mark Litton,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52</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Hans Moebius, M.D,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Kevin Church,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36</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Vice President of Discovery</w:t>
            </w:r>
          </w:p>
        </w:tc>
      </w:tr>
      <w:tr>
        <w:trPr>
          <w:trHeight w:val="216"/>
        </w:trPr>
        <w:tc>
          <w:tcPr>
            <w:tcW w:w="5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Non-Employee Directors</w:t>
            </w: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Tadataka Yamada, M.D.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65</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John M. Fluke, Jr.</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77</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Joseph W. Harding,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72</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972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1" w:lineRule="exact"/>
        <w:rPr>
          <w:sz w:val="20"/>
          <w:szCs w:val="20"/>
          <w:color w:val="auto"/>
        </w:rPr>
      </w:pPr>
    </w:p>
    <w:p>
      <w:pPr>
        <w:ind w:left="480" w:hanging="472"/>
        <w:spacing w:after="0"/>
        <w:tabs>
          <w:tab w:leader="none" w:pos="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8"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8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chief operating officer since July 2019. Prior to joining Athira Pharma, Inc., Dr. Litton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2" w:name="page153"/>
    <w:bookmarkEnd w:id="152"/>
    <w:p>
      <w:pPr>
        <w:ind w:right="20"/>
        <w:spacing w:after="0" w:line="246" w:lineRule="auto"/>
        <w:rPr>
          <w:sz w:val="20"/>
          <w:szCs w:val="20"/>
          <w:color w:val="auto"/>
        </w:rPr>
      </w:pPr>
      <w:r>
        <w:rPr>
          <w:rFonts w:ascii="Arial" w:cs="Arial" w:eastAsia="Arial" w:hAnsi="Arial"/>
          <w:sz w:val="18"/>
          <w:szCs w:val="18"/>
          <w:color w:val="auto"/>
        </w:rPr>
        <w:t>immunology from Stockholm University in 1997, an M.B.A. from Santa Clara University in 1994 and a B.S. in biochemistry from the University of California Santa Cruz in 1990.</w:t>
      </w:r>
    </w:p>
    <w:p>
      <w:pPr>
        <w:spacing w:after="0" w:line="179"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Athira Pharma, Inc., Dr. Moebius</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Exciva GmbH, a company focusing on targeted drug rescue, and served as its chief executive officer and chief medical officer from 2016 to 2019, and again as acting chief medical officer since April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86" w:lineRule="exact"/>
        <w:rPr>
          <w:sz w:val="20"/>
          <w:szCs w:val="20"/>
          <w:color w:val="auto"/>
        </w:rPr>
      </w:pPr>
    </w:p>
    <w:p>
      <w:pPr>
        <w:ind w:right="40" w:firstLine="576"/>
        <w:spacing w:after="0"/>
        <w:rPr>
          <w:sz w:val="20"/>
          <w:szCs w:val="20"/>
          <w:color w:val="auto"/>
        </w:rPr>
      </w:pPr>
      <w:r>
        <w:rPr>
          <w:rFonts w:ascii="Arial" w:cs="Arial" w:eastAsia="Arial" w:hAnsi="Arial"/>
          <w:sz w:val="18"/>
          <w:szCs w:val="18"/>
          <w:i w:val="1"/>
          <w:iCs w:val="1"/>
          <w:color w:val="auto"/>
        </w:rPr>
        <w:t xml:space="preserve">Kevin Church, Ph.D., </w:t>
      </w:r>
      <w:r>
        <w:rPr>
          <w:rFonts w:ascii="Arial" w:cs="Arial" w:eastAsia="Arial" w:hAnsi="Arial"/>
          <w:sz w:val="18"/>
          <w:szCs w:val="18"/>
          <w:color w:val="auto"/>
        </w:rPr>
        <w:t>has served in various roles at Athira since 2016, including research scientist, director of discovery,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discovery.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Board of Directors</w:t>
      </w:r>
    </w:p>
    <w:p>
      <w:pPr>
        <w:spacing w:after="0" w:line="21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i w:val="1"/>
          <w:iCs w:val="1"/>
          <w:color w:val="auto"/>
        </w:rPr>
        <w:t>Tadataka Yamada, M.D.</w:t>
      </w:r>
      <w:r>
        <w:rPr>
          <w:rFonts w:ascii="Arial" w:cs="Arial" w:eastAsia="Arial" w:hAnsi="Arial"/>
          <w:sz w:val="18"/>
          <w:szCs w:val="18"/>
          <w:color w:val="auto"/>
        </w:rPr>
        <w:t>, has served on our board of directors since June 2019 and as the chair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2020. He is also a venture partner at Frazier Healthcare and co-founder of, and currently serves on the board of directors for, Phathom Pharmaceuticals, Passage Bio, Scout Bio, and Outpost Medicine. Dr. Yamada also serves on the board of directors of Agilent Technologies, Inc., as board of directors chair at the Clinton Health Access Initiative and is a member of the Council of the National Academy of Medicine. He is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held executive leadership roles at Takeda Pharmaceuticals, the Bill and Melinda Gates Foundation, GlaxoSmithKline, and at the University of Michigan in Ann Arbor. Dr. Yamada received his M.D. from New York University School of Medicine in 1971 and a B.A. in history from Stanford University 1967. In recognition of his contributions to medicine and science he has been elected to membership in the National Academy of Medicine (U.S.), the Academy of Medical Sciences (U.K.) and the National Academy of Medicine (Mexico). He has been awarded the Order of the Rising Sun, Gold and Silver Star by the Government of Japan, received an honorary appointment as Knight Commander of the Most Excellent Order of the British Empire (KBE), and been conferred the degree of D.Sc. h.c. from five universities. He has also been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 We believe that Dr. Yamada’s extensive background in medical and biopharmaceutical research, as well as his service as a director or officer of other healthcare companies, qualifies him to serve as chair of our board of directors.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3" w:name="page154"/>
    <w:bookmarkEnd w:id="153"/>
    <w:p>
      <w:pPr>
        <w:ind w:right="80" w:firstLine="576"/>
        <w:spacing w:after="0"/>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1980. We believe Mr. Edelman’s experience as a board member and investor in many successful biotechnology companies qualifies him to serve on our board of directors.</w:t>
      </w:r>
    </w:p>
    <w:p>
      <w:pPr>
        <w:spacing w:after="0" w:line="18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Mr. Fluke’s extensive leadership experience and background as an investor in many successful companies qualifies him to serve on our board of directors.</w:t>
      </w:r>
    </w:p>
    <w:p>
      <w:pPr>
        <w:spacing w:after="0" w:line="186" w:lineRule="exact"/>
        <w:rPr>
          <w:sz w:val="20"/>
          <w:szCs w:val="20"/>
          <w:color w:val="auto"/>
        </w:rPr>
      </w:pPr>
    </w:p>
    <w:p>
      <w:pPr>
        <w:ind w:right="40" w:firstLine="576"/>
        <w:spacing w:after="0"/>
        <w:rPr>
          <w:sz w:val="20"/>
          <w:szCs w:val="20"/>
          <w:color w:val="auto"/>
        </w:rPr>
      </w:pPr>
      <w:r>
        <w:rPr>
          <w:rFonts w:ascii="Arial" w:cs="Arial" w:eastAsia="Arial" w:hAnsi="Arial"/>
          <w:sz w:val="18"/>
          <w:szCs w:val="18"/>
          <w:i w:val="1"/>
          <w:iCs w:val="1"/>
          <w:color w:val="auto"/>
        </w:rPr>
        <w:t>Joseph Harding, Ph.D.</w:t>
      </w:r>
      <w:r>
        <w:rPr>
          <w:rFonts w:ascii="Arial" w:cs="Arial" w:eastAsia="Arial" w:hAnsi="Arial"/>
          <w:sz w:val="18"/>
          <w:szCs w:val="18"/>
          <w:color w:val="auto"/>
        </w:rPr>
        <w:t>, has served on our board of directors since October 2011. Dr. Harding is co-inventor and co-founder of Athira</w:t>
      </w:r>
      <w:r>
        <w:rPr>
          <w:rFonts w:ascii="Arial" w:cs="Arial" w:eastAsia="Arial" w:hAnsi="Arial"/>
          <w:sz w:val="18"/>
          <w:szCs w:val="18"/>
          <w:i w:val="1"/>
          <w:iCs w:val="1"/>
          <w:color w:val="auto"/>
        </w:rPr>
        <w:t xml:space="preserve"> </w:t>
      </w:r>
      <w:r>
        <w:rPr>
          <w:rFonts w:ascii="Arial" w:cs="Arial" w:eastAsia="Arial" w:hAnsi="Arial"/>
          <w:sz w:val="18"/>
          <w:szCs w:val="18"/>
          <w:color w:val="auto"/>
        </w:rPr>
        <w:t>Pharma, Inc. and has served on our board of directors since October 2011. He is the co-author of over 200 peer-reviewed publications and lead inventor of three issued and two published patents and a recent PCT application. Dr. Harding completed his Ph.D. in chemistry at the University of Delaware in 1974 and his B.S. in chemistry at Allegheny College in 1970. He was a postdoctoral fellow in neurochemistry with Frank Margolis at Roche Institute of Molecular Biology in 1974–76 and has been at Washington State University since 1976. Dr. Harding was the co-founder of Pacific Northwest Biotechnology. We believe Dr. Harding’s extensive scientific research experience and background in scientific innovation qualify him to serve on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Risk Oversight</w:t>
      </w:r>
    </w:p>
    <w:p>
      <w:pPr>
        <w:spacing w:after="0" w:line="23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board of directors is currently composed of five members. Each of our directors other than Dr. Kawas is independent within the meaning of the independent director guidelines of the Nasdaq Global Market. All of the directors other than Dr. Kawas were elected to our board of directors pursuant to a voting agreement that will terminate automatically by its terms upon the completion of a qualified initial public offering. Our certificate of incorporation and bylaws to be in effect upon the completion of this offering provide that the number of our directors shall be at least one and will be fixed from time to time by resolution of our board of directors.</w:t>
      </w:r>
    </w:p>
    <w:p>
      <w:pPr>
        <w:spacing w:after="0" w:line="20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Immediately prior to the completion of this offering, our board of directors will be divided into three classes of directors. At each annual meeting of stockholders, a class of directors will be elected for a three -year term to succeed the class whose terms are then expiring. The terms of the directors will expire upon the election and qualification of successor directors at the annual meeting of stockholders to be held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during the years 2021 for the Class I directors, 2022 for the Class II directors and 2023 for the Class III directors.</w:t>
      </w:r>
    </w:p>
    <w:p>
      <w:pPr>
        <w:spacing w:after="0" w:line="9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ind w:left="200"/>
              <w:spacing w:after="0"/>
              <w:rPr>
                <w:sz w:val="20"/>
                <w:szCs w:val="20"/>
                <w:color w:val="auto"/>
              </w:rPr>
            </w:pPr>
            <w:r>
              <w:rPr>
                <w:rFonts w:ascii="Arial" w:cs="Arial" w:eastAsia="Arial" w:hAnsi="Arial"/>
                <w:sz w:val="18"/>
                <w:szCs w:val="18"/>
                <w:color w:val="auto"/>
              </w:rPr>
              <w:t>Our Class I directors will be</w:t>
            </w:r>
          </w:p>
        </w:tc>
        <w:tc>
          <w:tcPr>
            <w:tcW w:w="820" w:type="dxa"/>
            <w:vAlign w:val="bottom"/>
          </w:tcPr>
          <w:p>
            <w:pPr>
              <w:ind w:left="200"/>
              <w:spacing w:after="0"/>
              <w:rPr>
                <w:sz w:val="20"/>
                <w:szCs w:val="20"/>
                <w:color w:val="auto"/>
              </w:rPr>
            </w:pPr>
            <w:r>
              <w:rPr>
                <w:rFonts w:ascii="Arial" w:cs="Arial" w:eastAsia="Arial" w:hAnsi="Arial"/>
                <w:sz w:val="18"/>
                <w:szCs w:val="18"/>
                <w:color w:val="auto"/>
              </w:rPr>
              <w:t>and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ind w:left="200"/>
              <w:spacing w:after="0"/>
              <w:rPr>
                <w:sz w:val="20"/>
                <w:szCs w:val="20"/>
                <w:color w:val="auto"/>
              </w:rPr>
            </w:pPr>
            <w:r>
              <w:rPr>
                <w:rFonts w:ascii="Arial" w:cs="Arial" w:eastAsia="Arial" w:hAnsi="Arial"/>
                <w:sz w:val="18"/>
                <w:szCs w:val="18"/>
                <w:color w:val="auto"/>
              </w:rPr>
              <w:t>Our Class II directors will be</w:t>
            </w:r>
          </w:p>
        </w:tc>
        <w:tc>
          <w:tcPr>
            <w:tcW w:w="820" w:type="dxa"/>
            <w:vAlign w:val="bottom"/>
          </w:tcPr>
          <w:p>
            <w:pPr>
              <w:ind w:left="300"/>
              <w:spacing w:after="0"/>
              <w:rPr>
                <w:sz w:val="20"/>
                <w:szCs w:val="20"/>
                <w:color w:val="auto"/>
              </w:rPr>
            </w:pPr>
            <w:r>
              <w:rPr>
                <w:rFonts w:ascii="Arial" w:cs="Arial" w:eastAsia="Arial" w:hAnsi="Arial"/>
                <w:sz w:val="18"/>
                <w:szCs w:val="18"/>
                <w:color w:val="auto"/>
              </w:rPr>
              <w:t>and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ind w:left="200"/>
              <w:spacing w:after="0"/>
              <w:rPr>
                <w:sz w:val="20"/>
                <w:szCs w:val="20"/>
                <w:color w:val="auto"/>
              </w:rPr>
            </w:pPr>
            <w:r>
              <w:rPr>
                <w:rFonts w:ascii="Arial" w:cs="Arial" w:eastAsia="Arial" w:hAnsi="Arial"/>
                <w:sz w:val="18"/>
                <w:szCs w:val="18"/>
                <w:color w:val="auto"/>
              </w:rPr>
              <w:t>Our Class III directors will be</w:t>
            </w:r>
          </w:p>
        </w:tc>
        <w:tc>
          <w:tcPr>
            <w:tcW w:w="820" w:type="dxa"/>
            <w:vAlign w:val="bottom"/>
          </w:tcPr>
          <w:p>
            <w:pPr>
              <w:ind w:left="300"/>
              <w:spacing w:after="0"/>
              <w:rPr>
                <w:sz w:val="20"/>
                <w:szCs w:val="20"/>
                <w:color w:val="auto"/>
              </w:rPr>
            </w:pPr>
            <w:r>
              <w:rPr>
                <w:rFonts w:ascii="Arial" w:cs="Arial" w:eastAsia="Arial" w:hAnsi="Arial"/>
                <w:sz w:val="18"/>
                <w:szCs w:val="18"/>
                <w:color w:val="auto"/>
              </w:rPr>
              <w:t>and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ind w:right="280" w:firstLine="576"/>
        <w:spacing w:after="0" w:line="23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 See the section of this prospectus titled “Description of Capital Stock—Anti-Takeover Effects of Delaware and Washington Law and Our Certificate of Incorporation and Bylaws” for a discussion of other anti-takeover provisions found in our certificate of incorporation.</w:t>
      </w:r>
    </w:p>
    <w:p>
      <w:pPr>
        <w:spacing w:after="0" w:line="205"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and potential conflicts of interest. While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affected the board of directors’ leadership structure.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Upon the completion of this offering, we anticipate that our common stock will be listed on the Nasdaq Global Market. Under the rules of the Nasdaq Global Market, independent directors must comprise a majority of a listed company’s board of directors within a specified period of the completion of this offering. In addition, the rules of the Nasdaq Global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03"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5" w:lineRule="exact"/>
        <w:rPr>
          <w:sz w:val="20"/>
          <w:szCs w:val="20"/>
          <w:color w:val="auto"/>
        </w:rPr>
      </w:pPr>
    </w:p>
    <w:p>
      <w:pPr>
        <w:ind w:right="60" w:firstLine="576"/>
        <w:spacing w:after="0" w:line="248" w:lineRule="auto"/>
        <w:rPr>
          <w:sz w:val="20"/>
          <w:szCs w:val="20"/>
          <w:color w:val="auto"/>
        </w:rPr>
      </w:pPr>
      <w:r>
        <w:rPr>
          <w:rFonts w:ascii="Arial" w:cs="Arial" w:eastAsia="Arial" w:hAnsi="Arial"/>
          <w:sz w:val="17"/>
          <w:szCs w:val="17"/>
          <w:color w:val="auto"/>
        </w:rPr>
        <w:t>In , our board of directors undertook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Kawas, none of our directors has a relationship that would interfere with the exercise of independent judgment in carrying out the responsibilities of a director and that each of these directors is “independent” as that term is defined under the rules of the Nasdaq Global Market. In , our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board of directors also determined that</w:t>
            </w:r>
          </w:p>
        </w:tc>
        <w:tc>
          <w:tcPr>
            <w:tcW w:w="3300" w:type="dxa"/>
            <w:vAlign w:val="bottom"/>
          </w:tcPr>
          <w:p>
            <w:pPr>
              <w:jc w:val="right"/>
              <w:ind w:right="150"/>
              <w:spacing w:after="0"/>
              <w:rPr>
                <w:sz w:val="20"/>
                <w:szCs w:val="20"/>
                <w:color w:val="auto"/>
              </w:rPr>
            </w:pPr>
            <w:r>
              <w:rPr>
                <w:rFonts w:ascii="Arial" w:cs="Arial" w:eastAsia="Arial" w:hAnsi="Arial"/>
                <w:sz w:val="18"/>
                <w:szCs w:val="18"/>
                <w:color w:val="auto"/>
              </w:rPr>
              <w:t>, who comprise our audit committee;</w:t>
            </w:r>
          </w:p>
        </w:tc>
        <w:tc>
          <w:tcPr>
            <w:tcW w:w="4700" w:type="dxa"/>
            <w:vAlign w:val="bottom"/>
          </w:tcPr>
          <w:p>
            <w:pPr>
              <w:ind w:left="220"/>
              <w:spacing w:after="0"/>
              <w:rPr>
                <w:sz w:val="20"/>
                <w:szCs w:val="20"/>
                <w:color w:val="auto"/>
              </w:rPr>
            </w:pPr>
            <w:r>
              <w:rPr>
                <w:rFonts w:ascii="Arial" w:cs="Arial" w:eastAsia="Arial" w:hAnsi="Arial"/>
                <w:sz w:val="18"/>
                <w:szCs w:val="18"/>
                <w:color w:val="auto"/>
              </w:rPr>
              <w:t>, who comprise</w:t>
            </w:r>
          </w:p>
        </w:tc>
      </w:tr>
      <w:tr>
        <w:trPr>
          <w:trHeight w:val="418"/>
        </w:trPr>
        <w:tc>
          <w:tcPr>
            <w:tcW w:w="3260" w:type="dxa"/>
            <w:vAlign w:val="bottom"/>
          </w:tcPr>
          <w:p>
            <w:pPr>
              <w:spacing w:after="0"/>
              <w:rPr>
                <w:sz w:val="24"/>
                <w:szCs w:val="24"/>
                <w:color w:val="auto"/>
              </w:rPr>
            </w:pPr>
          </w:p>
        </w:tc>
        <w:tc>
          <w:tcPr>
            <w:tcW w:w="3300" w:type="dxa"/>
            <w:vAlign w:val="bottom"/>
          </w:tcPr>
          <w:p>
            <w:pPr>
              <w:jc w:val="right"/>
              <w:ind w:right="630"/>
              <w:spacing w:after="0"/>
              <w:rPr>
                <w:sz w:val="20"/>
                <w:szCs w:val="20"/>
                <w:color w:val="auto"/>
              </w:rPr>
            </w:pPr>
            <w:r>
              <w:rPr>
                <w:rFonts w:ascii="Arial" w:cs="Arial" w:eastAsia="Arial" w:hAnsi="Arial"/>
                <w:sz w:val="18"/>
                <w:szCs w:val="18"/>
                <w:color w:val="auto"/>
              </w:rPr>
              <w:t>-152-</w:t>
            </w:r>
          </w:p>
        </w:tc>
        <w:tc>
          <w:tcPr>
            <w:tcW w:w="4700" w:type="dxa"/>
            <w:vAlign w:val="bottom"/>
          </w:tcPr>
          <w:p>
            <w:pPr>
              <w:spacing w:after="0"/>
              <w:rPr>
                <w:sz w:val="24"/>
                <w:szCs w:val="24"/>
                <w:color w:val="auto"/>
              </w:rPr>
            </w:pPr>
          </w:p>
        </w:tc>
      </w:tr>
      <w:tr>
        <w:trPr>
          <w:trHeight w:val="101"/>
        </w:trPr>
        <w:tc>
          <w:tcPr>
            <w:tcW w:w="326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55" w:name="page156"/>
    <w:bookmarkEnd w:id="155"/>
    <w:p>
      <w:pPr>
        <w:ind w:right="280"/>
        <w:spacing w:after="0" w:line="238" w:lineRule="auto"/>
        <w:rPr>
          <w:sz w:val="20"/>
          <w:szCs w:val="20"/>
          <w:color w:val="auto"/>
        </w:rPr>
      </w:pPr>
      <w:r>
        <w:rPr>
          <w:rFonts w:ascii="Arial" w:cs="Arial" w:eastAsia="Arial" w:hAnsi="Arial"/>
          <w:sz w:val="18"/>
          <w:szCs w:val="18"/>
          <w:color w:val="auto"/>
        </w:rPr>
        <w:t>our compensation committee; and , who comprise our nominating and corporate governance committee, satisfy the independence standards for those committees established by applicable SEC rules and the rules of the Nasdaq Global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Dr. Yamada serves as the chairman of the board of directors, and Dr. Kawas serves as our president and chief executive officer. The roles of chief executive officer and chairman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chairman or appoints a chief executive officer, based on the relevant facts and circumstances applicable at such time. In 2014, when Dr. Kawas was first appointed as our president and chief executive officer, the Board determined it was in the best interests of our stockholders to continue to maintain an independent chairman to allow Dr. Kawas to focus on her primary responsibility for the operational leadership and strategic direction of our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4"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right="360" w:firstLine="576"/>
        <w:spacing w:after="0" w:line="234" w:lineRule="auto"/>
        <w:rPr>
          <w:sz w:val="20"/>
          <w:szCs w:val="20"/>
          <w:color w:val="auto"/>
        </w:rPr>
      </w:pPr>
      <w:r>
        <w:rPr>
          <w:rFonts w:ascii="Arial" w:cs="Arial" w:eastAsia="Arial" w:hAnsi="Arial"/>
          <w:sz w:val="18"/>
          <w:szCs w:val="18"/>
          <w:color w:val="auto"/>
        </w:rPr>
        <w:t>The members of our audit committee are , and , each of whom is a non-employee member of our board of directors. Our audit committee chairman, , is our audit committee financial expert, as that term is defined under the SEC rules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implementing Section 407 of the Sarbanes-Oxley Act of 2002, and possesses financial sophistication, as defined under the rules of the Nasdaq Global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Market. Our board of directors has determined that each of</w:t>
      </w:r>
    </w:p>
    <w:p>
      <w:pPr>
        <w:spacing w:after="0" w:line="3" w:lineRule="exact"/>
        <w:rPr>
          <w:sz w:val="20"/>
          <w:szCs w:val="20"/>
          <w:color w:val="auto"/>
        </w:rPr>
      </w:pPr>
    </w:p>
    <w:p>
      <w:pPr>
        <w:ind w:right="100" w:firstLine="600"/>
        <w:spacing w:after="0" w:line="246" w:lineRule="auto"/>
        <w:rPr>
          <w:sz w:val="20"/>
          <w:szCs w:val="20"/>
          <w:color w:val="auto"/>
        </w:rPr>
      </w:pPr>
      <w:r>
        <w:rPr>
          <w:rFonts w:ascii="Arial" w:cs="Arial" w:eastAsia="Arial" w:hAnsi="Arial"/>
          <w:sz w:val="18"/>
          <w:szCs w:val="18"/>
          <w:color w:val="auto"/>
        </w:rPr>
        <w:t>, and is independent for audit committee purposes, as that term is defined in the rules of the SEC and the applicable Nasdaq rules, and have sufficient knowledge in financial and auditing matters to serve on the audit committee.</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audit committee will:</w:t>
      </w:r>
    </w:p>
    <w:p>
      <w:pPr>
        <w:spacing w:after="0" w:line="104" w:lineRule="exact"/>
        <w:rPr>
          <w:sz w:val="20"/>
          <w:szCs w:val="20"/>
          <w:color w:val="auto"/>
        </w:rPr>
      </w:pPr>
    </w:p>
    <w:p>
      <w:pPr>
        <w:ind w:left="1300" w:right="840" w:hanging="442"/>
        <w:spacing w:after="0" w:line="246"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196"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audit;</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internal controls and integrity of financial statements;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financial information presentation, earnings press releases and guidance;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56" w:name="page157"/>
    <w:bookmarkEnd w:id="156"/>
    <w:p>
      <w:pPr>
        <w:ind w:left="1300" w:right="460" w:hanging="442"/>
        <w:spacing w:after="0" w:line="246"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our independent auditor and oversee compliance with such policies;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adopt and oversee procedures to address complaints regarding accounting, internal accounting controls or auditing matters;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discuss with our management and the independent auditor our compliance with various laws;</w:t>
      </w:r>
    </w:p>
    <w:p>
      <w:pPr>
        <w:spacing w:after="0" w:line="225"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discuss with management our independent auditor guidelines and policies to identify, monitor, and address enterprise risks;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engage independent legal, accounting and other advisors;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provide appropriate funding for compensation to independent registered accounting firm, advisers and related expenses; and</w:t>
      </w:r>
    </w:p>
    <w:p>
      <w:pPr>
        <w:spacing w:after="0" w:line="236" w:lineRule="exact"/>
        <w:rPr>
          <w:rFonts w:ascii="Arial" w:cs="Arial" w:eastAsia="Arial" w:hAnsi="Arial"/>
          <w:sz w:val="17"/>
          <w:szCs w:val="17"/>
          <w:color w:val="auto"/>
        </w:rPr>
      </w:pPr>
    </w:p>
    <w:p>
      <w:pPr>
        <w:ind w:left="1300" w:hanging="442"/>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the adequacy of the audit committee charter and recommend any proposed changes to our board of directors.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1" w:lineRule="exact"/>
        <w:rPr>
          <w:sz w:val="20"/>
          <w:szCs w:val="20"/>
          <w:color w:val="auto"/>
        </w:rPr>
      </w:pPr>
    </w:p>
    <w:p>
      <w:pPr>
        <w:ind w:left="580"/>
        <w:spacing w:after="0"/>
        <w:tabs>
          <w:tab w:leader="none" w:pos="5200" w:val="left"/>
          <w:tab w:leader="none" w:pos="5940" w:val="left"/>
          <w:tab w:leader="none" w:pos="6900" w:val="left"/>
          <w:tab w:leader="none" w:pos="764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is the chairman of our compensation</w:t>
      </w:r>
    </w:p>
    <w:p>
      <w:pPr>
        <w:ind w:right="200"/>
        <w:spacing w:after="0"/>
        <w:rPr>
          <w:sz w:val="20"/>
          <w:szCs w:val="20"/>
          <w:color w:val="auto"/>
        </w:rPr>
      </w:pPr>
      <w:r>
        <w:rPr>
          <w:rFonts w:ascii="Arial" w:cs="Arial" w:eastAsia="Arial" w:hAnsi="Arial"/>
          <w:sz w:val="18"/>
          <w:szCs w:val="18"/>
          <w:color w:val="auto"/>
        </w:rPr>
        <w:t>committee. Our compensation committee oversees our compensation policies, plans and benefits programs. Our compensation committee operates under a written charter that specifies its duties and responsibilities and satisfies the applicable listing standards of the Nasdaq Global Market. The compensation committee will:</w:t>
      </w:r>
    </w:p>
    <w:p>
      <w:pPr>
        <w:spacing w:after="0" w:line="95" w:lineRule="exact"/>
        <w:rPr>
          <w:sz w:val="20"/>
          <w:szCs w:val="20"/>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approve the corporate goals and objectives applicable to the compensation of our chief executive officer;</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approve the compensation and benefits for our executive officers;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approve, and administer employee compensation plans;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advise on proposals to stockholders on executive compensation matters;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oversee compensation plans and programs;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discuss our compensation policies and practices and the risks related thereto;</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monitor compliance with any stock ownership guidelines;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approve the creation or revision of any clawback policy allowing us to recoup compensation paid to employees;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oversee regulatory compliance with respect to compensation matters;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retain or obtain the advice of compensation consultants; and</w:t>
      </w:r>
    </w:p>
    <w:p>
      <w:pPr>
        <w:spacing w:after="0" w:line="225" w:lineRule="exact"/>
        <w:rPr>
          <w:rFonts w:ascii="Arial" w:cs="Arial" w:eastAsia="Arial" w:hAnsi="Arial"/>
          <w:sz w:val="18"/>
          <w:szCs w:val="18"/>
          <w:color w:val="auto"/>
        </w:rPr>
      </w:pPr>
    </w:p>
    <w:p>
      <w:pPr>
        <w:ind w:left="1300" w:right="680" w:hanging="442"/>
        <w:spacing w:after="0" w:line="246"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the adequacy of the compensation committee charter and recommend any proposed changes to our board of directors.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1" w:lineRule="exact"/>
        <w:rPr>
          <w:sz w:val="20"/>
          <w:szCs w:val="20"/>
          <w:color w:val="auto"/>
        </w:rPr>
      </w:pPr>
    </w:p>
    <w:p>
      <w:pPr>
        <w:ind w:left="580"/>
        <w:spacing w:after="0"/>
        <w:tabs>
          <w:tab w:leader="none" w:pos="7060" w:val="left"/>
          <w:tab w:leader="none" w:pos="7800" w:val="left"/>
          <w:tab w:leader="none" w:pos="8760" w:val="left"/>
          <w:tab w:leader="none" w:pos="9460" w:val="left"/>
        </w:tabs>
        <w:rPr>
          <w:sz w:val="20"/>
          <w:szCs w:val="20"/>
          <w:color w:val="auto"/>
        </w:rPr>
      </w:pPr>
      <w:r>
        <w:rPr>
          <w:rFonts w:ascii="Arial" w:cs="Arial" w:eastAsia="Arial" w:hAnsi="Arial"/>
          <w:sz w:val="18"/>
          <w:szCs w:val="18"/>
          <w:color w:val="auto"/>
        </w:rPr>
        <w:t>The members of our nominating and corporate governance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is the chairman of our</w:t>
      </w:r>
    </w:p>
    <w:p>
      <w:pPr>
        <w:ind w:right="80"/>
        <w:spacing w:after="0"/>
        <w:rPr>
          <w:sz w:val="20"/>
          <w:szCs w:val="20"/>
          <w:color w:val="auto"/>
        </w:rPr>
      </w:pPr>
      <w:r>
        <w:rPr>
          <w:rFonts w:ascii="Arial" w:cs="Arial" w:eastAsia="Arial" w:hAnsi="Arial"/>
          <w:sz w:val="18"/>
          <w:szCs w:val="18"/>
          <w:color w:val="auto"/>
        </w:rPr>
        <w:t>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57" w:name="page158"/>
    <w:bookmarkEnd w:id="157"/>
    <w:p>
      <w:pPr>
        <w:ind w:right="680"/>
        <w:spacing w:after="0" w:line="246" w:lineRule="auto"/>
        <w:rPr>
          <w:sz w:val="20"/>
          <w:szCs w:val="20"/>
          <w:color w:val="auto"/>
        </w:rPr>
      </w:pPr>
      <w:r>
        <w:rPr>
          <w:rFonts w:ascii="Arial" w:cs="Arial" w:eastAsia="Arial" w:hAnsi="Arial"/>
          <w:sz w:val="18"/>
          <w:szCs w:val="18"/>
          <w:color w:val="auto"/>
        </w:rPr>
        <w:t>responsibilities and satisfies the applicable listing standards of the Nasdaq Global Market. The nominating and corporate governance committee will:</w:t>
      </w:r>
    </w:p>
    <w:p>
      <w:pPr>
        <w:spacing w:after="0" w:line="89" w:lineRule="exact"/>
        <w:rPr>
          <w:sz w:val="20"/>
          <w:szCs w:val="20"/>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establish procedures for the submission of candidates for election to our board of directors;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conduct a periodic review of our succession planning process for the executive management team;</w:t>
      </w:r>
    </w:p>
    <w:p>
      <w:pPr>
        <w:spacing w:after="0" w:line="225"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the structure and composition of each committee of our board of directors and make recommendations for changes to the committees;</w:t>
      </w:r>
    </w:p>
    <w:p>
      <w:pPr>
        <w:spacing w:after="0" w:line="196" w:lineRule="exact"/>
        <w:rPr>
          <w:rFonts w:ascii="Arial" w:cs="Arial" w:eastAsia="Arial" w:hAnsi="Arial"/>
          <w:sz w:val="18"/>
          <w:szCs w:val="18"/>
          <w:color w:val="auto"/>
        </w:rPr>
      </w:pPr>
    </w:p>
    <w:p>
      <w:pPr>
        <w:ind w:left="1300" w:right="620" w:hanging="442"/>
        <w:spacing w:after="0" w:line="246"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develop and recommend to the board of directors corporate governance guidelines and annually review the corporate governance guidelines and their application;</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 governance practices;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 our director orientation and continuing education;</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 the evaluation of our board of directors and its committees;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develop, approve, review and monitor compliance with our Code of Business Conduct and Ethics;</w:t>
      </w:r>
    </w:p>
    <w:p>
      <w:pPr>
        <w:spacing w:after="0" w:line="225" w:lineRule="exact"/>
        <w:rPr>
          <w:rFonts w:ascii="Arial" w:cs="Arial" w:eastAsia="Arial" w:hAnsi="Arial"/>
          <w:sz w:val="18"/>
          <w:szCs w:val="18"/>
          <w:color w:val="auto"/>
        </w:rPr>
      </w:pPr>
    </w:p>
    <w:p>
      <w:pPr>
        <w:ind w:left="1300" w:right="720" w:hanging="442"/>
        <w:spacing w:after="0" w:line="246"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administer policies and procedures for various constituencies that are involved with us to communicate with the non-management members of our board of directors; and</w:t>
      </w:r>
    </w:p>
    <w:p>
      <w:pPr>
        <w:spacing w:after="0" w:line="196"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the adequacy of the nominating and corporate governance committee charter and recommend any proposed changes to our board of directors.</w:t>
      </w:r>
    </w:p>
    <w:p>
      <w:pPr>
        <w:spacing w:after="0" w:line="3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4" w:lineRule="exact"/>
        <w:rPr>
          <w:sz w:val="20"/>
          <w:szCs w:val="20"/>
          <w:color w:val="auto"/>
        </w:rPr>
      </w:pPr>
    </w:p>
    <w:p>
      <w:pPr>
        <w:ind w:right="240" w:firstLine="576"/>
        <w:spacing w:after="0" w:line="206" w:lineRule="exact"/>
        <w:rPr>
          <w:sz w:val="20"/>
          <w:szCs w:val="20"/>
          <w:color w:val="auto"/>
        </w:rPr>
      </w:pPr>
      <w:r>
        <w:rPr>
          <w:rFonts w:ascii="Arial" w:cs="Arial" w:eastAsia="Arial" w:hAnsi="Arial"/>
          <w:sz w:val="18"/>
          <w:szCs w:val="18"/>
          <w:color w:val="auto"/>
        </w:rPr>
        <w:t>Prior to this offering, we did not have a formal policy with respect to compensation payable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their service as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205" w:lineRule="exact"/>
        <w:rPr>
          <w:sz w:val="20"/>
          <w:szCs w:val="20"/>
          <w:color w:val="auto"/>
        </w:rPr>
      </w:pPr>
    </w:p>
    <w:p>
      <w:pPr>
        <w:ind w:right="100" w:firstLine="576"/>
        <w:spacing w:after="0" w:line="205"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of which this prospectus forms a part. Based on the discussions with and assistance from Radford, prior to the completion of this offering, our board of directors intends to adopt, and we expect our stockholders will approve, an Outside Director Compensation Policy that will provide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effective on and after the effective date of the registration statement of which this prospectus forms a part.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22" w:lineRule="exact"/>
        <w:rPr>
          <w:sz w:val="20"/>
          <w:szCs w:val="20"/>
          <w:color w:val="auto"/>
        </w:rPr>
      </w:pPr>
    </w:p>
    <w:p>
      <w:pPr>
        <w:ind w:right="160" w:firstLine="576"/>
        <w:spacing w:after="0" w:line="210" w:lineRule="exact"/>
        <w:rPr>
          <w:sz w:val="20"/>
          <w:szCs w:val="20"/>
          <w:color w:val="auto"/>
        </w:rPr>
      </w:pPr>
      <w:r>
        <w:rPr>
          <w:rFonts w:ascii="Arial" w:cs="Arial" w:eastAsia="Arial" w:hAnsi="Arial"/>
          <w:sz w:val="18"/>
          <w:szCs w:val="18"/>
          <w:color w:val="auto"/>
        </w:rPr>
        <w:t>The Outside Director Compensation Policy will provide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effective upon the effective date of the registration statement of which this prospectus forms a part: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rPr>
              <w:t>per</w:t>
            </w:r>
          </w:p>
        </w:tc>
        <w:tc>
          <w:tcPr>
            <w:tcW w:w="9140" w:type="dxa"/>
            <w:vAlign w:val="bottom"/>
          </w:tcPr>
          <w:p>
            <w:pPr>
              <w:ind w:left="180"/>
              <w:spacing w:after="0" w:line="207" w:lineRule="exact"/>
              <w:rPr>
                <w:sz w:val="20"/>
                <w:szCs w:val="20"/>
                <w:color w:val="auto"/>
              </w:rPr>
            </w:pPr>
            <w:r>
              <w:rPr>
                <w:rFonts w:ascii="Arial" w:cs="Arial" w:eastAsia="Arial" w:hAnsi="Arial"/>
                <w:sz w:val="18"/>
                <w:szCs w:val="18"/>
                <w:color w:val="auto"/>
              </w:rPr>
              <w:t>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tc>
      </w:tr>
      <w:tr>
        <w:trPr>
          <w:trHeight w:val="432"/>
        </w:trPr>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rPr>
              <w:t>per</w:t>
            </w:r>
          </w:p>
        </w:tc>
        <w:tc>
          <w:tcPr>
            <w:tcW w:w="9140" w:type="dxa"/>
            <w:vAlign w:val="bottom"/>
          </w:tcPr>
          <w:p>
            <w:pPr>
              <w:ind w:left="180"/>
              <w:spacing w:after="0"/>
              <w:rPr>
                <w:sz w:val="20"/>
                <w:szCs w:val="20"/>
                <w:color w:val="auto"/>
              </w:rPr>
            </w:pPr>
            <w:r>
              <w:rPr>
                <w:rFonts w:ascii="Arial" w:cs="Arial" w:eastAsia="Arial" w:hAnsi="Arial"/>
                <w:sz w:val="18"/>
                <w:szCs w:val="18"/>
                <w:color w:val="auto"/>
              </w:rPr>
              <w:t>for service as non-executive chairman;</w:t>
            </w:r>
          </w:p>
        </w:tc>
      </w:tr>
      <w:tr>
        <w:trPr>
          <w:trHeight w:val="432"/>
        </w:trPr>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rPr>
              <w:t>per</w:t>
            </w:r>
          </w:p>
        </w:tc>
        <w:tc>
          <w:tcPr>
            <w:tcW w:w="9140" w:type="dxa"/>
            <w:vAlign w:val="bottom"/>
          </w:tcPr>
          <w:p>
            <w:pPr>
              <w:ind w:left="180"/>
              <w:spacing w:after="0"/>
              <w:rPr>
                <w:sz w:val="20"/>
                <w:szCs w:val="20"/>
                <w:color w:val="auto"/>
              </w:rPr>
            </w:pPr>
            <w:r>
              <w:rPr>
                <w:rFonts w:ascii="Arial" w:cs="Arial" w:eastAsia="Arial" w:hAnsi="Arial"/>
                <w:sz w:val="18"/>
                <w:szCs w:val="18"/>
                <w:color w:val="auto"/>
              </w:rPr>
              <w:t>for service as chairman of the audit committee;</w:t>
            </w:r>
          </w:p>
        </w:tc>
      </w:tr>
      <w:tr>
        <w:trPr>
          <w:trHeight w:val="432"/>
        </w:trPr>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rPr>
              <w:t>per</w:t>
            </w:r>
          </w:p>
        </w:tc>
        <w:tc>
          <w:tcPr>
            <w:tcW w:w="9140" w:type="dxa"/>
            <w:vAlign w:val="bottom"/>
          </w:tcPr>
          <w:p>
            <w:pPr>
              <w:ind w:left="180"/>
              <w:spacing w:after="0"/>
              <w:rPr>
                <w:sz w:val="20"/>
                <w:szCs w:val="20"/>
                <w:color w:val="auto"/>
              </w:rPr>
            </w:pPr>
            <w:r>
              <w:rPr>
                <w:rFonts w:ascii="Arial" w:cs="Arial" w:eastAsia="Arial" w:hAnsi="Arial"/>
                <w:sz w:val="18"/>
                <w:szCs w:val="18"/>
                <w:color w:val="auto"/>
              </w:rPr>
              <w:t>for service as a member of the audit committee;</w:t>
            </w:r>
          </w:p>
        </w:tc>
      </w:tr>
      <w:tr>
        <w:trPr>
          <w:trHeight w:val="54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40" w:type="dxa"/>
            <w:vAlign w:val="bottom"/>
          </w:tcPr>
          <w:p>
            <w:pPr>
              <w:ind w:left="3300"/>
              <w:spacing w:after="0"/>
              <w:rPr>
                <w:sz w:val="20"/>
                <w:szCs w:val="20"/>
                <w:color w:val="auto"/>
              </w:rPr>
            </w:pPr>
            <w:r>
              <w:rPr>
                <w:rFonts w:ascii="Arial" w:cs="Arial" w:eastAsia="Arial" w:hAnsi="Arial"/>
                <w:sz w:val="18"/>
                <w:szCs w:val="18"/>
                <w:color w:val="auto"/>
              </w:rPr>
              <w:t>-155-</w:t>
            </w:r>
          </w:p>
        </w:tc>
      </w:tr>
      <w:tr>
        <w:trPr>
          <w:trHeight w:val="102"/>
        </w:trPr>
        <w:tc>
          <w:tcPr>
            <w:tcW w:w="1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158" w:name="page159"/>
    <w:bookmarkEnd w:id="158"/>
    <w:tbl>
      <w:tblPr>
        <w:tblLayout w:type="fixed"/>
        <w:tblInd w:w="8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rPr>
              <w:t>per</w:t>
            </w:r>
          </w:p>
        </w:tc>
        <w:tc>
          <w:tcPr>
            <w:tcW w:w="6900" w:type="dxa"/>
            <w:vAlign w:val="bottom"/>
          </w:tcPr>
          <w:p>
            <w:pPr>
              <w:ind w:left="180"/>
              <w:spacing w:after="0"/>
              <w:rPr>
                <w:sz w:val="20"/>
                <w:szCs w:val="20"/>
                <w:color w:val="auto"/>
              </w:rPr>
            </w:pPr>
            <w:r>
              <w:rPr>
                <w:rFonts w:ascii="Arial" w:cs="Arial" w:eastAsia="Arial" w:hAnsi="Arial"/>
                <w:sz w:val="18"/>
                <w:szCs w:val="18"/>
                <w:color w:val="auto"/>
              </w:rPr>
              <w:t>for service as chairman of the compensation committee;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rPr>
              <w:t>per</w:t>
            </w:r>
          </w:p>
        </w:tc>
        <w:tc>
          <w:tcPr>
            <w:tcW w:w="6900" w:type="dxa"/>
            <w:vAlign w:val="bottom"/>
          </w:tcPr>
          <w:p>
            <w:pPr>
              <w:ind w:left="180"/>
              <w:spacing w:after="0"/>
              <w:rPr>
                <w:sz w:val="20"/>
                <w:szCs w:val="20"/>
                <w:color w:val="auto"/>
              </w:rPr>
            </w:pPr>
            <w:r>
              <w:rPr>
                <w:rFonts w:ascii="Arial" w:cs="Arial" w:eastAsia="Arial" w:hAnsi="Arial"/>
                <w:sz w:val="18"/>
                <w:szCs w:val="18"/>
                <w:color w:val="auto"/>
              </w:rPr>
              <w:t>for service as a member of the compensation committee;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rPr>
              <w:t>per</w:t>
            </w:r>
          </w:p>
        </w:tc>
        <w:tc>
          <w:tcPr>
            <w:tcW w:w="6900" w:type="dxa"/>
            <w:vAlign w:val="bottom"/>
          </w:tcPr>
          <w:p>
            <w:pPr>
              <w:ind w:left="180"/>
              <w:spacing w:after="0"/>
              <w:rPr>
                <w:sz w:val="20"/>
                <w:szCs w:val="20"/>
                <w:color w:val="auto"/>
              </w:rPr>
            </w:pPr>
            <w:r>
              <w:rPr>
                <w:rFonts w:ascii="Arial" w:cs="Arial" w:eastAsia="Arial" w:hAnsi="Arial"/>
                <w:sz w:val="18"/>
                <w:szCs w:val="18"/>
                <w:color w:val="auto"/>
                <w:w w:val="99"/>
              </w:rPr>
              <w:t>for service as chairman of the nominating and corporate governance committee; and</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rPr>
              <w:t>per</w:t>
            </w:r>
          </w:p>
        </w:tc>
        <w:tc>
          <w:tcPr>
            <w:tcW w:w="6900" w:type="dxa"/>
            <w:vAlign w:val="bottom"/>
          </w:tcPr>
          <w:p>
            <w:pPr>
              <w:ind w:left="180"/>
              <w:spacing w:after="0"/>
              <w:rPr>
                <w:sz w:val="20"/>
                <w:szCs w:val="20"/>
                <w:color w:val="auto"/>
              </w:rPr>
            </w:pPr>
            <w:r>
              <w:rPr>
                <w:rFonts w:ascii="Arial" w:cs="Arial" w:eastAsia="Arial" w:hAnsi="Arial"/>
                <w:sz w:val="18"/>
                <w:szCs w:val="18"/>
                <w:color w:val="auto"/>
              </w:rPr>
              <w:t>for service as a member of the nominating and corporate governance committee.</w:t>
            </w:r>
          </w:p>
        </w:tc>
      </w:tr>
    </w:tbl>
    <w:p>
      <w:pPr>
        <w:spacing w:after="0" w:line="323" w:lineRule="exact"/>
        <w:rPr>
          <w:sz w:val="20"/>
          <w:szCs w:val="20"/>
          <w:color w:val="auto"/>
        </w:rPr>
      </w:pPr>
    </w:p>
    <w:p>
      <w:pPr>
        <w:ind w:right="60" w:firstLine="576"/>
        <w:spacing w:after="0" w:line="206"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 will receive only the cash retainer fee as the chair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will be paid quarterly in arrears on a prorated basis. Under our Outside Director Compensation Policy, we also will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4" w:lineRule="exact"/>
        <w:rPr>
          <w:sz w:val="20"/>
          <w:szCs w:val="20"/>
          <w:color w:val="auto"/>
        </w:rPr>
      </w:pPr>
    </w:p>
    <w:p>
      <w:pPr>
        <w:ind w:right="160" w:firstLine="576"/>
        <w:spacing w:after="0" w:line="212"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on or</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effective date of such policy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w:t>
      </w:r>
    </w:p>
    <w:p>
      <w:pPr>
        <w:ind w:right="40"/>
        <w:spacing w:after="0" w:line="206" w:lineRule="exact"/>
        <w:rPr>
          <w:sz w:val="20"/>
          <w:szCs w:val="20"/>
          <w:color w:val="auto"/>
        </w:rPr>
      </w:pPr>
      <w:r>
        <w:rPr>
          <w:rFonts w:ascii="Arial" w:cs="Arial" w:eastAsia="Arial" w:hAnsi="Arial"/>
          <w:sz w:val="18"/>
          <w:szCs w:val="18"/>
          <w:color w:val="auto"/>
        </w:rPr>
        <w:t>director, an initial award (or, the Initial Award) of stock options to purchase shares of our common stock. The Initial Award will be scheduled to vest in equal installments as to one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84" w:lineRule="exact"/>
        <w:rPr>
          <w:sz w:val="20"/>
          <w:szCs w:val="20"/>
          <w:color w:val="auto"/>
        </w:rPr>
      </w:pPr>
    </w:p>
    <w:p>
      <w:pPr>
        <w:ind w:firstLine="576"/>
        <w:spacing w:after="0" w:line="207"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has completed at least six months of continuous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will receive, on the first trading day immediately after the date of each annual meeting of our stockholders that occurs following the effective date of our Outside Director Compensation Policy, an annual award (or, the Annual Award) of stock options to purchase shares of our common stock. Each Annual Award will be scheduled to vest in equal installments as to 1/12</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85" w:lineRule="exact"/>
        <w:rPr>
          <w:sz w:val="20"/>
          <w:szCs w:val="20"/>
          <w:color w:val="auto"/>
        </w:rPr>
      </w:pPr>
    </w:p>
    <w:p>
      <w:pPr>
        <w:ind w:right="100" w:firstLine="576"/>
        <w:spacing w:after="0" w:line="214"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84" w:lineRule="exact"/>
        <w:rPr>
          <w:sz w:val="20"/>
          <w:szCs w:val="20"/>
          <w:color w:val="auto"/>
        </w:rPr>
      </w:pPr>
    </w:p>
    <w:p>
      <w:pPr>
        <w:ind w:right="160" w:firstLine="576"/>
        <w:spacing w:after="0" w:line="272" w:lineRule="auto"/>
        <w:rPr>
          <w:sz w:val="20"/>
          <w:szCs w:val="20"/>
          <w:color w:val="auto"/>
        </w:rPr>
      </w:pPr>
      <w:r>
        <w:rPr>
          <w:rFonts w:ascii="Arial" w:cs="Arial" w:eastAsia="Arial" w:hAnsi="Arial"/>
          <w:sz w:val="17"/>
          <w:szCs w:val="17"/>
          <w:i w:val="1"/>
          <w:iCs w:val="1"/>
          <w:color w:val="auto"/>
        </w:rPr>
        <w:t>Other Award Terms</w:t>
      </w:r>
      <w:r>
        <w:rPr>
          <w:rFonts w:ascii="Arial" w:cs="Arial" w:eastAsia="Arial" w:hAnsi="Arial"/>
          <w:sz w:val="17"/>
          <w:szCs w:val="17"/>
          <w:color w:val="auto"/>
        </w:rPr>
        <w:t>. Each Initial Award and Annual Award will be granted under our 2020 Equity Incentive Plan (or its successor</w:t>
      </w:r>
      <w:r>
        <w:rPr>
          <w:rFonts w:ascii="Arial" w:cs="Arial" w:eastAsia="Arial" w:hAnsi="Arial"/>
          <w:sz w:val="17"/>
          <w:szCs w:val="17"/>
          <w:i w:val="1"/>
          <w:iCs w:val="1"/>
          <w:color w:val="auto"/>
        </w:rPr>
        <w:t xml:space="preserve"> </w:t>
      </w:r>
      <w:r>
        <w:rPr>
          <w:rFonts w:ascii="Arial" w:cs="Arial" w:eastAsia="Arial" w:hAnsi="Arial"/>
          <w:sz w:val="17"/>
          <w:szCs w:val="17"/>
          <w:color w:val="auto"/>
        </w:rPr>
        <w:t>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59" w:lineRule="exact"/>
        <w:rPr>
          <w:sz w:val="20"/>
          <w:szCs w:val="20"/>
          <w:color w:val="auto"/>
        </w:rPr>
      </w:pPr>
    </w:p>
    <w:p>
      <w:pPr>
        <w:ind w:right="20" w:firstLine="576"/>
        <w:spacing w:after="0" w:line="207"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will provide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 (with the value of equity awards based on its grant date fair value determined in accordance with U.S. Generally Accepted Accounting Principles for purposes of this limit), with such limit increased to $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 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before the effective date of the registration statement of which this prospectus forms a part, will not count toward this annual limit.</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In 2020, we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will become effective on the date of effectiveness of the registration statement of which this prospectus forms a part. Following this offering, a copy of the code will be posted on the investor section of our website.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580"/>
        <w:spacing w:after="0"/>
        <w:tabs>
          <w:tab w:leader="none" w:pos="5140" w:val="left"/>
          <w:tab w:leader="none" w:pos="5900" w:val="left"/>
          <w:tab w:leader="none" w:pos="690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 None of the members of our compensation</w:t>
      </w:r>
    </w:p>
    <w:p>
      <w:pPr>
        <w:spacing w:after="0" w:line="238" w:lineRule="auto"/>
        <w:rPr>
          <w:sz w:val="20"/>
          <w:szCs w:val="20"/>
          <w:color w:val="auto"/>
        </w:rPr>
      </w:pPr>
      <w:r>
        <w:rPr>
          <w:rFonts w:ascii="Arial" w:cs="Arial" w:eastAsia="Arial" w:hAnsi="Arial"/>
          <w:sz w:val="18"/>
          <w:szCs w:val="18"/>
          <w:color w:val="auto"/>
        </w:rPr>
        <w:t>committee is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3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certificate of incorporation and bylaws provide for the indemnification of our directors and officers to the fullest extent permitted under the Delaware General Corporation Law. In addition, our certificate of incorporation provides that our directors shall not be personally liable to us or our stockholders for monetary damages for breach of fiduciary duty as a director and that if the Delaware General Corporation Law is amended to authorize corporate action further limiting the personal liability of directors, then the liability of our directors shall be limited to the fullest extent permitted by the Delaware General Corporation Law, as so amended.</w:t>
      </w:r>
    </w:p>
    <w:p>
      <w:pPr>
        <w:spacing w:after="0" w:line="202"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As permitted by the Delaware General Corporation Law, we have entered into separate indemnification agreements with each of our directors and certain of our officers that require us, among other things, to indemnify them against certain liabilities which may arise by reason of their status as directors or officers. We expect to obtain and maintain insurance policies under which our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we would have the power to indemnify such person against such liability under the provisions of the Delaware General Corporation Law.</w:t>
      </w:r>
    </w:p>
    <w:p>
      <w:pPr>
        <w:spacing w:after="0" w:line="203" w:lineRule="exact"/>
        <w:rPr>
          <w:sz w:val="20"/>
          <w:szCs w:val="20"/>
          <w:color w:val="auto"/>
        </w:rPr>
      </w:pPr>
    </w:p>
    <w:p>
      <w:pPr>
        <w:jc w:val="both"/>
        <w:ind w:right="200" w:firstLine="576"/>
        <w:spacing w:after="0"/>
        <w:rPr>
          <w:sz w:val="20"/>
          <w:szCs w:val="20"/>
          <w:color w:val="auto"/>
        </w:rPr>
      </w:pPr>
      <w:r>
        <w:rPr>
          <w:rFonts w:ascii="Arial" w:cs="Arial" w:eastAsia="Arial" w:hAnsi="Arial"/>
          <w:sz w:val="18"/>
          <w:szCs w:val="18"/>
          <w:color w:val="auto"/>
        </w:rPr>
        <w:t>We believe that these provisions and agreements are necessary to attract and retain qualified persons as our officers and directors. At present, there is no pending litigation or proceeding involving our directors or officers for whom indemnification is required or permitted, and we are not aware of any threatened litigation or proceeding that may result in a claim for indemnification.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subsection titled “</w:t>
      </w:r>
      <w:r>
        <w:rPr>
          <w:rFonts w:ascii="Arial" w:cs="Arial" w:eastAsia="Arial" w:hAnsi="Arial"/>
          <w:sz w:val="18"/>
          <w:szCs w:val="18"/>
          <w:i w:val="1"/>
          <w:iCs w:val="1"/>
          <w:color w:val="auto"/>
        </w:rPr>
        <w:t>—2019 Summary Compensation Table</w:t>
      </w:r>
      <w:r>
        <w:rPr>
          <w:rFonts w:ascii="Arial" w:cs="Arial" w:eastAsia="Arial" w:hAnsi="Arial"/>
          <w:sz w:val="18"/>
          <w:szCs w:val="18"/>
          <w:color w:val="auto"/>
        </w:rPr>
        <w:t>” below. For 2019, our “named executive officers” and their positions were as follows:</w:t>
      </w:r>
    </w:p>
    <w:p>
      <w:pPr>
        <w:spacing w:after="0" w:line="95" w:lineRule="exact"/>
        <w:rPr>
          <w:sz w:val="20"/>
          <w:szCs w:val="20"/>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Leen Kawas, Ph.D., our president and chief executive officer;</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Mark Litton, Ph.D., our chief operating officer;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Kevin Church, Ph.D., our vice president of discovery.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234" w:lineRule="exact"/>
        <w:rPr>
          <w:sz w:val="20"/>
          <w:szCs w:val="20"/>
          <w:color w:val="auto"/>
        </w:rPr>
      </w:pPr>
    </w:p>
    <w:p>
      <w:pPr>
        <w:ind w:right="280" w:firstLine="576"/>
        <w:spacing w:after="0" w:line="24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during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Salary</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Awards</w:t>
            </w: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Bonus</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75"/>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2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r>
      <w:tr>
        <w:trPr>
          <w:trHeight w:val="198"/>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Leen Kawas, Ph.D., President</w:t>
            </w: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7"/>
        </w:trPr>
        <w:tc>
          <w:tcPr>
            <w:tcW w:w="46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and Chief Executive Officer</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rPr>
              <w:t>284,999</w:t>
            </w: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9"/>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CFF0FC"/>
          </w:tcPr>
          <w:p>
            <w:pPr>
              <w:jc w:val="right"/>
              <w:ind w:right="184"/>
              <w:spacing w:after="0"/>
              <w:rPr>
                <w:sz w:val="20"/>
                <w:szCs w:val="20"/>
                <w:color w:val="auto"/>
              </w:rPr>
            </w:pPr>
            <w:r>
              <w:rPr>
                <w:rFonts w:ascii="Arial" w:cs="Arial" w:eastAsia="Arial" w:hAnsi="Arial"/>
                <w:sz w:val="16"/>
                <w:szCs w:val="16"/>
                <w:color w:val="auto"/>
              </w:rPr>
              <w:t>2,016</w:t>
            </w: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287,015</w:t>
            </w:r>
          </w:p>
        </w:tc>
        <w:tc>
          <w:tcPr>
            <w:tcW w:w="100" w:type="dxa"/>
            <w:vAlign w:val="bottom"/>
            <w:shd w:val="clear" w:color="auto" w:fill="CFF0FC"/>
          </w:tcPr>
          <w:p>
            <w:pPr>
              <w:spacing w:after="0"/>
              <w:rPr>
                <w:sz w:val="16"/>
                <w:szCs w:val="16"/>
                <w:color w:val="auto"/>
              </w:rPr>
            </w:pPr>
          </w:p>
        </w:tc>
      </w:tr>
      <w:tr>
        <w:trPr>
          <w:trHeight w:val="203"/>
        </w:trPr>
        <w:tc>
          <w:tcPr>
            <w:tcW w:w="4660" w:type="dxa"/>
            <w:vAlign w:val="bottom"/>
            <w:gridSpan w:val="2"/>
          </w:tcPr>
          <w:p>
            <w:pPr>
              <w:spacing w:after="0"/>
              <w:rPr>
                <w:sz w:val="20"/>
                <w:szCs w:val="20"/>
                <w:color w:val="auto"/>
              </w:rPr>
            </w:pPr>
            <w:r>
              <w:rPr>
                <w:rFonts w:ascii="Arial" w:cs="Arial" w:eastAsia="Arial" w:hAnsi="Arial"/>
                <w:sz w:val="16"/>
                <w:szCs w:val="16"/>
                <w:color w:val="auto"/>
              </w:rPr>
              <w:t>Mark Litton, Ph.D., Chief Operating Officer</w:t>
            </w:r>
          </w:p>
        </w:tc>
        <w:tc>
          <w:tcPr>
            <w:tcW w:w="1000" w:type="dxa"/>
            <w:vAlign w:val="bottom"/>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880" w:type="dxa"/>
            <w:vAlign w:val="bottom"/>
          </w:tcPr>
          <w:p>
            <w:pPr>
              <w:jc w:val="center"/>
              <w:ind w:left="23"/>
              <w:spacing w:after="0"/>
              <w:rPr>
                <w:sz w:val="20"/>
                <w:szCs w:val="20"/>
                <w:color w:val="auto"/>
              </w:rPr>
            </w:pPr>
            <w:r>
              <w:rPr>
                <w:rFonts w:ascii="Arial" w:cs="Arial" w:eastAsia="Arial" w:hAnsi="Arial"/>
                <w:sz w:val="16"/>
                <w:szCs w:val="16"/>
                <w:color w:val="auto"/>
              </w:rPr>
              <w:t>12,000</w:t>
            </w:r>
          </w:p>
        </w:tc>
        <w:tc>
          <w:tcPr>
            <w:tcW w:w="20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180,480</w:t>
            </w:r>
          </w:p>
        </w:tc>
        <w:tc>
          <w:tcPr>
            <w:tcW w:w="2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192,480</w:t>
            </w:r>
          </w:p>
        </w:tc>
        <w:tc>
          <w:tcPr>
            <w:tcW w:w="100" w:type="dxa"/>
            <w:vAlign w:val="bottom"/>
          </w:tcPr>
          <w:p>
            <w:pPr>
              <w:spacing w:after="0"/>
              <w:rPr>
                <w:sz w:val="17"/>
                <w:szCs w:val="17"/>
                <w:color w:val="auto"/>
              </w:rPr>
            </w:pPr>
          </w:p>
        </w:tc>
      </w:tr>
      <w:tr>
        <w:trPr>
          <w:trHeight w:val="203"/>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Church, Ph.D., Vice President of Discovery</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rPr>
              <w:t>113,666</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11,650</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135,316</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1" w:lineRule="exact"/>
        <w:rPr>
          <w:sz w:val="20"/>
          <w:szCs w:val="20"/>
          <w:color w:val="auto"/>
        </w:rPr>
      </w:pPr>
    </w:p>
    <w:p>
      <w:pPr>
        <w:ind w:left="480" w:right="40" w:hanging="472"/>
        <w:spacing w:after="0" w:line="249" w:lineRule="auto"/>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 accordance with SEC rules, amounts in this column reflect the aggregate grant date fair value of stock options granted during 2019 computed in accordance with ASC Topic 718, rather than the amounts paid or realized by the named executive officer. We provide information regarding the assumptions used to calculate the value of all stock options made to our directors in Note 12 to our audited financial statements included elsewhere in this prospectus.</w:t>
      </w:r>
    </w:p>
    <w:p>
      <w:pPr>
        <w:spacing w:after="0" w:line="25" w:lineRule="exact"/>
        <w:rPr>
          <w:rFonts w:ascii="Arial" w:cs="Arial" w:eastAsia="Arial" w:hAnsi="Arial"/>
          <w:sz w:val="14"/>
          <w:szCs w:val="14"/>
          <w:color w:val="auto"/>
        </w:rPr>
      </w:pPr>
    </w:p>
    <w:p>
      <w:pPr>
        <w:ind w:left="480" w:hanging="472"/>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Reflects a discretionary bonus paid to Dr. Church.</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amounts in this column represent reimbursements paid to Dr. Kawas to cover parking fees.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234"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The following table shows grants of stock options and stock awards to each of our named executive officers outstanding at December 31,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Vesting</w:t>
            </w:r>
          </w:p>
        </w:tc>
        <w:tc>
          <w:tcPr>
            <w:tcW w:w="1460" w:type="dxa"/>
            <w:vAlign w:val="bottom"/>
            <w:tcBorders>
              <w:bottom w:val="single" w:sz="8" w:color="auto"/>
            </w:tcBorders>
          </w:tcPr>
          <w:p>
            <w:pPr>
              <w:spacing w:after="0"/>
              <w:rPr>
                <w:sz w:val="15"/>
                <w:szCs w:val="15"/>
                <w:color w:val="auto"/>
              </w:rPr>
            </w:pPr>
          </w:p>
        </w:tc>
        <w:tc>
          <w:tcPr>
            <w:tcW w:w="5380" w:type="dxa"/>
            <w:vAlign w:val="bottom"/>
            <w:tcBorders>
              <w:bottom w:val="single" w:sz="8" w:color="auto"/>
            </w:tcBorders>
            <w:gridSpan w:val="7"/>
          </w:tcPr>
          <w:p>
            <w:pPr>
              <w:jc w:val="right"/>
              <w:ind w:right="1500"/>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Option Exercise</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Commencement</w:t>
            </w:r>
          </w:p>
        </w:tc>
        <w:tc>
          <w:tcPr>
            <w:tcW w:w="1460" w:type="dxa"/>
            <w:vAlign w:val="bottom"/>
          </w:tcPr>
          <w:p>
            <w:pPr>
              <w:jc w:val="right"/>
              <w:ind w:right="261"/>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4"/>
                <w:szCs w:val="14"/>
                <w:color w:val="auto"/>
              </w:rPr>
            </w:pPr>
          </w:p>
        </w:tc>
        <w:tc>
          <w:tcPr>
            <w:tcW w:w="1460" w:type="dxa"/>
            <w:vAlign w:val="bottom"/>
          </w:tcPr>
          <w:p>
            <w:pPr>
              <w:jc w:val="right"/>
              <w:ind w:right="162"/>
              <w:spacing w:after="0"/>
              <w:rPr>
                <w:sz w:val="20"/>
                <w:szCs w:val="20"/>
                <w:color w:val="auto"/>
              </w:rPr>
            </w:pPr>
            <w:r>
              <w:rPr>
                <w:rFonts w:ascii="Arial" w:cs="Arial" w:eastAsia="Arial" w:hAnsi="Arial"/>
                <w:sz w:val="14"/>
                <w:szCs w:val="14"/>
                <w:b w:val="1"/>
                <w:bCs w:val="1"/>
                <w:color w:val="auto"/>
              </w:rPr>
              <w:t>Unexercisable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Prices</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FF0FC"/>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 Expiration Date</w:t>
            </w: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Leen Kawas, Ph.D.</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1/20/2014</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200,000</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08/28/2024</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08/29/2014</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400,000</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0.02</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08/28/2024</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10/24/2015</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1,800,000</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10/23/2025</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12/01/2017</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500,000</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0.17</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01/21/2023</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01/01/2019</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FF0FC"/>
          </w:tcPr>
          <w:p>
            <w:pPr>
              <w:jc w:val="right"/>
              <w:spacing w:after="0" w:line="242" w:lineRule="exact"/>
              <w:rPr>
                <w:sz w:val="20"/>
                <w:szCs w:val="20"/>
                <w:color w:val="auto"/>
              </w:rPr>
            </w:pPr>
            <w:r>
              <w:rPr>
                <w:rFonts w:ascii="Arial" w:cs="Arial" w:eastAsia="Arial" w:hAnsi="Arial"/>
                <w:sz w:val="16"/>
                <w:szCs w:val="16"/>
                <w:color w:val="auto"/>
              </w:rPr>
              <w:t>250,000</w:t>
            </w:r>
            <w:r>
              <w:rPr>
                <w:rFonts w:ascii="Arial" w:cs="Arial" w:eastAsia="Arial" w:hAnsi="Arial"/>
                <w:sz w:val="27"/>
                <w:szCs w:val="27"/>
                <w:color w:val="auto"/>
                <w:vertAlign w:val="superscript"/>
              </w:rPr>
              <w:t>(1)</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0.19</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12/17/2023</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6"/>
                <w:szCs w:val="16"/>
                <w:color w:val="auto"/>
              </w:rPr>
              <w:t>Mark Litton, Ph.D.</w:t>
            </w:r>
          </w:p>
        </w:tc>
        <w:tc>
          <w:tcPr>
            <w:tcW w:w="1580" w:type="dxa"/>
            <w:vAlign w:val="bottom"/>
          </w:tcPr>
          <w:p>
            <w:pPr>
              <w:jc w:val="right"/>
              <w:spacing w:after="0"/>
              <w:rPr>
                <w:sz w:val="20"/>
                <w:szCs w:val="20"/>
                <w:color w:val="auto"/>
              </w:rPr>
            </w:pPr>
            <w:r>
              <w:rPr>
                <w:rFonts w:ascii="Arial" w:cs="Arial" w:eastAsia="Arial" w:hAnsi="Arial"/>
                <w:sz w:val="16"/>
                <w:szCs w:val="16"/>
                <w:color w:val="auto"/>
              </w:rPr>
              <w:t>07/01/2019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line="242" w:lineRule="exact"/>
              <w:rPr>
                <w:sz w:val="20"/>
                <w:szCs w:val="20"/>
                <w:color w:val="auto"/>
              </w:rPr>
            </w:pPr>
            <w:r>
              <w:rPr>
                <w:rFonts w:ascii="Arial" w:cs="Arial" w:eastAsia="Arial" w:hAnsi="Arial"/>
                <w:sz w:val="16"/>
                <w:szCs w:val="16"/>
                <w:color w:val="auto"/>
              </w:rPr>
              <w:t>1,600,000</w:t>
            </w:r>
            <w:r>
              <w:rPr>
                <w:rFonts w:ascii="Arial" w:cs="Arial" w:eastAsia="Arial" w:hAnsi="Arial"/>
                <w:sz w:val="27"/>
                <w:szCs w:val="27"/>
                <w:color w:val="auto"/>
                <w:vertAlign w:val="superscript"/>
              </w:rPr>
              <w:t>(2)</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0.17</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08/14/2029</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Church, Ph.D.</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07/01/2016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225,000</w:t>
            </w:r>
          </w:p>
        </w:tc>
        <w:tc>
          <w:tcPr>
            <w:tcW w:w="1740" w:type="dxa"/>
            <w:vAlign w:val="bottom"/>
            <w:gridSpan w:val="2"/>
            <w:shd w:val="clear" w:color="auto" w:fill="CFF0FC"/>
          </w:tcPr>
          <w:p>
            <w:pPr>
              <w:jc w:val="right"/>
              <w:spacing w:after="0" w:line="242" w:lineRule="exact"/>
              <w:rPr>
                <w:sz w:val="20"/>
                <w:szCs w:val="20"/>
                <w:color w:val="auto"/>
              </w:rPr>
            </w:pPr>
            <w:r>
              <w:rPr>
                <w:rFonts w:ascii="Arial" w:cs="Arial" w:eastAsia="Arial" w:hAnsi="Arial"/>
                <w:sz w:val="16"/>
                <w:szCs w:val="16"/>
                <w:color w:val="auto"/>
              </w:rPr>
              <w:t>75,000</w:t>
            </w:r>
            <w:r>
              <w:rPr>
                <w:rFonts w:ascii="Arial" w:cs="Arial" w:eastAsia="Arial" w:hAnsi="Arial"/>
                <w:sz w:val="27"/>
                <w:szCs w:val="27"/>
                <w:color w:val="auto"/>
                <w:vertAlign w:val="superscript"/>
              </w:rPr>
              <w:t>(2)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0.13</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06/19/2026</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09/01/2016</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0.13</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08/30/2026</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06/19/2017</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0.15</w:t>
            </w: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06/19/2027</w:t>
            </w:r>
          </w:p>
        </w:tc>
        <w:tc>
          <w:tcPr>
            <w:tcW w:w="0" w:type="dxa"/>
            <w:vAlign w:val="bottom"/>
          </w:tcPr>
          <w:p>
            <w:pPr>
              <w:spacing w:after="0"/>
              <w:rPr>
                <w:sz w:val="1"/>
                <w:szCs w:val="1"/>
                <w:color w:val="auto"/>
              </w:rPr>
            </w:pPr>
          </w:p>
        </w:tc>
      </w:tr>
      <w:tr>
        <w:trPr>
          <w:trHeight w:val="402"/>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01/01/2019</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100,000</w:t>
            </w:r>
            <w:r>
              <w:rPr>
                <w:rFonts w:ascii="Arial" w:cs="Arial" w:eastAsia="Arial" w:hAnsi="Arial"/>
                <w:sz w:val="27"/>
                <w:szCs w:val="27"/>
                <w:color w:val="auto"/>
                <w:vertAlign w:val="superscript"/>
              </w:rPr>
              <w:t>(2)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0.17</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12/17/2028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83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 w:lineRule="exact"/>
        <w:rPr>
          <w:sz w:val="20"/>
          <w:szCs w:val="20"/>
          <w:color w:val="auto"/>
        </w:rPr>
      </w:pPr>
    </w:p>
    <w:p>
      <w:pPr>
        <w:ind w:left="480" w:right="20" w:hanging="472"/>
        <w:spacing w:after="0" w:line="258" w:lineRule="auto"/>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Stock option vests over three years, with 1/3 vesting on each anniversary of the vesting commencement date, subject to continued service with us through the applicable vesting date.</w:t>
      </w:r>
    </w:p>
    <w:p>
      <w:pPr>
        <w:spacing w:after="0" w:line="18" w:lineRule="exact"/>
        <w:rPr>
          <w:rFonts w:ascii="Arial" w:cs="Arial" w:eastAsia="Arial" w:hAnsi="Arial"/>
          <w:sz w:val="14"/>
          <w:szCs w:val="14"/>
          <w:color w:val="auto"/>
        </w:rPr>
      </w:pPr>
    </w:p>
    <w:p>
      <w:pPr>
        <w:ind w:left="480" w:right="100" w:hanging="472"/>
        <w:spacing w:after="0" w:line="258" w:lineRule="auto"/>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234" w:lineRule="exact"/>
        <w:rPr>
          <w:sz w:val="20"/>
          <w:szCs w:val="20"/>
          <w:color w:val="auto"/>
        </w:rPr>
      </w:pPr>
    </w:p>
    <w:p>
      <w:pPr>
        <w:ind w:right="20" w:firstLine="576"/>
        <w:spacing w:after="0" w:line="24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342" w:lineRule="exact"/>
        <w:rPr>
          <w:sz w:val="20"/>
          <w:szCs w:val="20"/>
          <w:color w:val="auto"/>
        </w:rPr>
      </w:pPr>
    </w:p>
    <w:p>
      <w:pPr>
        <w:ind w:firstLine="540"/>
        <w:spacing w:after="0" w:line="234" w:lineRule="auto"/>
        <w:rPr>
          <w:sz w:val="20"/>
          <w:szCs w:val="20"/>
          <w:color w:val="auto"/>
        </w:rPr>
      </w:pPr>
      <w:r>
        <w:rPr>
          <w:rFonts w:ascii="Arial" w:cs="Arial" w:eastAsia="Arial" w:hAnsi="Arial"/>
          <w:sz w:val="18"/>
          <w:szCs w:val="18"/>
          <w:color w:val="auto"/>
        </w:rPr>
        <w:t>Prior to the completion of this offering, we intend to enter into a confirmatory employment letter with Dr. Kawas, our president and chief executive officer. The confirmatory employment letter will have no specific term and will provide that Dr. Kawas is an at-will employee.</w:t>
      </w:r>
    </w:p>
    <w:p>
      <w:pPr>
        <w:spacing w:after="0" w:line="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Dr. Kawas’s current annual base salary is $ and she is eligible for an annual target cash incentive payment equal to % of her annual base salary.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Mark Litton</w:t>
      </w:r>
    </w:p>
    <w:p>
      <w:pPr>
        <w:spacing w:after="0" w:line="126" w:lineRule="exact"/>
        <w:rPr>
          <w:sz w:val="20"/>
          <w:szCs w:val="20"/>
          <w:color w:val="auto"/>
        </w:rPr>
      </w:pPr>
    </w:p>
    <w:p>
      <w:pPr>
        <w:ind w:right="40" w:firstLine="540"/>
        <w:spacing w:after="0" w:line="248" w:lineRule="auto"/>
        <w:rPr>
          <w:sz w:val="20"/>
          <w:szCs w:val="20"/>
          <w:color w:val="auto"/>
        </w:rPr>
      </w:pPr>
      <w:r>
        <w:rPr>
          <w:rFonts w:ascii="Arial" w:cs="Arial" w:eastAsia="Arial" w:hAnsi="Arial"/>
          <w:sz w:val="17"/>
          <w:szCs w:val="17"/>
          <w:color w:val="auto"/>
        </w:rPr>
        <w:t>Prior to the completion of this offering, we intend to enter into a confirmatory employment letter with Dr. Litton, our chief operating officer. The confirmatory employment letter will have no specific term and will provide that Dr. Litton is an at-will employee. Dr. Litton’s current</w:t>
      </w:r>
    </w:p>
    <w:p>
      <w:pPr>
        <w:spacing w:after="0" w:line="1" w:lineRule="exact"/>
        <w:rPr>
          <w:sz w:val="20"/>
          <w:szCs w:val="20"/>
          <w:color w:val="auto"/>
        </w:rPr>
      </w:pPr>
    </w:p>
    <w:p>
      <w:pPr>
        <w:spacing w:after="0"/>
        <w:tabs>
          <w:tab w:leader="none" w:pos="2080" w:val="left"/>
          <w:tab w:leader="none" w:pos="8500" w:val="left"/>
        </w:tabs>
        <w:rPr>
          <w:sz w:val="20"/>
          <w:szCs w:val="20"/>
          <w:color w:val="auto"/>
        </w:rPr>
      </w:pPr>
      <w:r>
        <w:rPr>
          <w:rFonts w:ascii="Arial" w:cs="Arial" w:eastAsia="Arial" w:hAnsi="Arial"/>
          <w:sz w:val="18"/>
          <w:szCs w:val="18"/>
          <w:color w:val="auto"/>
        </w:rPr>
        <w:t>annual base salary is $</w:t>
        <w:tab/>
        <w:t>and he is eligible for an annual target cash incentive payment equal to</w:t>
      </w:r>
      <w:r>
        <w:rPr>
          <w:sz w:val="20"/>
          <w:szCs w:val="20"/>
          <w:color w:val="auto"/>
        </w:rPr>
        <w:tab/>
      </w:r>
      <w:r>
        <w:rPr>
          <w:rFonts w:ascii="Arial" w:cs="Arial" w:eastAsia="Arial" w:hAnsi="Arial"/>
          <w:sz w:val="17"/>
          <w:szCs w:val="17"/>
          <w:color w:val="auto"/>
        </w:rPr>
        <w:t>% of his annual base salary.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Kevin Church</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Prior to the completion of this offering, we intend to enter into a confirmatory employment letter with Dr. Kevin Church, our vice</w:t>
      </w:r>
    </w:p>
    <w:p>
      <w:pPr>
        <w:spacing w:after="0" w:line="234" w:lineRule="auto"/>
        <w:rPr>
          <w:sz w:val="20"/>
          <w:szCs w:val="20"/>
          <w:color w:val="auto"/>
        </w:rPr>
      </w:pPr>
      <w:r>
        <w:rPr>
          <w:rFonts w:ascii="Arial" w:cs="Arial" w:eastAsia="Arial" w:hAnsi="Arial"/>
          <w:sz w:val="18"/>
          <w:szCs w:val="18"/>
          <w:color w:val="auto"/>
        </w:rPr>
        <w:t>president of discovery. The confirmatory employment letter will have no specific term and will provide that Dr. Church is an at-will employee.</w:t>
      </w:r>
    </w:p>
    <w:p>
      <w:pPr>
        <w:spacing w:after="0" w:line="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Dr. Church’s current annual base salary is $ and he is eligible for an annual target cash incentive payment equal to % of his annual base salary.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234" w:lineRule="exact"/>
        <w:rPr>
          <w:sz w:val="20"/>
          <w:szCs w:val="20"/>
          <w:color w:val="auto"/>
        </w:rPr>
      </w:pPr>
    </w:p>
    <w:p>
      <w:pPr>
        <w:ind w:right="300" w:firstLine="576"/>
        <w:spacing w:after="0" w:line="237" w:lineRule="auto"/>
        <w:rPr>
          <w:sz w:val="20"/>
          <w:szCs w:val="20"/>
          <w:color w:val="auto"/>
        </w:rPr>
      </w:pPr>
      <w:r>
        <w:rPr>
          <w:rFonts w:ascii="Arial" w:cs="Arial" w:eastAsia="Arial" w:hAnsi="Arial"/>
          <w:sz w:val="18"/>
          <w:szCs w:val="18"/>
          <w:color w:val="auto"/>
        </w:rPr>
        <w:t>Prior to the completion of this offering, our board of directors intends to adopt our Executive Incentive Compensation Plan. Our Executive Incentive Compensation Plan will be administered by our board of directors or a committee appointed by our board of directors. Unless and until our board of directors determines otherwise, our compensation committee will administer our Executive Incentive Compensation Plan. Our Executive Incentive Compensation Plan will allow us to grant incentive awards, generally payable in cash, to employees selected by the administrator, including our named executive officers, based upon any performance goals that may be established by the administrator.</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our Executive Incentive Compensation Plan, the administrator will determine any performance goals applicable to an award,</w:t>
      </w:r>
    </w:p>
    <w:p>
      <w:pPr>
        <w:ind w:right="60"/>
        <w:spacing w:after="0"/>
        <w:rPr>
          <w:sz w:val="20"/>
          <w:szCs w:val="20"/>
          <w:color w:val="auto"/>
        </w:rPr>
      </w:pPr>
      <w:r>
        <w:rPr>
          <w:rFonts w:ascii="Arial" w:cs="Arial" w:eastAsia="Arial" w:hAnsi="Arial"/>
          <w:sz w:val="18"/>
          <w:szCs w:val="18"/>
          <w:color w:val="auto"/>
        </w:rPr>
        <w:t>which goals may include, without limitation, goals related to .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203" w:lineRule="exact"/>
        <w:rPr>
          <w:sz w:val="20"/>
          <w:szCs w:val="20"/>
          <w:color w:val="auto"/>
        </w:rPr>
      </w:pPr>
    </w:p>
    <w:p>
      <w:pPr>
        <w:ind w:right="480" w:firstLine="576"/>
        <w:spacing w:after="0" w:line="238"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2" w:name="page163"/>
    <w:bookmarkEnd w:id="162"/>
    <w:p>
      <w:pPr>
        <w:ind w:right="80" w:firstLine="576"/>
        <w:spacing w:after="0" w:line="23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205" w:lineRule="exact"/>
        <w:rPr>
          <w:sz w:val="20"/>
          <w:szCs w:val="20"/>
          <w:color w:val="auto"/>
        </w:rPr>
      </w:pPr>
    </w:p>
    <w:p>
      <w:pPr>
        <w:ind w:right="260" w:firstLine="576"/>
        <w:spacing w:after="0" w:line="237"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20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administrator of our Executive Incentive Compensation Plan will have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Our board of directors adopted our 2014 Equity Incentive Plan, or our 2014 Plan, on August 29, 2014 and our stockholders approved our 2014 Plan on March 3, 2015. Prior to the effectiveness of the registration statement of which this prospectus forms a part, our 2014 Plan will be terminated and we will not grant any additional awards under our 2014 Plan thereafter. However, our 2014 Plan will continue to govern the terms and conditions of the outstanding awards granted under our 2014 Plan prior to its termination.</w:t>
      </w:r>
    </w:p>
    <w:p>
      <w:pPr>
        <w:spacing w:after="0" w:line="205" w:lineRule="exact"/>
        <w:rPr>
          <w:sz w:val="20"/>
          <w:szCs w:val="20"/>
          <w:color w:val="auto"/>
        </w:rPr>
      </w:pPr>
    </w:p>
    <w:p>
      <w:pPr>
        <w:ind w:right="240" w:firstLine="576"/>
        <w:spacing w:after="0"/>
        <w:rPr>
          <w:sz w:val="20"/>
          <w:szCs w:val="20"/>
          <w:color w:val="auto"/>
        </w:rPr>
      </w:pPr>
      <w:r>
        <w:rPr>
          <w:rFonts w:ascii="Arial" w:cs="Arial" w:eastAsia="Arial" w:hAnsi="Arial"/>
          <w:sz w:val="18"/>
          <w:szCs w:val="18"/>
          <w:color w:val="auto"/>
        </w:rPr>
        <w:t>Our 2014 Plan allows for the grant of incentive stock options, within the meaning of Section 422 of the Code, nonstatutory stock options, stock appreciation rights, restricted stock awards and restricted stock units (each, an “award”) to eligible employees, directors and consultants.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30" w:lineRule="exact"/>
        <w:rPr>
          <w:sz w:val="20"/>
          <w:szCs w:val="20"/>
          <w:color w:val="auto"/>
        </w:rPr>
      </w:pPr>
    </w:p>
    <w:p>
      <w:pPr>
        <w:ind w:right="20" w:firstLine="540"/>
        <w:spacing w:after="0" w:line="234" w:lineRule="auto"/>
        <w:rPr>
          <w:sz w:val="20"/>
          <w:szCs w:val="20"/>
          <w:color w:val="auto"/>
        </w:rPr>
      </w:pPr>
      <w:r>
        <w:rPr>
          <w:rFonts w:ascii="Arial" w:cs="Arial" w:eastAsia="Arial" w:hAnsi="Arial"/>
          <w:sz w:val="18"/>
          <w:szCs w:val="18"/>
          <w:color w:val="auto"/>
        </w:rPr>
        <w:t>As of June 30, 2020, an aggregate of shares of our common stock is reserved for issuance under our 2014 Plan. As of June 30, 2020, there were stock options covering shares of our common stock outstanding under our 2014 Plan and no stock appreciation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rights, restricted stock awards or restricted stock units outstanding under our 2014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230" w:lineRule="exact"/>
        <w:rPr>
          <w:sz w:val="20"/>
          <w:szCs w:val="20"/>
          <w:color w:val="auto"/>
        </w:rPr>
      </w:pPr>
    </w:p>
    <w:p>
      <w:pPr>
        <w:ind w:firstLine="540"/>
        <w:spacing w:after="0" w:line="237" w:lineRule="auto"/>
        <w:rPr>
          <w:sz w:val="20"/>
          <w:szCs w:val="20"/>
          <w:color w:val="auto"/>
        </w:rPr>
      </w:pPr>
      <w:r>
        <w:rPr>
          <w:rFonts w:ascii="Arial" w:cs="Arial" w:eastAsia="Arial" w:hAnsi="Arial"/>
          <w:sz w:val="18"/>
          <w:szCs w:val="18"/>
          <w:color w:val="auto"/>
        </w:rPr>
        <w:t>Our board of directors or a committee thereof appointed by our board of directors administers the 2014 Plan. The administrator has authority and discretion to administer our 2014 Plan and to control its operation, including the authority to construe and interpret the terms of our 2014 Plan and the awards granted under it, determine the terms of awards, including the recipients, the number of shares subject to each award and the vesting schedule. The administrator may amend awards to reduce the exercise price of any outstanding options or stock appreciation rights, or provide that outstanding options or stock appreciation rights may be cancelled in exchange for awards of the same type (granted under the 2014 Plan or another equity plan of ours covering the same or different number of shares), restricted stock or restricted stock unit awards and/or cash or other consideration.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i w:val="1"/>
          <w:iCs w:val="1"/>
          <w:color w:val="auto"/>
        </w:rPr>
        <w:t>Stock Options</w:t>
      </w:r>
    </w:p>
    <w:p>
      <w:pPr>
        <w:spacing w:after="0" w:line="230"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Stock options have been granted under our 2014 Plan. The term of an option is stated in the applicable award agreement, but may not exceed 10 years from the grant date. The administrator determines the exercise price of options, which generally may not be less than 100% of the fair market value of our common stock on the grant date, except as provided for in the 2014 Plan. The administrator determines the method of payment of the exercise price as well as the period of time after a participant’s termination of service during which the participant may exercise his or her option, which generally must be at least 30 days (or at least six months in the event of the participant’s termination of service due to death or disability) following such termination of service. Vested options generally terminate immediately if a participant’s continuous service terminates due to “cause” (as defined in the 2014 Plan) unless the participant’s award agreement provides otherwise. In no event will an option remain exercisable beyond its original term. If a participant does not exercise his or her option within the time specified in the award agreement, the option will terminate.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of Awards</w:t>
      </w:r>
    </w:p>
    <w:p>
      <w:pPr>
        <w:spacing w:after="0" w:line="230"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Our 2014 Plan generally does not allow for the transfer of awards except by will or the laws of descent and distribution, and only the recipient of an award may exercise an option or stock appreciation right during his or her lifetime.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230"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the event of certain changes in our capitalization, in order to prevent diminution or enlargement of the benefits or potential benefits intended to be made available under the 2014 Plan, the administrator will make proportionate adjustments to the number and class of shares that may be delivered under the 2014 Plan, the class and number of shares that may be issued on the exercise of incentive stock options, and the number, class and price of shares covered by each outstanding award. The administrator’s determination regarding such adjustments will be final, binding and conclusive.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230" w:lineRule="exact"/>
        <w:rPr>
          <w:sz w:val="20"/>
          <w:szCs w:val="20"/>
          <w:color w:val="auto"/>
        </w:rPr>
      </w:pPr>
    </w:p>
    <w:p>
      <w:pPr>
        <w:ind w:right="940" w:firstLine="576"/>
        <w:spacing w:after="0" w:line="246" w:lineRule="auto"/>
        <w:rPr>
          <w:sz w:val="20"/>
          <w:szCs w:val="20"/>
          <w:color w:val="auto"/>
        </w:rPr>
      </w:pPr>
      <w:r>
        <w:rPr>
          <w:rFonts w:ascii="Arial" w:cs="Arial" w:eastAsia="Arial" w:hAnsi="Arial"/>
          <w:sz w:val="18"/>
          <w:szCs w:val="18"/>
          <w:color w:val="auto"/>
        </w:rPr>
        <w:t>In the event of our dissolution or liquidation, all awards will terminate immediately prior to the completion of such proposed transaction.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230" w:lineRule="exact"/>
        <w:rPr>
          <w:sz w:val="20"/>
          <w:szCs w:val="20"/>
          <w:color w:val="auto"/>
        </w:rPr>
      </w:pPr>
    </w:p>
    <w:p>
      <w:pPr>
        <w:ind w:right="40" w:firstLine="540"/>
        <w:spacing w:after="0" w:line="237" w:lineRule="auto"/>
        <w:rPr>
          <w:sz w:val="20"/>
          <w:szCs w:val="20"/>
          <w:color w:val="auto"/>
        </w:rPr>
      </w:pPr>
      <w:r>
        <w:rPr>
          <w:rFonts w:ascii="Arial" w:cs="Arial" w:eastAsia="Arial" w:hAnsi="Arial"/>
          <w:sz w:val="18"/>
          <w:szCs w:val="18"/>
          <w:color w:val="auto"/>
        </w:rPr>
        <w:t>Our 2014 Plan provides that in the event of our merger or other corporate transaction (as defined in our 2014 Plan) and except as otherwise provided in the award agreements, the administrator may provide that outstanding awards may be assumed or continued, substituted with equivalent awards, accelerated as to its vesting to a date prior to the corporate transaction and terminated if not exercised (if applicable), cancelled without consideration to the extent not vested or exercised, or cancelled in exchange for a payment equal to the value of property the participant would have received upon exercise of the award less the exercise price payable in connection with such exercise. The administrator need not take the same action with respect to all awards or with respect to all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30" w:lineRule="exact"/>
        <w:rPr>
          <w:sz w:val="20"/>
          <w:szCs w:val="20"/>
          <w:color w:val="auto"/>
        </w:rPr>
      </w:pPr>
    </w:p>
    <w:p>
      <w:pPr>
        <w:ind w:right="240" w:firstLine="540"/>
        <w:spacing w:after="0" w:line="238" w:lineRule="auto"/>
        <w:rPr>
          <w:sz w:val="20"/>
          <w:szCs w:val="20"/>
          <w:color w:val="auto"/>
        </w:rPr>
      </w:pPr>
      <w:r>
        <w:rPr>
          <w:rFonts w:ascii="Arial" w:cs="Arial" w:eastAsia="Arial" w:hAnsi="Arial"/>
          <w:sz w:val="18"/>
          <w:szCs w:val="18"/>
          <w:color w:val="auto"/>
        </w:rPr>
        <w:t>Our board of directors has the authority to amend, suspend or terminate our 2014 Plan at any time. No amendment, suspension or termination of our 2014 Plan will impair the rights of a participant, unless mutually agreed otherwise between the participant and the administrator in writing. As noted above, it is expected that prior to the effectiveness of the registration statement of which this prospectus forms a part, our 2014 Plan will be terminated, and we will not grant any additional awards under our 2014 Plan thereafter.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Prior to the completion of this offering, our board of directors intends to adopt, and we expect our stockholders will approve, our 2020 Equity Incentive Plan, or, the 2020 Plan. We expect that the 2020 Plan will be effective on the business day immediately prior to the effective date of our registration statement of which this prospectus forms a part. Our 2020 Plan will provide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30" w:lineRule="exact"/>
        <w:rPr>
          <w:sz w:val="20"/>
          <w:szCs w:val="20"/>
          <w:color w:val="auto"/>
        </w:rPr>
      </w:pPr>
    </w:p>
    <w:p>
      <w:pPr>
        <w:ind w:right="20" w:firstLine="540"/>
        <w:spacing w:after="0" w:line="234" w:lineRule="auto"/>
        <w:rPr>
          <w:sz w:val="20"/>
          <w:szCs w:val="20"/>
          <w:color w:val="auto"/>
        </w:rPr>
      </w:pPr>
      <w:r>
        <w:rPr>
          <w:rFonts w:ascii="Arial" w:cs="Arial" w:eastAsia="Arial" w:hAnsi="Arial"/>
          <w:sz w:val="18"/>
          <w:szCs w:val="18"/>
          <w:color w:val="auto"/>
        </w:rPr>
        <w:t>A total of shares of our common stock will be reserved for issuance pursuant to our 2020 Plan. In addition, the shares reserved for issuance under our 2020 Plan will include (1) those shares reserved but unissued under our Plan (or, the Prior Plan) as of</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immediately prior to its termination, and (2) shares of our common stock subject to awards granted under our Prior Plan that, on or after the termination of the Prior Plan, expire or otherwise terminate without having been exercised in full or are forfeited to or repurchased by us</w:t>
      </w:r>
    </w:p>
    <w:p>
      <w:pPr>
        <w:spacing w:after="0" w:line="1"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(provided that the maximum number of shares that may be added to the 2020 Plan pursuant to (1) and (2) is shares). The number of shares available for issuance under our 2020 Plan also will include an annual increase on the first day of each year for a period of ten years,</w:t>
      </w:r>
    </w:p>
    <w:p>
      <w:pPr>
        <w:spacing w:after="0" w:line="1" w:lineRule="exact"/>
        <w:rPr>
          <w:sz w:val="20"/>
          <w:szCs w:val="20"/>
          <w:color w:val="auto"/>
        </w:rPr>
      </w:pPr>
    </w:p>
    <w:p>
      <w:pPr>
        <w:spacing w:after="0"/>
        <w:tabs>
          <w:tab w:leader="none" w:pos="2800" w:val="left"/>
        </w:tabs>
        <w:rPr>
          <w:sz w:val="20"/>
          <w:szCs w:val="20"/>
          <w:color w:val="auto"/>
        </w:rPr>
      </w:pPr>
      <w:r>
        <w:rPr>
          <w:rFonts w:ascii="Arial" w:cs="Arial" w:eastAsia="Arial" w:hAnsi="Arial"/>
          <w:sz w:val="18"/>
          <w:szCs w:val="18"/>
          <w:color w:val="auto"/>
        </w:rPr>
        <w:t>beginning with our fiscal year</w:t>
      </w:r>
      <w:r>
        <w:rPr>
          <w:sz w:val="20"/>
          <w:szCs w:val="20"/>
          <w:color w:val="auto"/>
        </w:rPr>
        <w:tab/>
      </w:r>
      <w:r>
        <w:rPr>
          <w:rFonts w:ascii="Arial" w:cs="Arial" w:eastAsia="Arial" w:hAnsi="Arial"/>
          <w:sz w:val="17"/>
          <w:szCs w:val="17"/>
          <w:color w:val="auto"/>
        </w:rPr>
        <w:t>, equal to the least of:</w:t>
      </w:r>
    </w:p>
    <w:p>
      <w:pPr>
        <w:spacing w:after="0" w:line="104" w:lineRule="exact"/>
        <w:rPr>
          <w:sz w:val="20"/>
          <w:szCs w:val="20"/>
          <w:color w:val="auto"/>
        </w:rPr>
      </w:pPr>
    </w:p>
    <w:p>
      <w:pPr>
        <w:ind w:left="1840" w:hanging="982"/>
        <w:spacing w:after="0"/>
        <w:tabs>
          <w:tab w:leader="none" w:pos="18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shares;</w:t>
      </w:r>
    </w:p>
    <w:p>
      <w:pPr>
        <w:spacing w:after="0" w:line="225" w:lineRule="exact"/>
        <w:rPr>
          <w:sz w:val="20"/>
          <w:szCs w:val="20"/>
          <w:color w:val="auto"/>
        </w:rPr>
      </w:pPr>
    </w:p>
    <w:p>
      <w:pPr>
        <w:ind w:left="1300" w:right="280" w:hanging="442"/>
        <w:spacing w:after="0" w:line="246" w:lineRule="auto"/>
        <w:tabs>
          <w:tab w:leader="none" w:pos="185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 of the outstanding shares of all classes of our common stock as of the last day of the immediately preceding fiscal year; and</w:t>
      </w:r>
    </w:p>
    <w:p>
      <w:pPr>
        <w:spacing w:after="0" w:line="196"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number of shares as our board of directors may determine no later than the last day of our immediately preceding fiscal year.</w:t>
      </w:r>
    </w:p>
    <w:p>
      <w:pPr>
        <w:spacing w:after="0" w:line="3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Shares issuable under our 2020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withholding obligations related to an award will become available for future grant or sale under the 2020Plan. To the extent an award is paid out in cash rather than shares, such cash payment will not result in a reduction in the number of shares available for issuance under the 2020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230"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Our board of directors or one or more committees appointed by our board of directors will have authority to administer our 2020 Plan. We expect that the compensation committee of our board of directors initially will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5" w:name="page166"/>
    <w:bookmarkEnd w:id="165"/>
    <w:p>
      <w:pPr>
        <w:spacing w:after="0" w:line="236" w:lineRule="auto"/>
        <w:rPr>
          <w:sz w:val="20"/>
          <w:szCs w:val="20"/>
          <w:color w:val="auto"/>
        </w:rPr>
      </w:pPr>
      <w:r>
        <w:rPr>
          <w:rFonts w:ascii="Arial" w:cs="Arial" w:eastAsia="Arial" w:hAnsi="Arial"/>
          <w:sz w:val="18"/>
          <w:szCs w:val="18"/>
          <w:color w:val="auto"/>
        </w:rPr>
        <w:t>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30"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Stock options may be granted under our 2020 Plan. The exercise price of options granted under our 2020 Plan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may grant incentive stock options under the 2020 Plan for a period of ten years from the earlier of the date our board of directors approves the 2020 Plan or the date that our stockholders approve the 2020 Plan.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terms of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30"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Stock appreciation rights may be granted under our 2020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30" w:lineRule="exact"/>
        <w:rPr>
          <w:sz w:val="20"/>
          <w:szCs w:val="20"/>
          <w:color w:val="auto"/>
        </w:rPr>
      </w:pPr>
    </w:p>
    <w:p>
      <w:pPr>
        <w:ind w:right="280" w:firstLine="576"/>
        <w:spacing w:after="0" w:line="246" w:lineRule="auto"/>
        <w:rPr>
          <w:sz w:val="20"/>
          <w:szCs w:val="20"/>
          <w:color w:val="auto"/>
        </w:rPr>
      </w:pPr>
      <w:r>
        <w:rPr>
          <w:rFonts w:ascii="Arial" w:cs="Arial" w:eastAsia="Arial" w:hAnsi="Arial"/>
          <w:sz w:val="18"/>
          <w:szCs w:val="18"/>
          <w:color w:val="auto"/>
        </w:rPr>
        <w:t>Restricted stock may be granted under our 2020 Plan. Restricted stock awards are grants of shares of our common stock that may vest in accordance with terms and conditions established by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6" w:name="page167"/>
    <w:bookmarkEnd w:id="166"/>
    <w:p>
      <w:pPr>
        <w:ind w:right="100"/>
        <w:spacing w:after="0" w:line="237" w:lineRule="auto"/>
        <w:rPr>
          <w:sz w:val="20"/>
          <w:szCs w:val="20"/>
          <w:color w:val="auto"/>
        </w:rPr>
      </w:pPr>
      <w:r>
        <w:rPr>
          <w:rFonts w:ascii="Arial" w:cs="Arial" w:eastAsia="Arial" w:hAnsi="Arial"/>
          <w:sz w:val="18"/>
          <w:szCs w:val="18"/>
          <w:color w:val="auto"/>
        </w:rPr>
        <w:t>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30"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Restricted stock units may be granted under our 2020 Plan. Restricted stock units are bookkeeping entries representing an amount equal to the fair market value of one share of our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230"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Subject to the terms and conditions of the 2020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w:t>
      </w:r>
    </w:p>
    <w:p>
      <w:pPr>
        <w:spacing w:after="0" w:line="230" w:lineRule="exact"/>
        <w:rPr>
          <w:sz w:val="20"/>
          <w:szCs w:val="20"/>
          <w:color w:val="auto"/>
        </w:rPr>
      </w:pPr>
    </w:p>
    <w:p>
      <w:pPr>
        <w:ind w:right="160" w:firstLine="576"/>
        <w:spacing w:after="0" w:line="236" w:lineRule="auto"/>
        <w:rPr>
          <w:sz w:val="20"/>
          <w:szCs w:val="20"/>
          <w:color w:val="auto"/>
        </w:rPr>
      </w:pPr>
      <w:r>
        <w:rPr>
          <w:rFonts w:ascii="Arial" w:cs="Arial" w:eastAsia="Arial" w:hAnsi="Arial"/>
          <w:sz w:val="18"/>
          <w:szCs w:val="18"/>
          <w:color w:val="auto"/>
        </w:rPr>
        <w:t>All outside (non-employee) directors will be eligible to receive all types of awards (except for incentive stock options) under our 2020 Plan. Prior to the completion of this offering, we intend to implement a formal Outside Director Compensation Policy pursuant to which our outside directors will be eligible to receive equity awards under our 2020 Plan. Our 2020 Plan will provide that in any given fiscal year, no outside director may be granted awards (the value of which will be based on their grant date fair value) under our 2020 Plan and any other compensation (including without limitation any cash retainers and fees) that in the aggregate exceed $ , provided that in the initial year of service such amount is increased to $ . The grant-date fair values of awards granted under our 2020 Plan will be determined according to U.S. Generally Accepted Accounting Principles. Any awards or other compensation provided to an individual for his or her services as an employee or a consultant (other than an outside director), or prior to the effective date of the registration statement of which this prospectus forms a part, will not count toward this limit. This maximum limit provision does not reflect the intended size of any potential grants or a commitment to make grants to our outside directors under our 2020 Plan in the future.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i w:val="1"/>
          <w:iCs w:val="1"/>
          <w:color w:val="auto"/>
        </w:rPr>
        <w:t>Non-Transferability of Awards</w:t>
      </w:r>
    </w:p>
    <w:p>
      <w:pPr>
        <w:spacing w:after="0" w:line="23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230"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230" w:lineRule="exact"/>
        <w:rPr>
          <w:sz w:val="20"/>
          <w:szCs w:val="20"/>
          <w:color w:val="auto"/>
        </w:rPr>
      </w:pPr>
    </w:p>
    <w:p>
      <w:pPr>
        <w:ind w:right="200" w:firstLine="576"/>
        <w:spacing w:after="0" w:line="246"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or Change in Control</w:t>
      </w:r>
    </w:p>
    <w:p>
      <w:pPr>
        <w:spacing w:after="0" w:line="230"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205"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20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If an outside director’s awards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i w:val="1"/>
          <w:iCs w:val="1"/>
          <w:color w:val="auto"/>
        </w:rPr>
        <w:t>Clawback</w:t>
      </w:r>
    </w:p>
    <w:p>
      <w:pPr>
        <w:spacing w:after="0" w:line="230"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Awards are subject to any clawback policy of ours, which we may establish and/or amend from time to time to comply with applicable 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230" w:lineRule="exact"/>
        <w:rPr>
          <w:sz w:val="20"/>
          <w:szCs w:val="20"/>
          <w:color w:val="auto"/>
        </w:rPr>
      </w:pPr>
    </w:p>
    <w:p>
      <w:pPr>
        <w:ind w:right="120" w:firstLine="864"/>
        <w:spacing w:after="0"/>
        <w:rPr>
          <w:sz w:val="20"/>
          <w:szCs w:val="20"/>
          <w:color w:val="auto"/>
        </w:rPr>
      </w:pPr>
      <w:r>
        <w:rPr>
          <w:rFonts w:ascii="Arial" w:cs="Arial" w:eastAsia="Arial" w:hAnsi="Arial"/>
          <w:sz w:val="18"/>
          <w:szCs w:val="18"/>
          <w:color w:val="auto"/>
        </w:rPr>
        <w:t>The administrator has the authority to amend, suspend or terminate our 2020 Plan, provided such action does not materially impair the rights of any participant unless mutually agreed otherwise. Our 2020 Plan will remain in effect until terminated in accordance with its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6" w:lineRule="exact"/>
        <w:rPr>
          <w:sz w:val="20"/>
          <w:szCs w:val="20"/>
          <w:color w:val="auto"/>
        </w:rPr>
      </w:pPr>
    </w:p>
    <w:p>
      <w:pPr>
        <w:ind w:right="400" w:firstLine="576"/>
        <w:spacing w:after="0"/>
        <w:rPr>
          <w:sz w:val="20"/>
          <w:szCs w:val="20"/>
          <w:color w:val="auto"/>
        </w:rPr>
      </w:pPr>
      <w:r>
        <w:rPr>
          <w:rFonts w:ascii="Arial" w:cs="Arial" w:eastAsia="Arial" w:hAnsi="Arial"/>
          <w:sz w:val="18"/>
          <w:szCs w:val="18"/>
          <w:color w:val="auto"/>
        </w:rPr>
        <w:t>Prior to the completion of this offering, we expect that our board of directors will adopt, and our stockholders will approve, a 2020 Employee Stock Purchase Plan, or the ESPP. Our ESPP will be effective upon the later of its adoption by our board of directors or one business day immediately before the effective date of the registration statement of which this prospectus forms a part.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30" w:lineRule="exact"/>
        <w:rPr>
          <w:sz w:val="20"/>
          <w:szCs w:val="20"/>
          <w:color w:val="auto"/>
        </w:rPr>
      </w:pPr>
    </w:p>
    <w:p>
      <w:pPr>
        <w:ind w:right="200" w:firstLine="864"/>
        <w:spacing w:after="0"/>
        <w:rPr>
          <w:sz w:val="20"/>
          <w:szCs w:val="20"/>
          <w:color w:val="auto"/>
        </w:rPr>
      </w:pPr>
      <w:r>
        <w:rPr>
          <w:rFonts w:ascii="Arial" w:cs="Arial" w:eastAsia="Arial" w:hAnsi="Arial"/>
          <w:sz w:val="18"/>
          <w:szCs w:val="18"/>
          <w:color w:val="auto"/>
        </w:rPr>
        <w:t>A total of shares of our common stock will be available for issuance under our ESPP. In addition, our ESPP will provide for annual increases in the number of shares of our common stock available for issuance under our ESPP on the first day of each of our fiscal years beginning with our fiscal year 2021, equal to the least of:</w:t>
      </w:r>
    </w:p>
    <w:p>
      <w:pPr>
        <w:spacing w:after="0" w:line="95" w:lineRule="exact"/>
        <w:rPr>
          <w:sz w:val="20"/>
          <w:szCs w:val="20"/>
          <w:color w:val="auto"/>
        </w:rPr>
      </w:pPr>
    </w:p>
    <w:p>
      <w:pPr>
        <w:ind w:left="1600" w:hanging="742"/>
        <w:spacing w:after="0"/>
        <w:tabs>
          <w:tab w:leader="none" w:pos="1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w:t>
      </w:r>
    </w:p>
    <w:p>
      <w:pPr>
        <w:spacing w:after="0" w:line="225" w:lineRule="exact"/>
        <w:rPr>
          <w:rFonts w:ascii="Arial" w:cs="Arial" w:eastAsia="Arial" w:hAnsi="Arial"/>
          <w:sz w:val="18"/>
          <w:szCs w:val="18"/>
          <w:color w:val="auto"/>
        </w:rPr>
      </w:pPr>
    </w:p>
    <w:p>
      <w:pPr>
        <w:ind w:left="1300" w:right="20" w:hanging="442"/>
        <w:spacing w:after="0" w:line="246" w:lineRule="auto"/>
        <w:tabs>
          <w:tab w:leader="none" w:pos="1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percent ( %) of the outstanding shares of all classes of our common stock on the last day of our immediately preceding fiscal year; and</w:t>
      </w:r>
    </w:p>
    <w:p>
      <w:pPr>
        <w:spacing w:after="0" w:line="196" w:lineRule="exact"/>
        <w:rPr>
          <w:rFonts w:ascii="Arial" w:cs="Arial" w:eastAsia="Arial" w:hAnsi="Arial"/>
          <w:sz w:val="18"/>
          <w:szCs w:val="18"/>
          <w:color w:val="auto"/>
        </w:rPr>
      </w:pPr>
    </w:p>
    <w:p>
      <w:pPr>
        <w:ind w:left="1300" w:right="400" w:hanging="442"/>
        <w:spacing w:after="0" w:line="246"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other number of shares as our board of directors may determine as of no later than the last day of our immediately preceding fiscal year.</w:t>
      </w:r>
    </w:p>
    <w:p>
      <w:pPr>
        <w:spacing w:after="0" w:line="3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230" w:lineRule="exact"/>
        <w:rPr>
          <w:sz w:val="20"/>
          <w:szCs w:val="20"/>
          <w:color w:val="auto"/>
        </w:rPr>
      </w:pPr>
    </w:p>
    <w:p>
      <w:pPr>
        <w:ind w:right="120" w:firstLine="576"/>
        <w:spacing w:after="0" w:line="204" w:lineRule="exact"/>
        <w:rPr>
          <w:sz w:val="20"/>
          <w:szCs w:val="20"/>
          <w:color w:val="auto"/>
        </w:rPr>
      </w:pPr>
      <w:r>
        <w:rPr>
          <w:rFonts w:ascii="Arial" w:cs="Arial" w:eastAsia="Arial" w:hAnsi="Arial"/>
          <w:sz w:val="18"/>
          <w:szCs w:val="18"/>
          <w:color w:val="auto"/>
        </w:rPr>
        <w:t>Our board of directors or a committee appointed by our board of directors may administer the ESPP. We anticipate that our compensation committee will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30" w:lineRule="exact"/>
        <w:rPr>
          <w:sz w:val="20"/>
          <w:szCs w:val="20"/>
          <w:color w:val="auto"/>
        </w:rPr>
      </w:pPr>
    </w:p>
    <w:p>
      <w:pPr>
        <w:ind w:right="840" w:firstLine="576"/>
        <w:spacing w:after="0" w:line="246"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 five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69" w:name="page170"/>
    <w:bookmarkEnd w:id="169"/>
    <w:p>
      <w:pPr>
        <w:ind w:right="80"/>
        <w:spacing w:after="0" w:line="236" w:lineRule="auto"/>
        <w:rPr>
          <w:sz w:val="20"/>
          <w:szCs w:val="20"/>
          <w:color w:val="auto"/>
        </w:rPr>
      </w:pPr>
      <w:r>
        <w:rPr>
          <w:rFonts w:ascii="Arial" w:cs="Arial" w:eastAsia="Arial" w:hAnsi="Arial"/>
          <w:sz w:val="18"/>
          <w:szCs w:val="18"/>
          <w:color w:val="auto"/>
        </w:rPr>
        <w:t>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205" w:lineRule="exact"/>
        <w:rPr>
          <w:sz w:val="20"/>
          <w:szCs w:val="20"/>
          <w:color w:val="auto"/>
        </w:rPr>
      </w:pPr>
    </w:p>
    <w:p>
      <w:pPr>
        <w:ind w:right="100" w:firstLine="576"/>
        <w:spacing w:after="0" w:line="246"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w:t>
      </w:r>
    </w:p>
    <w:p>
      <w:pPr>
        <w:spacing w:after="0" w:line="202" w:lineRule="exact"/>
        <w:rPr>
          <w:sz w:val="20"/>
          <w:szCs w:val="20"/>
          <w:color w:val="auto"/>
        </w:rPr>
      </w:pPr>
      <w:r>
        <w:rPr>
          <w:rFonts w:ascii="Arial" w:cs="Arial" w:eastAsia="Arial" w:hAnsi="Arial"/>
          <w:sz w:val="18"/>
          <w:szCs w:val="18"/>
          <w:color w:val="auto"/>
        </w:rPr>
        <w:t>Code Section 423, and a component that does not comply with Code Section 423, or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w:t>
      </w:r>
    </w:p>
    <w:p>
      <w:pPr>
        <w:spacing w:after="0" w:line="235" w:lineRule="auto"/>
        <w:tabs>
          <w:tab w:leader="none" w:pos="10740" w:val="left"/>
        </w:tabs>
        <w:rPr>
          <w:sz w:val="20"/>
          <w:szCs w:val="20"/>
          <w:color w:val="auto"/>
        </w:rPr>
      </w:pPr>
      <w:r>
        <w:rPr>
          <w:rFonts w:ascii="Arial" w:cs="Arial" w:eastAsia="Arial" w:hAnsi="Arial"/>
          <w:sz w:val="18"/>
          <w:szCs w:val="18"/>
          <w:color w:val="auto"/>
        </w:rPr>
        <w:t>summary, a reference to our ESPP generally will mean the terms and operations of the 423 Component. Our ESPP will provide for</w:t>
      </w:r>
      <w:r>
        <w:rPr>
          <w:sz w:val="20"/>
          <w:szCs w:val="20"/>
          <w:color w:val="auto"/>
        </w:rPr>
        <w:tab/>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month offering periods. Each offering period will have one purchase period with the same duration as the offering period. The offering</w:t>
      </w:r>
    </w:p>
    <w:p>
      <w:pPr>
        <w:spacing w:after="0"/>
        <w:tabs>
          <w:tab w:leader="none" w:pos="6080" w:val="left"/>
          <w:tab w:leader="none" w:pos="7140" w:val="left"/>
        </w:tabs>
        <w:rPr>
          <w:sz w:val="20"/>
          <w:szCs w:val="20"/>
          <w:color w:val="auto"/>
        </w:rPr>
      </w:pPr>
      <w:r>
        <w:rPr>
          <w:rFonts w:ascii="Arial" w:cs="Arial" w:eastAsia="Arial" w:hAnsi="Arial"/>
          <w:sz w:val="18"/>
          <w:szCs w:val="18"/>
          <w:color w:val="auto"/>
        </w:rPr>
        <w:t>periods will be scheduled to begin on the first trading day on or after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of each year, except for the first offering period,</w:t>
      </w:r>
    </w:p>
    <w:p>
      <w:pPr>
        <w:spacing w:after="0" w:line="235" w:lineRule="auto"/>
        <w:rPr>
          <w:sz w:val="20"/>
          <w:szCs w:val="20"/>
          <w:color w:val="auto"/>
        </w:rPr>
      </w:pPr>
      <w:r>
        <w:rPr>
          <w:rFonts w:ascii="Arial" w:cs="Arial" w:eastAsia="Arial" w:hAnsi="Arial"/>
          <w:sz w:val="18"/>
          <w:szCs w:val="18"/>
          <w:color w:val="auto"/>
        </w:rPr>
        <w:t>which will begin on the first trading day on or after the effective date of the registration statement of which this prospectus forms a part and</w:t>
      </w:r>
    </w:p>
    <w:p>
      <w:pPr>
        <w:ind w:right="180"/>
        <w:spacing w:after="0" w:line="237" w:lineRule="auto"/>
        <w:rPr>
          <w:sz w:val="20"/>
          <w:szCs w:val="20"/>
          <w:color w:val="auto"/>
        </w:rPr>
      </w:pPr>
      <w:r>
        <w:rPr>
          <w:rFonts w:ascii="Arial" w:cs="Arial" w:eastAsia="Arial" w:hAnsi="Arial"/>
          <w:sz w:val="18"/>
          <w:szCs w:val="18"/>
          <w:color w:val="auto"/>
        </w:rPr>
        <w:t>end on the first trading day on or after , 2021.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230" w:lineRule="exact"/>
        <w:rPr>
          <w:sz w:val="20"/>
          <w:szCs w:val="20"/>
          <w:color w:val="auto"/>
        </w:rPr>
      </w:pPr>
    </w:p>
    <w:p>
      <w:pPr>
        <w:ind w:right="580" w:firstLine="576"/>
        <w:spacing w:after="0"/>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w:t>
      </w:r>
    </w:p>
    <w:p>
      <w:pPr>
        <w:spacing w:after="0" w:line="230" w:lineRule="exact"/>
        <w:rPr>
          <w:sz w:val="20"/>
          <w:szCs w:val="20"/>
          <w:color w:val="auto"/>
        </w:rPr>
      </w:pPr>
    </w:p>
    <w:p>
      <w:pPr>
        <w:jc w:val="both"/>
        <w:ind w:right="40" w:firstLine="576"/>
        <w:spacing w:after="0" w:line="248" w:lineRule="auto"/>
        <w:rPr>
          <w:sz w:val="20"/>
          <w:szCs w:val="20"/>
          <w:color w:val="auto"/>
        </w:rPr>
      </w:pPr>
      <w:r>
        <w:rPr>
          <w:rFonts w:ascii="Arial" w:cs="Arial" w:eastAsia="Arial" w:hAnsi="Arial"/>
          <w:sz w:val="17"/>
          <w:szCs w:val="17"/>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20" w:type="dxa"/>
            <w:vAlign w:val="bottom"/>
          </w:tcPr>
          <w:p>
            <w:pPr>
              <w:spacing w:after="0"/>
              <w:rPr>
                <w:sz w:val="20"/>
                <w:szCs w:val="20"/>
                <w:color w:val="auto"/>
              </w:rPr>
            </w:pPr>
            <w:r>
              <w:rPr>
                <w:rFonts w:ascii="Arial" w:cs="Arial" w:eastAsia="Arial" w:hAnsi="Arial"/>
                <w:sz w:val="18"/>
                <w:szCs w:val="18"/>
                <w:color w:val="auto"/>
              </w:rPr>
              <w:t>will be permitted to purchase a maximum of</w:t>
            </w:r>
          </w:p>
        </w:tc>
        <w:tc>
          <w:tcPr>
            <w:tcW w:w="7540" w:type="dxa"/>
            <w:vAlign w:val="bottom"/>
          </w:tcPr>
          <w:p>
            <w:pPr>
              <w:jc w:val="right"/>
              <w:ind w:right="4410"/>
              <w:spacing w:after="0"/>
              <w:rPr>
                <w:sz w:val="20"/>
                <w:szCs w:val="20"/>
                <w:color w:val="auto"/>
              </w:rPr>
            </w:pPr>
            <w:r>
              <w:rPr>
                <w:rFonts w:ascii="Arial" w:cs="Arial" w:eastAsia="Arial" w:hAnsi="Arial"/>
                <w:sz w:val="18"/>
                <w:szCs w:val="18"/>
                <w:color w:val="auto"/>
              </w:rPr>
              <w:t>shares during each offering period.</w:t>
            </w:r>
          </w:p>
        </w:tc>
      </w:tr>
      <w:tr>
        <w:trPr>
          <w:trHeight w:val="418"/>
        </w:trPr>
        <w:tc>
          <w:tcPr>
            <w:tcW w:w="3720" w:type="dxa"/>
            <w:vAlign w:val="bottom"/>
          </w:tcPr>
          <w:p>
            <w:pPr>
              <w:spacing w:after="0" w:line="207"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transferability</w:t>
            </w:r>
          </w:p>
        </w:tc>
        <w:tc>
          <w:tcPr>
            <w:tcW w:w="7540" w:type="dxa"/>
            <w:vAlign w:val="bottom"/>
          </w:tcPr>
          <w:p>
            <w:pPr>
              <w:spacing w:after="0"/>
              <w:rPr>
                <w:sz w:val="24"/>
                <w:szCs w:val="24"/>
                <w:color w:val="auto"/>
              </w:rPr>
            </w:pPr>
          </w:p>
        </w:tc>
      </w:tr>
      <w:tr>
        <w:trPr>
          <w:trHeight w:val="418"/>
        </w:trPr>
        <w:tc>
          <w:tcPr>
            <w:tcW w:w="3720" w:type="dxa"/>
            <w:vAlign w:val="bottom"/>
          </w:tcPr>
          <w:p>
            <w:pPr>
              <w:spacing w:after="0"/>
              <w:rPr>
                <w:sz w:val="24"/>
                <w:szCs w:val="24"/>
                <w:color w:val="auto"/>
              </w:rPr>
            </w:pPr>
          </w:p>
        </w:tc>
        <w:tc>
          <w:tcPr>
            <w:tcW w:w="7540" w:type="dxa"/>
            <w:vAlign w:val="bottom"/>
          </w:tcPr>
          <w:p>
            <w:pPr>
              <w:jc w:val="right"/>
              <w:ind w:right="5330"/>
              <w:spacing w:after="0"/>
              <w:rPr>
                <w:sz w:val="20"/>
                <w:szCs w:val="20"/>
                <w:color w:val="auto"/>
              </w:rPr>
            </w:pPr>
            <w:r>
              <w:rPr>
                <w:rFonts w:ascii="Arial" w:cs="Arial" w:eastAsia="Arial" w:hAnsi="Arial"/>
                <w:sz w:val="18"/>
                <w:szCs w:val="18"/>
                <w:color w:val="auto"/>
              </w:rPr>
              <w:t>-167-</w:t>
            </w:r>
          </w:p>
        </w:tc>
      </w:tr>
      <w:tr>
        <w:trPr>
          <w:trHeight w:val="101"/>
        </w:trPr>
        <w:tc>
          <w:tcPr>
            <w:tcW w:w="3720" w:type="dxa"/>
            <w:vAlign w:val="bottom"/>
            <w:tcBorders>
              <w:bottom w:val="single" w:sz="8" w:color="9A9A9A"/>
            </w:tcBorders>
          </w:tcPr>
          <w:p>
            <w:pPr>
              <w:spacing w:after="0"/>
              <w:rPr>
                <w:sz w:val="8"/>
                <w:szCs w:val="8"/>
                <w:color w:val="auto"/>
              </w:rPr>
            </w:pPr>
          </w:p>
        </w:tc>
        <w:tc>
          <w:tcPr>
            <w:tcW w:w="75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70" w:name="page171"/>
    <w:bookmarkEnd w:id="170"/>
    <w:p>
      <w:pPr>
        <w:ind w:right="120" w:firstLine="864"/>
        <w:spacing w:after="0" w:line="24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230" w:lineRule="exact"/>
        <w:rPr>
          <w:sz w:val="20"/>
          <w:szCs w:val="20"/>
          <w:color w:val="auto"/>
        </w:rPr>
      </w:pPr>
    </w:p>
    <w:p>
      <w:pPr>
        <w:ind w:firstLine="576"/>
        <w:spacing w:after="0" w:line="204" w:lineRule="exact"/>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Arial" w:cs="Arial" w:eastAsia="Arial" w:hAnsi="Arial"/>
          <w:sz w:val="18"/>
          <w:szCs w:val="18"/>
          <w:color w:val="auto"/>
        </w:rPr>
        <w:t>up, spin</w:t>
      </w:r>
      <w:r>
        <w:rPr>
          <w:rFonts w:ascii="MS PGothic" w:cs="MS PGothic" w:eastAsia="MS PGothic" w:hAnsi="MS PGothic"/>
          <w:sz w:val="18"/>
          <w:szCs w:val="18"/>
          <w:color w:val="auto"/>
        </w:rPr>
        <w:t>‑</w:t>
      </w:r>
      <w:r>
        <w:rPr>
          <w:rFonts w:ascii="Arial" w:cs="Arial" w:eastAsia="Arial" w:hAnsi="Arial"/>
          <w:sz w:val="18"/>
          <w:szCs w:val="18"/>
          <w:color w:val="auto"/>
        </w:rPr>
        <w:t>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or Change in Control</w:t>
      </w:r>
    </w:p>
    <w:p>
      <w:pPr>
        <w:spacing w:after="0" w:line="230"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30" w:lineRule="exact"/>
        <w:rPr>
          <w:sz w:val="20"/>
          <w:szCs w:val="20"/>
          <w:color w:val="auto"/>
        </w:rPr>
      </w:pPr>
    </w:p>
    <w:p>
      <w:pPr>
        <w:ind w:right="20" w:firstLine="864"/>
        <w:spacing w:after="0" w:line="238"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of which this prospectus forms a part, unless we terminate it earlier.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34" w:lineRule="exact"/>
        <w:rPr>
          <w:sz w:val="20"/>
          <w:szCs w:val="20"/>
          <w:color w:val="auto"/>
        </w:rPr>
      </w:pPr>
    </w:p>
    <w:p>
      <w:pPr>
        <w:ind w:right="100" w:firstLine="576"/>
        <w:spacing w:after="0" w:line="253"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basis, through contributions to the 401(k) plan. All of a participant’s contributions into the 401(k) plan are 100% vested when contributed. The 401(k) plan permits us to make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3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Our certificate of incorporation and bylaws, each to be effective upon completion of this offering, will provide that we will indemnify our directors and officers, and may indemnify our employees and other agents, to the fullest extent permitted by the Delaware General Corporation Law, which prohibits us from limiting the liability of our directors for the following:</w:t>
      </w:r>
    </w:p>
    <w:p>
      <w:pPr>
        <w:spacing w:after="0" w:line="95" w:lineRule="exact"/>
        <w:rPr>
          <w:sz w:val="20"/>
          <w:szCs w:val="20"/>
          <w:color w:val="auto"/>
        </w:rPr>
      </w:pPr>
    </w:p>
    <w:p>
      <w:pPr>
        <w:ind w:left="1300" w:hanging="442"/>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333" w:lineRule="exact"/>
        <w:rPr>
          <w:sz w:val="20"/>
          <w:szCs w:val="20"/>
          <w:color w:val="auto"/>
        </w:rPr>
      </w:pPr>
    </w:p>
    <w:p>
      <w:pPr>
        <w:ind w:right="180" w:firstLine="576"/>
        <w:spacing w:after="0" w:line="237" w:lineRule="auto"/>
        <w:rPr>
          <w:sz w:val="20"/>
          <w:szCs w:val="20"/>
          <w:color w:val="auto"/>
        </w:rPr>
      </w:pPr>
      <w:r>
        <w:rPr>
          <w:rFonts w:ascii="Arial" w:cs="Arial" w:eastAsia="Arial" w:hAnsi="Arial"/>
          <w:sz w:val="18"/>
          <w:szCs w:val="18"/>
          <w:color w:val="auto"/>
        </w:rPr>
        <w:t>If Delaware law is amended to authorize corporate action further limiting the personal liability of a director, then the liability of our directors will be limited to the fullest extent permitted by Delaware law, as so amended. Our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bylaws, we will also be empowered to purchase insurance on behalf of any person whom we are required or permitted to indemnify.</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addition to the indemnification required in our certificate of incorporation and bylaws, we have entered into indemnification agreements with each of our current directors, officers and some employees.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20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72" w:name="page173"/>
    <w:bookmarkEnd w:id="172"/>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following is a summary of transactions since January 1, 2017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prospectus titled “Executive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234"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We have a formal, written policy, which will become effective on the date of effectiveness of the registration statement of which this prospectus forms a part,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300" w:hanging="442"/>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225"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196"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196"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3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97" w:lineRule="exact"/>
        <w:rPr>
          <w:sz w:val="20"/>
          <w:szCs w:val="20"/>
          <w:color w:val="auto"/>
        </w:rPr>
      </w:pPr>
    </w:p>
    <w:p>
      <w:pPr>
        <w:ind w:left="1300" w:hanging="442"/>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benefits and perceived benefits to us;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Sales of Securities</w:t>
      </w:r>
    </w:p>
    <w:p>
      <w:pPr>
        <w:spacing w:after="0" w:line="234" w:lineRule="exact"/>
        <w:rPr>
          <w:sz w:val="20"/>
          <w:szCs w:val="20"/>
          <w:color w:val="auto"/>
        </w:rPr>
      </w:pPr>
    </w:p>
    <w:p>
      <w:pPr>
        <w:jc w:val="both"/>
        <w:ind w:right="260" w:firstLine="576"/>
        <w:spacing w:after="0" w:line="261" w:lineRule="auto"/>
        <w:rPr>
          <w:sz w:val="20"/>
          <w:szCs w:val="20"/>
          <w:color w:val="auto"/>
        </w:rPr>
      </w:pPr>
      <w:r>
        <w:rPr>
          <w:rFonts w:ascii="Arial" w:cs="Arial" w:eastAsia="Arial" w:hAnsi="Arial"/>
          <w:sz w:val="17"/>
          <w:szCs w:val="17"/>
          <w:color w:val="auto"/>
        </w:rPr>
        <w:t>The following table sets forth a summary of the sale and issuance of our securities to related persons since January 1, 2017, other than compensation arrangements which are described under the sections of this prospectus titled “Management—Director Compensation” and “Executive Compensation.” For a description of beneficial ownership see the section of this prospectus titled “Principal Stockholders.”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 of</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Series B-1</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 of</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Principal</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Stock</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Series B</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Amount of</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Issued on</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Conversion of</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Preferred</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Notes</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Stock</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stockholders:</w:t>
            </w:r>
          </w:p>
        </w:tc>
        <w:tc>
          <w:tcPr>
            <w:tcW w:w="12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Perceptive Life Sciences Master Fund Ltd.</w:t>
            </w:r>
          </w:p>
        </w:tc>
        <w:tc>
          <w:tcPr>
            <w:tcW w:w="1260" w:type="dxa"/>
            <w:vAlign w:val="bottom"/>
          </w:tcPr>
          <w:p>
            <w:pPr>
              <w:jc w:val="right"/>
              <w:spacing w:after="0"/>
              <w:rPr>
                <w:sz w:val="20"/>
                <w:szCs w:val="20"/>
                <w:color w:val="auto"/>
              </w:rPr>
            </w:pPr>
            <w:r>
              <w:rPr>
                <w:rFonts w:ascii="Arial" w:cs="Arial" w:eastAsia="Arial" w:hAnsi="Arial"/>
                <w:sz w:val="18"/>
                <w:szCs w:val="18"/>
                <w:color w:val="auto"/>
              </w:rPr>
              <w:t>13,043,478</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3,260,869</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RTW Investments,</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12,173,913</w:t>
            </w:r>
            <w:r>
              <w:rPr>
                <w:rFonts w:ascii="Arial" w:cs="Arial" w:eastAsia="Arial" w:hAnsi="Arial"/>
                <w:sz w:val="15"/>
                <w:szCs w:val="15"/>
                <w:color w:val="auto"/>
              </w:rPr>
              <w:t>(2)</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3,043,477</w:t>
            </w:r>
            <w:r>
              <w:rPr>
                <w:rFonts w:ascii="Arial" w:cs="Arial" w:eastAsia="Arial" w:hAnsi="Arial"/>
                <w:sz w:val="15"/>
                <w:szCs w:val="15"/>
                <w:color w:val="auto"/>
              </w:rPr>
              <w:t>(3)</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LP</w:t>
            </w:r>
          </w:p>
        </w:tc>
        <w:tc>
          <w:tcPr>
            <w:tcW w:w="1260" w:type="dxa"/>
            <w:vAlign w:val="bottom"/>
            <w:vMerge w:val="continue"/>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8"/>
                <w:szCs w:val="18"/>
                <w:color w:val="auto"/>
              </w:rPr>
              <w:t>Entities affiliated with Franklin Templeton</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6,086,956</w:t>
            </w:r>
            <w:r>
              <w:rPr>
                <w:rFonts w:ascii="Arial" w:cs="Arial" w:eastAsia="Arial" w:hAnsi="Arial"/>
                <w:sz w:val="15"/>
                <w:szCs w:val="15"/>
                <w:color w:val="auto"/>
              </w:rPr>
              <w:t>(4)</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1,521,738</w:t>
            </w:r>
            <w:r>
              <w:rPr>
                <w:rFonts w:ascii="Arial" w:cs="Arial" w:eastAsia="Arial" w:hAnsi="Arial"/>
                <w:sz w:val="15"/>
                <w:szCs w:val="15"/>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3" w:lineRule="exact"/>
              <w:rPr>
                <w:sz w:val="20"/>
                <w:szCs w:val="20"/>
                <w:color w:val="auto"/>
              </w:rPr>
            </w:pPr>
            <w:r>
              <w:rPr>
                <w:rFonts w:ascii="Arial" w:cs="Arial" w:eastAsia="Arial" w:hAnsi="Arial"/>
                <w:sz w:val="18"/>
                <w:szCs w:val="18"/>
                <w:color w:val="auto"/>
              </w:rPr>
              <w:t>Investments</w:t>
            </w:r>
          </w:p>
        </w:tc>
        <w:tc>
          <w:tcPr>
            <w:tcW w:w="12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Viking Global Opportunities Illiquid</w:t>
            </w: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2,173,913</w:t>
            </w:r>
            <w:r>
              <w:rPr>
                <w:rFonts w:ascii="Arial" w:cs="Arial" w:eastAsia="Arial" w:hAnsi="Arial"/>
                <w:sz w:val="15"/>
                <w:szCs w:val="15"/>
                <w:color w:val="auto"/>
              </w:rPr>
              <w:t>(1)</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Investments Sub-Master LP</w:t>
            </w: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8,695,652</w:t>
            </w: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13,043,478</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3,260,869</w:t>
            </w:r>
            <w:r>
              <w:rPr>
                <w:rFonts w:ascii="Arial" w:cs="Arial" w:eastAsia="Arial" w:hAnsi="Arial"/>
                <w:sz w:val="15"/>
                <w:szCs w:val="15"/>
                <w:color w:val="auto"/>
              </w:rPr>
              <w:t>(1)</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Mark Litton, Ph.D.</w:t>
            </w: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w:t>
            </w:r>
            <w:r>
              <w:rPr>
                <w:rFonts w:ascii="Arial" w:cs="Arial" w:eastAsia="Arial" w:hAnsi="Arial"/>
                <w:sz w:val="15"/>
                <w:szCs w:val="15"/>
                <w:color w:val="auto"/>
              </w:rPr>
              <w:t>(7)</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260,236</w:t>
            </w:r>
            <w:r>
              <w:rPr>
                <w:rFonts w:ascii="Arial" w:cs="Arial" w:eastAsia="Arial" w:hAnsi="Arial"/>
                <w:sz w:val="15"/>
                <w:szCs w:val="15"/>
                <w:color w:val="auto"/>
              </w:rPr>
              <w:t>(8)</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53,379</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80" w:hanging="472"/>
        <w:spacing w:after="0"/>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This warrant was fully exercised prior to June 30, 2020.</w:t>
      </w:r>
    </w:p>
    <w:p>
      <w:pPr>
        <w:spacing w:after="0" w:line="41" w:lineRule="exact"/>
        <w:rPr>
          <w:rFonts w:ascii="Arial" w:cs="Arial" w:eastAsia="Arial" w:hAnsi="Arial"/>
          <w:sz w:val="14"/>
          <w:szCs w:val="14"/>
          <w:color w:val="auto"/>
        </w:rPr>
      </w:pPr>
    </w:p>
    <w:p>
      <w:pPr>
        <w:ind w:left="480" w:right="520" w:hanging="472"/>
        <w:spacing w:after="0" w:line="258" w:lineRule="auto"/>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2,512,696 shares of our Series B convertible preferred stock held by RTW Innovation Master Fund, Ltd., 7,922,087 shares of our Series B convertible preferred stock held by RTW Master Fund, Ltd., and 1,739,130 shares of our Series B convertible preferred stock held by RTW Venture Fund Limited.</w:t>
      </w:r>
    </w:p>
    <w:p>
      <w:pPr>
        <w:spacing w:after="0" w:line="18" w:lineRule="exact"/>
        <w:rPr>
          <w:rFonts w:ascii="Arial" w:cs="Arial" w:eastAsia="Arial" w:hAnsi="Arial"/>
          <w:sz w:val="14"/>
          <w:szCs w:val="14"/>
          <w:color w:val="auto"/>
        </w:rPr>
      </w:pPr>
    </w:p>
    <w:p>
      <w:pPr>
        <w:ind w:left="480" w:right="540" w:hanging="472"/>
        <w:spacing w:after="0" w:line="258" w:lineRule="auto"/>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warrants to purchase 628,174 shares of our common stock held by RTW Innovation Master Fund, Ltd., warrants to purchase 1,980,521 shares of our common stock held by RTW Master Fund, Ltd., and warrants to purchase 434,782 shares of our common stock held by RTW Venture Fund Limited.</w:t>
      </w:r>
    </w:p>
    <w:p>
      <w:pPr>
        <w:spacing w:after="0" w:line="18" w:lineRule="exact"/>
        <w:rPr>
          <w:rFonts w:ascii="Arial" w:cs="Arial" w:eastAsia="Arial" w:hAnsi="Arial"/>
          <w:sz w:val="14"/>
          <w:szCs w:val="14"/>
          <w:color w:val="auto"/>
        </w:rPr>
      </w:pPr>
    </w:p>
    <w:p>
      <w:pPr>
        <w:ind w:left="480" w:right="440" w:hanging="472"/>
        <w:spacing w:after="0" w:line="258" w:lineRule="auto"/>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2,587,975 shares of our Series B convertible preferred stock held by Franklin Strategic Series – Franklin Biotechnology Discovery Fund and 3,498,981 shares of our Series B convertible preferred stock held by Franklin Templeton Investment Funds – Franklin Biotechnology Discovery Fund.</w:t>
      </w:r>
    </w:p>
    <w:p>
      <w:pPr>
        <w:spacing w:after="0" w:line="18" w:lineRule="exact"/>
        <w:rPr>
          <w:rFonts w:ascii="Arial" w:cs="Arial" w:eastAsia="Arial" w:hAnsi="Arial"/>
          <w:sz w:val="14"/>
          <w:szCs w:val="14"/>
          <w:color w:val="auto"/>
        </w:rPr>
      </w:pPr>
    </w:p>
    <w:p>
      <w:pPr>
        <w:ind w:left="480" w:right="460" w:hanging="472"/>
        <w:spacing w:after="0" w:line="258" w:lineRule="auto"/>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warrants to purchase 646,993 shares of our common stock held by Franklin Strategic Series – Franklin Biotechnology Discovery Fund and warrants to purchase 874,745 shares of our common stock held by Franklin Templeton Investment Funds – Franklin Biotechnology Discovery Fund.</w:t>
      </w:r>
    </w:p>
    <w:p>
      <w:pPr>
        <w:spacing w:after="0" w:line="18" w:lineRule="exact"/>
        <w:rPr>
          <w:rFonts w:ascii="Arial" w:cs="Arial" w:eastAsia="Arial" w:hAnsi="Arial"/>
          <w:sz w:val="14"/>
          <w:szCs w:val="14"/>
          <w:color w:val="auto"/>
        </w:rPr>
      </w:pPr>
    </w:p>
    <w:p>
      <w:pPr>
        <w:ind w:left="480" w:right="20" w:hanging="472"/>
        <w:spacing w:after="0" w:line="258" w:lineRule="auto"/>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Joseph Edelman is chief executive officer and portfolio manager of Perceptive Advisors, an affiliate of Perceptive Life Sciences Master Fund Ltd., and may be deemed to beneficially own such shares.</w:t>
      </w:r>
    </w:p>
    <w:p>
      <w:pPr>
        <w:spacing w:after="0" w:line="18" w:lineRule="exact"/>
        <w:rPr>
          <w:rFonts w:ascii="Arial" w:cs="Arial" w:eastAsia="Arial" w:hAnsi="Arial"/>
          <w:sz w:val="14"/>
          <w:szCs w:val="14"/>
          <w:color w:val="auto"/>
        </w:rPr>
      </w:pPr>
    </w:p>
    <w:p>
      <w:pPr>
        <w:ind w:left="480" w:right="60" w:hanging="472"/>
        <w:spacing w:after="0" w:line="249" w:lineRule="auto"/>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$100,000 in aggregate principal amount of convertible notes held jointly by Dr. Litton and Alicia Litton, his wife, and $150,000 in aggregate principal amount of convertible notes held by the Irrevocable Trust of OSL, the Irrevocable Trust of SWL, and the Irrevocable Trust of WGL, each of which are trusts held for the benefit of Dr. Litton’s children.</w:t>
      </w:r>
    </w:p>
    <w:p>
      <w:pPr>
        <w:spacing w:after="0" w:line="25" w:lineRule="exact"/>
        <w:rPr>
          <w:rFonts w:ascii="Arial" w:cs="Arial" w:eastAsia="Arial" w:hAnsi="Arial"/>
          <w:sz w:val="14"/>
          <w:szCs w:val="14"/>
          <w:color w:val="auto"/>
        </w:rPr>
      </w:pPr>
    </w:p>
    <w:p>
      <w:pPr>
        <w:ind w:left="480" w:right="300" w:hanging="472"/>
        <w:spacing w:after="0" w:line="249" w:lineRule="auto"/>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104,095 shares of our Series B-1 convertible preferred stock held jointly by Dr. Litton and Alicia Litton, his wife, and an aggregate 156,141 shares of our Series B-1 convertible preferred stock held by the Irrevocable Trust of OSL, the Irrevocable Trust of SWL, and the Irrevocable Trust of WGL, each of which are trusts held for the benefit of Dr. Litton’s children.</w:t>
      </w:r>
    </w:p>
    <w:p>
      <w:pPr>
        <w:spacing w:after="0" w:line="25" w:lineRule="exact"/>
        <w:rPr>
          <w:rFonts w:ascii="Arial" w:cs="Arial" w:eastAsia="Arial" w:hAnsi="Arial"/>
          <w:sz w:val="14"/>
          <w:szCs w:val="14"/>
          <w:color w:val="auto"/>
        </w:rPr>
      </w:pPr>
    </w:p>
    <w:p>
      <w:pPr>
        <w:ind w:left="480" w:right="40" w:hanging="472"/>
        <w:spacing w:after="0" w:line="258" w:lineRule="auto"/>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convertible notes and shares of our Series B convertible preferred stock held by Fluke Capital Management, L.P., of which John M. Fluke, Jr. has a beneficial ownership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From December 2018 to January 2020, we issued and sold $3.8 million in aggregate principal amount of our convertible notes. The notes accrue interest at a rate of 5% per month. Dr. Litton, our chief operating officer, and Alicia Litton, his wife, purchased $100,000 in aggregate principal amount of the notes. In addition, notes in an aggregate principal amount of $150,000 were purchased by the Irrevocable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4" w:name="page175"/>
    <w:bookmarkEnd w:id="174"/>
    <w:p>
      <w:pPr>
        <w:ind w:right="60"/>
        <w:spacing w:after="0" w:line="238" w:lineRule="auto"/>
        <w:rPr>
          <w:sz w:val="20"/>
          <w:szCs w:val="20"/>
          <w:color w:val="auto"/>
        </w:rPr>
      </w:pPr>
      <w:r>
        <w:rPr>
          <w:rFonts w:ascii="Arial" w:cs="Arial" w:eastAsia="Arial" w:hAnsi="Arial"/>
          <w:sz w:val="18"/>
          <w:szCs w:val="18"/>
          <w:color w:val="auto"/>
        </w:rPr>
        <w:t>Trust of OSL, the Irrevocable Trust of WGL, and the Irrevocable Trust of SWL, each of which are trusts 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$0.9775 per share in connection with our Series B financing in May 2020. The Series B financing is described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From May 2020 to June 2020, we issued and sold to investors an aggregate of 74,328,105 shares of Series B convertible preferred stock at $1.15 per share for aggregate proceeds of $85.5 million, an aggregate of 4,067,148 shares of Series B-1 convertible preferred stock at a conversion price of $0.9775 per share upon conversion of outstanding convertible notes, and warrants to purchase 18,582,009 shares of our common stock at an exercise price of $0.01 per share. Perceptive Life Sciences Master Fund Ltd., entities affiliated with RTW Investments, LP, and Viking Global Opportunities Illiquid Investments Sub-Master LP are each significant stockholders of the company and participated in the Series B financing. Perceptive Advisors LLC serves as the investment manager of Perceptive Life Sciences Master Fund Ltd. Joseph Edelman, a member of our board of directors, is the managing member of Perceptive Advisors LLC and he may be deemed to have shared voting and dispositive power over our securities held by Perceptive Life Sciences Master Fund Ltd.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34" w:lineRule="exact"/>
        <w:rPr>
          <w:sz w:val="20"/>
          <w:szCs w:val="20"/>
          <w:color w:val="auto"/>
        </w:rPr>
      </w:pPr>
    </w:p>
    <w:p>
      <w:pPr>
        <w:ind w:right="80" w:firstLine="576"/>
        <w:spacing w:after="0" w:line="248" w:lineRule="auto"/>
        <w:rPr>
          <w:sz w:val="20"/>
          <w:szCs w:val="20"/>
          <w:color w:val="auto"/>
        </w:rPr>
      </w:pPr>
      <w:r>
        <w:rPr>
          <w:rFonts w:ascii="Arial" w:cs="Arial" w:eastAsia="Arial" w:hAnsi="Arial"/>
          <w:sz w:val="17"/>
          <w:szCs w:val="17"/>
          <w:color w:val="auto"/>
        </w:rPr>
        <w:t>We have entered into an investors’ rights agreement with certain of our stockholders, including Dr. Kawas, our chief executive officer, Dr. Litton, our chief operating officer, and Fluke Capital Management, L.P., of which John M. Fluke, Jr., a member of our board of directors, has a beneficial ownership interest. In addition, Perceptive Life Sciences Master Fund Ltd., entities affiliated with RTW Investments, LP, and Viking Global Opportunities Illiquid Investments Sub-Master LP are parties to the agreement. As of June 30, 2020, the holders of</w:t>
      </w:r>
    </w:p>
    <w:p>
      <w:pPr>
        <w:spacing w:after="0" w:line="2"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shares of our common stock, including common stock issuable upon conversion of outstanding convertible preferred stock, or their transferees, are entitled to rights with respect to the registration of their shares under the Securities Act.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234"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The election of the members of the board of directors is governed by a voting agreement with certain of our stockholders, including Dr. Kawas, our chief executive officer, and Perceptive Life Sciences Master Fund Ltd. The parties to the voting agreement have agreed, subject to certain conditions, to vote their shares to elect as directors as follows:</w:t>
      </w:r>
    </w:p>
    <w:p>
      <w:pPr>
        <w:spacing w:after="0" w:line="95" w:lineRule="exact"/>
        <w:rPr>
          <w:sz w:val="20"/>
          <w:szCs w:val="20"/>
          <w:color w:val="auto"/>
        </w:rPr>
      </w:pPr>
    </w:p>
    <w:p>
      <w:pPr>
        <w:ind w:left="1300" w:hanging="442"/>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one nominee designated by Perceptive Life Sciences Master Fund Ltd., currently Mr. Edelman;</w:t>
      </w:r>
    </w:p>
    <w:p>
      <w:pPr>
        <w:spacing w:after="0" w:line="225" w:lineRule="exact"/>
        <w:rPr>
          <w:rFonts w:ascii="Arial" w:cs="Arial" w:eastAsia="Arial" w:hAnsi="Arial"/>
          <w:sz w:val="18"/>
          <w:szCs w:val="18"/>
          <w:color w:val="auto"/>
        </w:rPr>
      </w:pPr>
    </w:p>
    <w:p>
      <w:pPr>
        <w:ind w:left="1300" w:right="700" w:hanging="442"/>
        <w:spacing w:after="0" w:line="246"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four nominees, one of which must be our chief executive officer, designated by a majority vote of our common stock, currently Dr. Kawas, Dr. Yamada, and Messrs. Fluke and Harding;</w:t>
      </w:r>
    </w:p>
    <w:p>
      <w:pPr>
        <w:spacing w:after="0" w:line="196"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designated by Perceptive Life Sciences Master Fund Ltd., currently vacant; and</w:t>
      </w:r>
    </w:p>
    <w:p>
      <w:pPr>
        <w:spacing w:after="0" w:line="196"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305" w:lineRule="exact"/>
        <w:rPr>
          <w:sz w:val="20"/>
          <w:szCs w:val="20"/>
          <w:color w:val="auto"/>
        </w:rPr>
      </w:pPr>
    </w:p>
    <w:p>
      <w:pPr>
        <w:ind w:right="200" w:firstLine="576"/>
        <w:spacing w:after="0" w:line="257" w:lineRule="auto"/>
        <w:rPr>
          <w:sz w:val="20"/>
          <w:szCs w:val="20"/>
          <w:color w:val="auto"/>
        </w:rPr>
      </w:pPr>
      <w:r>
        <w:rPr>
          <w:rFonts w:ascii="Arial" w:cs="Arial" w:eastAsia="Arial" w:hAnsi="Arial"/>
          <w:sz w:val="17"/>
          <w:szCs w:val="17"/>
          <w:color w:val="auto"/>
        </w:rPr>
        <w:t>Upon the consummation of this offering, the obligations of the parties to the voting agreement to vote their shares to elect these nominees will terminate, and none of our stockholders will have any special rights regarding the nomination, election or designation of members of the board of directors. Our existing certificate of incorporation contains provisions that correspond to the voting agreement; however, the certificate of incorporation that will be effective immediately prior to the closing of this offering will not include such provisions.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issued a promissory note to Dr. Kawas in the aggregate principal amount of $60,000. As of June 30, 2020, the outstanding</w:t>
      </w:r>
    </w:p>
    <w:p>
      <w:pPr>
        <w:ind w:right="420"/>
        <w:spacing w:after="0" w:line="246" w:lineRule="auto"/>
        <w:rPr>
          <w:sz w:val="20"/>
          <w:szCs w:val="20"/>
          <w:color w:val="auto"/>
        </w:rPr>
      </w:pPr>
      <w:r>
        <w:rPr>
          <w:rFonts w:ascii="Arial" w:cs="Arial" w:eastAsia="Arial" w:hAnsi="Arial"/>
          <w:sz w:val="18"/>
          <w:szCs w:val="18"/>
          <w:color w:val="auto"/>
        </w:rPr>
        <w:t>balance of the note was approximately . Such note will be repaid prior to the public filing of the registration statement of which this prospectus forms a part.</w:t>
      </w:r>
    </w:p>
    <w:p>
      <w:pPr>
        <w:spacing w:after="0" w:line="197"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We have entered into employment agreements with our executive officers. For a description of these agreements, see the section of this prospectus titled “Executive Compensation – Executive Employment Arrangements.”</w:t>
      </w:r>
    </w:p>
    <w:p>
      <w:pPr>
        <w:spacing w:after="0" w:line="197"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We have granted stock options and issued common stock to our executive officers and to certain of our non-executive directors. For a description of these grants and issuances, see the sections of this prospectus titled “Management – Director Compensation” and “Executive Compensation.”</w:t>
      </w:r>
    </w:p>
    <w:p>
      <w:pPr>
        <w:spacing w:after="0" w:line="203"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We have entered into indemnification agreements with our directors and executive officers. For a description of these agreements, see the section of this prospectus titled “Management – Limitation of Liability and Indemnification Matters.”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684" w:right="45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beneficial ownership of our common stock as of June 30, 2020 by:</w:t>
      </w:r>
    </w:p>
    <w:p>
      <w:pPr>
        <w:spacing w:after="0" w:line="104" w:lineRule="exact"/>
        <w:rPr>
          <w:sz w:val="20"/>
          <w:szCs w:val="20"/>
          <w:color w:val="auto"/>
        </w:rPr>
      </w:pPr>
    </w:p>
    <w:p>
      <w:pPr>
        <w:ind w:left="1300" w:hanging="442"/>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329" w:lineRule="exact"/>
        <w:rPr>
          <w:sz w:val="20"/>
          <w:szCs w:val="20"/>
          <w:color w:val="auto"/>
        </w:rPr>
      </w:pPr>
    </w:p>
    <w:p>
      <w:pPr>
        <w:ind w:left="580"/>
        <w:spacing w:after="0"/>
        <w:tabs>
          <w:tab w:leader="none" w:pos="8780" w:val="left"/>
        </w:tabs>
        <w:rPr>
          <w:sz w:val="20"/>
          <w:szCs w:val="20"/>
          <w:color w:val="auto"/>
        </w:rPr>
      </w:pPr>
      <w:r>
        <w:rPr>
          <w:rFonts w:ascii="Arial" w:cs="Arial" w:eastAsia="Arial" w:hAnsi="Arial"/>
          <w:sz w:val="18"/>
          <w:szCs w:val="18"/>
          <w:color w:val="auto"/>
        </w:rPr>
        <w:t>The percentage of beneficial ownership prior to the offering shown in the table is based upon</w:t>
      </w:r>
      <w:r>
        <w:rPr>
          <w:sz w:val="20"/>
          <w:szCs w:val="20"/>
          <w:color w:val="auto"/>
        </w:rPr>
        <w:tab/>
      </w:r>
      <w:r>
        <w:rPr>
          <w:rFonts w:ascii="Arial" w:cs="Arial" w:eastAsia="Arial" w:hAnsi="Arial"/>
          <w:sz w:val="18"/>
          <w:szCs w:val="18"/>
          <w:color w:val="auto"/>
        </w:rPr>
        <w:t>shares of common stock</w:t>
      </w:r>
    </w:p>
    <w:p>
      <w:pPr>
        <w:spacing w:after="0" w:line="234" w:lineRule="auto"/>
        <w:rPr>
          <w:sz w:val="20"/>
          <w:szCs w:val="20"/>
          <w:color w:val="auto"/>
        </w:rPr>
      </w:pPr>
      <w:r>
        <w:rPr>
          <w:rFonts w:ascii="Arial" w:cs="Arial" w:eastAsia="Arial" w:hAnsi="Arial"/>
          <w:sz w:val="18"/>
          <w:szCs w:val="18"/>
          <w:color w:val="auto"/>
        </w:rPr>
        <w:t>outstanding as of June 30, 2020 assuming the automatic conversion of all outstanding shares of convertible preferred stock into an</w:t>
      </w:r>
    </w:p>
    <w:p>
      <w:pPr>
        <w:spacing w:after="0"/>
        <w:tabs>
          <w:tab w:leader="none" w:pos="1800" w:val="left"/>
        </w:tabs>
        <w:rPr>
          <w:sz w:val="20"/>
          <w:szCs w:val="20"/>
          <w:color w:val="auto"/>
        </w:rPr>
      </w:pPr>
      <w:r>
        <w:rPr>
          <w:rFonts w:ascii="Arial" w:cs="Arial" w:eastAsia="Arial" w:hAnsi="Arial"/>
          <w:sz w:val="18"/>
          <w:szCs w:val="18"/>
          <w:color w:val="auto"/>
        </w:rPr>
        <w:t>aggregate of</w:t>
      </w:r>
      <w:r>
        <w:rPr>
          <w:sz w:val="20"/>
          <w:szCs w:val="20"/>
          <w:color w:val="auto"/>
        </w:rPr>
        <w:tab/>
      </w:r>
      <w:r>
        <w:rPr>
          <w:rFonts w:ascii="Arial" w:cs="Arial" w:eastAsia="Arial" w:hAnsi="Arial"/>
          <w:sz w:val="17"/>
          <w:szCs w:val="17"/>
          <w:color w:val="auto"/>
        </w:rPr>
        <w:t>shares of common stock. The percentage of beneficial ownership after this offering shown in the table is based</w:t>
      </w:r>
    </w:p>
    <w:p>
      <w:pPr>
        <w:spacing w:after="0" w:line="235" w:lineRule="auto"/>
        <w:tabs>
          <w:tab w:leader="none" w:pos="7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shares of common stock outstanding after the closing of this offering, assuming no exercise of the underwriters’ option to purchase</w:t>
      </w:r>
    </w:p>
    <w:p>
      <w:pPr>
        <w:spacing w:after="0"/>
        <w:rPr>
          <w:sz w:val="20"/>
          <w:szCs w:val="20"/>
          <w:color w:val="auto"/>
        </w:rPr>
      </w:pPr>
      <w:r>
        <w:rPr>
          <w:rFonts w:ascii="Arial" w:cs="Arial" w:eastAsia="Arial" w:hAnsi="Arial"/>
          <w:sz w:val="18"/>
          <w:szCs w:val="18"/>
          <w:color w:val="auto"/>
        </w:rPr>
        <w:t>additional shares.</w:t>
      </w:r>
    </w:p>
    <w:p>
      <w:pPr>
        <w:spacing w:after="0" w:line="21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60th day after June 30, 2020.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7" w:name="page178"/>
    <w:bookmarkEnd w:id="177"/>
    <w:p>
      <w:pPr>
        <w:ind w:right="460" w:firstLine="576"/>
        <w:spacing w:after="0" w:line="24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4000 Mason Road, Suite 300, Seattle, Washington 98195.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Shares Beneficially Owned</w:t>
            </w: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 Beneficially Owned</w:t>
            </w:r>
          </w:p>
        </w:tc>
      </w:tr>
      <w:tr>
        <w:trPr>
          <w:trHeight w:val="175"/>
        </w:trPr>
        <w:tc>
          <w:tcPr>
            <w:tcW w:w="5800" w:type="dxa"/>
            <w:vAlign w:val="bottom"/>
          </w:tcPr>
          <w:p>
            <w:pPr>
              <w:spacing w:after="0"/>
              <w:rPr>
                <w:sz w:val="15"/>
                <w:szCs w:val="15"/>
                <w:color w:val="auto"/>
              </w:rPr>
            </w:pPr>
          </w:p>
        </w:tc>
        <w:tc>
          <w:tcPr>
            <w:tcW w:w="2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Prior to the Offering</w:t>
            </w: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After the Offering</w:t>
            </w:r>
          </w:p>
        </w:tc>
      </w:tr>
      <w:tr>
        <w:trPr>
          <w:trHeight w:val="156"/>
        </w:trPr>
        <w:tc>
          <w:tcPr>
            <w:tcW w:w="580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Number of</w:t>
            </w: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top w:val="single" w:sz="8" w:color="auto"/>
            </w:tcBorders>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Number of</w:t>
            </w:r>
          </w:p>
        </w:tc>
        <w:tc>
          <w:tcPr>
            <w:tcW w:w="1280" w:type="dxa"/>
            <w:vAlign w:val="bottom"/>
            <w:tcBorders>
              <w:top w:val="single" w:sz="8" w:color="auto"/>
            </w:tcBorders>
          </w:tcPr>
          <w:p>
            <w:pPr>
              <w:spacing w:after="0"/>
              <w:rPr>
                <w:sz w:val="13"/>
                <w:szCs w:val="13"/>
                <w:color w:val="auto"/>
              </w:rPr>
            </w:pPr>
          </w:p>
        </w:tc>
      </w:tr>
      <w:tr>
        <w:trPr>
          <w:trHeight w:val="175"/>
        </w:trPr>
        <w:tc>
          <w:tcPr>
            <w:tcW w:w="580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Percentage</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1280" w:type="dxa"/>
            <w:vAlign w:val="bottom"/>
          </w:tcPr>
          <w:p>
            <w:pPr>
              <w:ind w:left="240"/>
              <w:spacing w:after="0"/>
              <w:rPr>
                <w:sz w:val="20"/>
                <w:szCs w:val="20"/>
                <w:color w:val="auto"/>
              </w:rPr>
            </w:pPr>
            <w:r>
              <w:rPr>
                <w:rFonts w:ascii="Arial" w:cs="Arial" w:eastAsia="Arial" w:hAnsi="Arial"/>
                <w:sz w:val="14"/>
                <w:szCs w:val="14"/>
                <w:b w:val="1"/>
                <w:bCs w:val="1"/>
                <w:color w:val="auto"/>
              </w:rPr>
              <w:t>Percentage</w:t>
            </w:r>
          </w:p>
        </w:tc>
      </w:tr>
      <w:tr>
        <w:trPr>
          <w:trHeight w:val="209"/>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and Greater Stockholders:</w:t>
            </w: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xml:space="preserve">Leen Kawas </w:t>
            </w:r>
            <w:r>
              <w:rPr>
                <w:rFonts w:ascii="Arial" w:cs="Arial" w:eastAsia="Arial" w:hAnsi="Arial"/>
                <w:sz w:val="15"/>
                <w:szCs w:val="15"/>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13,343,333</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Perceptive Life Sciences Master Fund Ltd. </w:t>
            </w:r>
            <w:r>
              <w:rPr>
                <w:rFonts w:ascii="Arial" w:cs="Arial" w:eastAsia="Arial" w:hAnsi="Arial"/>
                <w:sz w:val="15"/>
                <w:szCs w:val="15"/>
                <w:color w:val="auto"/>
              </w:rPr>
              <w:t>(2)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16,304,347</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xml:space="preserve">Entities affiliated with RTW Master Fund, Ltd. </w:t>
            </w:r>
            <w:r>
              <w:rPr>
                <w:rFonts w:ascii="Arial" w:cs="Arial" w:eastAsia="Arial" w:hAnsi="Arial"/>
                <w:sz w:val="15"/>
                <w:szCs w:val="15"/>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15,217,390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Viking Global Opportunities Illiquidity Investments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06"/>
        </w:trPr>
        <w:tc>
          <w:tcPr>
            <w:tcW w:w="580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 xml:space="preserve">Sub-Master LP </w:t>
            </w:r>
            <w:r>
              <w:rPr>
                <w:rFonts w:ascii="Arial" w:cs="Arial" w:eastAsia="Arial" w:hAnsi="Arial"/>
                <w:sz w:val="15"/>
                <w:szCs w:val="15"/>
                <w:color w:val="auto"/>
              </w:rPr>
              <w:t>(4)</w:t>
            </w:r>
          </w:p>
        </w:tc>
        <w:tc>
          <w:tcPr>
            <w:tcW w:w="114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10,869,565</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Entities affiliated with Franklin Templeton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6"/>
        </w:trPr>
        <w:tc>
          <w:tcPr>
            <w:tcW w:w="5800" w:type="dxa"/>
            <w:vAlign w:val="bottom"/>
          </w:tcPr>
          <w:p>
            <w:pPr>
              <w:ind w:left="160"/>
              <w:spacing w:after="0" w:line="206"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15"/>
                <w:szCs w:val="15"/>
                <w:color w:val="auto"/>
              </w:rPr>
              <w:t>(5)</w:t>
            </w:r>
          </w:p>
        </w:tc>
        <w:tc>
          <w:tcPr>
            <w:tcW w:w="1140" w:type="dxa"/>
            <w:vAlign w:val="bottom"/>
          </w:tcPr>
          <w:p>
            <w:pPr>
              <w:jc w:val="right"/>
              <w:spacing w:after="0" w:line="206" w:lineRule="exact"/>
              <w:rPr>
                <w:sz w:val="20"/>
                <w:szCs w:val="20"/>
                <w:color w:val="auto"/>
              </w:rPr>
            </w:pPr>
            <w:r>
              <w:rPr>
                <w:rFonts w:ascii="Arial" w:cs="Arial" w:eastAsia="Arial" w:hAnsi="Arial"/>
                <w:sz w:val="18"/>
                <w:szCs w:val="18"/>
                <w:color w:val="auto"/>
              </w:rPr>
              <w:t>7,608,694</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Named Executive Officers and Directors: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xml:space="preserve">Leen Kawas </w:t>
            </w:r>
            <w:r>
              <w:rPr>
                <w:rFonts w:ascii="Arial" w:cs="Arial" w:eastAsia="Arial" w:hAnsi="Arial"/>
                <w:sz w:val="15"/>
                <w:szCs w:val="15"/>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13,343,333</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Mark Litton </w:t>
            </w:r>
            <w:r>
              <w:rPr>
                <w:rFonts w:ascii="Arial" w:cs="Arial" w:eastAsia="Arial" w:hAnsi="Arial"/>
                <w:sz w:val="15"/>
                <w:szCs w:val="15"/>
                <w:color w:val="auto"/>
              </w:rPr>
              <w:t>(6)</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660,236</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xml:space="preserve">Kevin Church </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Tadataka Yamada </w:t>
            </w:r>
            <w:r>
              <w:rPr>
                <w:rFonts w:ascii="Arial" w:cs="Arial" w:eastAsia="Arial" w:hAnsi="Arial"/>
                <w:sz w:val="15"/>
                <w:szCs w:val="15"/>
                <w:color w:val="auto"/>
              </w:rPr>
              <w:t>(8)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227,777</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xml:space="preserve">Joseph Edelman </w:t>
            </w:r>
            <w:r>
              <w:rPr>
                <w:rFonts w:ascii="Arial" w:cs="Arial" w:eastAsia="Arial" w:hAnsi="Arial"/>
                <w:sz w:val="15"/>
                <w:szCs w:val="15"/>
                <w:color w:val="auto"/>
              </w:rPr>
              <w:t>(9)</w:t>
            </w:r>
          </w:p>
        </w:tc>
        <w:tc>
          <w:tcPr>
            <w:tcW w:w="1140" w:type="dxa"/>
            <w:vAlign w:val="bottom"/>
          </w:tcPr>
          <w:p>
            <w:pPr>
              <w:jc w:val="right"/>
              <w:spacing w:after="0"/>
              <w:rPr>
                <w:sz w:val="20"/>
                <w:szCs w:val="20"/>
                <w:color w:val="auto"/>
              </w:rPr>
            </w:pPr>
            <w:r>
              <w:rPr>
                <w:rFonts w:ascii="Arial" w:cs="Arial" w:eastAsia="Arial" w:hAnsi="Arial"/>
                <w:sz w:val="18"/>
                <w:szCs w:val="18"/>
                <w:color w:val="auto"/>
              </w:rPr>
              <w:t>16,304,347</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John M. Fluke, Jr. </w:t>
            </w:r>
            <w:r>
              <w:rPr>
                <w:rFonts w:ascii="Arial" w:cs="Arial" w:eastAsia="Arial" w:hAnsi="Arial"/>
                <w:sz w:val="15"/>
                <w:szCs w:val="15"/>
                <w:color w:val="auto"/>
              </w:rPr>
              <w:t>(10)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1,614,327</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xml:space="preserve">Joseph Harding </w:t>
            </w:r>
            <w:r>
              <w:rPr>
                <w:rFonts w:ascii="Arial" w:cs="Arial" w:eastAsia="Arial" w:hAnsi="Arial"/>
                <w:sz w:val="15"/>
                <w:szCs w:val="15"/>
                <w:color w:val="auto"/>
              </w:rPr>
              <w:t>(11)</w:t>
            </w:r>
          </w:p>
        </w:tc>
        <w:tc>
          <w:tcPr>
            <w:tcW w:w="1140" w:type="dxa"/>
            <w:vAlign w:val="bottom"/>
          </w:tcPr>
          <w:p>
            <w:pPr>
              <w:jc w:val="right"/>
              <w:spacing w:after="0"/>
              <w:rPr>
                <w:sz w:val="20"/>
                <w:szCs w:val="20"/>
                <w:color w:val="auto"/>
              </w:rPr>
            </w:pPr>
            <w:r>
              <w:rPr>
                <w:rFonts w:ascii="Arial" w:cs="Arial" w:eastAsia="Arial" w:hAnsi="Arial"/>
                <w:sz w:val="18"/>
                <w:szCs w:val="18"/>
                <w:color w:val="auto"/>
              </w:rPr>
              <w:t>5,408,000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All directors and executive officers as a group</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06"/>
        </w:trPr>
        <w:tc>
          <w:tcPr>
            <w:tcW w:w="580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 xml:space="preserve">(8 persons) </w:t>
            </w:r>
            <w:r>
              <w:rPr>
                <w:rFonts w:ascii="Arial" w:cs="Arial" w:eastAsia="Arial" w:hAnsi="Arial"/>
                <w:sz w:val="15"/>
                <w:szCs w:val="15"/>
                <w:color w:val="auto"/>
              </w:rPr>
              <w:t>(12)</w:t>
            </w:r>
          </w:p>
        </w:tc>
        <w:tc>
          <w:tcPr>
            <w:tcW w:w="114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38,070,520</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626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01" w:lineRule="exact"/>
        <w:rPr>
          <w:sz w:val="20"/>
          <w:szCs w:val="20"/>
          <w:color w:val="auto"/>
        </w:rPr>
      </w:pPr>
    </w:p>
    <w:p>
      <w:pPr>
        <w:ind w:left="480" w:hanging="472"/>
        <w:spacing w:after="0"/>
        <w:tabs>
          <w:tab w:leader="none" w:pos="4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42" w:lineRule="exact"/>
        <w:rPr>
          <w:sz w:val="20"/>
          <w:szCs w:val="20"/>
          <w:color w:val="auto"/>
        </w:rPr>
      </w:pPr>
    </w:p>
    <w:p>
      <w:pPr>
        <w:ind w:left="480" w:right="60" w:hanging="472"/>
        <w:spacing w:after="0" w:line="258" w:lineRule="auto"/>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2,100,000 shares held of record by Hamdan Family GST Trust, 8,860,000 shares held of record by Dr Kawas and options to purchase 2,383,333 shares that are exercisable within 60 days of June 30, 2020, all of which will be vested as of August 29, 2020.</w:t>
      </w:r>
    </w:p>
    <w:p>
      <w:pPr>
        <w:spacing w:after="0" w:line="10" w:lineRule="exact"/>
        <w:rPr>
          <w:rFonts w:ascii="Arial" w:cs="Arial" w:eastAsia="Arial" w:hAnsi="Arial"/>
          <w:sz w:val="14"/>
          <w:szCs w:val="14"/>
          <w:color w:val="auto"/>
        </w:rPr>
      </w:pPr>
    </w:p>
    <w:p>
      <w:pPr>
        <w:ind w:left="480" w:right="40" w:hanging="472"/>
        <w:spacing w:after="0" w:line="202" w:lineRule="auto"/>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16,304,347 shares held of record by Perceptive Life Sciences Master Fund Ltd., or Perceptive. The business address of Perceptive is 499 Park Avenue, 25</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New York, NY 10022. Perceptive Advisors LLC serves as the investment manager of Perceptive. Joseph Edelman is the managing member of Perceptive Advisors LLC and he may be deemed to have shared voting and dispositive power over such shares.</w:t>
      </w:r>
    </w:p>
    <w:p>
      <w:pPr>
        <w:spacing w:after="0" w:line="30" w:lineRule="exact"/>
        <w:rPr>
          <w:rFonts w:ascii="Arial" w:cs="Arial" w:eastAsia="Arial" w:hAnsi="Arial"/>
          <w:sz w:val="14"/>
          <w:szCs w:val="14"/>
          <w:color w:val="auto"/>
        </w:rPr>
      </w:pPr>
    </w:p>
    <w:p>
      <w:pPr>
        <w:ind w:left="480" w:right="140" w:hanging="472"/>
        <w:spacing w:after="0" w:line="249" w:lineRule="auto"/>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(a) 7,922,087 shares and a warrant to acquire 1,980,521 shares held of record by RTW Master Fund, Ltd., (b) 2,512,696 shares and a warrant to acquire 628,174 shares held of record by RTW Innovation Master Fund, Ltd. and (c) 1,739,130 shares and a warrant to acquire 434,782 shares held of record by RTW Venture Fund Limited. The business address of each of the entities is c/o Intertrust Corp. Serv. (Cayman) Ltd., 190 Elgin Avenue, George Town, Grand Cayman KY1-9005 E9.</w:t>
      </w:r>
    </w:p>
    <w:p>
      <w:pPr>
        <w:spacing w:after="0" w:line="25" w:lineRule="exact"/>
        <w:rPr>
          <w:rFonts w:ascii="Arial" w:cs="Arial" w:eastAsia="Arial" w:hAnsi="Arial"/>
          <w:sz w:val="14"/>
          <w:szCs w:val="14"/>
          <w:color w:val="auto"/>
        </w:rPr>
      </w:pPr>
    </w:p>
    <w:p>
      <w:pPr>
        <w:ind w:left="480" w:right="480" w:hanging="472"/>
        <w:spacing w:after="0" w:line="258" w:lineRule="auto"/>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10,869,565 shares held of record by Viking Global Opportunities Illiquidity Investments Sub-Master LP, or Viking. The business address of Viking is 55 Railroad Avenue, Greenwich, CT 06830.</w:t>
      </w:r>
    </w:p>
    <w:p>
      <w:pPr>
        <w:spacing w:after="0" w:line="18" w:lineRule="exact"/>
        <w:rPr>
          <w:rFonts w:ascii="Arial" w:cs="Arial" w:eastAsia="Arial" w:hAnsi="Arial"/>
          <w:sz w:val="14"/>
          <w:szCs w:val="14"/>
          <w:color w:val="auto"/>
        </w:rPr>
      </w:pPr>
    </w:p>
    <w:p>
      <w:pPr>
        <w:ind w:left="480" w:right="180" w:hanging="472"/>
        <w:spacing w:after="0" w:line="249" w:lineRule="auto"/>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(a) 2,587,975 shares and a warrant to acquire 646,993 shares held of record by Franklin Strategic Series – Franklin Biotechnology Discovery Fund and (b) 3,498,981 shares and a warrant to acquire 874,745 shares held of record by Franklin Templeton Investment Funds – Franklin Biotechnology Discovery Fund. The business address of each of the entities is One Franklin Parkway, San Mateo, California, CA 94403</w:t>
      </w:r>
    </w:p>
    <w:p>
      <w:pPr>
        <w:spacing w:after="0" w:line="25" w:lineRule="exact"/>
        <w:rPr>
          <w:rFonts w:ascii="Arial" w:cs="Arial" w:eastAsia="Arial" w:hAnsi="Arial"/>
          <w:sz w:val="14"/>
          <w:szCs w:val="14"/>
          <w:color w:val="auto"/>
        </w:rPr>
      </w:pPr>
    </w:p>
    <w:p>
      <w:pPr>
        <w:ind w:left="480" w:hanging="472"/>
        <w:spacing w:after="0"/>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options to purchase 112,500 shares that are exercisable within 60 days of June 30, 2020, all of which will be vested as of August 29, 2020.</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options to purchase 400,000 shares that are exercisable within 60 days of June 30, 2020, all of which will be vested as of August 29, 2020.</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options to purchase 227,777 shares that are exercisable within 60 days of June 30, 2020, all of which will be vested as of August 29, 2020.</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the shares referenced in footnote (2) above.</w:t>
      </w:r>
    </w:p>
    <w:p>
      <w:pPr>
        <w:spacing w:after="0" w:line="41" w:lineRule="exact"/>
        <w:rPr>
          <w:rFonts w:ascii="Arial" w:cs="Arial" w:eastAsia="Arial" w:hAnsi="Arial"/>
          <w:sz w:val="14"/>
          <w:szCs w:val="14"/>
          <w:color w:val="auto"/>
        </w:rPr>
      </w:pPr>
    </w:p>
    <w:p>
      <w:pPr>
        <w:ind w:left="480" w:hanging="472"/>
        <w:spacing w:after="0" w:line="258" w:lineRule="auto"/>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53,379 shares held of record by Fluke Capital Management, L.P, 486,575 shares held of record by Mr. Fluke’s spouse, 911,040 shares held by Mr. Fluke, and options to purchase 163,333 shares that are exercisable within 60 days of June 30, 2020, all of which will be vested as of August 29, 2020.</w:t>
      </w:r>
    </w:p>
    <w:p>
      <w:pPr>
        <w:spacing w:after="0" w:line="18" w:lineRule="exact"/>
        <w:rPr>
          <w:rFonts w:ascii="Arial" w:cs="Arial" w:eastAsia="Arial" w:hAnsi="Arial"/>
          <w:sz w:val="14"/>
          <w:szCs w:val="14"/>
          <w:color w:val="auto"/>
        </w:rPr>
      </w:pPr>
    </w:p>
    <w:p>
      <w:pPr>
        <w:ind w:left="480" w:hanging="472"/>
        <w:spacing w:after="0" w:line="258" w:lineRule="auto"/>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5,208,000 shares held of record by Mr. Harding and options to purchase 200,000 shares that are exercisable within 60 days of June 30, 2020, all of which will be vested as of August 29, 2020.</w:t>
      </w:r>
    </w:p>
    <w:p>
      <w:pPr>
        <w:spacing w:after="0" w:line="18" w:lineRule="exact"/>
        <w:rPr>
          <w:rFonts w:ascii="Arial" w:cs="Arial" w:eastAsia="Arial" w:hAnsi="Arial"/>
          <w:sz w:val="14"/>
          <w:szCs w:val="14"/>
          <w:color w:val="auto"/>
        </w:rPr>
      </w:pPr>
    </w:p>
    <w:p>
      <w:pPr>
        <w:ind w:left="480" w:right="120" w:hanging="472"/>
        <w:spacing w:after="0" w:line="258" w:lineRule="auto"/>
        <w:tabs>
          <w:tab w:leader="none" w:pos="4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34,183,577 shares held of record and options to purchase 3,486,943 shares that are exercisable within 60 days of June 30, 2020, all of which will be vested as of August 29,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78" w:name="page179"/>
    <w:bookmarkEnd w:id="178"/>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34"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This section provides a summary of the rights of our common stock and preferred stock. This summary is not complete. For more detailed information, please see our certificate of incorporation and bylaws, which are filed as exhibits to the registration statement of which this prospectus is a part.</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Upon the closing of this offering and the filing of our certificate of incorporation to be effective immediately prior to this offering, our</w:t>
      </w:r>
    </w:p>
    <w:p>
      <w:pPr>
        <w:ind w:right="20"/>
        <w:spacing w:after="0" w:line="246" w:lineRule="auto"/>
        <w:rPr>
          <w:sz w:val="20"/>
          <w:szCs w:val="20"/>
          <w:color w:val="auto"/>
        </w:rPr>
      </w:pPr>
      <w:r>
        <w:rPr>
          <w:rFonts w:ascii="Arial" w:cs="Arial" w:eastAsia="Arial" w:hAnsi="Arial"/>
          <w:sz w:val="18"/>
          <w:szCs w:val="18"/>
          <w:color w:val="auto"/>
        </w:rPr>
        <w:t>authorized capital stock will consist of shares of common stock, par value $0.0001 per share, andshares of preferred stock, par value $0.0001 per share.</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Immediately prior to the closing of this offering, all the outstanding shares of convertible preferred stock will automatically convert into</w:t>
      </w: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an aggregate of</w:t>
            </w:r>
          </w:p>
        </w:tc>
        <w:tc>
          <w:tcPr>
            <w:tcW w:w="440" w:type="dxa"/>
            <w:vAlign w:val="bottom"/>
          </w:tcPr>
          <w:p>
            <w:pPr>
              <w:spacing w:after="0"/>
              <w:rPr>
                <w:sz w:val="17"/>
                <w:szCs w:val="17"/>
                <w:color w:val="auto"/>
              </w:rPr>
            </w:pPr>
          </w:p>
        </w:tc>
        <w:tc>
          <w:tcPr>
            <w:tcW w:w="92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shares of common stock, the outstanding warrants to purchase shares of our Series B convertible preferred stock</w:t>
            </w:r>
          </w:p>
        </w:tc>
      </w:tr>
      <w:tr>
        <w:trPr>
          <w:trHeight w:val="203"/>
        </w:trPr>
        <w:tc>
          <w:tcPr>
            <w:tcW w:w="4820" w:type="dxa"/>
            <w:vAlign w:val="bottom"/>
            <w:gridSpan w:val="4"/>
          </w:tcPr>
          <w:p>
            <w:pPr>
              <w:spacing w:after="0" w:line="202" w:lineRule="exact"/>
              <w:rPr>
                <w:sz w:val="20"/>
                <w:szCs w:val="20"/>
                <w:color w:val="auto"/>
              </w:rPr>
            </w:pPr>
            <w:r>
              <w:rPr>
                <w:rFonts w:ascii="Arial" w:cs="Arial" w:eastAsia="Arial" w:hAnsi="Arial"/>
                <w:sz w:val="18"/>
                <w:szCs w:val="18"/>
                <w:color w:val="auto"/>
              </w:rPr>
              <w:t>will convert into warrants to purchase an aggregate of</w:t>
            </w:r>
          </w:p>
        </w:tc>
        <w:tc>
          <w:tcPr>
            <w:tcW w:w="6300" w:type="dxa"/>
            <w:vAlign w:val="bottom"/>
          </w:tcPr>
          <w:p>
            <w:pPr>
              <w:ind w:left="260"/>
              <w:spacing w:after="0" w:line="202" w:lineRule="exact"/>
              <w:rPr>
                <w:sz w:val="20"/>
                <w:szCs w:val="20"/>
                <w:color w:val="auto"/>
              </w:rPr>
            </w:pPr>
            <w:r>
              <w:rPr>
                <w:rFonts w:ascii="Arial" w:cs="Arial" w:eastAsia="Arial" w:hAnsi="Arial"/>
                <w:sz w:val="18"/>
                <w:szCs w:val="18"/>
                <w:color w:val="auto"/>
              </w:rPr>
              <w:t>shares of our common stock and the outstanding warrants will exercise into</w:t>
            </w:r>
          </w:p>
        </w:tc>
      </w:tr>
      <w:tr>
        <w:trPr>
          <w:trHeight w:val="217"/>
        </w:trPr>
        <w:tc>
          <w:tcPr>
            <w:tcW w:w="1480" w:type="dxa"/>
            <w:vAlign w:val="bottom"/>
          </w:tcPr>
          <w:p>
            <w:pPr>
              <w:spacing w:after="0"/>
              <w:rPr>
                <w:sz w:val="20"/>
                <w:szCs w:val="20"/>
                <w:color w:val="auto"/>
              </w:rPr>
            </w:pPr>
            <w:r>
              <w:rPr>
                <w:rFonts w:ascii="Arial" w:cs="Arial" w:eastAsia="Arial" w:hAnsi="Arial"/>
                <w:sz w:val="18"/>
                <w:szCs w:val="18"/>
                <w:color w:val="auto"/>
              </w:rPr>
              <w:t>an aggregate of</w:t>
            </w:r>
          </w:p>
        </w:tc>
        <w:tc>
          <w:tcPr>
            <w:tcW w:w="440" w:type="dxa"/>
            <w:vAlign w:val="bottom"/>
          </w:tcPr>
          <w:p>
            <w:pPr>
              <w:spacing w:after="0"/>
              <w:rPr>
                <w:sz w:val="18"/>
                <w:szCs w:val="18"/>
                <w:color w:val="auto"/>
              </w:rPr>
            </w:pP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shares of our common stock.</w:t>
            </w:r>
          </w:p>
        </w:tc>
        <w:tc>
          <w:tcPr>
            <w:tcW w:w="6300" w:type="dxa"/>
            <w:vAlign w:val="bottom"/>
          </w:tcPr>
          <w:p>
            <w:pPr>
              <w:spacing w:after="0"/>
              <w:rPr>
                <w:sz w:val="18"/>
                <w:szCs w:val="18"/>
                <w:color w:val="auto"/>
              </w:rPr>
            </w:pPr>
          </w:p>
        </w:tc>
      </w:tr>
      <w:tr>
        <w:trPr>
          <w:trHeight w:val="527"/>
        </w:trPr>
        <w:tc>
          <w:tcPr>
            <w:tcW w:w="148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418"/>
        </w:trPr>
        <w:tc>
          <w:tcPr>
            <w:tcW w:w="1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Outstanding Shares</w:t>
            </w: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296"/>
        </w:trPr>
        <w:tc>
          <w:tcPr>
            <w:tcW w:w="1480" w:type="dxa"/>
            <w:vAlign w:val="bottom"/>
          </w:tcPr>
          <w:p>
            <w:pPr>
              <w:ind w:left="580"/>
              <w:spacing w:after="0"/>
              <w:rPr>
                <w:sz w:val="20"/>
                <w:szCs w:val="20"/>
                <w:color w:val="auto"/>
              </w:rPr>
            </w:pPr>
            <w:r>
              <w:rPr>
                <w:rFonts w:ascii="Arial" w:cs="Arial" w:eastAsia="Arial" w:hAnsi="Arial"/>
                <w:sz w:val="18"/>
                <w:szCs w:val="18"/>
                <w:color w:val="auto"/>
              </w:rPr>
              <w:t>Based on</w:t>
            </w:r>
          </w:p>
        </w:tc>
        <w:tc>
          <w:tcPr>
            <w:tcW w:w="440" w:type="dxa"/>
            <w:vAlign w:val="bottom"/>
          </w:tcPr>
          <w:p>
            <w:pPr>
              <w:spacing w:after="0"/>
              <w:rPr>
                <w:sz w:val="24"/>
                <w:szCs w:val="24"/>
                <w:color w:val="auto"/>
              </w:rPr>
            </w:pPr>
          </w:p>
        </w:tc>
        <w:tc>
          <w:tcPr>
            <w:tcW w:w="9200" w:type="dxa"/>
            <w:vAlign w:val="bottom"/>
            <w:gridSpan w:val="3"/>
          </w:tcPr>
          <w:p>
            <w:pPr>
              <w:ind w:left="20"/>
              <w:spacing w:after="0"/>
              <w:rPr>
                <w:sz w:val="20"/>
                <w:szCs w:val="20"/>
                <w:color w:val="auto"/>
              </w:rPr>
            </w:pPr>
            <w:r>
              <w:rPr>
                <w:rFonts w:ascii="Arial" w:cs="Arial" w:eastAsia="Arial" w:hAnsi="Arial"/>
                <w:sz w:val="18"/>
                <w:szCs w:val="18"/>
                <w:color w:val="auto"/>
                <w:w w:val="99"/>
              </w:rPr>
              <w:t>shares of common stock outstanding as of June 30, 2020, the conversion of convertible preferred stock outstanding</w:t>
            </w:r>
          </w:p>
        </w:tc>
      </w:tr>
      <w:tr>
        <w:trPr>
          <w:trHeight w:val="203"/>
        </w:trPr>
        <w:tc>
          <w:tcPr>
            <w:tcW w:w="3520" w:type="dxa"/>
            <w:vAlign w:val="bottom"/>
            <w:gridSpan w:val="3"/>
          </w:tcPr>
          <w:p>
            <w:pPr>
              <w:spacing w:after="0" w:line="202" w:lineRule="exact"/>
              <w:rPr>
                <w:sz w:val="20"/>
                <w:szCs w:val="20"/>
                <w:color w:val="auto"/>
              </w:rPr>
            </w:pPr>
            <w:r>
              <w:rPr>
                <w:rFonts w:ascii="Arial" w:cs="Arial" w:eastAsia="Arial" w:hAnsi="Arial"/>
                <w:sz w:val="18"/>
                <w:szCs w:val="18"/>
                <w:color w:val="auto"/>
              </w:rPr>
              <w:t>as of June 30, 2020 into an aggregate of</w:t>
            </w:r>
          </w:p>
        </w:tc>
        <w:tc>
          <w:tcPr>
            <w:tcW w:w="76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shares of our common stock upon the completion of this offering, the issuance of an</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aggregate of</w:t>
            </w:r>
          </w:p>
        </w:tc>
        <w:tc>
          <w:tcPr>
            <w:tcW w:w="96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shares of our common stock upon the exercise of outstanding warrants immediately prior to the completion of this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offering, the issuance of</w:t>
            </w:r>
          </w:p>
        </w:tc>
        <w:tc>
          <w:tcPr>
            <w:tcW w:w="9200" w:type="dxa"/>
            <w:vAlign w:val="bottom"/>
            <w:gridSpan w:val="3"/>
          </w:tcPr>
          <w:p>
            <w:pPr>
              <w:ind w:left="600"/>
              <w:spacing w:after="0" w:line="202" w:lineRule="exact"/>
              <w:rPr>
                <w:sz w:val="20"/>
                <w:szCs w:val="20"/>
                <w:color w:val="auto"/>
              </w:rPr>
            </w:pPr>
            <w:r>
              <w:rPr>
                <w:rFonts w:ascii="Arial" w:cs="Arial" w:eastAsia="Arial" w:hAnsi="Arial"/>
                <w:sz w:val="18"/>
                <w:szCs w:val="18"/>
                <w:color w:val="auto"/>
              </w:rPr>
              <w:t>shares of our common stock in this offering, and no exercise of the underwriters’ option to purchase</w:t>
            </w:r>
          </w:p>
        </w:tc>
      </w:tr>
      <w:tr>
        <w:trPr>
          <w:trHeight w:val="203"/>
        </w:trPr>
        <w:tc>
          <w:tcPr>
            <w:tcW w:w="4820" w:type="dxa"/>
            <w:vAlign w:val="bottom"/>
            <w:gridSpan w:val="4"/>
          </w:tcPr>
          <w:p>
            <w:pPr>
              <w:spacing w:after="0" w:line="202" w:lineRule="exact"/>
              <w:rPr>
                <w:sz w:val="20"/>
                <w:szCs w:val="20"/>
                <w:color w:val="auto"/>
              </w:rPr>
            </w:pPr>
            <w:r>
              <w:rPr>
                <w:rFonts w:ascii="Arial" w:cs="Arial" w:eastAsia="Arial" w:hAnsi="Arial"/>
                <w:sz w:val="18"/>
                <w:szCs w:val="18"/>
                <w:color w:val="auto"/>
              </w:rPr>
              <w:t>additional shares and no exercise of options, there will be</w:t>
            </w:r>
          </w:p>
        </w:tc>
        <w:tc>
          <w:tcPr>
            <w:tcW w:w="6300" w:type="dxa"/>
            <w:vAlign w:val="bottom"/>
          </w:tcPr>
          <w:p>
            <w:pPr>
              <w:ind w:left="260"/>
              <w:spacing w:after="0" w:line="202" w:lineRule="exact"/>
              <w:rPr>
                <w:sz w:val="20"/>
                <w:szCs w:val="20"/>
                <w:color w:val="auto"/>
              </w:rPr>
            </w:pPr>
            <w:r>
              <w:rPr>
                <w:rFonts w:ascii="Arial" w:cs="Arial" w:eastAsia="Arial" w:hAnsi="Arial"/>
                <w:sz w:val="18"/>
                <w:szCs w:val="18"/>
                <w:color w:val="auto"/>
              </w:rPr>
              <w:t>shares of common stock outstanding upon the closing of this offering. As of</w:t>
            </w:r>
          </w:p>
        </w:tc>
      </w:tr>
    </w:tbl>
    <w:p>
      <w:pPr>
        <w:spacing w:after="0" w:line="234" w:lineRule="auto"/>
        <w:rPr>
          <w:sz w:val="20"/>
          <w:szCs w:val="20"/>
          <w:color w:val="auto"/>
        </w:rPr>
      </w:pPr>
      <w:r>
        <w:rPr>
          <w:rFonts w:ascii="Arial" w:cs="Arial" w:eastAsia="Arial" w:hAnsi="Arial"/>
          <w:sz w:val="18"/>
          <w:szCs w:val="18"/>
          <w:color w:val="auto"/>
        </w:rPr>
        <w:t>June 30, 2020, assuming the conversion of all outstanding convertible preferred stock into common stock upon the closing of this offering</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and the issuance of shares of common stock upon the net exercise of certain outstanding warrants to purchase shares of our Series B convertible preferred stock and common stock immediately prior to the closing of this offering that would otherwise expire, we had approximately 141 record holders of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Each share of common stock is entitled to one vote per share on all matters (including the election of directors) submitted to a vote of stockholders, unless otherwise required by law or our certificate of incorporation.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jc w:val="both"/>
        <w:ind w:right="140" w:firstLine="576"/>
        <w:spacing w:after="0"/>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 For more information see the section of this prospectus titled “Dividend Policy.”</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Upon the closing of this offering, our board of directors will have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our investors’ rights agreement, as amended, following the closing of this offering, the holders of approximately</w:t>
      </w:r>
    </w:p>
    <w:p>
      <w:pPr>
        <w:ind w:right="200"/>
        <w:spacing w:after="0" w:line="234" w:lineRule="auto"/>
        <w:rPr>
          <w:sz w:val="20"/>
          <w:szCs w:val="20"/>
          <w:color w:val="auto"/>
        </w:rPr>
      </w:pPr>
      <w:r>
        <w:rPr>
          <w:rFonts w:ascii="Arial" w:cs="Arial" w:eastAsia="Arial" w:hAnsi="Arial"/>
          <w:sz w:val="18"/>
          <w:szCs w:val="18"/>
          <w:color w:val="auto"/>
        </w:rPr>
        <w:t>shares of common stock and common stock issuable upon conversion of outstanding convertible preferred stock, or their transferees, have the right to require us to register the offer and sale of their shares, which we refer to as registration rights. Additionally, the holders of</w:t>
      </w:r>
    </w:p>
    <w:p>
      <w:pPr>
        <w:ind w:left="760"/>
        <w:spacing w:after="0" w:line="236" w:lineRule="auto"/>
        <w:rPr>
          <w:sz w:val="20"/>
          <w:szCs w:val="20"/>
          <w:color w:val="auto"/>
        </w:rPr>
      </w:pPr>
      <w:r>
        <w:rPr>
          <w:rFonts w:ascii="Arial" w:cs="Arial" w:eastAsia="Arial" w:hAnsi="Arial"/>
          <w:sz w:val="18"/>
          <w:szCs w:val="18"/>
          <w:color w:val="auto"/>
        </w:rPr>
        <w:t>shares of common stock issuable upon exercise of warrants to purchase our Series B convertible preferred stock and common</w:t>
      </w:r>
    </w:p>
    <w:p>
      <w:pPr>
        <w:ind w:right="740"/>
        <w:spacing w:after="0" w:line="246" w:lineRule="auto"/>
        <w:rPr>
          <w:sz w:val="20"/>
          <w:szCs w:val="20"/>
          <w:color w:val="auto"/>
        </w:rPr>
      </w:pPr>
      <w:r>
        <w:rPr>
          <w:rFonts w:ascii="Arial" w:cs="Arial" w:eastAsia="Arial" w:hAnsi="Arial"/>
          <w:sz w:val="18"/>
          <w:szCs w:val="18"/>
          <w:color w:val="auto"/>
        </w:rPr>
        <w:t>stock, and the holders of shares of common stock issuable upon exercise of options to purchase our common stock, or their transferees, have registration rights.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At any time after six months after the date of this prospectus, the holders of at least 40% of the shares having demand registration rights have the right to demand that we use best efforts to file a registration statement for the registration of the offer.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120 days under certain circumstances.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At any time after we are qualified to file a registration statement on Form S-3, the holders of at least 30% of the shares having demand registration rights have the right to demand that we file a registration statement on Form S-3 so long as the aggregate number of shares to be offered and sold under such registration statement on Form S-3 is at least $5 million. We are not obligated to file any registration statements within 30 days of a registration statement that we propose. These investor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At any time immediately prior to the closing of this offering, if we propose to register the offer and sale of any of our securities under the Securities Act either for our own account or for the account of other stockholders, a stockholder with registration rights will have the right, subject to certain exceptions, to include their shares of common stock in the registration statement. These registration rights are subject to specified conditions and limitations, and any proposed offering in connection therewith may be terminated or withdrawn by us at our sole discretion.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6"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other than underwriting discounts and selling commissions and up to $50,000 of fees and disbursements of one counsel to the selling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2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registration rights terminate upon the earliest of (1) a merger or acquisition; (2) as to a given holder of registration rights, when such holder of registration rights can sell all of such holder’s registrable securities in a three month-period pursuant to Rule 144 promulgated under the Securities Act; and (3) the date that is three years after the closing of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and Washington Law and Our Certificate of Incorporation and Bylaws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26" w:lineRule="exact"/>
        <w:rPr>
          <w:sz w:val="20"/>
          <w:szCs w:val="20"/>
          <w:color w:val="auto"/>
        </w:rPr>
      </w:pPr>
    </w:p>
    <w:p>
      <w:pPr>
        <w:ind w:right="280" w:firstLine="576"/>
        <w:spacing w:after="0"/>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95" w:lineRule="exact"/>
        <w:rPr>
          <w:sz w:val="20"/>
          <w:szCs w:val="20"/>
          <w:color w:val="auto"/>
        </w:rPr>
      </w:pPr>
    </w:p>
    <w:p>
      <w:pPr>
        <w:ind w:left="1300" w:right="60" w:hanging="442"/>
        <w:spacing w:after="0" w:line="246"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96" w:lineRule="exact"/>
        <w:rPr>
          <w:rFonts w:ascii="Arial" w:cs="Arial" w:eastAsia="Arial" w:hAnsi="Arial"/>
          <w:sz w:val="18"/>
          <w:szCs w:val="18"/>
          <w:color w:val="auto"/>
        </w:rPr>
      </w:pPr>
    </w:p>
    <w:p>
      <w:pPr>
        <w:ind w:left="1300" w:hanging="442"/>
        <w:spacing w:after="0" w:line="238"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81" w:name="page182"/>
    <w:bookmarkEnd w:id="181"/>
    <w:p>
      <w:pPr>
        <w:jc w:val="both"/>
        <w:ind w:left="1300" w:right="36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202" w:lineRule="exact"/>
        <w:rPr>
          <w:rFonts w:ascii="Arial" w:cs="Arial" w:eastAsia="Arial" w:hAnsi="Arial"/>
          <w:sz w:val="18"/>
          <w:szCs w:val="18"/>
          <w:color w:val="auto"/>
        </w:rPr>
      </w:pPr>
    </w:p>
    <w:p>
      <w:pPr>
        <w:ind w:left="130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Section 203 defines a business combination to include: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1300" w:right="640" w:hanging="442"/>
        <w:spacing w:after="0" w:line="246"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196" w:lineRule="exact"/>
        <w:rPr>
          <w:rFonts w:ascii="Arial" w:cs="Arial" w:eastAsia="Arial" w:hAnsi="Arial"/>
          <w:sz w:val="18"/>
          <w:szCs w:val="18"/>
          <w:color w:val="auto"/>
        </w:rPr>
      </w:pPr>
    </w:p>
    <w:p>
      <w:pPr>
        <w:ind w:left="1300" w:right="880" w:hanging="442"/>
        <w:spacing w:after="0" w:line="246"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96"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96" w:lineRule="exact"/>
        <w:rPr>
          <w:rFonts w:ascii="Arial" w:cs="Arial" w:eastAsia="Arial" w:hAnsi="Arial"/>
          <w:sz w:val="18"/>
          <w:szCs w:val="18"/>
          <w:color w:val="auto"/>
        </w:rPr>
      </w:pPr>
    </w:p>
    <w:p>
      <w:pPr>
        <w:ind w:left="1300" w:right="640" w:hanging="442"/>
        <w:spacing w:after="0" w:line="246"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97" w:lineRule="exact"/>
        <w:rPr>
          <w:sz w:val="20"/>
          <w:szCs w:val="20"/>
          <w:color w:val="auto"/>
        </w:rPr>
      </w:pPr>
    </w:p>
    <w:p>
      <w:pPr>
        <w:ind w:left="1300" w:right="620" w:hanging="442"/>
        <w:spacing w:after="0" w:line="246"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196" w:lineRule="exact"/>
        <w:rPr>
          <w:rFonts w:ascii="Arial" w:cs="Arial" w:eastAsia="Arial" w:hAnsi="Arial"/>
          <w:sz w:val="18"/>
          <w:szCs w:val="18"/>
          <w:color w:val="auto"/>
        </w:rPr>
      </w:pPr>
    </w:p>
    <w:p>
      <w:pPr>
        <w:ind w:left="1300" w:right="160" w:hanging="442"/>
        <w:spacing w:after="0" w:line="246"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 and</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allowing the acquiring person to receive any disproportionate benefit as a stockholder.</w:t>
      </w:r>
    </w:p>
    <w:p>
      <w:pPr>
        <w:spacing w:after="0" w:line="225"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89"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state residents; or (c) 1,000 or more of our stockholders of record are resident in the state.</w:t>
      </w:r>
    </w:p>
    <w:p>
      <w:pPr>
        <w:spacing w:after="0" w:line="97" w:lineRule="exact"/>
        <w:rPr>
          <w:sz w:val="20"/>
          <w:szCs w:val="20"/>
          <w:color w:val="auto"/>
        </w:rPr>
      </w:pPr>
    </w:p>
    <w:p>
      <w:pPr>
        <w:ind w:right="540" w:firstLine="576"/>
        <w:spacing w:after="0" w:line="246" w:lineRule="auto"/>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26" w:lineRule="exact"/>
        <w:rPr>
          <w:sz w:val="20"/>
          <w:szCs w:val="20"/>
          <w:color w:val="auto"/>
        </w:rPr>
      </w:pPr>
    </w:p>
    <w:p>
      <w:pPr>
        <w:ind w:right="100" w:firstLine="576"/>
        <w:spacing w:after="0" w:line="246"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82" w:name="page183"/>
    <w:bookmarkEnd w:id="182"/>
    <w:p>
      <w:pPr>
        <w:jc w:val="both"/>
        <w:ind w:right="40"/>
        <w:spacing w:after="0"/>
        <w:rPr>
          <w:sz w:val="20"/>
          <w:szCs w:val="20"/>
          <w:color w:val="auto"/>
        </w:rPr>
      </w:pPr>
      <w:r>
        <w:rPr>
          <w:rFonts w:ascii="Arial" w:cs="Arial" w:eastAsia="Arial" w:hAnsi="Arial"/>
          <w:sz w:val="18"/>
          <w:szCs w:val="18"/>
          <w:color w:val="auto"/>
        </w:rPr>
        <w:t>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 will</w:t>
      </w:r>
    </w:p>
    <w:p>
      <w:pPr>
        <w:spacing w:after="0" w:line="95" w:lineRule="exact"/>
        <w:rPr>
          <w:sz w:val="20"/>
          <w:szCs w:val="20"/>
          <w:color w:val="auto"/>
        </w:rPr>
      </w:pPr>
    </w:p>
    <w:p>
      <w:pPr>
        <w:ind w:left="1300" w:right="460" w:hanging="442"/>
        <w:spacing w:after="0" w:line="246"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25"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225" w:lineRule="exact"/>
        <w:rPr>
          <w:rFonts w:ascii="Arial" w:cs="Arial" w:eastAsia="Arial" w:hAnsi="Arial"/>
          <w:sz w:val="18"/>
          <w:szCs w:val="18"/>
          <w:color w:val="auto"/>
        </w:rPr>
      </w:pPr>
    </w:p>
    <w:p>
      <w:pPr>
        <w:ind w:left="1300" w:right="660" w:hanging="442"/>
        <w:spacing w:after="0" w:line="246"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196" w:lineRule="exact"/>
        <w:rPr>
          <w:rFonts w:ascii="Arial" w:cs="Arial" w:eastAsia="Arial" w:hAnsi="Arial"/>
          <w:sz w:val="18"/>
          <w:szCs w:val="18"/>
          <w:color w:val="auto"/>
        </w:rPr>
      </w:pPr>
    </w:p>
    <w:p>
      <w:pPr>
        <w:ind w:left="1300" w:right="24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202"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196"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196" w:lineRule="exact"/>
        <w:rPr>
          <w:rFonts w:ascii="Arial" w:cs="Arial" w:eastAsia="Arial" w:hAnsi="Arial"/>
          <w:sz w:val="18"/>
          <w:szCs w:val="18"/>
          <w:color w:val="auto"/>
        </w:rPr>
      </w:pPr>
    </w:p>
    <w:p>
      <w:pPr>
        <w:jc w:val="both"/>
        <w:ind w:left="1300" w:right="8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 shares then entitled to vote generally in the election of directors, voting together as a single class; and</w:t>
      </w:r>
    </w:p>
    <w:p>
      <w:pPr>
        <w:spacing w:after="0" w:line="202" w:lineRule="exact"/>
        <w:rPr>
          <w:rFonts w:ascii="Arial" w:cs="Arial" w:eastAsia="Arial" w:hAnsi="Arial"/>
          <w:sz w:val="18"/>
          <w:szCs w:val="18"/>
          <w:color w:val="auto"/>
        </w:rPr>
      </w:pPr>
    </w:p>
    <w:p>
      <w:pPr>
        <w:ind w:left="1300" w:right="20" w:hanging="442"/>
        <w:spacing w:after="0" w:line="237"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behalf of the company, (2) any action asserting a claim of breach of a fiduciary duty owed by any of our directors, officers or other employees to the company or our stockholders, (3) any action asserting a claim against the company arising pursuant to any provision of the Delaware General Corporation Law, our certificate of incorporation and bylaws (as either may be amended from time to time), or (4) any action asserting a claim against the company governed by the internal affairs doctrine; and</w:t>
      </w:r>
    </w:p>
    <w:p>
      <w:pPr>
        <w:spacing w:after="0" w:line="204"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w:t>
      </w:r>
    </w:p>
    <w:p>
      <w:pPr>
        <w:spacing w:after="0" w:line="305" w:lineRule="exact"/>
        <w:rPr>
          <w:sz w:val="20"/>
          <w:szCs w:val="20"/>
          <w:color w:val="auto"/>
        </w:rPr>
      </w:pPr>
    </w:p>
    <w:p>
      <w:pPr>
        <w:ind w:right="620" w:firstLine="576"/>
        <w:spacing w:after="0" w:line="246"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ind w:left="580"/>
        <w:spacing w:after="0"/>
        <w:tabs>
          <w:tab w:leader="none" w:pos="5860" w:val="left"/>
          <w:tab w:leader="none" w:pos="1028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We intend to apply to have our common stock approved for quotation on the Nasdaq Global Market under the trading symbol “ATHA.”</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83" w:name="page184"/>
    <w:bookmarkEnd w:id="183"/>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Prior to this offering, there has been no public market for our common stock, and although we expect that our common stock will be approved for listing on the Nasdaq Global Market, we cannot assure you that there will be an active public market for our common stock following this offering. We cannot predict what effect sales of our shares in the public market or the availability of shares for sale will have on the market price of our common stock. Future sales of substantial amounts of common stock in the public market, including shares issued upon exercise of outstanding options or warrants, or the perception that such sales may occur, however, could adversely affect the market price of our common stock and also could adversely affect our future ability to raise capital through the sale of our common stock or other equity-related securities at times and prices we believe appropriate.</w:t>
      </w:r>
    </w:p>
    <w:p>
      <w:pPr>
        <w:spacing w:after="0" w:line="203" w:lineRule="exact"/>
        <w:rPr>
          <w:sz w:val="20"/>
          <w:szCs w:val="20"/>
          <w:color w:val="auto"/>
        </w:rPr>
      </w:pPr>
    </w:p>
    <w:p>
      <w:pPr>
        <w:ind w:right="40" w:firstLine="576"/>
        <w:spacing w:after="0" w:line="234" w:lineRule="auto"/>
        <w:rPr>
          <w:sz w:val="20"/>
          <w:szCs w:val="20"/>
          <w:color w:val="auto"/>
        </w:rPr>
      </w:pPr>
      <w:r>
        <w:rPr>
          <w:rFonts w:ascii="Arial" w:cs="Arial" w:eastAsia="Arial" w:hAnsi="Arial"/>
          <w:sz w:val="18"/>
          <w:szCs w:val="18"/>
          <w:color w:val="auto"/>
        </w:rPr>
        <w:t>Upon completion of this offering, based on our shares outstanding as of June 30, 2020, the conversion of convertible preferred stock outstanding as of June 30, 2020 into an aggregate of shares of our common stock upon the completion of this offering, the issuance of an aggregate of shares of our common stock upon the exercise of outstanding warrants immediately prior to the completion of this offering, and the issuance of shares of our common stock in this offering, shares of our common stock will be outstanding, or shares of common stock if the underwriters exercise their option to purchase additional shares in full. All of the shares of common</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202"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extension of the lock-up period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97" w:lineRule="exact"/>
        <w:rPr>
          <w:sz w:val="20"/>
          <w:szCs w:val="20"/>
          <w:color w:val="auto"/>
        </w:rPr>
      </w:pPr>
    </w:p>
    <w:p>
      <w:pPr>
        <w:ind w:left="2000" w:hanging="1142"/>
        <w:spacing w:after="0"/>
        <w:tabs>
          <w:tab w:leader="none" w:pos="2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 and</w:t>
      </w:r>
    </w:p>
    <w:p>
      <w:pPr>
        <w:spacing w:after="0" w:line="225" w:lineRule="exact"/>
        <w:rPr>
          <w:sz w:val="20"/>
          <w:szCs w:val="20"/>
          <w:color w:val="auto"/>
        </w:rPr>
      </w:pPr>
    </w:p>
    <w:p>
      <w:pPr>
        <w:ind w:left="1300" w:right="100" w:hanging="442"/>
        <w:spacing w:after="0" w:line="246" w:lineRule="auto"/>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beginning more than 180 days after the date of this prospectus.</w:t>
      </w:r>
    </w:p>
    <w:p>
      <w:pPr>
        <w:spacing w:after="0" w:line="3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may issue shares of our common stock from time to time for a variety of corporate purposes, including in capital-raising activities through future public offerings or private placements, in connection with exercise of stock options or warrants, vesting of restricted stock units and other issuances relating to our employee benefit plans and as consideration for future acquisitions, investments or other purposes. The number of shares of our common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our common stock will have the right, under certain circumstances, to cause us to register any resale of such shares to the public.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234" w:lineRule="exact"/>
        <w:rPr>
          <w:sz w:val="20"/>
          <w:szCs w:val="20"/>
          <w:color w:val="auto"/>
        </w:rPr>
      </w:pPr>
    </w:p>
    <w:p>
      <w:pPr>
        <w:jc w:val="both"/>
        <w:ind w:right="220" w:firstLine="576"/>
        <w:spacing w:after="0" w:line="261" w:lineRule="auto"/>
        <w:rPr>
          <w:sz w:val="20"/>
          <w:szCs w:val="20"/>
          <w:color w:val="auto"/>
        </w:rPr>
      </w:pPr>
      <w:r>
        <w:rPr>
          <w:rFonts w:ascii="Arial" w:cs="Arial" w:eastAsia="Arial" w:hAnsi="Arial"/>
          <w:sz w:val="17"/>
          <w:szCs w:val="17"/>
          <w:color w:val="auto"/>
        </w:rPr>
        <w:t>We, our directors and officers and substantially all of the holders of our equity securities have agreed, subject to certain exceptions, not to offer, sell or transfer any common stock or securities convertible into or exchangeable or exercisable for common stock for 180 days after the date of this prospectus without first obtaining the written consent of Goldman Sachs &amp; Co. LLC and Jefferies LLC, 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84" w:name="page185"/>
    <w:bookmarkEnd w:id="184"/>
    <w:p>
      <w:pPr>
        <w:ind w:right="40"/>
        <w:spacing w:after="0"/>
        <w:rPr>
          <w:sz w:val="20"/>
          <w:szCs w:val="20"/>
          <w:color w:val="auto"/>
        </w:rPr>
      </w:pPr>
      <w:r>
        <w:rPr>
          <w:rFonts w:ascii="Arial" w:cs="Arial" w:eastAsia="Arial" w:hAnsi="Arial"/>
          <w:sz w:val="18"/>
          <w:szCs w:val="18"/>
          <w:color w:val="auto"/>
        </w:rPr>
        <w:t>behalf of the underwriters, or us, as applicable, after the date of this prospectus. Goldman Sachs &amp; Co. LLC and Jefferies LLC may, in their sole discretion, and subject to FINRA Rule 5131, release any of the securities subject to the lock-up agreements with the underwriters at any time. These agreements are described below under the section of this prospectus titled “Underwriting.”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general, under Rule 144, beginning 90 days after the effective date of this prospectus, a person who is not our affiliate for purposes of the Securities Act and has not been our affiliate at any time during the preceding three months will be entitled to sell any shares of our common stock that such person has beneficially owned for at least six months, including the holding period of any prior owner other than one of our affiliates, without being required to comply with the notice, manner of sale or public information requirements or volume limitation provisions of Rule 144. Sales of our common stock by any such person would be subject to the availability of current public information about us if the shares to be sold were beneficially owned by such person for less than one year.</w:t>
      </w:r>
    </w:p>
    <w:p>
      <w:pPr>
        <w:spacing w:after="0" w:line="205"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In addition, under Rule 144, a person may sell shares of our common stock acquired from us immediately upon the completion of this offering, without regard to the registration requirements of the Securities Act or the availability of public information about us, if:</w:t>
      </w:r>
    </w:p>
    <w:p>
      <w:pPr>
        <w:spacing w:after="0" w:line="89" w:lineRule="exact"/>
        <w:rPr>
          <w:sz w:val="20"/>
          <w:szCs w:val="20"/>
          <w:color w:val="auto"/>
        </w:rPr>
      </w:pPr>
    </w:p>
    <w:p>
      <w:pPr>
        <w:ind w:left="1300" w:hanging="442"/>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person is not our affiliate and has not been our affiliate at any time during the preceding three months; and</w:t>
      </w:r>
    </w:p>
    <w:p>
      <w:pPr>
        <w:spacing w:after="0" w:line="225" w:lineRule="exact"/>
        <w:rPr>
          <w:rFonts w:ascii="Arial" w:cs="Arial" w:eastAsia="Arial" w:hAnsi="Arial"/>
          <w:sz w:val="18"/>
          <w:szCs w:val="18"/>
          <w:color w:val="auto"/>
        </w:rPr>
      </w:pPr>
    </w:p>
    <w:p>
      <w:pPr>
        <w:ind w:left="1300" w:right="80" w:hanging="442"/>
        <w:spacing w:after="0" w:line="246"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person has beneficially owned the shares to be sold for at least one year, including the holding period of any prior owner other than one of our affiliates.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ectPr>
          <w:pgSz w:w="11900" w:h="16838" w:orient="portrait"/>
          <w:cols w:equalWidth="0" w:num="1">
            <w:col w:w="11220"/>
          </w:cols>
          <w:pgMar w:left="320" w:top="598" w:right="359" w:bottom="1440" w:gutter="0" w:footer="0" w:header="0"/>
        </w:sectPr>
      </w:pP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1% of the number of shares of our common stock then outstanding, which will equal approximately shares immediately after this offering, assuming no exercise of the underwriters’ option to purchase additional shares; and</w:t>
      </w:r>
    </w:p>
    <w:p>
      <w:pPr>
        <w:spacing w:after="0" w:line="197" w:lineRule="exact"/>
        <w:rPr>
          <w:sz w:val="20"/>
          <w:szCs w:val="20"/>
          <w:color w:val="auto"/>
        </w:rPr>
      </w:pPr>
    </w:p>
    <w:p>
      <w:pPr>
        <w:sectPr>
          <w:pgSz w:w="11900" w:h="16838" w:orient="portrait"/>
          <w:cols w:equalWidth="0" w:num="2">
            <w:col w:w="1360" w:space="380"/>
            <w:col w:w="9480"/>
          </w:cols>
          <w:pgMar w:left="320" w:top="598" w:right="359" w:bottom="1440" w:gutter="0" w:footer="0" w:header="0"/>
          <w:type w:val="continuous"/>
        </w:sectPr>
      </w:pPr>
    </w:p>
    <w:p>
      <w:pPr>
        <w:ind w:left="1740" w:right="100" w:hanging="436"/>
        <w:spacing w:after="0" w:line="246" w:lineRule="auto"/>
        <w:tabs>
          <w:tab w:leader="none" w:pos="17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date of filing of a notice on Form 144 with respect to the sale.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205"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As of June 30, 2020, there were shares of our outstanding common stock issued in reliance on Rule 701 as a result of exercises of stock options. All of these shares, however, are subject to lock-up agreements or market stand-off provisions as discussed above, and, as a result, these shares will only become eligible for sale at the earlier of the expiration of the lock-up period or upon obtaining the consent of Goldman Sachs &amp; Co. LLC and Jeffries LLC, on behalf of the underwriters to release all or any portion of these shares from the lock-up agreements.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580"/>
        <w:spacing w:after="0"/>
        <w:tabs>
          <w:tab w:leader="none" w:pos="6140" w:val="left"/>
        </w:tabs>
        <w:rPr>
          <w:sz w:val="20"/>
          <w:szCs w:val="20"/>
          <w:color w:val="auto"/>
        </w:rPr>
      </w:pPr>
      <w:r>
        <w:rPr>
          <w:rFonts w:ascii="Arial" w:cs="Arial" w:eastAsia="Arial" w:hAnsi="Arial"/>
          <w:sz w:val="18"/>
          <w:szCs w:val="18"/>
          <w:color w:val="auto"/>
        </w:rPr>
        <w:t>As of June 30, 2020, options to purchase an aggregate of</w:t>
      </w:r>
      <w:r>
        <w:rPr>
          <w:sz w:val="20"/>
          <w:szCs w:val="20"/>
          <w:color w:val="auto"/>
        </w:rPr>
        <w:tab/>
      </w:r>
      <w:r>
        <w:rPr>
          <w:rFonts w:ascii="Arial" w:cs="Arial" w:eastAsia="Arial" w:hAnsi="Arial"/>
          <w:sz w:val="18"/>
          <w:szCs w:val="18"/>
          <w:color w:val="auto"/>
        </w:rPr>
        <w:t>shares of our common stock were outstanding. We intend to file</w:t>
      </w:r>
    </w:p>
    <w:p>
      <w:pPr>
        <w:ind w:right="120"/>
        <w:spacing w:after="0" w:line="238" w:lineRule="auto"/>
        <w:rPr>
          <w:sz w:val="20"/>
          <w:szCs w:val="20"/>
          <w:color w:val="auto"/>
        </w:rPr>
      </w:pPr>
      <w:r>
        <w:rPr>
          <w:rFonts w:ascii="Arial" w:cs="Arial" w:eastAsia="Arial" w:hAnsi="Arial"/>
          <w:sz w:val="18"/>
          <w:szCs w:val="18"/>
          <w:color w:val="auto"/>
        </w:rPr>
        <w:t>one or more registration statements on Form S-8 under the Securities Act to register the offer and sale of all shares of our common stock subject to outstanding stock options and all shares issued or issuable under our stock plans. We expect to file the registration statement covering these shares after the date of this prospectus, which will permit the resale of such shares by persons who are non-affiliates of ours in the public market without restriction under the Securities Act, subject, with respect to certain of the shares, to the provisions of the lock-up agreements and market stand-off provisions described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580"/>
        <w:spacing w:after="0"/>
        <w:tabs>
          <w:tab w:leader="none" w:pos="6260" w:val="left"/>
        </w:tabs>
        <w:rPr>
          <w:sz w:val="20"/>
          <w:szCs w:val="20"/>
          <w:color w:val="auto"/>
        </w:rPr>
      </w:pPr>
      <w:r>
        <w:rPr>
          <w:rFonts w:ascii="Arial" w:cs="Arial" w:eastAsia="Arial" w:hAnsi="Arial"/>
          <w:sz w:val="18"/>
          <w:szCs w:val="18"/>
          <w:color w:val="auto"/>
        </w:rPr>
        <w:t>Upon completion of this offering, the holders of approximately</w:t>
      </w:r>
      <w:r>
        <w:rPr>
          <w:sz w:val="20"/>
          <w:szCs w:val="20"/>
          <w:color w:val="auto"/>
        </w:rPr>
        <w:tab/>
      </w:r>
      <w:r>
        <w:rPr>
          <w:rFonts w:ascii="Arial" w:cs="Arial" w:eastAsia="Arial" w:hAnsi="Arial"/>
          <w:sz w:val="17"/>
          <w:szCs w:val="17"/>
          <w:color w:val="auto"/>
        </w:rPr>
        <w:t>shares of our common stock will be eligible to exercise certain</w:t>
      </w:r>
    </w:p>
    <w:p>
      <w:pPr>
        <w:jc w:val="both"/>
        <w:ind w:right="100"/>
        <w:spacing w:after="0" w:line="238" w:lineRule="auto"/>
        <w:rPr>
          <w:sz w:val="20"/>
          <w:szCs w:val="20"/>
          <w:color w:val="auto"/>
        </w:rPr>
      </w:pPr>
      <w:r>
        <w:rPr>
          <w:rFonts w:ascii="Arial" w:cs="Arial" w:eastAsia="Arial" w:hAnsi="Arial"/>
          <w:sz w:val="18"/>
          <w:szCs w:val="18"/>
          <w:color w:val="auto"/>
        </w:rPr>
        <w:t>rights to cause us to register their shares for resale under the Securities Act, subject to various conditions and limitations. These registration rights are described under the section of this prospectus titled “Description of Capital Stock—Registration Rights.” Upon the effectiveness of a registration statement covering these shares, the shares would become freely tradable, and a large number of shares may be sold into the public market, which may adversely affect the market price of our common stock.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6" w:name="page187"/>
    <w:bookmarkEnd w:id="186"/>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FOR</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NON-U.S. HOLDERS OF COMMON STOCK</w:t>
      </w:r>
    </w:p>
    <w:p>
      <w:pPr>
        <w:spacing w:after="0" w:line="21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208"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97" w:lineRule="exact"/>
        <w:rPr>
          <w:sz w:val="20"/>
          <w:szCs w:val="20"/>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tax on net investment income;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225"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25"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196" w:lineRule="exact"/>
        <w:rPr>
          <w:rFonts w:ascii="Arial" w:cs="Arial" w:eastAsia="Arial" w:hAnsi="Arial"/>
          <w:sz w:val="18"/>
          <w:szCs w:val="18"/>
          <w:color w:val="auto"/>
        </w:rPr>
      </w:pPr>
    </w:p>
    <w:p>
      <w:pPr>
        <w:ind w:left="1300" w:right="300" w:hanging="442"/>
        <w:spacing w:after="0" w:line="246"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33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87" w:name="page188"/>
    <w:bookmarkEnd w:id="187"/>
    <w:p>
      <w:pPr>
        <w:ind w:right="40" w:firstLine="576"/>
        <w:spacing w:after="0" w:line="247"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not a partnership or:</w:t>
      </w:r>
    </w:p>
    <w:p>
      <w:pPr>
        <w:spacing w:after="0" w:line="89" w:lineRule="exact"/>
        <w:rPr>
          <w:sz w:val="20"/>
          <w:szCs w:val="20"/>
          <w:color w:val="auto"/>
        </w:rPr>
      </w:pPr>
    </w:p>
    <w:p>
      <w:pPr>
        <w:ind w:left="1300" w:hanging="442"/>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1300" w:right="520" w:hanging="442"/>
        <w:spacing w:after="0" w:line="274" w:lineRule="auto"/>
        <w:tabs>
          <w:tab w:leader="none" w:pos="13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74" w:lineRule="exact"/>
        <w:rPr>
          <w:rFonts w:ascii="Arial" w:cs="Arial" w:eastAsia="Arial" w:hAnsi="Arial"/>
          <w:sz w:val="17"/>
          <w:szCs w:val="17"/>
          <w:color w:val="auto"/>
        </w:rPr>
      </w:pPr>
    </w:p>
    <w:p>
      <w:pPr>
        <w:ind w:left="1300" w:hanging="442"/>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25" w:lineRule="exact"/>
        <w:rPr>
          <w:rFonts w:ascii="Arial" w:cs="Arial" w:eastAsia="Arial" w:hAnsi="Arial"/>
          <w:sz w:val="18"/>
          <w:szCs w:val="18"/>
          <w:color w:val="auto"/>
        </w:rPr>
      </w:pPr>
    </w:p>
    <w:p>
      <w:pPr>
        <w:jc w:val="both"/>
        <w:ind w:left="1300" w:right="180" w:hanging="442"/>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that has one or more U.S. persons who have the authority to control all substantial decisions of the trust or (2) that has made a valid election under applicable Treasury Regulations to be treated as a U.S. person.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Subject to the discussions below on effectively connected income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207"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8" w:name="page189"/>
    <w:bookmarkEnd w:id="188"/>
    <w:p>
      <w:pPr>
        <w:ind w:right="20"/>
        <w:spacing w:after="0" w:line="238" w:lineRule="auto"/>
        <w:rPr>
          <w:sz w:val="20"/>
          <w:szCs w:val="20"/>
          <w:color w:val="auto"/>
        </w:rPr>
      </w:pPr>
      <w:r>
        <w:rPr>
          <w:rFonts w:ascii="Arial" w:cs="Arial" w:eastAsia="Arial" w:hAnsi="Arial"/>
          <w:sz w:val="18"/>
          <w:szCs w:val="18"/>
          <w:color w:val="auto"/>
        </w:rPr>
        <w:t>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discussion below regarding backup withholding and FATCA withholding, you generally will not be required to pay U.S.</w:t>
      </w:r>
    </w:p>
    <w:p>
      <w:pPr>
        <w:spacing w:after="0"/>
        <w:rPr>
          <w:sz w:val="20"/>
          <w:szCs w:val="20"/>
          <w:color w:val="auto"/>
        </w:rPr>
      </w:pPr>
      <w:r>
        <w:rPr>
          <w:rFonts w:ascii="Arial" w:cs="Arial" w:eastAsia="Arial" w:hAnsi="Arial"/>
          <w:sz w:val="18"/>
          <w:szCs w:val="18"/>
          <w:color w:val="auto"/>
        </w:rPr>
        <w:t>federal income tax on any gain realized upon the sale or other disposition of our common stock unless:</w:t>
      </w:r>
    </w:p>
    <w:p>
      <w:pPr>
        <w:spacing w:after="0" w:line="104" w:lineRule="exact"/>
        <w:rPr>
          <w:sz w:val="20"/>
          <w:szCs w:val="20"/>
          <w:color w:val="auto"/>
        </w:rPr>
      </w:pPr>
    </w:p>
    <w:p>
      <w:pPr>
        <w:ind w:left="1300" w:right="360" w:hanging="442"/>
        <w:spacing w:after="0" w:line="246"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96" w:lineRule="exact"/>
        <w:rPr>
          <w:rFonts w:ascii="Arial" w:cs="Arial" w:eastAsia="Arial" w:hAnsi="Arial"/>
          <w:sz w:val="18"/>
          <w:szCs w:val="18"/>
          <w:color w:val="auto"/>
        </w:rPr>
      </w:pPr>
    </w:p>
    <w:p>
      <w:pPr>
        <w:ind w:left="1300" w:right="320" w:hanging="442"/>
        <w:spacing w:after="0" w:line="246"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96" w:lineRule="exact"/>
        <w:rPr>
          <w:rFonts w:ascii="Arial" w:cs="Arial" w:eastAsia="Arial" w:hAnsi="Arial"/>
          <w:sz w:val="18"/>
          <w:szCs w:val="18"/>
          <w:color w:val="auto"/>
        </w:rPr>
      </w:pPr>
    </w:p>
    <w:p>
      <w:pPr>
        <w:jc w:val="both"/>
        <w:ind w:left="1300" w:right="20" w:hanging="442"/>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311"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203"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U.S. federal estate tax purposes) at the time of his or her death will generally be includable in the decedent’s gross estate for U.S. federal estate tax purposes. Such stock, therefore, may be subject to U.S. federal estate tax, unless an applicable estate tax treaty provides otherwise.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203"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spacing w:after="0" w:line="20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34"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Provisions of the Code commonly referred to as FATCA, Treasury Regulations issued thereunder and official IRS guidance generally impose a U.S. federal withholding tax of 30% on dividends on, and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206"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The withholding obligations under FATCA generally apply to dividends on our common stock and subject to the proposed Treasury Regulations described in the next sentence, will apply to the payment of gross proceeds of a sale or other disposition of our common stock. The Treasury Department has released proposed Treasury Regulations (the preamble to which specifies that taxpayers are permitted to rely on them pending finalization) which, if finalized in their present form, would eliminate the federal withholding tax of 30% applicable to the gross proceeds of a disposition of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spacing w:after="0" w:line="184" w:lineRule="exact"/>
        <w:rPr>
          <w:sz w:val="20"/>
          <w:szCs w:val="20"/>
          <w:color w:val="auto"/>
        </w:rPr>
      </w:pPr>
    </w:p>
    <w:p>
      <w:pPr>
        <w:ind w:right="160" w:firstLine="576"/>
        <w:spacing w:after="0" w:line="247"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r>
        <w:rPr>
          <w:rFonts w:ascii="Arial" w:cs="Arial" w:eastAsia="Arial" w:hAnsi="Arial"/>
          <w:sz w:val="18"/>
          <w:szCs w:val="18"/>
          <w:color w:val="auto"/>
        </w:rPr>
        <w: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40" w:firstLine="54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9"/>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834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14605</wp:posOffset>
            </wp:positionV>
            <wp:extent cx="12687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73" w:lineRule="exact"/>
        <w:rPr>
          <w:sz w:val="20"/>
          <w:szCs w:val="20"/>
          <w:color w:val="auto"/>
        </w:rPr>
      </w:pPr>
    </w:p>
    <w:p>
      <w:pPr>
        <w:ind w:right="100" w:firstLine="576"/>
        <w:spacing w:after="0" w:line="24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7" w:lineRule="exact"/>
        <w:rPr>
          <w:sz w:val="20"/>
          <w:szCs w:val="20"/>
          <w:color w:val="auto"/>
        </w:rPr>
      </w:pPr>
    </w:p>
    <w:p>
      <w:pPr>
        <w:jc w:val="both"/>
        <w:ind w:right="40" w:firstLine="576"/>
        <w:spacing w:after="0"/>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p>
      <w:pPr>
        <w:jc w:val="both"/>
        <w:ind w:right="60"/>
        <w:spacing w:after="0" w:line="243" w:lineRule="auto"/>
        <w:rPr>
          <w:sz w:val="20"/>
          <w:szCs w:val="20"/>
          <w:color w:val="auto"/>
        </w:rPr>
      </w:pPr>
      <w:r>
        <w:rPr>
          <w:rFonts w:ascii="Arial" w:cs="Arial" w:eastAsia="Arial" w:hAnsi="Arial"/>
          <w:sz w:val="18"/>
          <w:szCs w:val="18"/>
          <w:color w:val="auto"/>
        </w:rPr>
        <w:t>amounts are shown assuming both no exercise and full exercise of the underwriters’ option to purchase up to an additional shares from us.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840" w:type="dxa"/>
            <w:vAlign w:val="bottom"/>
            <w:gridSpan w:val="2"/>
          </w:tcPr>
          <w:p>
            <w:pPr>
              <w:ind w:left="420"/>
              <w:spacing w:after="0"/>
              <w:rPr>
                <w:sz w:val="20"/>
                <w:szCs w:val="20"/>
                <w:color w:val="auto"/>
              </w:rPr>
            </w:pPr>
            <w:r>
              <w:rPr>
                <w:rFonts w:ascii="Arial" w:cs="Arial" w:eastAsia="Arial" w:hAnsi="Arial"/>
                <w:sz w:val="14"/>
                <w:szCs w:val="14"/>
                <w:b w:val="1"/>
                <w:bCs w:val="1"/>
                <w:color w:val="auto"/>
              </w:rPr>
              <w:t>No Exercise</w:t>
            </w:r>
          </w:p>
        </w:tc>
        <w:tc>
          <w:tcPr>
            <w:tcW w:w="1680" w:type="dxa"/>
            <w:vAlign w:val="bottom"/>
          </w:tcPr>
          <w:p>
            <w:pPr>
              <w:jc w:val="right"/>
              <w:ind w:right="316"/>
              <w:spacing w:after="0"/>
              <w:rPr>
                <w:sz w:val="20"/>
                <w:szCs w:val="20"/>
                <w:color w:val="auto"/>
              </w:rPr>
            </w:pPr>
            <w:r>
              <w:rPr>
                <w:rFonts w:ascii="Arial" w:cs="Arial" w:eastAsia="Arial" w:hAnsi="Arial"/>
                <w:sz w:val="14"/>
                <w:szCs w:val="14"/>
                <w:b w:val="1"/>
                <w:bCs w:val="1"/>
                <w:color w:val="auto"/>
              </w:rPr>
              <w:t>Full Exercise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w:t>
            </w:r>
          </w:p>
        </w:tc>
        <w:tc>
          <w:tcPr>
            <w:tcW w:w="1680" w:type="dxa"/>
            <w:vAlign w:val="bottom"/>
            <w:tcBorders>
              <w:top w:val="single" w:sz="8" w:color="auto"/>
            </w:tcBorders>
            <w:shd w:val="clear" w:color="auto" w:fill="CFF0FC"/>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ind w:right="1496"/>
              <w:spacing w:after="0"/>
              <w:rPr>
                <w:sz w:val="20"/>
                <w:szCs w:val="20"/>
                <w:color w:val="auto"/>
              </w:rPr>
            </w:pPr>
            <w:r>
              <w:rPr>
                <w:rFonts w:ascii="Arial" w:cs="Arial" w:eastAsia="Arial" w:hAnsi="Arial"/>
                <w:sz w:val="18"/>
                <w:szCs w:val="18"/>
                <w:color w:val="auto"/>
                <w:w w:val="79"/>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680" w:type="dxa"/>
            <w:vAlign w:val="bottom"/>
          </w:tcPr>
          <w:p>
            <w:pPr>
              <w:jc w:val="right"/>
              <w:ind w:right="1496"/>
              <w:spacing w:after="0"/>
              <w:rPr>
                <w:sz w:val="20"/>
                <w:szCs w:val="20"/>
                <w:color w:val="auto"/>
              </w:rPr>
            </w:pPr>
            <w:r>
              <w:rPr>
                <w:rFonts w:ascii="Arial" w:cs="Arial" w:eastAsia="Arial" w:hAnsi="Arial"/>
                <w:sz w:val="18"/>
                <w:szCs w:val="18"/>
                <w:color w:val="auto"/>
                <w:w w:val="79"/>
              </w:rPr>
              <w:t>$</w:t>
            </w:r>
          </w:p>
        </w:tc>
      </w:tr>
    </w:tbl>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ind w:right="2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Jefferies LLC. This agreement does not apply to any existing employee benefit plans. See the section of this prospectus titled “Shares Eligible for Future Sale” for a discussion of certain transfer restrictions.</w:t>
      </w:r>
    </w:p>
    <w:p>
      <w:pPr>
        <w:spacing w:after="0" w:line="205"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our management and the consideration of the above factors in relation to market valuation of companies in related businesses.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1" w:name="page192"/>
    <w:bookmarkEnd w:id="191"/>
    <w:p>
      <w:pPr>
        <w:ind w:left="580"/>
        <w:spacing w:after="0"/>
        <w:rPr>
          <w:sz w:val="20"/>
          <w:szCs w:val="20"/>
          <w:color w:val="auto"/>
        </w:rPr>
      </w:pPr>
      <w:r>
        <w:rPr>
          <w:rFonts w:ascii="Arial" w:cs="Arial" w:eastAsia="Arial" w:hAnsi="Arial"/>
          <w:sz w:val="18"/>
          <w:szCs w:val="18"/>
          <w:color w:val="auto"/>
        </w:rPr>
        <w:t>We intend to apply to list our common stock on the Nasdaq Global Market under the symbol "ATHA".</w:t>
      </w:r>
    </w:p>
    <w:p>
      <w:pPr>
        <w:spacing w:after="0" w:line="212"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spacing w:after="0" w:line="234" w:lineRule="auto"/>
        <w:tabs>
          <w:tab w:leader="none" w:pos="230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 We have agreed to reimburse the underwriters for certain of their expenses in an amount up to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jc w:val="both"/>
        <w:ind w:right="140" w:firstLine="576"/>
        <w:spacing w:after="0" w:line="248" w:lineRule="auto"/>
        <w:rPr>
          <w:sz w:val="20"/>
          <w:szCs w:val="20"/>
          <w:color w:val="auto"/>
        </w:rPr>
      </w:pPr>
      <w:r>
        <w:rPr>
          <w:rFonts w:ascii="Arial" w:cs="Arial" w:eastAsia="Arial" w:hAnsi="Arial"/>
          <w:sz w:val="17"/>
          <w:szCs w:val="17"/>
          <w:color w:val="auto"/>
        </w:rPr>
        <w:t>At our request, the underwriters have reserved up to % of the shares of common stock offered hereby, at the initial public offering price, to offer to directors, officers, employees, business associates and other persons related to us. The underwriters will receive the same underwriting discount on any shares purchased pursuant to this program as they will on any other shares sold to the public in this offering.</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Shares purchased by our directors and officers will be subject to a 180-day lock-up agreement with the underwriters in this offering.</w:t>
      </w:r>
    </w:p>
    <w:p>
      <w:pPr>
        <w:spacing w:after="0" w:line="205" w:lineRule="exact"/>
        <w:rPr>
          <w:sz w:val="20"/>
          <w:szCs w:val="20"/>
          <w:color w:val="auto"/>
        </w:rPr>
      </w:pPr>
    </w:p>
    <w:p>
      <w:pPr>
        <w:ind w:right="240" w:firstLine="576"/>
        <w:spacing w:after="0" w:line="26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92" w:name="page193"/>
    <w:bookmarkEnd w:id="192"/>
    <w:p>
      <w:pPr>
        <w:ind w:right="120"/>
        <w:spacing w:after="0" w:line="246" w:lineRule="auto"/>
        <w:rPr>
          <w:sz w:val="20"/>
          <w:szCs w:val="20"/>
          <w:color w:val="auto"/>
        </w:rPr>
      </w:pPr>
      <w:r>
        <w:rPr>
          <w:rFonts w:ascii="Arial" w:cs="Arial" w:eastAsia="Arial" w:hAnsi="Arial"/>
          <w:sz w:val="18"/>
          <w:szCs w:val="18"/>
          <w:color w:val="auto"/>
        </w:rPr>
        <w:t>respective affiliates may in the future provide, a variety of these services to the issuer and to persons and entities with relationships with the issuer, for which they will receive customary fees and expenses.</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May 2020, we issued a warrant to JMP Securities LLC to purchase up to 1,010,955 shares of our Series B convertible preferred</w:t>
      </w:r>
    </w:p>
    <w:p>
      <w:pPr>
        <w:jc w:val="both"/>
        <w:spacing w:after="0"/>
        <w:rPr>
          <w:sz w:val="20"/>
          <w:szCs w:val="20"/>
          <w:color w:val="auto"/>
        </w:rPr>
      </w:pPr>
      <w:r>
        <w:rPr>
          <w:rFonts w:ascii="Arial" w:cs="Arial" w:eastAsia="Arial" w:hAnsi="Arial"/>
          <w:sz w:val="18"/>
          <w:szCs w:val="18"/>
          <w:color w:val="auto"/>
        </w:rPr>
        <w:t>stock in connection with our Series B convertible preferred stock financing. This warrant will be automatically exercised into shares of our common stock immediately prior to the closing of this offering. The warrant (and the shares of common stock once exercised) are subject to the 180-day lock-up restrictions pursuant to FINRA Rule 5110(g) and a 180-day lock-up agreement with the underwriters in this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common shares, or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7" w:lineRule="exact"/>
        <w:rPr>
          <w:sz w:val="20"/>
          <w:szCs w:val="20"/>
          <w:color w:val="auto"/>
        </w:rPr>
      </w:pPr>
    </w:p>
    <w:p>
      <w:pPr>
        <w:ind w:left="1300" w:hanging="44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33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Underwriter has represented and agreed that:</w:t>
      </w:r>
    </w:p>
    <w:p>
      <w:pPr>
        <w:spacing w:after="0" w:line="104" w:lineRule="exact"/>
        <w:rPr>
          <w:sz w:val="20"/>
          <w:szCs w:val="20"/>
          <w:color w:val="auto"/>
        </w:rPr>
      </w:pPr>
    </w:p>
    <w:p>
      <w:pPr>
        <w:ind w:left="1300" w:right="380" w:hanging="442"/>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93" w:name="page194"/>
    <w:bookmarkEnd w:id="193"/>
    <w:p>
      <w:pPr>
        <w:ind w:left="1300" w:right="460"/>
        <w:spacing w:after="0" w:line="246" w:lineRule="auto"/>
        <w:rPr>
          <w:sz w:val="20"/>
          <w:szCs w:val="20"/>
          <w:color w:val="auto"/>
        </w:rPr>
      </w:pPr>
      <w:r>
        <w:rPr>
          <w:rFonts w:ascii="Arial" w:cs="Arial" w:eastAsia="Arial" w:hAnsi="Arial"/>
          <w:sz w:val="18"/>
          <w:szCs w:val="18"/>
          <w:color w:val="auto"/>
        </w:rPr>
        <w:t>“FSMA”)) received by it in connection with the issue or sale of the shares in circumstances in which Section 21(1) of the FSMA does not apply to the company; and</w:t>
      </w:r>
    </w:p>
    <w:p>
      <w:pPr>
        <w:spacing w:after="0" w:line="197" w:lineRule="exact"/>
        <w:rPr>
          <w:sz w:val="20"/>
          <w:szCs w:val="20"/>
          <w:color w:val="auto"/>
        </w:rPr>
      </w:pPr>
    </w:p>
    <w:p>
      <w:pPr>
        <w:ind w:left="1300" w:hanging="442"/>
        <w:spacing w:after="0" w:line="246"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2"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2" w:lineRule="exact"/>
        <w:rPr>
          <w:sz w:val="20"/>
          <w:szCs w:val="20"/>
          <w:color w:val="auto"/>
        </w:rPr>
      </w:pPr>
    </w:p>
    <w:p>
      <w:pPr>
        <w:ind w:right="600" w:firstLine="576"/>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6"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the Companies Ordinance, or which do not constitute an invitation to the public within the meaning of the Securities and Futures Ordinance (Cap. 571 of the Laws of Hong Kong), or the Securities and Futures Ordinance, or (2) to "professional investors" as defined in the Securities and Futures Ordinance and any rules made thereunder, or (3) in other circumstances which do not result in the document being a "prospectus" as defined in the Companies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6" w:lineRule="exact"/>
        <w:rPr>
          <w:sz w:val="20"/>
          <w:szCs w:val="20"/>
          <w:color w:val="auto"/>
        </w:rPr>
      </w:pPr>
    </w:p>
    <w:p>
      <w:pPr>
        <w:ind w:right="140" w:firstLine="576"/>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(as defined under Section 4A of the Securities and Futures Act, Chapter 289 of Singapore, or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94" w:name="page195"/>
    <w:bookmarkEnd w:id="194"/>
    <w:p>
      <w:pPr>
        <w:ind w:right="40" w:firstLine="576"/>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20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08"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6"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205"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95" w:name="page196"/>
    <w:bookmarkEnd w:id="195"/>
    <w:p>
      <w:pPr>
        <w:ind w:right="140" w:firstLine="576"/>
        <w:spacing w:after="0" w:line="238"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26"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or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6" w:lineRule="exact"/>
        <w:rPr>
          <w:sz w:val="20"/>
          <w:szCs w:val="20"/>
          <w:color w:val="auto"/>
        </w:rPr>
      </w:pPr>
    </w:p>
    <w:p>
      <w:pPr>
        <w:jc w:val="both"/>
        <w:ind w:right="20" w:firstLine="576"/>
        <w:spacing w:after="0" w:line="234" w:lineRule="auto"/>
        <w:rPr>
          <w:sz w:val="20"/>
          <w:szCs w:val="20"/>
          <w:color w:val="auto"/>
        </w:rPr>
      </w:pPr>
      <w:r>
        <w:rPr>
          <w:rFonts w:ascii="Arial" w:cs="Arial" w:eastAsia="Arial" w:hAnsi="Arial"/>
          <w:sz w:val="18"/>
          <w:szCs w:val="18"/>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w:t>
      </w:r>
    </w:p>
    <w:p>
      <w:pPr>
        <w:spacing w:after="0" w:line="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 validity of the shares of the common stock offered hereby will be passed upon for us by Wilson Sonsini Goodrich &amp; Rosati, Professional Corporation, Seattle, Washington. Cooley, LLP, Seattle Washington, is acting as counsel for the underwriters. Investment funds associated with Wilson Sonsini Goodrich &amp; Rosati, Professional Corporation, hold shares of our common stock and preferred stock convertible into our common stock representing an aggregate of 108,695 shares of our common stock, which is less than 1% of our outstanding shares of common stock.</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2018 and December 31, 2019 and for each of the two years in the period ended December 31, 2019, as set forth in their report. We have included our financial statements in the prospectus and elsewhere in the registration statement in reliance on Ernst &amp; Young LLP’s report, given on their authority as experts in accounting and auditing.</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common stock, we refer you to the registration statement, including the exhibits.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203"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at www.sec.gov that contains reports, proxy statements and other information about issuers, like us, that file electronically with the SEC.</w:t>
      </w:r>
    </w:p>
    <w:p>
      <w:pPr>
        <w:spacing w:after="0" w:line="205"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www.athira.com, at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7" w:name="page198"/>
    <w:bookmarkEnd w:id="197"/>
    <w:p>
      <w:pPr>
        <w:jc w:val="center"/>
        <w:ind w:right="20"/>
        <w:spacing w:after="0"/>
        <w:rPr>
          <w:sz w:val="20"/>
          <w:szCs w:val="20"/>
          <w:color w:val="auto"/>
        </w:rPr>
      </w:pPr>
      <w:r>
        <w:rPr>
          <w:rFonts w:ascii="Arial" w:cs="Arial" w:eastAsia="Arial" w:hAnsi="Arial"/>
          <w:sz w:val="18"/>
          <w:szCs w:val="18"/>
          <w:b w:val="1"/>
          <w:bCs w:val="1"/>
          <w:color w:val="auto"/>
        </w:rPr>
        <w:t>ATHIRA PHARMA,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5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5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Report of Independent Registered Public Accounting Firm</w:t>
              </w:r>
            </w:hyperlink>
          </w:p>
        </w:tc>
        <w:tc>
          <w:tcPr>
            <w:tcW w:w="53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6"/>
        </w:trPr>
        <w:tc>
          <w:tcPr>
            <w:tcW w:w="5440" w:type="dxa"/>
            <w:vAlign w:val="bottom"/>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Balance Sheets</w:t>
              </w:r>
            </w:hyperlink>
          </w:p>
        </w:tc>
        <w:tc>
          <w:tcPr>
            <w:tcW w:w="53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5440" w:type="dxa"/>
            <w:vAlign w:val="bottom"/>
          </w:tcPr>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Statements of Operations and Comprehensive Loss</w:t>
              </w:r>
            </w:hyperlink>
          </w:p>
        </w:tc>
        <w:tc>
          <w:tcPr>
            <w:tcW w:w="53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5440" w:type="dxa"/>
            <w:vAlign w:val="bottom"/>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Statements of Convertible Preferred Stock and Stockholders’ Deficit</w:t>
              </w:r>
            </w:hyperlink>
          </w:p>
        </w:tc>
        <w:tc>
          <w:tcPr>
            <w:tcW w:w="53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5440" w:type="dxa"/>
            <w:vAlign w:val="bottom"/>
          </w:tcPr>
          <w:p>
            <w:pPr>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Statements of Cash Flows</w:t>
              </w:r>
            </w:hyperlink>
          </w:p>
        </w:tc>
        <w:tc>
          <w:tcPr>
            <w:tcW w:w="53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7"/>
        </w:trPr>
        <w:tc>
          <w:tcPr>
            <w:tcW w:w="5440" w:type="dxa"/>
            <w:vAlign w:val="bottom"/>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Notes to Financial Statements</w:t>
              </w:r>
            </w:hyperlink>
          </w:p>
        </w:tc>
        <w:tc>
          <w:tcPr>
            <w:tcW w:w="53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634"/>
        </w:trPr>
        <w:tc>
          <w:tcPr>
            <w:tcW w:w="5440" w:type="dxa"/>
            <w:vAlign w:val="bottom"/>
          </w:tcPr>
          <w:p>
            <w:pPr>
              <w:spacing w:after="0"/>
              <w:rPr>
                <w:sz w:val="24"/>
                <w:szCs w:val="24"/>
                <w:color w:val="auto"/>
              </w:rPr>
            </w:pPr>
          </w:p>
        </w:tc>
        <w:tc>
          <w:tcPr>
            <w:tcW w:w="5820" w:type="dxa"/>
            <w:vAlign w:val="bottom"/>
            <w:gridSpan w:val="3"/>
          </w:tcPr>
          <w:p>
            <w:pPr>
              <w:ind w:left="4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02"/>
        </w:trPr>
        <w:tc>
          <w:tcPr>
            <w:tcW w:w="5440" w:type="dxa"/>
            <w:vAlign w:val="bottom"/>
            <w:tcBorders>
              <w:bottom w:val="single" w:sz="8" w:color="9A9A9A"/>
            </w:tcBorders>
          </w:tcPr>
          <w:p>
            <w:pPr>
              <w:spacing w:after="0"/>
              <w:rPr>
                <w:sz w:val="8"/>
                <w:szCs w:val="8"/>
                <w:color w:val="auto"/>
              </w:rPr>
            </w:pPr>
          </w:p>
        </w:tc>
        <w:tc>
          <w:tcPr>
            <w:tcW w:w="53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98" w:name="page199"/>
    <w:bookmarkEnd w:id="198"/>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Athira Pharma,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4" w:lineRule="exact"/>
        <w:rPr>
          <w:sz w:val="20"/>
          <w:szCs w:val="20"/>
          <w:color w:val="auto"/>
        </w:rPr>
      </w:pPr>
    </w:p>
    <w:p>
      <w:pPr>
        <w:ind w:firstLine="864"/>
        <w:spacing w:after="0" w:line="238" w:lineRule="auto"/>
        <w:rPr>
          <w:sz w:val="20"/>
          <w:szCs w:val="20"/>
          <w:color w:val="auto"/>
        </w:rPr>
      </w:pPr>
      <w:r>
        <w:rPr>
          <w:rFonts w:ascii="Arial" w:cs="Arial" w:eastAsia="Arial" w:hAnsi="Arial"/>
          <w:sz w:val="18"/>
          <w:szCs w:val="18"/>
          <w:color w:val="auto"/>
        </w:rPr>
        <w:t>We have audited the accompanying balance sheets of Athira Pharma, Inc. (the Company) as of December 31, 2018 and 2019, the related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4" w:lineRule="exact"/>
        <w:rPr>
          <w:sz w:val="20"/>
          <w:szCs w:val="20"/>
          <w:color w:val="auto"/>
        </w:rPr>
      </w:pPr>
    </w:p>
    <w:p>
      <w:pPr>
        <w:ind w:firstLine="864"/>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80" w:firstLine="864"/>
        <w:spacing w:after="0"/>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203" w:lineRule="exact"/>
        <w:rPr>
          <w:sz w:val="20"/>
          <w:szCs w:val="20"/>
          <w:color w:val="auto"/>
        </w:rPr>
      </w:pPr>
    </w:p>
    <w:p>
      <w:pPr>
        <w:ind w:right="180" w:firstLine="864"/>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July 24,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Convertible preferred stock, $0.0001 par value per share;</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22,184,536 shares authorized; 20,756,536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outstanding at December 31, 2018 and 2019; aggregate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liquidation preference of $16,288 at December 31, 2018 and 2019</w:t>
            </w:r>
          </w:p>
        </w:tc>
        <w:tc>
          <w:tcPr>
            <w:tcW w:w="9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17,051</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17,051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Common stock, $0.0001 par value per share, 80,000,000 shares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authorized; 28,227,500 and 28,877,500 shares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outstanding at December 31, 2018 and 2019, respectively</w:t>
            </w:r>
          </w:p>
        </w:tc>
        <w:tc>
          <w:tcPr>
            <w:tcW w:w="9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(15,926)</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(21,087)</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(14,887)</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(19,723)</w:t>
            </w: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liabilities, convertible preferred stock and stockholders'</w:t>
            </w: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660"/>
              <w:spacing w:after="0" w:line="203" w:lineRule="exact"/>
              <w:rPr>
                <w:sz w:val="20"/>
                <w:szCs w:val="20"/>
                <w:color w:val="auto"/>
              </w:rPr>
            </w:pPr>
            <w:r>
              <w:rPr>
                <w:rFonts w:ascii="Arial" w:cs="Arial" w:eastAsia="Arial" w:hAnsi="Arial"/>
                <w:sz w:val="18"/>
                <w:szCs w:val="18"/>
                <w:color w:val="auto"/>
              </w:rPr>
              <w:t>deficit</w:t>
            </w:r>
          </w:p>
        </w:tc>
        <w:tc>
          <w:tcPr>
            <w:tcW w:w="940" w:type="dxa"/>
            <w:vAlign w:val="bottom"/>
            <w:tcBorders>
              <w:bottom w:val="single" w:sz="8" w:color="auto"/>
            </w:tcBorders>
          </w:tcPr>
          <w:p>
            <w:pPr>
              <w:jc w:val="right"/>
              <w:ind w:right="754"/>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4,933</w:t>
            </w:r>
          </w:p>
        </w:tc>
        <w:tc>
          <w:tcPr>
            <w:tcW w:w="3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3,589</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3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3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(5,009)</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(5,097)</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(0.19)</w:t>
            </w: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27,511,082</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28,285,902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basic and diluted (unaudited)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420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Weighted-average shares used in computing pro forma net loss per</w:t>
      </w:r>
    </w:p>
    <w:p>
      <w:pPr>
        <w:ind w:left="160"/>
        <w:spacing w:after="0" w:line="234" w:lineRule="auto"/>
        <w:rPr>
          <w:sz w:val="20"/>
          <w:szCs w:val="20"/>
          <w:color w:val="auto"/>
        </w:rPr>
      </w:pPr>
      <w:r>
        <w:rPr>
          <w:rFonts w:ascii="Arial" w:cs="Arial" w:eastAsia="Arial" w:hAnsi="Arial"/>
          <w:sz w:val="18"/>
          <w:szCs w:val="18"/>
          <w:color w:val="auto"/>
        </w:rPr>
        <w:t>share attributable to common stockholders, basic and diluted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14605</wp:posOffset>
            </wp:positionV>
            <wp:extent cx="9944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1" w:name="page202"/>
    <w:bookmarkEnd w:id="20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922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0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2"/>
        </w:trPr>
        <w:tc>
          <w:tcPr>
            <w:tcW w:w="3500" w:type="dxa"/>
            <w:vAlign w:val="bottom"/>
            <w:vMerge w:val="continue"/>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20,676,536</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exercise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Issuance of convertible preferred stock</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for cash</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0"/>
              <w:spacing w:after="0"/>
              <w:rPr>
                <w:sz w:val="20"/>
                <w:szCs w:val="20"/>
                <w:color w:val="auto"/>
              </w:rPr>
            </w:pPr>
            <w:r>
              <w:rPr>
                <w:rFonts w:ascii="Arial" w:cs="Arial" w:eastAsia="Arial" w:hAnsi="Arial"/>
                <w:sz w:val="18"/>
                <w:szCs w:val="18"/>
                <w:color w:val="auto"/>
              </w:rPr>
              <w:t>of $1.25 per share</w:t>
            </w:r>
          </w:p>
        </w:tc>
        <w:tc>
          <w:tcPr>
            <w:tcW w:w="1020" w:type="dxa"/>
            <w:vAlign w:val="bottom"/>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Issuance of restricted stock awards for</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advisory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0"/>
              <w:spacing w:after="0"/>
              <w:rPr>
                <w:sz w:val="20"/>
                <w:szCs w:val="20"/>
                <w:color w:val="auto"/>
              </w:rPr>
            </w:pPr>
            <w:r>
              <w:rPr>
                <w:rFonts w:ascii="Arial" w:cs="Arial" w:eastAsia="Arial" w:hAnsi="Arial"/>
                <w:sz w:val="18"/>
                <w:szCs w:val="18"/>
                <w:color w:val="auto"/>
              </w:rPr>
              <w:t>services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3" w:lineRule="exact"/>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20,756,536</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exercise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3" w:lineRule="exact"/>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20,756,536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75"/>
        </w:trPr>
        <w:tc>
          <w:tcPr>
            <w:tcW w:w="20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r>
      <w:tr>
        <w:trPr>
          <w:trHeight w:val="223"/>
        </w:trPr>
        <w:tc>
          <w:tcPr>
            <w:tcW w:w="1020" w:type="dxa"/>
            <w:vAlign w:val="bottom"/>
          </w:tcPr>
          <w:p>
            <w:pPr>
              <w:jc w:val="right"/>
              <w:spacing w:after="0"/>
              <w:rPr>
                <w:sz w:val="20"/>
                <w:szCs w:val="20"/>
                <w:color w:val="auto"/>
              </w:rPr>
            </w:pPr>
            <w:r>
              <w:rPr>
                <w:rFonts w:ascii="Arial" w:cs="Arial" w:eastAsia="Arial" w:hAnsi="Arial"/>
                <w:sz w:val="18"/>
                <w:szCs w:val="18"/>
                <w:color w:val="auto"/>
              </w:rPr>
              <w:t>25,720,000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(10,829)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(10,098)</w:t>
            </w:r>
          </w:p>
        </w:tc>
      </w:tr>
      <w:tr>
        <w:trPr>
          <w:trHeight w:val="621"/>
        </w:trPr>
        <w:tc>
          <w:tcPr>
            <w:tcW w:w="1020" w:type="dxa"/>
            <w:vAlign w:val="bottom"/>
          </w:tcPr>
          <w:p>
            <w:pPr>
              <w:jc w:val="right"/>
              <w:spacing w:after="0"/>
              <w:rPr>
                <w:sz w:val="20"/>
                <w:szCs w:val="20"/>
                <w:color w:val="auto"/>
              </w:rPr>
            </w:pPr>
            <w:r>
              <w:rPr>
                <w:rFonts w:ascii="Arial" w:cs="Arial" w:eastAsia="Arial" w:hAnsi="Arial"/>
                <w:sz w:val="18"/>
                <w:szCs w:val="18"/>
                <w:color w:val="auto"/>
              </w:rPr>
              <w:t>2,407,500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4"/>
                <w:szCs w:val="24"/>
                <w:color w:val="auto"/>
              </w:rPr>
            </w:pPr>
          </w:p>
        </w:tc>
      </w:tr>
      <w:tr>
        <w:trPr>
          <w:trHeight w:val="621"/>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620"/>
        </w:trPr>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03"/>
        </w:trPr>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(5,097)</w:t>
            </w:r>
          </w:p>
        </w:tc>
        <w:tc>
          <w:tcPr>
            <w:tcW w:w="1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(5,097)</w:t>
            </w:r>
          </w:p>
        </w:tc>
      </w:tr>
      <w:tr>
        <w:trPr>
          <w:trHeight w:val="20"/>
        </w:trPr>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20" w:type="dxa"/>
            <w:vAlign w:val="bottom"/>
          </w:tcPr>
          <w:p>
            <w:pPr>
              <w:jc w:val="right"/>
              <w:spacing w:after="0"/>
              <w:rPr>
                <w:sz w:val="20"/>
                <w:szCs w:val="20"/>
                <w:color w:val="auto"/>
              </w:rPr>
            </w:pPr>
            <w:r>
              <w:rPr>
                <w:rFonts w:ascii="Arial" w:cs="Arial" w:eastAsia="Arial" w:hAnsi="Arial"/>
                <w:sz w:val="18"/>
                <w:szCs w:val="18"/>
                <w:color w:val="auto"/>
              </w:rPr>
              <w:t>28,227,500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(15,926)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(14,887)</w:t>
            </w:r>
          </w:p>
        </w:tc>
      </w:tr>
      <w:tr>
        <w:trPr>
          <w:trHeight w:val="620"/>
        </w:trPr>
        <w:tc>
          <w:tcPr>
            <w:tcW w:w="1020" w:type="dxa"/>
            <w:vAlign w:val="bottom"/>
          </w:tcPr>
          <w:p>
            <w:pPr>
              <w:jc w:val="right"/>
              <w:spacing w:after="0"/>
              <w:rPr>
                <w:sz w:val="20"/>
                <w:szCs w:val="20"/>
                <w:color w:val="auto"/>
              </w:rPr>
            </w:pPr>
            <w:r>
              <w:rPr>
                <w:rFonts w:ascii="Arial" w:cs="Arial" w:eastAsia="Arial" w:hAnsi="Arial"/>
                <w:sz w:val="18"/>
                <w:szCs w:val="18"/>
                <w:color w:val="auto"/>
              </w:rPr>
              <w:t>650,000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4"/>
                <w:szCs w:val="24"/>
                <w:color w:val="auto"/>
              </w:rPr>
            </w:pPr>
          </w:p>
        </w:tc>
      </w:tr>
      <w:tr>
        <w:trPr>
          <w:trHeight w:val="216"/>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r>
      <w:tr>
        <w:trPr>
          <w:trHeight w:val="203"/>
        </w:trPr>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(5,161)</w:t>
            </w:r>
          </w:p>
        </w:tc>
        <w:tc>
          <w:tcPr>
            <w:tcW w:w="1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(5,161)</w:t>
            </w:r>
          </w:p>
        </w:tc>
      </w:tr>
      <w:tr>
        <w:trPr>
          <w:trHeight w:val="20"/>
        </w:trPr>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20" w:type="dxa"/>
            <w:vAlign w:val="bottom"/>
          </w:tcPr>
          <w:p>
            <w:pPr>
              <w:jc w:val="right"/>
              <w:spacing w:after="0"/>
              <w:rPr>
                <w:sz w:val="20"/>
                <w:szCs w:val="20"/>
                <w:color w:val="auto"/>
              </w:rPr>
            </w:pPr>
            <w:r>
              <w:rPr>
                <w:rFonts w:ascii="Arial" w:cs="Arial" w:eastAsia="Arial" w:hAnsi="Arial"/>
                <w:sz w:val="18"/>
                <w:szCs w:val="18"/>
                <w:color w:val="auto"/>
              </w:rPr>
              <w:t>28,877,500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(21,087)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(19,723)</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5520" w:space="320"/>
            <w:col w:w="5380"/>
          </w:cols>
          <w:pgMar w:left="320" w:top="360"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202" w:name="page203"/>
    <w:bookmarkEnd w:id="202"/>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(5,097)</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 on convertible notes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Accretion of discounts on convertible notes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Change in fair value of grant liability</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62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7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(4,483)</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(3,713)</w:t>
            </w: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available-for-sale securities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(5,250)</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available-for-sale securities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Principal payments received on related party note receivable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sales of convertible preferred stock, net of</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issuance costs</w:t>
            </w:r>
          </w:p>
        </w:tc>
        <w:tc>
          <w:tcPr>
            <w:tcW w:w="10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convertible notes, including</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derivative</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1,266</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Issuance costs of convertible notes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0"/>
        </w:trPr>
        <w:tc>
          <w:tcPr>
            <w:tcW w:w="770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(1,261)</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w:t>
            </w:r>
          </w:p>
        </w:tc>
        <w:tc>
          <w:tcPr>
            <w:tcW w:w="3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30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3" w:name="page204"/>
    <w:bookmarkEnd w:id="20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98" w:lineRule="exact"/>
        <w:rPr>
          <w:sz w:val="20"/>
          <w:szCs w:val="20"/>
          <w:color w:val="auto"/>
        </w:rPr>
      </w:pPr>
    </w:p>
    <w:p>
      <w:pPr>
        <w:ind w:left="580" w:hanging="572"/>
        <w:spacing w:after="0"/>
        <w:tabs>
          <w:tab w:leader="none" w:pos="5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product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net operating losses since its inception and had an accumulated deficit of $21.1 million as of December 31, 2019. The Company had cash and cash equivalents of $2.1 million as of December 31, 2019 and has not generated positive cash flows from operations. To date, the Company has been able to fund its operations primarily through the issuance of convertible notes and convertible preferred stock. In the second quarter of 2020, the Company received an aggregate of $ 81.8 million in net proceeds from the issuance of Series B convertible preferred stock. The Company’s currently available cash and cash equivalents as of December 31, 2019, together with the proceeds received from the Series B convertible preferred stock financing in the second quarter of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20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4" w:name="page205"/>
    <w:bookmarkEnd w:id="204"/>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41" w:lineRule="exact"/>
        <w:rPr>
          <w:sz w:val="20"/>
          <w:szCs w:val="20"/>
          <w:color w:val="auto"/>
        </w:rPr>
      </w:pPr>
    </w:p>
    <w:p>
      <w:pPr>
        <w:ind w:right="7660" w:firstLine="8"/>
        <w:spacing w:after="0" w:line="372" w:lineRule="auto"/>
        <w:tabs>
          <w:tab w:leader="none" w:pos="798"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in conformity with U.S. generally accepted accounting principles (“U.S. GAAP”).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Short-term investments consist entirely of fixed income certificates of deposit with original maturities of greater than 90 days but not more than one year. These securities are classified as available-for-sale and reported at estimated fair value with unrealized gains and losses, if any, included in accumulated other comprehensive loss in stockholders’ deficit. The cost of investments for purposes of computing realized and unrealized gains and losses is based on the specific identification method.</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If the estimated fair value of a security is below its carrying value, the Company evaluates whether it is more likely than not that it will sell the security before its anticipated recover in market value and whether evidence indicating that the cost of the investment is recoverable within a reasonable period of time outweighs the evidence to the contrary. Realized gains, realized losses and declines in the value of investments judged to be other than temporary, are included in other income (expense), net.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ind w:right="440" w:firstLine="576"/>
        <w:spacing w:after="0" w:line="246"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jc w:val="both"/>
        <w:ind w:right="280" w:firstLine="576"/>
        <w:spacing w:after="0"/>
        <w:rPr>
          <w:sz w:val="20"/>
          <w:szCs w:val="20"/>
          <w:color w:val="auto"/>
        </w:rPr>
      </w:pPr>
      <w:r>
        <w:rPr>
          <w:rFonts w:ascii="Arial" w:cs="Arial" w:eastAsia="Arial" w:hAnsi="Arial"/>
          <w:sz w:val="18"/>
          <w:szCs w:val="18"/>
          <w:color w:val="auto"/>
        </w:rPr>
        <w:t>The carrying amounts of certain financial instruments, including cash and cash equivalents, short-term investments, and accounts payable and accrued expenses approximate their fair values due to the short-term nature of those amounts. The fair values of the grant liability to Life Services Discovery Fund (“LSDF”) and the derivative liability were estimated using Level 3 unobservable inputs.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The grant liability associated with the grants from the Washington LSDF is accounted for under Accounting Standards Codification (“ASC”) 825-10,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The estimated fair value of the grant liability is reassessed at each balance sheet date, with changes in fair value reflected in</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05" w:name="page206"/>
    <w:bookmarkEnd w:id="205"/>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4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other income (expense), net. The Company estimates the fair value of the grant liability by using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26" w:lineRule="exact"/>
        <w:rPr>
          <w:sz w:val="20"/>
          <w:szCs w:val="20"/>
          <w:color w:val="auto"/>
        </w:rPr>
      </w:pPr>
    </w:p>
    <w:p>
      <w:pPr>
        <w:ind w:right="160" w:firstLine="576"/>
        <w:spacing w:after="0" w:line="236" w:lineRule="auto"/>
        <w:rPr>
          <w:sz w:val="20"/>
          <w:szCs w:val="20"/>
          <w:color w:val="auto"/>
        </w:rPr>
      </w:pPr>
      <w:r>
        <w:rPr>
          <w:rFonts w:ascii="Arial" w:cs="Arial" w:eastAsia="Arial" w:hAnsi="Arial"/>
          <w:sz w:val="18"/>
          <w:szCs w:val="18"/>
          <w:color w:val="auto"/>
        </w:rPr>
        <w:t>The Company’s convertible notes (see Note 8)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the statements of operations and comprehensive loss. The derivative liability related to these features is recorded at estimated fair value on a recurring basis. Any changes in fair value are reflected in other income (expense), net in the statements of operations and comprehensive loss at each period end while such instruments are outstanding. The derivative liability was settled in May 2020 upon conversion of the underlying convertible notes into Series B-1 convertible preferred stock. See Note 17.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8"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 xml:space="preserve">In January 2019, the Alzheimer’s Association awarded the Company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may potentially receive the remaining $224,000 in 2020 upon the completion of certain development milestones. The Company recognizes income related to the grant as qualifying expenses under the grant agreement are incurred. As of December 31, 2019, the Company had recognized $ 754,000 in grant income, which is included in other income (expense), net in the statement of operations and comprehensive loss, and had cash received in excess of qualifying expenses of approximately $22,000, which is included in accrued expenses on the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5"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6" w:name="page207"/>
    <w:bookmarkEnd w:id="20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2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0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Stock-based payments issued to non-employees are recorded at their fair values, subject to periodic adjustments as the underlying equity instruments vest. Compensation expense is recognized over the vesting term on a straight-line basis, which reflects the service period. Options granted to non-employee service providers are valued at estimated fair value using the Black-Scholes option-pricing model and are remeasured over the vesting term as earned. Awards of restricted stock to non-employees are adjusted through stock-based compensation expense at each reporting period end until the shares vest to reflect the current fair value of such awards.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w:t>
      </w:r>
    </w:p>
    <w:p>
      <w:pPr>
        <w:ind w:right="80"/>
        <w:spacing w:after="0"/>
        <w:rPr>
          <w:sz w:val="20"/>
          <w:szCs w:val="20"/>
          <w:color w:val="auto"/>
        </w:rPr>
      </w:pPr>
      <w:r>
        <w:rPr>
          <w:rFonts w:ascii="Arial" w:cs="Arial" w:eastAsia="Arial" w:hAnsi="Arial"/>
          <w:sz w:val="18"/>
          <w:szCs w:val="18"/>
          <w:color w:val="auto"/>
        </w:rPr>
        <w:t>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07" w:name="page208"/>
    <w:bookmarkEnd w:id="207"/>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right="720" w:firstLine="576"/>
        <w:spacing w:after="0" w:line="24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6" w:lineRule="exact"/>
        <w:rPr>
          <w:sz w:val="20"/>
          <w:szCs w:val="20"/>
          <w:color w:val="auto"/>
        </w:rPr>
      </w:pPr>
    </w:p>
    <w:p>
      <w:pPr>
        <w:ind w:right="400" w:firstLine="576"/>
        <w:spacing w:after="0" w:line="23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exercise of outstanding warrants for shares of common stock, and the repayment of the grant liability upon the closing of a firm-commitment underwritten public offering (“IPO”) resulting in at least $50.0 million in gross proceeds. The unaudited pro forma net loss per share attributable to common stockholders does not include the shares to be sold from the proposed IPO.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26"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As of December 31, 2018 and 2019, the Company had an unsecured note receivable outstanding from its chief executive officer of approximately $ 42,000 and $36,000, respectively. The note bears interest at 1.45% and requires monthly payments with final repayment in April 2025. The note is included in current portion of unsecured related party note receivable and unsecured related party note receivable in the accompanying balance sheets. Interest income is recognized using the effective interest method, and is included in other income (expense), net in the statements of operations and comprehensive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 make lease payments and a right-of-use asset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85" w:lineRule="exact"/>
        <w:rPr>
          <w:sz w:val="20"/>
          <w:szCs w:val="20"/>
          <w:color w:val="auto"/>
        </w:rPr>
      </w:pPr>
    </w:p>
    <w:p>
      <w:pPr>
        <w:ind w:right="80" w:firstLine="576"/>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statements.</w:t>
      </w:r>
    </w:p>
    <w:p>
      <w:pPr>
        <w:spacing w:after="0" w:line="18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188"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285" w:lineRule="exact"/>
        <w:rPr>
          <w:sz w:val="20"/>
          <w:szCs w:val="20"/>
          <w:color w:val="auto"/>
        </w:rPr>
      </w:pPr>
    </w:p>
    <w:p>
      <w:pPr>
        <w:ind w:left="580" w:hanging="572"/>
        <w:spacing w:after="0"/>
        <w:tabs>
          <w:tab w:leader="none" w:pos="5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Short-term investments consisted of available-for-sale securities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Losses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short-term investments had contractual maturities of less than one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9" w:name="page210"/>
    <w:bookmarkEnd w:id="20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41" w:lineRule="exact"/>
        <w:rPr>
          <w:sz w:val="20"/>
          <w:szCs w:val="20"/>
          <w:color w:val="auto"/>
        </w:rPr>
      </w:pPr>
    </w:p>
    <w:p>
      <w:pPr>
        <w:ind w:left="580" w:hanging="572"/>
        <w:spacing w:after="0"/>
        <w:tabs>
          <w:tab w:leader="none" w:pos="5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6" w:lineRule="exact"/>
        <w:rPr>
          <w:sz w:val="20"/>
          <w:szCs w:val="20"/>
          <w:color w:val="auto"/>
        </w:rPr>
      </w:pPr>
    </w:p>
    <w:p>
      <w:pPr>
        <w:ind w:right="100" w:firstLine="576"/>
        <w:spacing w:after="0" w:line="274"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49" w:lineRule="exact"/>
        <w:rPr>
          <w:sz w:val="20"/>
          <w:szCs w:val="20"/>
          <w:color w:val="auto"/>
        </w:rPr>
      </w:pPr>
    </w:p>
    <w:p>
      <w:pPr>
        <w:ind w:left="580" w:right="80"/>
        <w:spacing w:after="0" w:line="26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52" w:lineRule="exact"/>
        <w:rPr>
          <w:sz w:val="20"/>
          <w:szCs w:val="20"/>
          <w:color w:val="auto"/>
        </w:rPr>
      </w:pPr>
    </w:p>
    <w:p>
      <w:pPr>
        <w:ind w:left="580" w:right="360"/>
        <w:spacing w:after="0" w:line="26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52" w:lineRule="exact"/>
        <w:rPr>
          <w:sz w:val="20"/>
          <w:szCs w:val="20"/>
          <w:color w:val="auto"/>
        </w:rPr>
      </w:pPr>
    </w:p>
    <w:p>
      <w:pPr>
        <w:ind w:left="580" w:right="40"/>
        <w:spacing w:after="0" w:line="250"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95" w:lineRule="exact"/>
        <w:rPr>
          <w:sz w:val="20"/>
          <w:szCs w:val="20"/>
          <w:color w:val="auto"/>
        </w:rPr>
      </w:pPr>
    </w:p>
    <w:p>
      <w:pPr>
        <w:jc w:val="both"/>
        <w:ind w:right="100" w:firstLine="576"/>
        <w:spacing w:after="0" w:line="23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05" w:lineRule="exact"/>
        <w:rPr>
          <w:sz w:val="20"/>
          <w:szCs w:val="20"/>
          <w:color w:val="auto"/>
        </w:rPr>
      </w:pPr>
    </w:p>
    <w:p>
      <w:pPr>
        <w:jc w:val="both"/>
        <w:ind w:right="80" w:firstLine="576"/>
        <w:spacing w:after="0" w:line="246" w:lineRule="auto"/>
        <w:rPr>
          <w:sz w:val="20"/>
          <w:szCs w:val="20"/>
          <w:color w:val="auto"/>
        </w:rPr>
      </w:pPr>
      <w:r>
        <w:rPr>
          <w:rFonts w:ascii="Arial" w:cs="Arial" w:eastAsia="Arial" w:hAnsi="Arial"/>
          <w:sz w:val="18"/>
          <w:szCs w:val="18"/>
          <w:color w:val="auto"/>
        </w:rPr>
        <w:t>The fair value hierarchy of the Company’s assets and liabilities carried at fair value and measured on a recurring basis was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Short-term investments – Certificates of Deposit</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FF0FC"/>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8"/>
                <w:szCs w:val="18"/>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grant liability for the years ended December 31, 2018 and 2019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140" w:type="dxa"/>
            <w:vAlign w:val="bottom"/>
            <w:tcBorders>
              <w:bottom w:val="single" w:sz="8" w:color="CFF0FC"/>
            </w:tcBorders>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466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3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356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466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3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4140" w:type="dxa"/>
            <w:vAlign w:val="bottom"/>
          </w:tcPr>
          <w:p>
            <w:pPr>
              <w:spacing w:after="0"/>
              <w:rPr>
                <w:sz w:val="24"/>
                <w:szCs w:val="24"/>
                <w:color w:val="auto"/>
              </w:rPr>
            </w:pPr>
          </w:p>
        </w:tc>
        <w:tc>
          <w:tcPr>
            <w:tcW w:w="4660" w:type="dxa"/>
            <w:vAlign w:val="bottom"/>
            <w:gridSpan w:val="2"/>
          </w:tcPr>
          <w:p>
            <w:pPr>
              <w:jc w:val="right"/>
              <w:ind w:right="2928"/>
              <w:spacing w:after="0"/>
              <w:rPr>
                <w:sz w:val="20"/>
                <w:szCs w:val="20"/>
                <w:color w:val="auto"/>
              </w:rPr>
            </w:pPr>
            <w:r>
              <w:rPr>
                <w:rFonts w:ascii="Arial" w:cs="Arial" w:eastAsia="Arial" w:hAnsi="Arial"/>
                <w:sz w:val="18"/>
                <w:szCs w:val="18"/>
                <w:color w:val="auto"/>
              </w:rPr>
              <w:t>F-13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14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0" w:name="page211"/>
    <w:bookmarkEnd w:id="21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2019</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presents the activity for derivative liability for the years ended December 31, 2018 and 2019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FF0FC"/>
          </w:tcPr>
          <w:p>
            <w:pPr>
              <w:spacing w:after="0"/>
              <w:rPr>
                <w:sz w:val="18"/>
                <w:szCs w:val="18"/>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Derivative liability recorded upon issuance</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of convertible notes</w:t>
            </w:r>
          </w:p>
        </w:tc>
        <w:tc>
          <w:tcPr>
            <w:tcW w:w="1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539</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389</w:t>
            </w: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91" w:lineRule="exact"/>
        <w:rPr>
          <w:sz w:val="20"/>
          <w:szCs w:val="20"/>
          <w:color w:val="auto"/>
        </w:rPr>
      </w:pPr>
    </w:p>
    <w:p>
      <w:pPr>
        <w:ind w:left="580" w:hanging="572"/>
        <w:spacing w:after="0"/>
        <w:tabs>
          <w:tab w:leader="none" w:pos="5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left="580" w:hanging="572"/>
        <w:spacing w:after="0"/>
        <w:tabs>
          <w:tab w:leader="none" w:pos="5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320" w:type="dxa"/>
            <w:vAlign w:val="bottom"/>
            <w:tcBorders>
              <w:bottom w:val="single" w:sz="8" w:color="CFF0FC"/>
            </w:tcBorders>
          </w:tcPr>
          <w:p>
            <w:pPr>
              <w:spacing w:after="0"/>
              <w:rPr>
                <w:sz w:val="14"/>
                <w:szCs w:val="14"/>
                <w:color w:val="auto"/>
              </w:rPr>
            </w:pPr>
          </w:p>
        </w:tc>
        <w:tc>
          <w:tcPr>
            <w:tcW w:w="33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4440" w:type="dxa"/>
            <w:vAlign w:val="bottom"/>
            <w:gridSpan w:val="2"/>
            <w:shd w:val="clear" w:color="auto" w:fill="CFF0FC"/>
          </w:tcPr>
          <w:p>
            <w:pPr>
              <w:jc w:val="right"/>
              <w:ind w:right="88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3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32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3380" w:type="dxa"/>
            <w:vAlign w:val="bottom"/>
          </w:tcPr>
          <w:p>
            <w:pPr>
              <w:spacing w:after="0"/>
              <w:rPr>
                <w:sz w:val="18"/>
                <w:szCs w:val="18"/>
                <w:color w:val="auto"/>
              </w:rPr>
            </w:pPr>
          </w:p>
        </w:tc>
        <w:tc>
          <w:tcPr>
            <w:tcW w:w="1060" w:type="dxa"/>
            <w:vAlign w:val="bottom"/>
          </w:tcPr>
          <w:p>
            <w:pPr>
              <w:jc w:val="right"/>
              <w:ind w:right="88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1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4440" w:type="dxa"/>
            <w:vAlign w:val="bottom"/>
            <w:gridSpan w:val="2"/>
          </w:tcPr>
          <w:p>
            <w:pPr>
              <w:jc w:val="right"/>
              <w:ind w:right="2882"/>
              <w:spacing w:after="0"/>
              <w:rPr>
                <w:sz w:val="20"/>
                <w:szCs w:val="20"/>
                <w:color w:val="auto"/>
              </w:rPr>
            </w:pPr>
            <w:r>
              <w:rPr>
                <w:rFonts w:ascii="Arial" w:cs="Arial" w:eastAsia="Arial" w:hAnsi="Arial"/>
                <w:sz w:val="18"/>
                <w:szCs w:val="18"/>
                <w:color w:val="auto"/>
              </w:rPr>
              <w:t>F-14</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32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1" w:name="page212"/>
    <w:bookmarkEnd w:id="21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2019</w:t>
      </w:r>
    </w:p>
    <w:p>
      <w:pPr>
        <w:spacing w:after="0" w:line="365" w:lineRule="exact"/>
        <w:rPr>
          <w:sz w:val="20"/>
          <w:szCs w:val="20"/>
          <w:color w:val="auto"/>
        </w:rPr>
      </w:pPr>
    </w:p>
    <w:p>
      <w:pPr>
        <w:ind w:left="580" w:hanging="572"/>
        <w:spacing w:after="0"/>
        <w:tabs>
          <w:tab w:leader="none" w:pos="5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202" w:lineRule="exact"/>
        <w:rPr>
          <w:sz w:val="20"/>
          <w:szCs w:val="20"/>
          <w:color w:val="auto"/>
        </w:rPr>
      </w:pPr>
    </w:p>
    <w:p>
      <w:pPr>
        <w:ind w:right="780" w:firstLine="576"/>
        <w:spacing w:after="0" w:line="24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December 31, 2019.</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300" w:right="320" w:hanging="442"/>
        <w:spacing w:after="0" w:line="246"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96"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none of these milestones had been reached.</w:t>
      </w:r>
    </w:p>
    <w:p>
      <w:pPr>
        <w:spacing w:after="0" w:line="212" w:lineRule="exact"/>
        <w:rPr>
          <w:sz w:val="20"/>
          <w:szCs w:val="20"/>
          <w:color w:val="auto"/>
        </w:rPr>
      </w:pPr>
    </w:p>
    <w:p>
      <w:pPr>
        <w:jc w:val="both"/>
        <w:ind w:right="220" w:firstLine="576"/>
        <w:spacing w:after="0"/>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2019, the Company had not incurred a royalty obligation under this agreement.</w:t>
      </w:r>
    </w:p>
    <w:p>
      <w:pPr>
        <w:spacing w:after="0" w:line="203"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 -sales based payments received, and low twenties of net sales based sublicense royalties. As of December 31, 2019, the Company had not entered into or incurred any liability from a sublicense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jc w:val="both"/>
        <w:ind w:right="140" w:firstLine="576"/>
        <w:spacing w:after="0"/>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up to 2.0 times the amounts received, or $1.5 million, upon the occurrence of specified triggering events, including:</w:t>
      </w:r>
    </w:p>
    <w:p>
      <w:pPr>
        <w:spacing w:after="0" w:line="95" w:lineRule="exact"/>
        <w:rPr>
          <w:sz w:val="20"/>
          <w:szCs w:val="20"/>
          <w:color w:val="auto"/>
        </w:rPr>
      </w:pPr>
    </w:p>
    <w:p>
      <w:pPr>
        <w:ind w:left="1300" w:hanging="442"/>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transfers the underlying IP without receiving consideration;</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relocation of the Company from Washington state;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third-party acquisition of a controlling interest in the Company,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termination of the agreements.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2" w:name="page213"/>
    <w:bookmarkEnd w:id="212"/>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 triggering events have occurred and no payments to LSDF have been made.</w:t>
      </w:r>
    </w:p>
    <w:p>
      <w:pPr>
        <w:spacing w:after="0" w:line="19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at December 31, 2018 and 2019,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03" w:lineRule="exact"/>
        <w:rPr>
          <w:sz w:val="20"/>
          <w:szCs w:val="20"/>
          <w:color w:val="auto"/>
        </w:rPr>
      </w:pPr>
    </w:p>
    <w:p>
      <w:pPr>
        <w:ind w:right="360" w:firstLine="576"/>
        <w:spacing w:after="0" w:line="261" w:lineRule="auto"/>
        <w:rPr>
          <w:sz w:val="20"/>
          <w:szCs w:val="20"/>
          <w:color w:val="auto"/>
        </w:rPr>
      </w:pPr>
      <w:r>
        <w:rPr>
          <w:rFonts w:ascii="Arial" w:cs="Arial" w:eastAsia="Arial" w:hAnsi="Arial"/>
          <w:sz w:val="17"/>
          <w:szCs w:val="17"/>
          <w:color w:val="auto"/>
        </w:rPr>
        <w:t>The estimated fair value of the grant liability was $936,000 and $1.0 million as of December 31, 2018 and 2019, respectively. The changes in the fair value of the liability resulted in losses of $164,000 and $100,000 for the years ended December 31, 2018 and 2019, respectively, which were included in other income (expense), net in the accompanying statements of operations and comprehensive loss.</w:t>
      </w:r>
    </w:p>
    <w:p>
      <w:pPr>
        <w:spacing w:after="0" w:line="272"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26" w:lineRule="exact"/>
        <w:rPr>
          <w:sz w:val="20"/>
          <w:szCs w:val="20"/>
          <w:color w:val="auto"/>
        </w:rPr>
      </w:pPr>
    </w:p>
    <w:p>
      <w:pPr>
        <w:ind w:right="180" w:firstLine="576"/>
        <w:spacing w:after="0" w:line="236" w:lineRule="auto"/>
        <w:rPr>
          <w:sz w:val="20"/>
          <w:szCs w:val="20"/>
          <w:color w:val="auto"/>
        </w:rPr>
      </w:pPr>
      <w:r>
        <w:rPr>
          <w:rFonts w:ascii="Arial" w:cs="Arial" w:eastAsia="Arial" w:hAnsi="Arial"/>
          <w:sz w:val="18"/>
          <w:szCs w:val="18"/>
          <w:color w:val="auto"/>
        </w:rPr>
        <w:t>The Company issued unsecured convertible notes with aggregate principal amounts of $ 1.3 million and $884,000 in 2018 and 2019,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208"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203" w:lineRule="exact"/>
        <w:rPr>
          <w:sz w:val="20"/>
          <w:szCs w:val="20"/>
          <w:color w:val="auto"/>
        </w:rPr>
      </w:pPr>
    </w:p>
    <w:p>
      <w:pPr>
        <w:ind w:right="20" w:firstLine="576"/>
        <w:spacing w:after="0" w:line="246" w:lineRule="auto"/>
        <w:rPr>
          <w:sz w:val="20"/>
          <w:szCs w:val="20"/>
          <w:color w:val="auto"/>
        </w:rPr>
      </w:pPr>
      <w:r>
        <w:rPr>
          <w:rFonts w:ascii="Arial" w:cs="Arial" w:eastAsia="Arial" w:hAnsi="Arial"/>
          <w:sz w:val="18"/>
          <w:szCs w:val="18"/>
          <w:color w:val="auto"/>
        </w:rPr>
        <w:t>In May 2020, the outstanding principal balance of the convertible notes of $2.2 million and accrued interest of $131,000 converted into 2,333,117 shares of Series B-1 convertible preferred stock. See Note 17.</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carrying value of the convertible notes as of December 31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27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 principal and accrued interest</w:t>
            </w:r>
          </w:p>
        </w:tc>
        <w:tc>
          <w:tcPr>
            <w:tcW w:w="3740" w:type="dxa"/>
            <w:vAlign w:val="bottom"/>
            <w:gridSpan w:val="2"/>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Less: unamortized discount for issuance costs</w:t>
            </w:r>
          </w:p>
        </w:tc>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related to derivative liability</w:t>
            </w:r>
          </w:p>
        </w:tc>
        <w:tc>
          <w:tcPr>
            <w:tcW w:w="2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940" w:type="dxa"/>
            <w:vAlign w:val="bottom"/>
          </w:tcPr>
          <w:p>
            <w:pPr>
              <w:ind w:left="260"/>
              <w:spacing w:after="0"/>
              <w:rPr>
                <w:sz w:val="20"/>
                <w:szCs w:val="20"/>
                <w:color w:val="auto"/>
              </w:rPr>
            </w:pPr>
            <w:r>
              <w:rPr>
                <w:rFonts w:ascii="Arial" w:cs="Arial" w:eastAsia="Arial" w:hAnsi="Arial"/>
                <w:sz w:val="18"/>
                <w:szCs w:val="18"/>
                <w:color w:val="auto"/>
              </w:rPr>
              <w:t>Net carrying value, convertible notes</w:t>
            </w:r>
          </w:p>
        </w:tc>
        <w:tc>
          <w:tcPr>
            <w:tcW w:w="276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940" w:type="dxa"/>
            <w:vAlign w:val="bottom"/>
          </w:tcPr>
          <w:p>
            <w:pPr>
              <w:spacing w:after="0"/>
              <w:rPr>
                <w:sz w:val="24"/>
                <w:szCs w:val="24"/>
                <w:color w:val="auto"/>
              </w:rPr>
            </w:pPr>
          </w:p>
        </w:tc>
        <w:tc>
          <w:tcPr>
            <w:tcW w:w="3740" w:type="dxa"/>
            <w:vAlign w:val="bottom"/>
            <w:gridSpan w:val="2"/>
          </w:tcPr>
          <w:p>
            <w:pPr>
              <w:jc w:val="right"/>
              <w:ind w:right="2799"/>
              <w:spacing w:after="0"/>
              <w:rPr>
                <w:sz w:val="20"/>
                <w:szCs w:val="20"/>
                <w:color w:val="auto"/>
              </w:rPr>
            </w:pPr>
            <w:r>
              <w:rPr>
                <w:rFonts w:ascii="Arial" w:cs="Arial" w:eastAsia="Arial" w:hAnsi="Arial"/>
                <w:sz w:val="18"/>
                <w:szCs w:val="18"/>
                <w:color w:val="auto"/>
              </w:rPr>
              <w:t>F-16</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3" w:name="page214"/>
    <w:bookmarkEnd w:id="21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81" w:lineRule="exact"/>
        <w:rPr>
          <w:sz w:val="20"/>
          <w:szCs w:val="20"/>
          <w:color w:val="auto"/>
        </w:rPr>
      </w:pPr>
    </w:p>
    <w:p>
      <w:pPr>
        <w:ind w:right="7800" w:firstLine="8"/>
        <w:spacing w:after="0" w:line="372" w:lineRule="auto"/>
        <w:tabs>
          <w:tab w:leader="none" w:pos="567"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$82,000 and $97,000 for the years ended December 31, 2018 and 2019,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discussed further under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Not Yet Adopted </w:t>
      </w:r>
      <w:r>
        <w:rPr>
          <w:rFonts w:ascii="Arial" w:cs="Arial" w:eastAsia="Arial" w:hAnsi="Arial"/>
          <w:sz w:val="18"/>
          <w:szCs w:val="18"/>
          <w:color w:val="auto"/>
        </w:rPr>
        <w:t>in Note 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92" w:lineRule="exact"/>
        <w:rPr>
          <w:sz w:val="20"/>
          <w:szCs w:val="20"/>
          <w:color w:val="auto"/>
        </w:rPr>
      </w:pPr>
    </w:p>
    <w:p>
      <w:pPr>
        <w:ind w:left="580" w:hanging="572"/>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2018 and 2019 consisted of the following (in thousands,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234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Liquidation</w:t>
            </w:r>
          </w:p>
        </w:tc>
      </w:tr>
      <w:tr>
        <w:trPr>
          <w:trHeight w:val="16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Authorized</w:t>
            </w:r>
          </w:p>
        </w:tc>
        <w:tc>
          <w:tcPr>
            <w:tcW w:w="26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FF0FC"/>
            </w:tcBorders>
          </w:tcPr>
          <w:p>
            <w:pPr>
              <w:spacing w:after="0"/>
              <w:rPr>
                <w:sz w:val="14"/>
                <w:szCs w:val="14"/>
                <w:color w:val="auto"/>
              </w:rPr>
            </w:pPr>
          </w:p>
        </w:tc>
      </w:tr>
      <w:tr>
        <w:trPr>
          <w:trHeight w:val="21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13,600,000</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8,584,536</w:t>
            </w:r>
          </w:p>
        </w:tc>
        <w:tc>
          <w:tcPr>
            <w:tcW w:w="26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8,584,536</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FF0FC"/>
            </w:tcBorders>
          </w:tcPr>
          <w:p>
            <w:pPr>
              <w:spacing w:after="0"/>
              <w:rPr>
                <w:sz w:val="18"/>
                <w:szCs w:val="18"/>
                <w:color w:val="auto"/>
              </w:rPr>
            </w:pPr>
          </w:p>
        </w:tc>
      </w:tr>
      <w:tr>
        <w:trPr>
          <w:trHeight w:val="210"/>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22,184,536</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shd w:val="clear" w:color="auto" w:fill="CFF0FC"/>
          </w:tcPr>
          <w:p>
            <w:pPr>
              <w:spacing w:after="0"/>
              <w:rPr>
                <w:sz w:val="18"/>
                <w:szCs w:val="18"/>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576"/>
        <w:spacing w:after="0" w:line="246" w:lineRule="auto"/>
        <w:rPr>
          <w:sz w:val="20"/>
          <w:szCs w:val="20"/>
          <w:color w:val="auto"/>
        </w:rPr>
      </w:pPr>
      <w:r>
        <w:rPr>
          <w:rFonts w:ascii="Arial" w:cs="Arial" w:eastAsia="Arial" w:hAnsi="Arial"/>
          <w:sz w:val="18"/>
          <w:szCs w:val="18"/>
          <w:color w:val="auto"/>
        </w:rPr>
        <w:t>The rights, preferences, and privileges of the Series A and Series A-1 convertible preferred stock (collectively, Preferred Stock) are as follows: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jc w:val="both"/>
        <w:ind w:right="140" w:firstLine="576"/>
        <w:spacing w:after="0"/>
        <w:rPr>
          <w:sz w:val="20"/>
          <w:szCs w:val="20"/>
          <w:color w:val="auto"/>
        </w:rPr>
      </w:pPr>
      <w:r>
        <w:rPr>
          <w:rFonts w:ascii="Arial" w:cs="Arial" w:eastAsia="Arial" w:hAnsi="Arial"/>
          <w:sz w:val="18"/>
          <w:szCs w:val="18"/>
          <w:color w:val="auto"/>
        </w:rPr>
        <w:t>The holders of shares of Series A and Series A-1 Preferred Stock are entitled to receive non-cumulative dividends and non-dividend distributions in preference to any dividend or non-dividend distribution on the common stock, when, and if declared by the Company’s board of directors. Such dividend and non-dividend distribution preference survives until the holders of the Series A Preferred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34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Stock and Series A-1 Preferred Stock have received a per share amount equal to: (a) in the case of dividends, 1.32 times the Series A Purchase Price or Series A-1 Purchase Price, as applicable, or (b) in the case of non-dividend distributions, the Series A Purchase Price or Series A-1 Purchase Price, as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jc w:val="both"/>
        <w:ind w:right="60" w:firstLine="576"/>
        <w:spacing w:after="0" w:line="237"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and Series A-1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205"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In addition to the automatic conversion, the holders of Series A and Series A-1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26" w:lineRule="exact"/>
        <w:rPr>
          <w:sz w:val="20"/>
          <w:szCs w:val="20"/>
          <w:color w:val="auto"/>
        </w:rPr>
      </w:pPr>
    </w:p>
    <w:p>
      <w:pPr>
        <w:jc w:val="both"/>
        <w:ind w:right="80" w:firstLine="576"/>
        <w:spacing w:after="0"/>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and Series A-1 Preferred Stock) are entitled to participate pro rata in any dividends or non-dividend distributions paid on the Common Stock, when, as and if declared by the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and Series A-1 Preferred Stock equal to their purchase price, less any declared and paid dividends or non-dividend distributions. Any remaining amounts shall be distributed to the holders of the common stock, Series A Preferred Stock and Series A-1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or Series A-1 Preferred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41" w:lineRule="exact"/>
        <w:rPr>
          <w:sz w:val="20"/>
          <w:szCs w:val="20"/>
          <w:color w:val="auto"/>
        </w:rPr>
      </w:pPr>
    </w:p>
    <w:p>
      <w:pPr>
        <w:ind w:left="580" w:hanging="572"/>
        <w:spacing w:after="0"/>
        <w:tabs>
          <w:tab w:leader="none" w:pos="5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6"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67"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10,022,500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12,012,500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1,750,000</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3,170,000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26,249</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26,249</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32,555,285</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35,965,285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a price of $1.00 per share through April 8, 2021.</w:t>
      </w:r>
    </w:p>
    <w:p>
      <w:pPr>
        <w:spacing w:after="0" w:line="298" w:lineRule="exact"/>
        <w:rPr>
          <w:sz w:val="20"/>
          <w:szCs w:val="20"/>
          <w:color w:val="auto"/>
        </w:rPr>
      </w:pPr>
    </w:p>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ind w:right="260" w:firstLine="576"/>
        <w:spacing w:after="0" w:line="238" w:lineRule="auto"/>
        <w:rPr>
          <w:sz w:val="20"/>
          <w:szCs w:val="20"/>
          <w:color w:val="auto"/>
        </w:rPr>
      </w:pPr>
      <w:r>
        <w:rPr>
          <w:rFonts w:ascii="Arial" w:cs="Arial" w:eastAsia="Arial" w:hAnsi="Arial"/>
          <w:sz w:val="18"/>
          <w:szCs w:val="18"/>
          <w:color w:val="auto"/>
        </w:rPr>
        <w:t>The Company maintains the 2014 Equity Incentive Plan (“2014 Plan”), as amended in August 2016, which allows for the grant of incentive stock options, non-statutory stock options, stock appreciation rights, restricted stock awards, and restricted stock unit awards to employees, officers, non-employee directors, consultants and advisors. As of December 31, 2019, the Company has reserved 24,395,000 shares of common stock for issuance under the 2014 Plan.</w:t>
      </w:r>
    </w:p>
    <w:p>
      <w:pPr>
        <w:spacing w:after="0" w:line="205"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Company grants stock options with exercise prices equal to the estimated fair value of common stock on the date of the grant as determined by the board of directors based on the most recent third-party valuation of the common stock. Terms of stock award agreements, including vesting requirements, are determined by the board of directors, subject to the provisions of the plan, and typically have a contractual term of ten years from the date of grant. In the case of options granted to holders of more than 10% of the voting power of the Company, the exercise price may not be less than 110% of the fair market value of the common stock on the date the option is granted, and the term of the option may not exceed five years. Stock options granted have multiple vesting schedules ranging from immediate 100% vesting to cliff vesting ratably over four years.</w:t>
      </w:r>
    </w:p>
    <w:p>
      <w:pPr>
        <w:spacing w:after="0" w:line="203" w:lineRule="exact"/>
        <w:rPr>
          <w:sz w:val="20"/>
          <w:szCs w:val="20"/>
          <w:color w:val="auto"/>
        </w:rPr>
      </w:pPr>
    </w:p>
    <w:p>
      <w:pPr>
        <w:ind w:right="360" w:firstLine="576"/>
        <w:spacing w:after="0" w:line="246" w:lineRule="auto"/>
        <w:rPr>
          <w:sz w:val="20"/>
          <w:szCs w:val="20"/>
          <w:color w:val="auto"/>
        </w:rPr>
      </w:pPr>
      <w:r>
        <w:rPr>
          <w:rFonts w:ascii="Arial" w:cs="Arial" w:eastAsia="Arial" w:hAnsi="Arial"/>
          <w:sz w:val="18"/>
          <w:szCs w:val="18"/>
          <w:color w:val="auto"/>
        </w:rPr>
        <w:t>Restricted stock awards are awards of a specific number of shares of the Company’s common stock, and are subject to continued service and vesting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6"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500" w:type="dxa"/>
            <w:vAlign w:val="bottom"/>
            <w:tcBorders>
              <w:bottom w:val="single" w:sz="8" w:color="CFF0FC"/>
            </w:tcBorders>
          </w:tcPr>
          <w:p>
            <w:pPr>
              <w:spacing w:after="0"/>
              <w:rPr>
                <w:sz w:val="14"/>
                <w:szCs w:val="14"/>
                <w:color w:val="auto"/>
              </w:rPr>
            </w:pPr>
          </w:p>
        </w:tc>
        <w:tc>
          <w:tcPr>
            <w:tcW w:w="3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30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2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430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4500" w:type="dxa"/>
            <w:vAlign w:val="bottom"/>
          </w:tcPr>
          <w:p>
            <w:pPr>
              <w:spacing w:after="0"/>
              <w:rPr>
                <w:sz w:val="24"/>
                <w:szCs w:val="24"/>
                <w:color w:val="auto"/>
              </w:rPr>
            </w:pPr>
          </w:p>
        </w:tc>
        <w:tc>
          <w:tcPr>
            <w:tcW w:w="4300" w:type="dxa"/>
            <w:vAlign w:val="bottom"/>
            <w:gridSpan w:val="2"/>
          </w:tcPr>
          <w:p>
            <w:pPr>
              <w:jc w:val="right"/>
              <w:ind w:right="2928"/>
              <w:spacing w:after="0"/>
              <w:rPr>
                <w:sz w:val="20"/>
                <w:szCs w:val="20"/>
                <w:color w:val="auto"/>
              </w:rPr>
            </w:pPr>
            <w:r>
              <w:rPr>
                <w:rFonts w:ascii="Arial" w:cs="Arial" w:eastAsia="Arial" w:hAnsi="Arial"/>
                <w:sz w:val="18"/>
                <w:szCs w:val="18"/>
                <w:color w:val="auto"/>
              </w:rPr>
              <w:t>F-19</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6" w:name="page217"/>
    <w:bookmarkEnd w:id="21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26" w:lineRule="exact"/>
        <w:rPr>
          <w:sz w:val="20"/>
          <w:szCs w:val="20"/>
          <w:color w:val="auto"/>
        </w:rPr>
      </w:pPr>
    </w:p>
    <w:p>
      <w:pPr>
        <w:ind w:right="380" w:firstLine="576"/>
        <w:spacing w:after="0" w:line="24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1" w:lineRule="exact"/>
        <w:rPr>
          <w:sz w:val="20"/>
          <w:szCs w:val="20"/>
          <w:color w:val="auto"/>
        </w:rPr>
      </w:pPr>
    </w:p>
    <w:p>
      <w:pPr>
        <w:ind w:left="1300" w:right="40" w:hanging="442"/>
        <w:spacing w:after="0" w:line="238" w:lineRule="auto"/>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contemporaneous valuations performed by an independent third-party, important developments in the Company’s 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for the Company’s security holders, the trends, development and conditions in the life sciences and biotechnology sectors, the economy in general, the stock price performance and volatility of comparable public companies.</w:t>
      </w:r>
    </w:p>
    <w:p>
      <w:pPr>
        <w:spacing w:after="0" w:line="188" w:lineRule="exact"/>
        <w:rPr>
          <w:rFonts w:ascii="Arial" w:cs="Arial" w:eastAsia="Arial" w:hAnsi="Arial"/>
          <w:sz w:val="18"/>
          <w:szCs w:val="18"/>
          <w:color w:val="auto"/>
        </w:rPr>
      </w:pPr>
    </w:p>
    <w:p>
      <w:pPr>
        <w:ind w:left="1300" w:right="100" w:hanging="442"/>
        <w:spacing w:after="0" w:line="267" w:lineRule="auto"/>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160" w:lineRule="exact"/>
        <w:rPr>
          <w:rFonts w:ascii="Arial" w:cs="Arial" w:eastAsia="Arial" w:hAnsi="Arial"/>
          <w:sz w:val="18"/>
          <w:szCs w:val="18"/>
          <w:color w:val="auto"/>
        </w:rPr>
      </w:pPr>
    </w:p>
    <w:p>
      <w:pPr>
        <w:ind w:left="1300" w:right="300" w:hanging="442"/>
        <w:spacing w:after="0" w:line="242" w:lineRule="auto"/>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184" w:lineRule="exact"/>
        <w:rPr>
          <w:rFonts w:ascii="Arial" w:cs="Arial" w:eastAsia="Arial" w:hAnsi="Arial"/>
          <w:sz w:val="18"/>
          <w:szCs w:val="18"/>
          <w:color w:val="auto"/>
        </w:rPr>
      </w:pPr>
    </w:p>
    <w:p>
      <w:pPr>
        <w:ind w:left="1300" w:right="140" w:hanging="442"/>
        <w:spacing w:after="0" w:line="250" w:lineRule="auto"/>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using the simplified method (based on the mid-point between the vesting date and the end of the contractual term) as the Company has limited history of relevant stock option exercise activity.</w:t>
      </w:r>
    </w:p>
    <w:p>
      <w:pPr>
        <w:spacing w:after="0" w:line="176" w:lineRule="exact"/>
        <w:rPr>
          <w:rFonts w:ascii="Arial" w:cs="Arial" w:eastAsia="Arial" w:hAnsi="Arial"/>
          <w:sz w:val="18"/>
          <w:szCs w:val="18"/>
          <w:color w:val="auto"/>
        </w:rPr>
      </w:pPr>
    </w:p>
    <w:p>
      <w:pPr>
        <w:ind w:left="1300" w:right="200" w:hanging="442"/>
        <w:spacing w:after="0" w:line="267" w:lineRule="auto"/>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it used an expected dividend yield of zero.</w:t>
      </w:r>
    </w:p>
    <w:p>
      <w:pPr>
        <w:spacing w:after="0" w:line="286" w:lineRule="exact"/>
        <w:rPr>
          <w:sz w:val="20"/>
          <w:szCs w:val="20"/>
          <w:color w:val="auto"/>
        </w:rPr>
      </w:pPr>
    </w:p>
    <w:p>
      <w:pPr>
        <w:ind w:right="180" w:firstLine="576"/>
        <w:spacing w:after="0" w:line="210"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57"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10"/>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8"/>
                <w:szCs w:val="18"/>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weighted-average grant-date fair value of options granted to employees and directors during the years ended December 31, 2018 and 2019 were $0.10 and $ 0.11, respectively. The re-measured weighted-average fair value of options granted to advisors during the years ended December 31, 2018 and 2019 were $0.14 and $0.13,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7" w:name="page218"/>
    <w:bookmarkEnd w:id="217"/>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r>
      <w:tr>
        <w:trPr>
          <w:trHeight w:val="162"/>
        </w:trPr>
        <w:tc>
          <w:tcPr>
            <w:tcW w:w="51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Available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w:t>
            </w:r>
          </w:p>
        </w:tc>
      </w:tr>
      <w:tr>
        <w:trPr>
          <w:trHeight w:val="175"/>
        </w:trPr>
        <w:tc>
          <w:tcPr>
            <w:tcW w:w="51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for Grant</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Per Share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5"/>
                <w:szCs w:val="15"/>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10,022,500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4,060,000</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(2,790,000)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9"/>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3,170,000</w:t>
            </w:r>
          </w:p>
        </w:tc>
        <w:tc>
          <w:tcPr>
            <w:tcW w:w="22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12,012,500</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21"/>
                <w:szCs w:val="21"/>
                <w:color w:val="auto"/>
              </w:rPr>
            </w:pPr>
          </w:p>
        </w:tc>
      </w:tr>
      <w:tr>
        <w:trPr>
          <w:trHeight w:val="197"/>
        </w:trPr>
        <w:tc>
          <w:tcPr>
            <w:tcW w:w="5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4,703,334</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0.17</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80" w:type="dxa"/>
            <w:vAlign w:val="bottom"/>
          </w:tcPr>
          <w:p>
            <w:pPr>
              <w:spacing w:after="0" w:line="196" w:lineRule="exact"/>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7,309,166</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0.10</w:t>
            </w: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6.11</w:t>
            </w:r>
          </w:p>
        </w:tc>
        <w:tc>
          <w:tcPr>
            <w:tcW w:w="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477</w:t>
            </w:r>
          </w:p>
        </w:tc>
        <w:tc>
          <w:tcPr>
            <w:tcW w:w="10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year ended December 31, 2018 was $160,000, which included $115,000 for options granted to employees and directors and $45,000 for options granted to advisors. The total fair value of options that vested during the year ended December 31, 2019 was $183,000, which included $104,000 for options granted to employees and directors and $79,000 for options granted to advisors.</w:t>
      </w:r>
    </w:p>
    <w:p>
      <w:pPr>
        <w:spacing w:after="0" w:line="205"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December 31, 2019. The aggregate intrinsic value of options exercised was $297,000 during 2018 and $38,500 during 2019, determined as of the date of option exercise. As of December 31, 2019, there was $374,000 of total unrecognized compensation cost related to unvested stock options. The Company expects to recognize this cost over a remaining weighted-average period of 1.41 years. The Company utilizes newly issued shares to satisfy option exercises.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December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Employees and Directors</w:t>
            </w:r>
          </w:p>
        </w:tc>
        <w:tc>
          <w:tcPr>
            <w:tcW w:w="24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Non-employees</w:t>
            </w:r>
          </w:p>
        </w:tc>
        <w:tc>
          <w:tcPr>
            <w:tcW w:w="100" w:type="dxa"/>
            <w:vAlign w:val="bottom"/>
          </w:tcPr>
          <w:p>
            <w:pPr>
              <w:spacing w:after="0"/>
              <w:rPr>
                <w:sz w:val="15"/>
                <w:szCs w:val="15"/>
                <w:color w:val="auto"/>
              </w:rPr>
            </w:pPr>
          </w:p>
        </w:tc>
      </w:tr>
      <w:tr>
        <w:trPr>
          <w:trHeight w:val="156"/>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w:t>
            </w: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w:t>
            </w: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w:t>
            </w:r>
          </w:p>
        </w:tc>
        <w:tc>
          <w:tcPr>
            <w:tcW w:w="12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rPr>
              <w:t>Share</w:t>
            </w:r>
          </w:p>
        </w:tc>
      </w:tr>
      <w:tr>
        <w:trPr>
          <w:trHeight w:val="162"/>
        </w:trPr>
        <w:tc>
          <w:tcPr>
            <w:tcW w:w="1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r>
      <w:tr>
        <w:trPr>
          <w:trHeight w:val="169"/>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16"/>
        </w:trPr>
        <w:tc>
          <w:tcPr>
            <w:tcW w:w="1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0.02</w:t>
            </w:r>
          </w:p>
        </w:tc>
        <w:tc>
          <w:tcPr>
            <w:tcW w:w="46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0.06</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2,287,500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2,287,500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0.125</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0.13</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1,912,500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1,539,583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0.15</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375,833</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0.165</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0.17</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3,285,000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481,250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0.187</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9,362,500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5,477,916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2,650,000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1,831,250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26" w:lineRule="exact"/>
        <w:rPr>
          <w:sz w:val="20"/>
          <w:szCs w:val="20"/>
          <w:color w:val="auto"/>
        </w:rPr>
      </w:pPr>
    </w:p>
    <w:p>
      <w:pPr>
        <w:jc w:val="both"/>
        <w:ind w:right="140" w:firstLine="576"/>
        <w:spacing w:after="0"/>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8" w:name="page219"/>
    <w:bookmarkEnd w:id="21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2019</w:t>
      </w:r>
    </w:p>
    <w:p>
      <w:pPr>
        <w:spacing w:after="0" w:line="34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unvested shares for no consideration. As of December 31, 2019, there were 66,667 shares subject to repurchase, all of which were related to non-employee RSAs and have been excluded from the weighted-average number of shares outstanding for the purposes of calculating earnings per share.</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4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(33,333)</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66,667</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As of December 31, 2019, there was approximately $6,000 of total unrecognized compensation cost related to non-vested restricted stock awards that will be recognized as expense over a weighted-average period of 1.23 years.</w:t>
      </w:r>
    </w:p>
    <w:p>
      <w:pPr>
        <w:spacing w:after="0" w:line="283" w:lineRule="exact"/>
        <w:rPr>
          <w:sz w:val="20"/>
          <w:szCs w:val="20"/>
          <w:color w:val="auto"/>
        </w:rPr>
      </w:pPr>
    </w:p>
    <w:p>
      <w:pPr>
        <w:ind w:left="580" w:hanging="572"/>
        <w:spacing w:after="0"/>
        <w:tabs>
          <w:tab w:leader="none" w:pos="5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26" w:lineRule="exact"/>
        <w:rPr>
          <w:sz w:val="20"/>
          <w:szCs w:val="20"/>
          <w:color w:val="auto"/>
        </w:rPr>
      </w:pPr>
    </w:p>
    <w:p>
      <w:pPr>
        <w:ind w:right="500" w:firstLine="576"/>
        <w:spacing w:after="0" w:line="246" w:lineRule="auto"/>
        <w:rPr>
          <w:sz w:val="20"/>
          <w:szCs w:val="20"/>
          <w:color w:val="auto"/>
        </w:rPr>
      </w:pPr>
      <w:r>
        <w:rPr>
          <w:rFonts w:ascii="Arial" w:cs="Arial" w:eastAsia="Arial" w:hAnsi="Arial"/>
          <w:sz w:val="18"/>
          <w:szCs w:val="18"/>
          <w:color w:val="auto"/>
        </w:rPr>
        <w:t>All components of net loss before the effects of the income tax provision are related to losses incurred in the United States. The Company did not record a provision (benefit) for income taxes for the years ended December 31, 2018 and 2019.</w:t>
      </w:r>
    </w:p>
    <w:p>
      <w:pPr>
        <w:spacing w:after="0" w:line="197"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252"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expenses and others</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15"/>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Non-deductible expense related to the convertible notes and</w:t>
            </w: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864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derivative liability</w:t>
            </w:r>
          </w:p>
        </w:tc>
        <w:tc>
          <w:tcPr>
            <w:tcW w:w="880" w:type="dxa"/>
            <w:vAlign w:val="bottom"/>
            <w:gridSpan w:val="2"/>
            <w:shd w:val="clear" w:color="auto" w:fill="CFF0FC"/>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 related to the grant liability</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8640" w:type="dxa"/>
            <w:vAlign w:val="bottom"/>
            <w:gridSpan w:val="2"/>
          </w:tcPr>
          <w:p>
            <w:pPr>
              <w:ind w:left="5440"/>
              <w:spacing w:after="0"/>
              <w:rPr>
                <w:sz w:val="20"/>
                <w:szCs w:val="20"/>
                <w:color w:val="auto"/>
              </w:rPr>
            </w:pPr>
            <w:r>
              <w:rPr>
                <w:rFonts w:ascii="Arial" w:cs="Arial" w:eastAsia="Arial" w:hAnsi="Arial"/>
                <w:sz w:val="18"/>
                <w:szCs w:val="18"/>
                <w:color w:val="auto"/>
              </w:rPr>
              <w:t>F-22</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7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9" w:name="page220"/>
    <w:bookmarkEnd w:id="21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Components of Deferred Taxes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the Company’s deferred tax assets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18"/>
                <w:szCs w:val="18"/>
                <w:color w:val="auto"/>
              </w:rPr>
            </w:pPr>
          </w:p>
        </w:tc>
        <w:tc>
          <w:tcPr>
            <w:tcW w:w="11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 carryforwards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 and other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(4,790)</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2019, the Company has recorded a full valuation allowance on its net deferred tax assets as the Company has concluded that it is not more likely than not that such losses or credits will be utilized. The valuation allowance increased by $1.2 million and $1.1 million during 2018 and 2019, respectively.</w:t>
      </w:r>
    </w:p>
    <w:p>
      <w:pPr>
        <w:spacing w:after="0" w:line="203" w:lineRule="exact"/>
        <w:rPr>
          <w:sz w:val="20"/>
          <w:szCs w:val="20"/>
          <w:color w:val="auto"/>
        </w:rPr>
      </w:pPr>
    </w:p>
    <w:p>
      <w:pPr>
        <w:ind w:right="240" w:firstLine="576"/>
        <w:spacing w:after="0"/>
        <w:rPr>
          <w:sz w:val="20"/>
          <w:szCs w:val="20"/>
          <w:color w:val="auto"/>
        </w:rPr>
      </w:pPr>
      <w:r>
        <w:rPr>
          <w:rFonts w:ascii="Arial" w:cs="Arial" w:eastAsia="Arial" w:hAnsi="Arial"/>
          <w:sz w:val="18"/>
          <w:szCs w:val="18"/>
          <w:color w:val="auto"/>
        </w:rPr>
        <w:t>At December 31, 2019, the Company has federal net operating loss and tax credit carryforwards of $9.4 million and $1.0 million, respectively, which expire over a period of 11 to 20 years. Net operating loss carryforwards of $9.2 million were generated after 2017, and therefore do not expire.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26" w:lineRule="exact"/>
        <w:rPr>
          <w:sz w:val="20"/>
          <w:szCs w:val="20"/>
          <w:color w:val="auto"/>
        </w:rPr>
      </w:pPr>
    </w:p>
    <w:p>
      <w:pPr>
        <w:jc w:val="both"/>
        <w:ind w:right="80" w:firstLine="576"/>
        <w:spacing w:after="0" w:line="238" w:lineRule="auto"/>
        <w:rPr>
          <w:sz w:val="20"/>
          <w:szCs w:val="20"/>
          <w:color w:val="auto"/>
        </w:rPr>
      </w:pPr>
      <w:r>
        <w:rPr>
          <w:rFonts w:ascii="Arial" w:cs="Arial" w:eastAsia="Arial" w:hAnsi="Arial"/>
          <w:sz w:val="18"/>
          <w:szCs w:val="18"/>
          <w:color w:val="auto"/>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beginning and ending amount of unrecognized tax benefits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for tax positions taken in the current year</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5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If the unrecognized tax benefits for uncertain tax positions as of December 31, 2019 are recognized, there will be no impact to the effective tax rate due to the valuation allowance. The Company recognizes interest and penalties related to unrecognized tax benefits within the income tax expense line in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7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accompanying financial statements. At December 31, 2019, there were no material interest and penalties on uncertain tax benefits. The Company does not anticipate any significant changes to its unrecognized tax benefits in the next 12 months.</w:t>
      </w:r>
    </w:p>
    <w:p>
      <w:pPr>
        <w:spacing w:after="0" w:line="283" w:lineRule="exact"/>
        <w:rPr>
          <w:sz w:val="20"/>
          <w:szCs w:val="20"/>
          <w:color w:val="auto"/>
        </w:rPr>
      </w:pPr>
    </w:p>
    <w:p>
      <w:pPr>
        <w:ind w:left="580" w:hanging="572"/>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6" w:lineRule="exact"/>
        <w:rPr>
          <w:sz w:val="20"/>
          <w:szCs w:val="20"/>
          <w:color w:val="auto"/>
        </w:rPr>
      </w:pPr>
    </w:p>
    <w:p>
      <w:pPr>
        <w:jc w:val="both"/>
        <w:ind w:right="560" w:firstLine="576"/>
        <w:spacing w:after="0"/>
        <w:rPr>
          <w:sz w:val="20"/>
          <w:szCs w:val="20"/>
          <w:color w:val="auto"/>
        </w:rPr>
      </w:pPr>
      <w:r>
        <w:rPr>
          <w:rFonts w:ascii="Arial" w:cs="Arial" w:eastAsia="Arial" w:hAnsi="Arial"/>
          <w:sz w:val="18"/>
          <w:szCs w:val="18"/>
          <w:color w:val="auto"/>
        </w:rPr>
        <w:t>The Company has a 401(k) Plan for all of its employees. The 401(k) Plan allows eligible employees to defer, at the employee’s discretion, up to 100% of their pretax compensation up to the Internal Revenue Service annual limit. The Company did not make any matching contributions for the years ended December 31, 2018 or 2019.</w:t>
      </w:r>
    </w:p>
    <w:p>
      <w:pPr>
        <w:spacing w:after="0" w:line="289" w:lineRule="exact"/>
        <w:rPr>
          <w:sz w:val="20"/>
          <w:szCs w:val="20"/>
          <w:color w:val="auto"/>
        </w:rPr>
      </w:pPr>
    </w:p>
    <w:p>
      <w:pPr>
        <w:ind w:left="580" w:hanging="572"/>
        <w:spacing w:after="0"/>
        <w:tabs>
          <w:tab w:leader="none" w:pos="5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6"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520" w:type="dxa"/>
            <w:vAlign w:val="bottom"/>
            <w:gridSpan w:val="4"/>
          </w:tcPr>
          <w:p>
            <w:pPr>
              <w:ind w:left="8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66,667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10,022,500</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12,012,500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26,249</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26,249</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30,905,285</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32,861,952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ind w:left="580" w:hanging="572"/>
        <w:spacing w:after="0"/>
        <w:tabs>
          <w:tab w:leader="none" w:pos="5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39" w:lineRule="exact"/>
        <w:rPr>
          <w:sz w:val="20"/>
          <w:szCs w:val="20"/>
          <w:color w:val="auto"/>
        </w:rPr>
      </w:pPr>
    </w:p>
    <w:p>
      <w:pPr>
        <w:ind w:right="580" w:firstLine="576"/>
        <w:spacing w:after="0"/>
        <w:rPr>
          <w:sz w:val="20"/>
          <w:szCs w:val="20"/>
          <w:color w:val="auto"/>
        </w:rPr>
      </w:pPr>
      <w:r>
        <w:rPr>
          <w:rFonts w:ascii="Arial" w:cs="Arial" w:eastAsia="Arial" w:hAnsi="Arial"/>
          <w:sz w:val="18"/>
          <w:szCs w:val="18"/>
          <w:color w:val="auto"/>
        </w:rPr>
        <w:t>Pro forma basic and diluted net loss per share has been computed to give effect to the assumed conversion of all outstanding convertible preferred stock into shares of common stock, the exercise of the outstanding warrants for shares of common stock and the repayment of the grant liability upon completion of a qualifying IPO of the Company’s common stock.</w:t>
      </w:r>
    </w:p>
    <w:p>
      <w:pPr>
        <w:spacing w:after="0" w:line="203" w:lineRule="exact"/>
        <w:rPr>
          <w:sz w:val="20"/>
          <w:szCs w:val="20"/>
          <w:color w:val="auto"/>
        </w:rPr>
      </w:pPr>
    </w:p>
    <w:p>
      <w:pPr>
        <w:ind w:right="120" w:firstLine="576"/>
        <w:spacing w:after="0" w:line="246"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attributable to common stockholders (in thousands, except share and per share data):</w:t>
      </w:r>
    </w:p>
    <w:p>
      <w:pPr>
        <w:spacing w:after="0" w:line="198"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December 31,</w:t>
      </w:r>
    </w:p>
    <w:p>
      <w:pPr>
        <w:spacing w:after="0" w:line="11"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0</wp:posOffset>
            </wp:positionV>
            <wp:extent cx="12001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jc w:val="center"/>
        <w:ind w:left="91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9" w:lineRule="exact"/>
        <w:rPr>
          <w:sz w:val="20"/>
          <w:szCs w:val="20"/>
          <w:color w:val="auto"/>
        </w:rPr>
      </w:pPr>
    </w:p>
    <w:p>
      <w:pPr>
        <w:spacing w:after="0"/>
        <w:tabs>
          <w:tab w:leader="none" w:pos="9220" w:val="left"/>
          <w:tab w:leader="none" w:pos="1058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on remeasurement of grant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-1905</wp:posOffset>
            </wp:positionV>
            <wp:extent cx="12001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 w:lineRule="exact"/>
        <w:rPr>
          <w:sz w:val="20"/>
          <w:szCs w:val="20"/>
          <w:color w:val="auto"/>
        </w:rPr>
      </w:pPr>
    </w:p>
    <w:p>
      <w:pPr>
        <w:ind w:left="160" w:right="4900" w:hanging="149"/>
        <w:spacing w:after="0" w:line="246" w:lineRule="auto"/>
        <w:rPr>
          <w:sz w:val="20"/>
          <w:szCs w:val="20"/>
          <w:color w:val="auto"/>
        </w:rPr>
      </w:pPr>
      <w:r>
        <w:rPr>
          <w:rFonts w:ascii="Arial" w:cs="Arial" w:eastAsia="Arial" w:hAnsi="Arial"/>
          <w:sz w:val="18"/>
          <w:szCs w:val="18"/>
          <w:color w:val="auto"/>
        </w:rPr>
        <w:t>Net loss used in computing pro forma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2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Denominator:</w:t>
      </w:r>
    </w:p>
    <w:p>
      <w:pPr>
        <w:spacing w:after="0" w:line="31" w:lineRule="exact"/>
        <w:rPr>
          <w:sz w:val="20"/>
          <w:szCs w:val="20"/>
          <w:color w:val="auto"/>
        </w:rPr>
      </w:pPr>
    </w:p>
    <w:p>
      <w:pPr>
        <w:ind w:left="160" w:right="4780" w:hanging="149"/>
        <w:spacing w:after="0" w:line="242" w:lineRule="auto"/>
        <w:rPr>
          <w:sz w:val="20"/>
          <w:szCs w:val="20"/>
          <w:color w:val="auto"/>
        </w:rPr>
      </w:pPr>
      <w:r>
        <w:rPr>
          <w:rFonts w:ascii="Arial" w:cs="Arial" w:eastAsia="Arial" w:hAnsi="Arial"/>
          <w:sz w:val="18"/>
          <w:szCs w:val="18"/>
          <w:color w:val="auto"/>
        </w:rPr>
        <w:t>Weighted-average shares of common stock used in computing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5480"/>
        <w:spacing w:after="0" w:line="258" w:lineRule="auto"/>
        <w:rPr>
          <w:sz w:val="20"/>
          <w:szCs w:val="20"/>
          <w:color w:val="auto"/>
        </w:rPr>
      </w:pPr>
      <w:r>
        <w:rPr>
          <w:rFonts w:ascii="Arial" w:cs="Arial" w:eastAsia="Arial" w:hAnsi="Arial"/>
          <w:sz w:val="18"/>
          <w:szCs w:val="18"/>
          <w:color w:val="auto"/>
        </w:rPr>
        <w:t>Pro forma adjustment to reflect conversion of convertible preferred stock Pro forma adjustment to reflect exercise of 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283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ind w:left="160" w:right="4760" w:hanging="149"/>
        <w:spacing w:after="0" w:line="246" w:lineRule="auto"/>
        <w:rPr>
          <w:sz w:val="20"/>
          <w:szCs w:val="20"/>
          <w:color w:val="auto"/>
        </w:rPr>
      </w:pPr>
      <w:r>
        <w:rPr>
          <w:rFonts w:ascii="Arial" w:cs="Arial" w:eastAsia="Arial" w:hAnsi="Arial"/>
          <w:sz w:val="18"/>
          <w:szCs w:val="18"/>
          <w:color w:val="auto"/>
        </w:rPr>
        <w:t>Weighted-average shares of common stock used in computing pro forma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5715</wp:posOffset>
            </wp:positionV>
            <wp:extent cx="12001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5" w:lineRule="exact"/>
        <w:rPr>
          <w:sz w:val="20"/>
          <w:szCs w:val="20"/>
          <w:color w:val="auto"/>
        </w:rPr>
      </w:pPr>
    </w:p>
    <w:p>
      <w:pPr>
        <w:spacing w:after="0"/>
        <w:tabs>
          <w:tab w:leader="none" w:pos="9220" w:val="left"/>
          <w:tab w:leader="none" w:pos="10920" w:val="left"/>
        </w:tabs>
        <w:rPr>
          <w:sz w:val="20"/>
          <w:szCs w:val="20"/>
          <w:color w:val="auto"/>
        </w:rPr>
      </w:pPr>
      <w:r>
        <w:rPr>
          <w:rFonts w:ascii="Arial" w:cs="Arial" w:eastAsia="Arial" w:hAnsi="Arial"/>
          <w:sz w:val="18"/>
          <w:szCs w:val="18"/>
          <w:color w:val="auto"/>
        </w:rPr>
        <w:t>Pro forma net loss per share attributable to common stockholders, basic and diluted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-1905</wp:posOffset>
            </wp:positionV>
            <wp:extent cx="12001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0015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65" w:lineRule="exact"/>
        <w:rPr>
          <w:sz w:val="20"/>
          <w:szCs w:val="20"/>
          <w:color w:val="auto"/>
        </w:rPr>
      </w:pPr>
    </w:p>
    <w:p>
      <w:pPr>
        <w:ind w:left="580" w:hanging="572"/>
        <w:spacing w:after="0"/>
        <w:tabs>
          <w:tab w:leader="none" w:pos="5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right="240" w:firstLine="576"/>
        <w:spacing w:after="0" w:line="246" w:lineRule="auto"/>
        <w:rPr>
          <w:sz w:val="20"/>
          <w:szCs w:val="20"/>
          <w:color w:val="auto"/>
        </w:rPr>
      </w:pPr>
      <w:r>
        <w:rPr>
          <w:rFonts w:ascii="Arial" w:cs="Arial" w:eastAsia="Arial" w:hAnsi="Arial"/>
          <w:sz w:val="18"/>
          <w:szCs w:val="18"/>
          <w:color w:val="auto"/>
        </w:rPr>
        <w:t>For the year ended December 31, 2019, management evaluated subsequent events through July 24, 2020, the date these financial statements were available to be issued.</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Subsequent to December 31, 2019, the Company granted 355,000 stock options with an exercise price of $0.17 per share.</w:t>
      </w:r>
    </w:p>
    <w:p>
      <w:pPr>
        <w:spacing w:after="0" w:line="212" w:lineRule="exact"/>
        <w:rPr>
          <w:sz w:val="20"/>
          <w:szCs w:val="20"/>
          <w:color w:val="auto"/>
        </w:rPr>
      </w:pPr>
    </w:p>
    <w:p>
      <w:pPr>
        <w:ind w:right="160" w:firstLine="576"/>
        <w:spacing w:after="0" w:line="246" w:lineRule="auto"/>
        <w:rPr>
          <w:sz w:val="20"/>
          <w:szCs w:val="20"/>
          <w:color w:val="auto"/>
        </w:rPr>
      </w:pPr>
      <w:r>
        <w:rPr>
          <w:rFonts w:ascii="Arial" w:cs="Arial" w:eastAsia="Arial" w:hAnsi="Arial"/>
          <w:sz w:val="18"/>
          <w:szCs w:val="18"/>
          <w:color w:val="auto"/>
        </w:rPr>
        <w:t>The Company issued $1.7 million of additional convertible notes during January 2020, including $250,000 of convertible notes to the Company’s chief operating officer and affiliates, which the Company has determined to be related parties.</w:t>
      </w:r>
    </w:p>
    <w:p>
      <w:pPr>
        <w:spacing w:after="0" w:line="197"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05" w:lineRule="exact"/>
        <w:rPr>
          <w:sz w:val="20"/>
          <w:szCs w:val="20"/>
          <w:color w:val="auto"/>
        </w:rPr>
      </w:pPr>
    </w:p>
    <w:p>
      <w:pPr>
        <w:ind w:right="260" w:firstLine="576"/>
        <w:spacing w:after="0" w:line="238" w:lineRule="auto"/>
        <w:rPr>
          <w:sz w:val="20"/>
          <w:szCs w:val="20"/>
          <w:color w:val="auto"/>
        </w:rPr>
      </w:pPr>
      <w:r>
        <w:rPr>
          <w:rFonts w:ascii="Arial" w:cs="Arial" w:eastAsia="Arial" w:hAnsi="Arial"/>
          <w:sz w:val="18"/>
          <w:szCs w:val="18"/>
          <w:color w:val="auto"/>
        </w:rPr>
        <w:t>Management continues to evaluate the potential impacts of the COVID-19 pandemic on the development of its product candidates, and business. The Company is working closely with its manufacturing vendors to maintain adequate product supply and with healthcare providers as future studies are planned to mitigate risk to patients while adhering to regulatory, institutional and government guidance and policies. The Company remains committed to its development plans and acknowledges the potential risk for delays in the product supply chain and in anticipated timelines for its preclinical studies and clinical trials.</w:t>
      </w:r>
    </w:p>
    <w:p>
      <w:pPr>
        <w:spacing w:after="0" w:line="2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May and June 2020, the Company issued an aggregate of 74,328,105 shares of Series B convertible preferred stock at a purchase price of $1.15 per share for proceeds of $81.8 million, net of offering costs. The Company issued warrants to purchase 18,582,009 shares of its common stock, of which 5,456,521 shares were exercised concurrently with the Series B convertible preferred stock issuance for net proceeds of $55,000. In addition, the Company issued warrants to purchase 1,010,955 shares of its Series B convertible preferred stock at $1.15 per share. The Series B convertible preferred stock financing triggered the automatic conversion of the Company’s then outstanding convertible promissory notes into an aggregate of 4,067,148 shares of Series B-1 convertible preferred stock based on a price of $0.9775 per share (85% of the $1.15 original issuance price of the Series B convertible preferred stock).</w:t>
      </w:r>
    </w:p>
    <w:p>
      <w:pPr>
        <w:spacing w:after="0" w:line="203"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spacing w:after="0" w:line="2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562610</wp:posOffset>
            </wp:positionV>
            <wp:extent cx="11830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1985645</wp:posOffset>
            </wp:positionV>
            <wp:extent cx="118300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708025</wp:posOffset>
            </wp:positionV>
            <wp:extent cx="2134235" cy="1054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3423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5100" w:val="left"/>
          <w:tab w:leader="none" w:pos="106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Stifel</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228600</wp:posOffset>
            </wp:positionV>
            <wp:extent cx="118300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884555</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6" w:lineRule="exact"/>
        <w:rPr>
          <w:sz w:val="20"/>
          <w:szCs w:val="20"/>
          <w:color w:val="auto"/>
        </w:rPr>
      </w:pPr>
    </w:p>
    <w:p>
      <w:pPr>
        <w:ind w:right="120" w:firstLine="576"/>
        <w:spacing w:after="0" w:line="246" w:lineRule="auto"/>
        <w:rPr>
          <w:sz w:val="20"/>
          <w:szCs w:val="20"/>
          <w:color w:val="auto"/>
        </w:rPr>
      </w:pPr>
      <w:r>
        <w:rPr>
          <w:rFonts w:ascii="Arial" w:cs="Arial" w:eastAsia="Arial" w:hAnsi="Arial"/>
          <w:sz w:val="18"/>
          <w:szCs w:val="18"/>
          <w:color w:val="auto"/>
        </w:rPr>
        <w:t>Estimated expenses, other than underwriting discounts and commissions, payable by the registrant in connection with the sale of the common stock being registered under this registration statement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Amount Paid or</w:t>
            </w:r>
          </w:p>
        </w:tc>
      </w:tr>
      <w:tr>
        <w:trPr>
          <w:trHeight w:val="175"/>
        </w:trPr>
        <w:tc>
          <w:tcPr>
            <w:tcW w:w="9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To Be Paid</w:t>
            </w:r>
          </w:p>
        </w:tc>
      </w:tr>
      <w:tr>
        <w:trPr>
          <w:trHeight w:val="209"/>
        </w:trPr>
        <w:tc>
          <w:tcPr>
            <w:tcW w:w="9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SEC registration fee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FINRA filing fee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Exchange listing fee</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Legal fees and expenses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Transfer agent and registrar fees and expenses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9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1" w:lineRule="exact"/>
        <w:rPr>
          <w:sz w:val="20"/>
          <w:szCs w:val="20"/>
          <w:color w:val="auto"/>
        </w:rPr>
      </w:pPr>
    </w:p>
    <w:p>
      <w:pPr>
        <w:ind w:left="480" w:hanging="472"/>
        <w:spacing w:after="0"/>
        <w:tabs>
          <w:tab w:leader="none" w:pos="4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6"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its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203"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redemptions or other distributions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4" w:name="page225"/>
    <w:bookmarkEnd w:id="224"/>
    <w:p>
      <w:pPr>
        <w:ind w:right="80" w:firstLine="576"/>
        <w:spacing w:after="0" w:line="238"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202" w:lineRule="exact"/>
        <w:rPr>
          <w:sz w:val="20"/>
          <w:szCs w:val="20"/>
          <w:color w:val="auto"/>
        </w:rPr>
      </w:pPr>
    </w:p>
    <w:p>
      <w:pPr>
        <w:jc w:val="both"/>
        <w:ind w:right="300" w:firstLine="576"/>
        <w:spacing w:after="0"/>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20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202"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 sets forth information regarding all unregistered securities sold by us since July 1, 2017:</w:t>
      </w:r>
    </w:p>
    <w:p>
      <w:pPr>
        <w:spacing w:after="0" w:line="212" w:lineRule="exact"/>
        <w:rPr>
          <w:sz w:val="20"/>
          <w:szCs w:val="20"/>
          <w:color w:val="auto"/>
        </w:rPr>
      </w:pPr>
    </w:p>
    <w:p>
      <w:pPr>
        <w:ind w:right="20" w:firstLine="584"/>
        <w:spacing w:after="0" w:line="238" w:lineRule="auto"/>
        <w:tabs>
          <w:tab w:leader="none" w:pos="8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From July 1, 2017 through June 30, 2020, we granted 6,415,000 options to purchase shares of our common stock to our employees, directors and consultants at a weighted average exercise price of $0.1685 per share under our 2014 Equity Incentive Plan, or 2014 Plan. We also issued and sold an aggregate of 5,542,000 shares of our common stock to our employees, directors and consultants at a weighted average exercise price of $0.08143 per share pursuant to exercises of options granted under our 2014 Plan.</w:t>
      </w:r>
    </w:p>
    <w:p>
      <w:pPr>
        <w:spacing w:after="0" w:line="204" w:lineRule="exact"/>
        <w:rPr>
          <w:rFonts w:ascii="Arial" w:cs="Arial" w:eastAsia="Arial" w:hAnsi="Arial"/>
          <w:sz w:val="18"/>
          <w:szCs w:val="18"/>
          <w:color w:val="auto"/>
        </w:rPr>
      </w:pPr>
    </w:p>
    <w:p>
      <w:pPr>
        <w:ind w:right="740" w:firstLine="584"/>
        <w:spacing w:after="0" w:line="246" w:lineRule="auto"/>
        <w:tabs>
          <w:tab w:leader="none" w:pos="8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From December 17, 2018 through January 13, 2020, we issued and sold subordinated convertible promissory notes in an aggregate principal amount of $3,816,000.</w:t>
      </w:r>
    </w:p>
    <w:p>
      <w:pPr>
        <w:spacing w:after="0" w:line="196" w:lineRule="exact"/>
        <w:rPr>
          <w:rFonts w:ascii="Arial" w:cs="Arial" w:eastAsia="Arial" w:hAnsi="Arial"/>
          <w:sz w:val="18"/>
          <w:szCs w:val="18"/>
          <w:color w:val="auto"/>
        </w:rPr>
      </w:pPr>
    </w:p>
    <w:p>
      <w:pPr>
        <w:ind w:right="500" w:firstLine="584"/>
        <w:spacing w:after="0" w:line="246" w:lineRule="auto"/>
        <w:tabs>
          <w:tab w:leader="none" w:pos="83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From October 17, 2017 to March 13, 2018, we issued and sold an aggregate of 3,313,200 shares of our Series A convertible preferred stock at a purchase price of $1.25 per share, for aggregate consideration of approximately $4.14 million.</w:t>
      </w:r>
    </w:p>
    <w:p>
      <w:pPr>
        <w:spacing w:after="0" w:line="196" w:lineRule="exact"/>
        <w:rPr>
          <w:rFonts w:ascii="Arial" w:cs="Arial" w:eastAsia="Arial" w:hAnsi="Arial"/>
          <w:sz w:val="18"/>
          <w:szCs w:val="18"/>
          <w:color w:val="auto"/>
        </w:rPr>
      </w:pPr>
    </w:p>
    <w:p>
      <w:pPr>
        <w:ind w:right="140" w:firstLine="584"/>
        <w:spacing w:after="0" w:line="246" w:lineRule="auto"/>
        <w:tabs>
          <w:tab w:leader="none" w:pos="8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November 2018, we issued 100,000 restricted shares of our common stock to an advisory board member as compensation for services provided to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25" w:name="page226"/>
    <w:bookmarkEnd w:id="225"/>
    <w:p>
      <w:pPr>
        <w:ind w:right="600" w:firstLine="584"/>
        <w:spacing w:after="0" w:line="246" w:lineRule="auto"/>
        <w:tabs>
          <w:tab w:leader="none" w:pos="8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On May 29, 2020, we issued and sold an aggregate of 4,067,148 shares of our Series B-1 convertible preferred stock upon conversion of approximately $3.98 million in outstanding convertible notes, at a conversion price of $0.9775 per share.</w:t>
      </w:r>
    </w:p>
    <w:p>
      <w:pPr>
        <w:spacing w:after="0" w:line="196" w:lineRule="exact"/>
        <w:rPr>
          <w:rFonts w:ascii="Arial" w:cs="Arial" w:eastAsia="Arial" w:hAnsi="Arial"/>
          <w:sz w:val="18"/>
          <w:szCs w:val="18"/>
          <w:color w:val="auto"/>
        </w:rPr>
      </w:pPr>
    </w:p>
    <w:p>
      <w:pPr>
        <w:ind w:right="120" w:firstLine="584"/>
        <w:spacing w:after="0" w:line="237" w:lineRule="auto"/>
        <w:tabs>
          <w:tab w:leader="none" w:pos="79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From May 29, 2020 through June 23, 2020, we issued and sold an aggregate of 74,328,105 shares of our Series B convertible preferred stock at a purchase price of $1.15 per share, for aggregate consideration of approximately $85.48 million. Concurrently with these issuances, we also issued and sold warrants to purchase 18,582,009 shares of our common stock at an exercise price of $0.01 per share to the purchasers of our Series B convertible preferred stock. Each purchaser of our Series B convertible preferred stock received warrants to purchase a number of shares of our common stock equal to 25% of the number of shares of our Series B convertible preferred stock purchased by such purchaser in the transaction.</w:t>
      </w:r>
    </w:p>
    <w:p>
      <w:pPr>
        <w:spacing w:after="0" w:line="204" w:lineRule="exact"/>
        <w:rPr>
          <w:rFonts w:ascii="Arial" w:cs="Arial" w:eastAsia="Arial" w:hAnsi="Arial"/>
          <w:sz w:val="18"/>
          <w:szCs w:val="18"/>
          <w:color w:val="auto"/>
        </w:rPr>
      </w:pPr>
    </w:p>
    <w:p>
      <w:pPr>
        <w:ind w:right="60" w:firstLine="584"/>
        <w:spacing w:after="0" w:line="246" w:lineRule="auto"/>
        <w:tabs>
          <w:tab w:leader="none" w:pos="8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On May 29, 2020, we issued warrants to purchase up to 1,010,955 shares of our Series B convertible preferred stock to JMP Securities LLC, in partial consideration for their services in connection with the sale and issuance of our Series B convertible preferred stock.</w:t>
      </w:r>
    </w:p>
    <w:p>
      <w:pPr>
        <w:spacing w:after="0" w:line="196" w:lineRule="exact"/>
        <w:rPr>
          <w:rFonts w:ascii="Arial" w:cs="Arial" w:eastAsia="Arial" w:hAnsi="Arial"/>
          <w:sz w:val="18"/>
          <w:szCs w:val="18"/>
          <w:color w:val="auto"/>
        </w:rPr>
      </w:pPr>
    </w:p>
    <w:p>
      <w:pPr>
        <w:ind w:right="700" w:firstLine="584"/>
        <w:spacing w:after="0" w:line="246" w:lineRule="auto"/>
        <w:tabs>
          <w:tab w:leader="none" w:pos="8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From May 29, 2020 to June 15, 2020, we issued an aggregate of 5,456,521 shares of our common stock upon exercise of warrants to purchase shares of our common stock, at an exercise price of $0.01 per share.</w:t>
      </w:r>
    </w:p>
    <w:p>
      <w:pPr>
        <w:spacing w:after="0" w:line="197"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9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offers, sales and issuances of the securities described in Items 15(b), (c), (e), (f), (g), and (h)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and had adequate access, through employment, business or other relationships, to information about the registrant.</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offers, sales and issuances of the securities described in Item 15(a) and (d) were exempt from registration under the Securities Act under Section 4(a)(2) of the Securities Act in that such sales did not involve a public offering or under Rule 701 in that the transactions were under compensatory benefit plans and contracts relating to compensation as provided under Rule 701. The recipients of such securities were the registrant’s employees, consultants or directors and received the securities under the registrant’s 2014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0220" w:type="dxa"/>
            <w:vAlign w:val="bottom"/>
          </w:tcPr>
          <w:p>
            <w:pPr>
              <w:spacing w:after="0"/>
              <w:rPr>
                <w:sz w:val="14"/>
                <w:szCs w:val="14"/>
                <w:color w:val="auto"/>
              </w:rPr>
            </w:pPr>
          </w:p>
        </w:tc>
      </w:tr>
      <w:tr>
        <w:trPr>
          <w:trHeight w:val="175"/>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1022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920" w:type="dxa"/>
            <w:vAlign w:val="bottom"/>
          </w:tcPr>
          <w:p>
            <w:pPr>
              <w:jc w:val="center"/>
              <w:ind w:right="312"/>
              <w:spacing w:after="0"/>
              <w:rPr>
                <w:sz w:val="20"/>
                <w:szCs w:val="20"/>
                <w:color w:val="auto"/>
              </w:rPr>
            </w:pPr>
            <w:r>
              <w:rPr>
                <w:rFonts w:ascii="Arial" w:cs="Arial" w:eastAsia="Arial" w:hAnsi="Arial"/>
                <w:sz w:val="18"/>
                <w:szCs w:val="18"/>
                <w:color w:val="auto"/>
                <w:w w:val="99"/>
              </w:rPr>
              <w:t>1.1*</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Form of Underwriting Agreement</w:t>
            </w:r>
          </w:p>
        </w:tc>
      </w:tr>
      <w:tr>
        <w:trPr>
          <w:trHeight w:val="338"/>
        </w:trPr>
        <w:tc>
          <w:tcPr>
            <w:tcW w:w="920" w:type="dxa"/>
            <w:vAlign w:val="bottom"/>
          </w:tcPr>
          <w:p>
            <w:pPr>
              <w:jc w:val="center"/>
              <w:ind w:right="312"/>
              <w:spacing w:after="0"/>
              <w:rPr>
                <w:sz w:val="20"/>
                <w:szCs w:val="20"/>
                <w:color w:val="auto"/>
              </w:rPr>
            </w:pPr>
            <w:r>
              <w:rPr>
                <w:rFonts w:ascii="Arial" w:cs="Arial" w:eastAsia="Arial" w:hAnsi="Arial"/>
                <w:sz w:val="18"/>
                <w:szCs w:val="18"/>
                <w:color w:val="auto"/>
                <w:w w:val="99"/>
              </w:rPr>
              <w:t>3.1*</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Form of Amended and Restated Certificate of Incorporation, to be effective upon completion of the offering</w:t>
            </w:r>
          </w:p>
        </w:tc>
      </w:tr>
      <w:tr>
        <w:trPr>
          <w:trHeight w:val="338"/>
        </w:trPr>
        <w:tc>
          <w:tcPr>
            <w:tcW w:w="920" w:type="dxa"/>
            <w:vAlign w:val="bottom"/>
          </w:tcPr>
          <w:p>
            <w:pPr>
              <w:jc w:val="center"/>
              <w:ind w:right="312"/>
              <w:spacing w:after="0"/>
              <w:rPr>
                <w:sz w:val="20"/>
                <w:szCs w:val="20"/>
                <w:color w:val="auto"/>
              </w:rPr>
            </w:pPr>
            <w:r>
              <w:rPr>
                <w:rFonts w:ascii="Arial" w:cs="Arial" w:eastAsia="Arial" w:hAnsi="Arial"/>
                <w:sz w:val="18"/>
                <w:szCs w:val="18"/>
                <w:color w:val="auto"/>
                <w:w w:val="99"/>
              </w:rPr>
              <w:t>3.2*</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Form of Amended and Restated Bylaws, to be effective upon completion of the offering</w:t>
            </w:r>
          </w:p>
        </w:tc>
      </w:tr>
      <w:tr>
        <w:trPr>
          <w:trHeight w:val="338"/>
        </w:trPr>
        <w:tc>
          <w:tcPr>
            <w:tcW w:w="920" w:type="dxa"/>
            <w:vAlign w:val="bottom"/>
          </w:tcPr>
          <w:p>
            <w:pPr>
              <w:jc w:val="center"/>
              <w:ind w:right="312"/>
              <w:spacing w:after="0"/>
              <w:rPr>
                <w:sz w:val="20"/>
                <w:szCs w:val="20"/>
                <w:color w:val="auto"/>
              </w:rPr>
            </w:pPr>
            <w:r>
              <w:rPr>
                <w:rFonts w:ascii="Arial" w:cs="Arial" w:eastAsia="Arial" w:hAnsi="Arial"/>
                <w:sz w:val="18"/>
                <w:szCs w:val="18"/>
                <w:color w:val="auto"/>
                <w:w w:val="99"/>
              </w:rPr>
              <w:t>4.1*</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Specimen Common Stock Certificate of the Registrant</w:t>
            </w:r>
          </w:p>
        </w:tc>
      </w:tr>
      <w:tr>
        <w:trPr>
          <w:trHeight w:val="323"/>
        </w:trPr>
        <w:tc>
          <w:tcPr>
            <w:tcW w:w="920" w:type="dxa"/>
            <w:vAlign w:val="bottom"/>
          </w:tcPr>
          <w:p>
            <w:pPr>
              <w:jc w:val="center"/>
              <w:ind w:right="312"/>
              <w:spacing w:after="0"/>
              <w:rPr>
                <w:sz w:val="20"/>
                <w:szCs w:val="20"/>
                <w:color w:val="auto"/>
              </w:rPr>
            </w:pPr>
            <w:r>
              <w:rPr>
                <w:rFonts w:ascii="Arial" w:cs="Arial" w:eastAsia="Arial" w:hAnsi="Arial"/>
                <w:sz w:val="18"/>
                <w:szCs w:val="18"/>
                <w:color w:val="auto"/>
                <w:w w:val="99"/>
              </w:rPr>
              <w:t>4.2*</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Investors’ Rights Agreement, dated May 29, 2020, as amended, by and among the registrant and the investors and founders</w:t>
            </w:r>
          </w:p>
        </w:tc>
      </w:tr>
      <w:tr>
        <w:trPr>
          <w:trHeight w:val="217"/>
        </w:trPr>
        <w:tc>
          <w:tcPr>
            <w:tcW w:w="920" w:type="dxa"/>
            <w:vAlign w:val="bottom"/>
          </w:tcPr>
          <w:p>
            <w:pPr>
              <w:spacing w:after="0"/>
              <w:rPr>
                <w:sz w:val="18"/>
                <w:szCs w:val="18"/>
                <w:color w:val="auto"/>
              </w:rPr>
            </w:pP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named therein</w:t>
            </w:r>
          </w:p>
        </w:tc>
      </w:tr>
      <w:tr>
        <w:trPr>
          <w:trHeight w:val="324"/>
        </w:trPr>
        <w:tc>
          <w:tcPr>
            <w:tcW w:w="920" w:type="dxa"/>
            <w:vAlign w:val="bottom"/>
          </w:tcPr>
          <w:p>
            <w:pPr>
              <w:jc w:val="center"/>
              <w:ind w:right="312"/>
              <w:spacing w:after="0"/>
              <w:rPr>
                <w:sz w:val="20"/>
                <w:szCs w:val="20"/>
                <w:color w:val="auto"/>
              </w:rPr>
            </w:pPr>
            <w:r>
              <w:rPr>
                <w:rFonts w:ascii="Arial" w:cs="Arial" w:eastAsia="Arial" w:hAnsi="Arial"/>
                <w:sz w:val="18"/>
                <w:szCs w:val="18"/>
                <w:color w:val="auto"/>
                <w:w w:val="99"/>
              </w:rPr>
              <w:t>4.3*</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Form of Warrant to Purchase Series B Preferred Stock</w:t>
            </w:r>
          </w:p>
        </w:tc>
      </w:tr>
      <w:tr>
        <w:trPr>
          <w:trHeight w:val="338"/>
        </w:trPr>
        <w:tc>
          <w:tcPr>
            <w:tcW w:w="920" w:type="dxa"/>
            <w:vAlign w:val="bottom"/>
          </w:tcPr>
          <w:p>
            <w:pPr>
              <w:jc w:val="center"/>
              <w:ind w:right="312"/>
              <w:spacing w:after="0"/>
              <w:rPr>
                <w:sz w:val="20"/>
                <w:szCs w:val="20"/>
                <w:color w:val="auto"/>
              </w:rPr>
            </w:pPr>
            <w:r>
              <w:rPr>
                <w:rFonts w:ascii="Arial" w:cs="Arial" w:eastAsia="Arial" w:hAnsi="Arial"/>
                <w:sz w:val="18"/>
                <w:szCs w:val="18"/>
                <w:color w:val="auto"/>
                <w:w w:val="99"/>
              </w:rPr>
              <w:t>4.4*</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Form of Warrant to Purchase Common Stock</w:t>
            </w:r>
          </w:p>
        </w:tc>
      </w:tr>
      <w:tr>
        <w:trPr>
          <w:trHeight w:val="338"/>
        </w:trPr>
        <w:tc>
          <w:tcPr>
            <w:tcW w:w="920" w:type="dxa"/>
            <w:vAlign w:val="bottom"/>
          </w:tcPr>
          <w:p>
            <w:pPr>
              <w:jc w:val="center"/>
              <w:ind w:right="312"/>
              <w:spacing w:after="0"/>
              <w:rPr>
                <w:sz w:val="20"/>
                <w:szCs w:val="20"/>
                <w:color w:val="auto"/>
              </w:rPr>
            </w:pPr>
            <w:r>
              <w:rPr>
                <w:rFonts w:ascii="Arial" w:cs="Arial" w:eastAsia="Arial" w:hAnsi="Arial"/>
                <w:sz w:val="18"/>
                <w:szCs w:val="18"/>
                <w:color w:val="auto"/>
                <w:w w:val="99"/>
              </w:rPr>
              <w:t>4.5*</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Warrant to Purchase Common Stock of the Registrant, dated April 8, 2013</w:t>
            </w:r>
          </w:p>
        </w:tc>
      </w:tr>
      <w:tr>
        <w:trPr>
          <w:trHeight w:val="338"/>
        </w:trPr>
        <w:tc>
          <w:tcPr>
            <w:tcW w:w="920" w:type="dxa"/>
            <w:vAlign w:val="bottom"/>
          </w:tcPr>
          <w:p>
            <w:pPr>
              <w:jc w:val="center"/>
              <w:ind w:right="312"/>
              <w:spacing w:after="0"/>
              <w:rPr>
                <w:sz w:val="20"/>
                <w:szCs w:val="20"/>
                <w:color w:val="auto"/>
              </w:rPr>
            </w:pPr>
            <w:r>
              <w:rPr>
                <w:rFonts w:ascii="Arial" w:cs="Arial" w:eastAsia="Arial" w:hAnsi="Arial"/>
                <w:sz w:val="18"/>
                <w:szCs w:val="18"/>
                <w:color w:val="auto"/>
                <w:w w:val="99"/>
              </w:rPr>
              <w:t>5.1*</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38"/>
        </w:trPr>
        <w:tc>
          <w:tcPr>
            <w:tcW w:w="920" w:type="dxa"/>
            <w:vAlign w:val="bottom"/>
          </w:tcPr>
          <w:p>
            <w:pPr>
              <w:jc w:val="center"/>
              <w:ind w:right="292"/>
              <w:spacing w:after="0"/>
              <w:rPr>
                <w:sz w:val="20"/>
                <w:szCs w:val="20"/>
                <w:color w:val="auto"/>
              </w:rPr>
            </w:pPr>
            <w:r>
              <w:rPr>
                <w:rFonts w:ascii="Arial" w:cs="Arial" w:eastAsia="Arial" w:hAnsi="Arial"/>
                <w:sz w:val="18"/>
                <w:szCs w:val="18"/>
                <w:color w:val="auto"/>
              </w:rPr>
              <w:t>10.1+*</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Form of Director and Executive Officer Indemnification Agreement</w:t>
            </w:r>
          </w:p>
        </w:tc>
      </w:tr>
      <w:tr>
        <w:trPr>
          <w:trHeight w:val="338"/>
        </w:trPr>
        <w:tc>
          <w:tcPr>
            <w:tcW w:w="920" w:type="dxa"/>
            <w:vAlign w:val="bottom"/>
          </w:tcPr>
          <w:p>
            <w:pPr>
              <w:jc w:val="center"/>
              <w:ind w:right="292"/>
              <w:spacing w:after="0"/>
              <w:rPr>
                <w:sz w:val="20"/>
                <w:szCs w:val="20"/>
                <w:color w:val="auto"/>
              </w:rPr>
            </w:pPr>
            <w:r>
              <w:rPr>
                <w:rFonts w:ascii="Arial" w:cs="Arial" w:eastAsia="Arial" w:hAnsi="Arial"/>
                <w:sz w:val="18"/>
                <w:szCs w:val="18"/>
                <w:color w:val="auto"/>
              </w:rPr>
              <w:t>10.2+*</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2014 Equity Incentive Plan</w:t>
            </w:r>
          </w:p>
        </w:tc>
      </w:tr>
      <w:tr>
        <w:trPr>
          <w:trHeight w:val="338"/>
        </w:trPr>
        <w:tc>
          <w:tcPr>
            <w:tcW w:w="920" w:type="dxa"/>
            <w:vAlign w:val="bottom"/>
          </w:tcPr>
          <w:p>
            <w:pPr>
              <w:jc w:val="center"/>
              <w:ind w:right="292"/>
              <w:spacing w:after="0"/>
              <w:rPr>
                <w:sz w:val="20"/>
                <w:szCs w:val="20"/>
                <w:color w:val="auto"/>
              </w:rPr>
            </w:pPr>
            <w:r>
              <w:rPr>
                <w:rFonts w:ascii="Arial" w:cs="Arial" w:eastAsia="Arial" w:hAnsi="Arial"/>
                <w:sz w:val="18"/>
                <w:szCs w:val="18"/>
                <w:color w:val="auto"/>
              </w:rPr>
              <w:t>10.3+*</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Form of Stock Option Agreement under the 2014 Equity Incentive Plan</w:t>
            </w:r>
          </w:p>
        </w:tc>
      </w:tr>
      <w:tr>
        <w:trPr>
          <w:trHeight w:val="337"/>
        </w:trPr>
        <w:tc>
          <w:tcPr>
            <w:tcW w:w="920" w:type="dxa"/>
            <w:vAlign w:val="bottom"/>
          </w:tcPr>
          <w:p>
            <w:pPr>
              <w:jc w:val="center"/>
              <w:ind w:right="292"/>
              <w:spacing w:after="0"/>
              <w:rPr>
                <w:sz w:val="20"/>
                <w:szCs w:val="20"/>
                <w:color w:val="auto"/>
              </w:rPr>
            </w:pPr>
            <w:r>
              <w:rPr>
                <w:rFonts w:ascii="Arial" w:cs="Arial" w:eastAsia="Arial" w:hAnsi="Arial"/>
                <w:sz w:val="18"/>
                <w:szCs w:val="18"/>
                <w:color w:val="auto"/>
              </w:rPr>
              <w:t>10.4+*</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2020 Equity Incentive Plan</w:t>
            </w:r>
          </w:p>
        </w:tc>
      </w:tr>
      <w:tr>
        <w:trPr>
          <w:trHeight w:val="338"/>
        </w:trPr>
        <w:tc>
          <w:tcPr>
            <w:tcW w:w="920" w:type="dxa"/>
            <w:vAlign w:val="bottom"/>
          </w:tcPr>
          <w:p>
            <w:pPr>
              <w:jc w:val="center"/>
              <w:ind w:right="292"/>
              <w:spacing w:after="0"/>
              <w:rPr>
                <w:sz w:val="20"/>
                <w:szCs w:val="20"/>
                <w:color w:val="auto"/>
              </w:rPr>
            </w:pPr>
            <w:r>
              <w:rPr>
                <w:rFonts w:ascii="Arial" w:cs="Arial" w:eastAsia="Arial" w:hAnsi="Arial"/>
                <w:sz w:val="18"/>
                <w:szCs w:val="18"/>
                <w:color w:val="auto"/>
              </w:rPr>
              <w:t>10.5+*</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Form of Stock Option Agreement under the 2020 Equity Incentive Plan</w:t>
            </w:r>
          </w:p>
        </w:tc>
      </w:tr>
      <w:tr>
        <w:trPr>
          <w:trHeight w:val="338"/>
        </w:trPr>
        <w:tc>
          <w:tcPr>
            <w:tcW w:w="920" w:type="dxa"/>
            <w:vAlign w:val="bottom"/>
          </w:tcPr>
          <w:p>
            <w:pPr>
              <w:jc w:val="center"/>
              <w:ind w:right="292"/>
              <w:spacing w:after="0"/>
              <w:rPr>
                <w:sz w:val="20"/>
                <w:szCs w:val="20"/>
                <w:color w:val="auto"/>
              </w:rPr>
            </w:pPr>
            <w:r>
              <w:rPr>
                <w:rFonts w:ascii="Arial" w:cs="Arial" w:eastAsia="Arial" w:hAnsi="Arial"/>
                <w:sz w:val="18"/>
                <w:szCs w:val="18"/>
                <w:color w:val="auto"/>
              </w:rPr>
              <w:t>10.6+*</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2020 Employee Stock Purchase Plan</w:t>
            </w:r>
          </w:p>
        </w:tc>
      </w:tr>
      <w:tr>
        <w:trPr>
          <w:trHeight w:val="338"/>
        </w:trPr>
        <w:tc>
          <w:tcPr>
            <w:tcW w:w="920" w:type="dxa"/>
            <w:vAlign w:val="bottom"/>
          </w:tcPr>
          <w:p>
            <w:pPr>
              <w:jc w:val="center"/>
              <w:ind w:right="292"/>
              <w:spacing w:after="0"/>
              <w:rPr>
                <w:sz w:val="20"/>
                <w:szCs w:val="20"/>
                <w:color w:val="auto"/>
              </w:rPr>
            </w:pPr>
            <w:r>
              <w:rPr>
                <w:rFonts w:ascii="Arial" w:cs="Arial" w:eastAsia="Arial" w:hAnsi="Arial"/>
                <w:sz w:val="18"/>
                <w:szCs w:val="18"/>
                <w:color w:val="auto"/>
              </w:rPr>
              <w:t>10.7+*</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Form of Subscription Agreement under the 2020 Employee Stock Purchase Plan</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List of subsidiaries of the Registrant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Consent of Ernst and Young, LLP, Independent Registered Public Accounting Firm</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0320" w:type="dxa"/>
            <w:vAlign w:val="bottom"/>
            <w:gridSpan w:val="2"/>
          </w:tcPr>
          <w:p>
            <w:pPr>
              <w:ind w:left="100"/>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Power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1" w:lineRule="exact"/>
        <w:rPr>
          <w:sz w:val="20"/>
          <w:szCs w:val="20"/>
          <w:color w:val="auto"/>
        </w:rPr>
      </w:pPr>
    </w:p>
    <w:p>
      <w:pPr>
        <w:ind w:left="480" w:hanging="472"/>
        <w:spacing w:after="0"/>
        <w:tabs>
          <w:tab w:leader="none" w:pos="48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26" w:lineRule="exact"/>
        <w:rPr>
          <w:sz w:val="20"/>
          <w:szCs w:val="20"/>
          <w:color w:val="auto"/>
        </w:rPr>
      </w:pPr>
    </w:p>
    <w:p>
      <w:pPr>
        <w:ind w:right="360" w:firstLine="576"/>
        <w:spacing w:after="0" w:line="24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t>Item 17. Undertakings.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ind w:left="1140" w:right="120" w:hanging="565"/>
        <w:spacing w:after="0" w:line="238" w:lineRule="auto"/>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96" w:lineRule="exact"/>
        <w:rPr>
          <w:rFonts w:ascii="Arial" w:cs="Arial" w:eastAsia="Arial" w:hAnsi="Arial"/>
          <w:sz w:val="18"/>
          <w:szCs w:val="18"/>
          <w:color w:val="auto"/>
        </w:rPr>
      </w:pPr>
    </w:p>
    <w:p>
      <w:pPr>
        <w:ind w:left="1140" w:right="260" w:hanging="565"/>
        <w:spacing w:after="0"/>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8" w:name="page229"/>
    <w:bookmarkEnd w:id="228"/>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w:t>
      </w:r>
    </w:p>
    <w:tbl>
      <w:tblPr>
        <w:tblLayout w:type="fixed"/>
        <w:tblInd w:w="0" w:type="dxa"/>
        <w:tblCellMar>
          <w:top w:w="0" w:type="dxa"/>
          <w:left w:w="0" w:type="dxa"/>
          <w:bottom w:w="0" w:type="dxa"/>
          <w:right w:w="0" w:type="dxa"/>
        </w:tblCellMar>
      </w:tblPr>
      <w:tr>
        <w:trPr>
          <w:trHeight w:val="217"/>
        </w:trPr>
        <w:tc>
          <w:tcPr>
            <w:tcW w:w="8440" w:type="dxa"/>
            <w:vAlign w:val="bottom"/>
          </w:tcPr>
          <w:p>
            <w:pPr>
              <w:spacing w:after="0"/>
              <w:rPr>
                <w:sz w:val="20"/>
                <w:szCs w:val="20"/>
                <w:color w:val="auto"/>
              </w:rPr>
            </w:pPr>
            <w:r>
              <w:rPr>
                <w:rFonts w:ascii="Arial" w:cs="Arial" w:eastAsia="Arial" w:hAnsi="Arial"/>
                <w:sz w:val="18"/>
                <w:szCs w:val="18"/>
                <w:color w:val="auto"/>
              </w:rPr>
              <w:t>its behalf by the undersigned, thereunto duly authorized, in the City of Seattle, State of Washington, on</w:t>
            </w:r>
          </w:p>
        </w:tc>
        <w:tc>
          <w:tcPr>
            <w:tcW w:w="82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80"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ATHIRA PHARMA, INC.</w:t>
      </w:r>
    </w:p>
    <w:p>
      <w:pPr>
        <w:spacing w:after="0" w:line="23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6350</wp:posOffset>
            </wp:positionV>
            <wp:extent cx="28289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Leen Kawas</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KNOW ALL PERSONS BY THESE PRESENTS, that each person whose individual signature appears below hereby authorizes and appoints Leen Kawas and Mark Litton,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registration statement on Form S-1, and to file the same, with all exhibits thereto, and all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208"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5360" w:type="dxa"/>
            <w:vAlign w:val="bottom"/>
          </w:tcPr>
          <w:p>
            <w:pPr>
              <w:ind w:left="2980"/>
              <w:spacing w:after="0"/>
              <w:rPr>
                <w:sz w:val="20"/>
                <w:szCs w:val="20"/>
                <w:color w:val="auto"/>
              </w:rPr>
            </w:pPr>
            <w:r>
              <w:rPr>
                <w:rFonts w:ascii="Arial" w:cs="Arial" w:eastAsia="Arial" w:hAnsi="Arial"/>
                <w:sz w:val="14"/>
                <w:szCs w:val="14"/>
                <w:b w:val="1"/>
                <w:bCs w:val="1"/>
                <w:color w:val="auto"/>
              </w:rPr>
              <w:t>Title</w:t>
            </w:r>
          </w:p>
        </w:tc>
        <w:tc>
          <w:tcPr>
            <w:tcW w:w="1860" w:type="dxa"/>
            <w:vAlign w:val="bottom"/>
          </w:tcPr>
          <w:p>
            <w:pPr>
              <w:ind w:left="1540"/>
              <w:spacing w:after="0"/>
              <w:rPr>
                <w:sz w:val="20"/>
                <w:szCs w:val="20"/>
                <w:color w:val="auto"/>
              </w:rPr>
            </w:pPr>
            <w:r>
              <w:rPr>
                <w:rFonts w:ascii="Arial" w:cs="Arial" w:eastAsia="Arial" w:hAnsi="Arial"/>
                <w:sz w:val="14"/>
                <w:szCs w:val="14"/>
                <w:b w:val="1"/>
                <w:bCs w:val="1"/>
                <w:color w:val="auto"/>
                <w:w w:val="98"/>
              </w:rPr>
              <w:t>Date</w:t>
            </w:r>
          </w:p>
        </w:tc>
      </w:tr>
      <w:tr>
        <w:trPr>
          <w:trHeight w:val="323"/>
        </w:trPr>
        <w:tc>
          <w:tcPr>
            <w:tcW w:w="3380" w:type="dxa"/>
            <w:vAlign w:val="bottom"/>
            <w:tcBorders>
              <w:bottom w:val="single" w:sz="8" w:color="auto"/>
            </w:tcBorders>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860" w:type="dxa"/>
            <w:vAlign w:val="bottom"/>
          </w:tcPr>
          <w:p>
            <w:pPr>
              <w:spacing w:after="0"/>
              <w:rPr>
                <w:sz w:val="24"/>
                <w:szCs w:val="24"/>
                <w:color w:val="auto"/>
              </w:rPr>
            </w:pPr>
          </w:p>
        </w:tc>
      </w:tr>
      <w:tr>
        <w:trPr>
          <w:trHeight w:val="215"/>
        </w:trPr>
        <w:tc>
          <w:tcPr>
            <w:tcW w:w="3380" w:type="dxa"/>
            <w:vAlign w:val="bottom"/>
          </w:tcPr>
          <w:p>
            <w:pPr>
              <w:jc w:val="center"/>
              <w:spacing w:after="0"/>
              <w:rPr>
                <w:sz w:val="20"/>
                <w:szCs w:val="20"/>
                <w:color w:val="auto"/>
              </w:rPr>
            </w:pPr>
            <w:r>
              <w:rPr>
                <w:rFonts w:ascii="Arial" w:cs="Arial" w:eastAsia="Arial" w:hAnsi="Arial"/>
                <w:sz w:val="18"/>
                <w:szCs w:val="18"/>
                <w:color w:val="auto"/>
              </w:rPr>
              <w:t>Leen Kawas</w:t>
            </w:r>
          </w:p>
        </w:tc>
        <w:tc>
          <w:tcPr>
            <w:tcW w:w="536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860" w:type="dxa"/>
            <w:vAlign w:val="bottom"/>
          </w:tcPr>
          <w:p>
            <w:pPr>
              <w:spacing w:after="0"/>
              <w:rPr>
                <w:sz w:val="18"/>
                <w:szCs w:val="18"/>
                <w:color w:val="auto"/>
              </w:rPr>
            </w:pPr>
          </w:p>
        </w:tc>
      </w:tr>
      <w:tr>
        <w:trPr>
          <w:trHeight w:val="332"/>
        </w:trPr>
        <w:tc>
          <w:tcPr>
            <w:tcW w:w="3380" w:type="dxa"/>
            <w:vAlign w:val="bottom"/>
            <w:tcBorders>
              <w:bottom w:val="single" w:sz="8" w:color="auto"/>
            </w:tcBorders>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860" w:type="dxa"/>
            <w:vAlign w:val="bottom"/>
          </w:tcPr>
          <w:p>
            <w:pPr>
              <w:spacing w:after="0"/>
              <w:rPr>
                <w:sz w:val="24"/>
                <w:szCs w:val="24"/>
                <w:color w:val="auto"/>
              </w:rPr>
            </w:pPr>
          </w:p>
        </w:tc>
      </w:tr>
      <w:tr>
        <w:trPr>
          <w:trHeight w:val="215"/>
        </w:trPr>
        <w:tc>
          <w:tcPr>
            <w:tcW w:w="338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860" w:type="dxa"/>
            <w:vAlign w:val="bottom"/>
          </w:tcPr>
          <w:p>
            <w:pPr>
              <w:spacing w:after="0"/>
              <w:rPr>
                <w:sz w:val="18"/>
                <w:szCs w:val="18"/>
                <w:color w:val="auto"/>
              </w:rPr>
            </w:pPr>
          </w:p>
        </w:tc>
      </w:tr>
      <w:tr>
        <w:trPr>
          <w:trHeight w:val="332"/>
        </w:trPr>
        <w:tc>
          <w:tcPr>
            <w:tcW w:w="3380" w:type="dxa"/>
            <w:vAlign w:val="bottom"/>
            <w:tcBorders>
              <w:bottom w:val="single" w:sz="8" w:color="auto"/>
            </w:tcBorders>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1860" w:type="dxa"/>
            <w:vAlign w:val="bottom"/>
          </w:tcPr>
          <w:p>
            <w:pPr>
              <w:spacing w:after="0"/>
              <w:rPr>
                <w:sz w:val="24"/>
                <w:szCs w:val="24"/>
                <w:color w:val="auto"/>
              </w:rPr>
            </w:pPr>
          </w:p>
        </w:tc>
      </w:tr>
      <w:tr>
        <w:trPr>
          <w:trHeight w:val="210"/>
        </w:trPr>
        <w:tc>
          <w:tcPr>
            <w:tcW w:w="3380" w:type="dxa"/>
            <w:vAlign w:val="bottom"/>
          </w:tcPr>
          <w:p>
            <w:pPr>
              <w:jc w:val="center"/>
              <w:spacing w:after="0"/>
              <w:rPr>
                <w:sz w:val="20"/>
                <w:szCs w:val="20"/>
                <w:color w:val="auto"/>
              </w:rPr>
            </w:pPr>
            <w:r>
              <w:rPr>
                <w:rFonts w:ascii="Arial" w:cs="Arial" w:eastAsia="Arial" w:hAnsi="Arial"/>
                <w:sz w:val="18"/>
                <w:szCs w:val="18"/>
                <w:color w:val="auto"/>
                <w:w w:val="97"/>
              </w:rPr>
              <w:t>Tadataka Yamada</w:t>
            </w:r>
          </w:p>
        </w:tc>
        <w:tc>
          <w:tcPr>
            <w:tcW w:w="53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37"/>
        </w:trPr>
        <w:tc>
          <w:tcPr>
            <w:tcW w:w="3380" w:type="dxa"/>
            <w:vAlign w:val="bottom"/>
            <w:tcBorders>
              <w:bottom w:val="single" w:sz="8" w:color="auto"/>
            </w:tcBorders>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4"/>
                <w:szCs w:val="24"/>
                <w:color w:val="auto"/>
              </w:rPr>
            </w:pPr>
          </w:p>
        </w:tc>
      </w:tr>
      <w:tr>
        <w:trPr>
          <w:trHeight w:val="210"/>
        </w:trPr>
        <w:tc>
          <w:tcPr>
            <w:tcW w:w="3380" w:type="dxa"/>
            <w:vAlign w:val="bottom"/>
          </w:tcPr>
          <w:p>
            <w:pPr>
              <w:jc w:val="center"/>
              <w:spacing w:after="0"/>
              <w:rPr>
                <w:sz w:val="20"/>
                <w:szCs w:val="20"/>
                <w:color w:val="auto"/>
              </w:rPr>
            </w:pPr>
            <w:r>
              <w:rPr>
                <w:rFonts w:ascii="Arial" w:cs="Arial" w:eastAsia="Arial" w:hAnsi="Arial"/>
                <w:sz w:val="18"/>
                <w:szCs w:val="18"/>
                <w:color w:val="auto"/>
                <w:w w:val="99"/>
              </w:rPr>
              <w:t>Joseph Edelman</w:t>
            </w:r>
          </w:p>
        </w:tc>
        <w:tc>
          <w:tcPr>
            <w:tcW w:w="53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37"/>
        </w:trPr>
        <w:tc>
          <w:tcPr>
            <w:tcW w:w="3380" w:type="dxa"/>
            <w:vAlign w:val="bottom"/>
            <w:tcBorders>
              <w:bottom w:val="single" w:sz="8" w:color="auto"/>
            </w:tcBorders>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4"/>
                <w:szCs w:val="24"/>
                <w:color w:val="auto"/>
              </w:rPr>
            </w:pPr>
          </w:p>
        </w:tc>
      </w:tr>
      <w:tr>
        <w:trPr>
          <w:trHeight w:val="210"/>
        </w:trPr>
        <w:tc>
          <w:tcPr>
            <w:tcW w:w="3380" w:type="dxa"/>
            <w:vAlign w:val="bottom"/>
          </w:tcPr>
          <w:p>
            <w:pPr>
              <w:jc w:val="center"/>
              <w:spacing w:after="0"/>
              <w:rPr>
                <w:sz w:val="20"/>
                <w:szCs w:val="20"/>
                <w:color w:val="auto"/>
              </w:rPr>
            </w:pPr>
            <w:r>
              <w:rPr>
                <w:rFonts w:ascii="Arial" w:cs="Arial" w:eastAsia="Arial" w:hAnsi="Arial"/>
                <w:sz w:val="18"/>
                <w:szCs w:val="18"/>
                <w:color w:val="auto"/>
                <w:w w:val="99"/>
              </w:rPr>
              <w:t>John M. Fluke, Jr.</w:t>
            </w:r>
          </w:p>
        </w:tc>
        <w:tc>
          <w:tcPr>
            <w:tcW w:w="53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37"/>
        </w:trPr>
        <w:tc>
          <w:tcPr>
            <w:tcW w:w="3380" w:type="dxa"/>
            <w:vAlign w:val="bottom"/>
            <w:tcBorders>
              <w:bottom w:val="single" w:sz="8" w:color="auto"/>
            </w:tcBorders>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4"/>
                <w:szCs w:val="24"/>
                <w:color w:val="auto"/>
              </w:rPr>
            </w:pPr>
          </w:p>
        </w:tc>
      </w:tr>
      <w:tr>
        <w:trPr>
          <w:trHeight w:val="210"/>
        </w:trPr>
        <w:tc>
          <w:tcPr>
            <w:tcW w:w="3380" w:type="dxa"/>
            <w:vAlign w:val="bottom"/>
          </w:tcPr>
          <w:p>
            <w:pPr>
              <w:jc w:val="center"/>
              <w:spacing w:after="0"/>
              <w:rPr>
                <w:sz w:val="20"/>
                <w:szCs w:val="20"/>
                <w:color w:val="auto"/>
              </w:rPr>
            </w:pPr>
            <w:r>
              <w:rPr>
                <w:rFonts w:ascii="Arial" w:cs="Arial" w:eastAsia="Arial" w:hAnsi="Arial"/>
                <w:sz w:val="18"/>
                <w:szCs w:val="18"/>
                <w:color w:val="auto"/>
                <w:w w:val="99"/>
              </w:rPr>
              <w:t>Joseph Harding</w:t>
            </w:r>
          </w:p>
        </w:tc>
        <w:tc>
          <w:tcPr>
            <w:tcW w:w="53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647"/>
        </w:trPr>
        <w:tc>
          <w:tcPr>
            <w:tcW w:w="3380" w:type="dxa"/>
            <w:vAlign w:val="bottom"/>
          </w:tcPr>
          <w:p>
            <w:pPr>
              <w:spacing w:after="0"/>
              <w:rPr>
                <w:sz w:val="24"/>
                <w:szCs w:val="24"/>
                <w:color w:val="auto"/>
              </w:rPr>
            </w:pPr>
          </w:p>
        </w:tc>
        <w:tc>
          <w:tcPr>
            <w:tcW w:w="5360" w:type="dxa"/>
            <w:vAlign w:val="bottom"/>
          </w:tcPr>
          <w:p>
            <w:pPr>
              <w:ind w:left="2120"/>
              <w:spacing w:after="0"/>
              <w:rPr>
                <w:sz w:val="20"/>
                <w:szCs w:val="20"/>
                <w:color w:val="auto"/>
              </w:rPr>
            </w:pPr>
            <w:r>
              <w:rPr>
                <w:rFonts w:ascii="Arial" w:cs="Arial" w:eastAsia="Arial" w:hAnsi="Arial"/>
                <w:sz w:val="18"/>
                <w:szCs w:val="18"/>
                <w:color w:val="auto"/>
              </w:rPr>
              <w:t>II-6</w:t>
            </w:r>
          </w:p>
        </w:tc>
        <w:tc>
          <w:tcPr>
            <w:tcW w:w="1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20"/>
      </w:cols>
      <w:pgMar w:left="320" w:top="36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decimal"/>
      <w:start w:val="1"/>
    </w:lvl>
  </w:abstractNum>
  <w:abstractNum w:abstractNumId="1">
    <w:nsid w:val="661E3F1E"/>
    <w:multiLevelType w:val="hybridMultilevel"/>
    <w:lvl w:ilvl="0">
      <w:lvlJc w:val="left"/>
      <w:lvlText w:val="(%1)"/>
      <w:numFmt w:val="decimal"/>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1)"/>
      <w:numFmt w:val="decimal"/>
      <w:start w:val="2"/>
    </w:lvl>
  </w:abstractNum>
  <w:abstractNum w:abstractNumId="16">
    <w:nsid w:val="60B6DF70"/>
    <w:multiLevelType w:val="hybridMultilevel"/>
    <w:lvl w:ilvl="0">
      <w:lvlJc w:val="left"/>
      <w:lvlText w:val="(%1)"/>
      <w:numFmt w:val="decimal"/>
      <w:start w:val="3"/>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
      <w:numFmt w:val="bullet"/>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1)"/>
      <w:numFmt w:val="decimal"/>
      <w:start w:val="2"/>
    </w:lvl>
  </w:abstractNum>
  <w:abstractNum w:abstractNumId="63">
    <w:nsid w:val="71C91298"/>
    <w:multiLevelType w:val="hybridMultilevel"/>
    <w:lvl w:ilvl="0">
      <w:lvlJc w:val="left"/>
      <w:lvlText w:val="(%1)"/>
      <w:numFmt w:val="decimal"/>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
      <w:numFmt w:val="bullet"/>
      <w:start w:val="1"/>
    </w:lvl>
  </w:abstractNum>
  <w:abstractNum w:abstractNumId="71">
    <w:nsid w:val="2A155DBC"/>
    <w:multiLevelType w:val="hybridMultilevel"/>
    <w:lvl w:ilvl="0">
      <w:lvlJc w:val="left"/>
      <w:lvlText w:val="(%1)"/>
      <w:numFmt w:val="decimal"/>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
      <w:numFmt w:val="bullet"/>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abstractNum>
  <w:abstractNum w:abstractNumId="87">
    <w:nsid w:val="2B0D8DBE"/>
    <w:multiLevelType w:val="hybridMultilevel"/>
    <w:lvl w:ilvl="0">
      <w:lvlJc w:val="left"/>
      <w:lvlText w:val="(%1)"/>
      <w:numFmt w:val="decimal"/>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1)"/>
      <w:numFmt w:val="decimal"/>
      <w:start w:val="1"/>
    </w:lvl>
  </w:abstractNum>
  <w:abstractNum w:abstractNumId="94">
    <w:nsid w:val="1DF029D3"/>
    <w:multiLevelType w:val="hybridMultilevel"/>
    <w:lvl w:ilvl="0">
      <w:lvlJc w:val="left"/>
      <w:lvlText w:val="(%1)"/>
      <w:numFmt w:val="decimal"/>
      <w:start w:val="1"/>
    </w:lvl>
  </w:abstractNum>
  <w:abstractNum w:abstractNumId="95">
    <w:nsid w:val="5675FF36"/>
    <w:multiLevelType w:val="hybridMultilevel"/>
    <w:lvl w:ilvl="0">
      <w:lvlJc w:val="left"/>
      <w:lvlText w:val="•"/>
      <w:numFmt w:val="bullet"/>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
      <w:numFmt w:val="bullet"/>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1)"/>
      <w:numFmt w:val="decimal"/>
      <w:start w:val="1"/>
    </w:lvl>
  </w:abstractNum>
  <w:abstractNum w:abstractNumId="102">
    <w:nsid w:val="53B0A9E"/>
    <w:multiLevelType w:val="hybridMultilevel"/>
    <w:lvl w:ilvl="0">
      <w:lvlJc w:val="left"/>
      <w:lvlText w:val="•"/>
      <w:numFmt w:val="bullet"/>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1)"/>
      <w:numFmt w:val="decimal"/>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
      <w:numFmt w:val="bullet"/>
      <w:start w:val="1"/>
    </w:lvl>
  </w:abstractNum>
  <w:abstractNum w:abstractNumId="110">
    <w:nsid w:val="5046B5A9"/>
    <w:multiLevelType w:val="hybridMultilevel"/>
    <w:lvl w:ilvl="0">
      <w:lvlJc w:val="left"/>
      <w:lvlText w:val="•"/>
      <w:numFmt w:val="bullet"/>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
      <w:numFmt w:val="bullet"/>
      <w:start w:val="1"/>
    </w:lvl>
  </w:abstractNum>
  <w:abstractNum w:abstractNumId="114">
    <w:nsid w:val="19E21BB2"/>
    <w:multiLevelType w:val="hybridMultilevel"/>
    <w:lvl w:ilvl="0">
      <w:lvlJc w:val="left"/>
      <w:lvlText w:val="•"/>
      <w:numFmt w:val="bullet"/>
      <w:start w:val="1"/>
    </w:lvl>
  </w:abstractNum>
  <w:abstractNum w:abstractNumId="115">
    <w:nsid w:val="75E0858A"/>
    <w:multiLevelType w:val="hybridMultilevel"/>
    <w:lvl w:ilvl="0">
      <w:lvlJc w:val="left"/>
      <w:lvlText w:val="•"/>
      <w:numFmt w:val="bullet"/>
      <w:start w:val="1"/>
    </w:lvl>
  </w:abstractNum>
  <w:abstractNum w:abstractNumId="116">
    <w:nsid w:val="57A61A29"/>
    <w:multiLevelType w:val="hybridMultilevel"/>
    <w:lvl w:ilvl="0">
      <w:lvlJc w:val="left"/>
      <w:lvlText w:val="•"/>
      <w:numFmt w:val="bullet"/>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1."/>
      <w:numFmt w:val="decimal"/>
      <w:start w:val="1"/>
    </w:lvl>
  </w:abstractNum>
  <w:abstractNum w:abstractNumId="121">
    <w:nsid w:val="2157F6BC"/>
    <w:multiLevelType w:val="hybridMultilevel"/>
    <w:lvl w:ilvl="0">
      <w:lvlJc w:val="left"/>
      <w:lvlText w:val="%1."/>
      <w:numFmt w:val="decimal"/>
      <w:start w:val="2"/>
    </w:lvl>
  </w:abstractNum>
  <w:abstractNum w:abstractNumId="122">
    <w:nsid w:val="704E1DD5"/>
    <w:multiLevelType w:val="hybridMultilevel"/>
    <w:lvl w:ilvl="0">
      <w:lvlJc w:val="left"/>
      <w:lvlText w:val="%1."/>
      <w:numFmt w:val="decimal"/>
      <w:start w:val="3"/>
    </w:lvl>
  </w:abstractNum>
  <w:abstractNum w:abstractNumId="123">
    <w:nsid w:val="57D2F10E"/>
    <w:multiLevelType w:val="hybridMultilevel"/>
    <w:lvl w:ilvl="0">
      <w:lvlJc w:val="left"/>
      <w:lvlText w:val="%1."/>
      <w:numFmt w:val="decimal"/>
      <w:start w:val="4"/>
    </w:lvl>
  </w:abstractNum>
  <w:abstractNum w:abstractNumId="124">
    <w:nsid w:val="BFFAE18"/>
    <w:multiLevelType w:val="hybridMultilevel"/>
    <w:lvl w:ilvl="0">
      <w:lvlJc w:val="left"/>
      <w:lvlText w:val="%1."/>
      <w:numFmt w:val="decimal"/>
      <w:start w:val="5"/>
    </w:lvl>
  </w:abstractNum>
  <w:abstractNum w:abstractNumId="125">
    <w:nsid w:val="E3E47A8"/>
    <w:multiLevelType w:val="hybridMultilevel"/>
    <w:lvl w:ilvl="0">
      <w:lvlJc w:val="left"/>
      <w:lvlText w:val="%1."/>
      <w:numFmt w:val="decimal"/>
      <w:start w:val="6"/>
    </w:lvl>
  </w:abstractNum>
  <w:abstractNum w:abstractNumId="126">
    <w:nsid w:val="2E48F044"/>
    <w:multiLevelType w:val="hybridMultilevel"/>
    <w:lvl w:ilvl="0">
      <w:lvlJc w:val="left"/>
      <w:lvlText w:val="%1."/>
      <w:numFmt w:val="decimal"/>
      <w:start w:val="7"/>
    </w:lvl>
  </w:abstractNum>
  <w:abstractNum w:abstractNumId="127">
    <w:nsid w:val="49D0FEAC"/>
    <w:multiLevelType w:val="hybridMultilevel"/>
    <w:lvl w:ilvl="0">
      <w:lvlJc w:val="left"/>
      <w:lvlText w:val="•"/>
      <w:numFmt w:val="bullet"/>
      <w:start w:val="1"/>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1."/>
      <w:numFmt w:val="decimal"/>
      <w:start w:val="8"/>
    </w:lvl>
  </w:abstractNum>
  <w:abstractNum w:abstractNumId="130">
    <w:nsid w:val="24F6AB8E"/>
    <w:multiLevelType w:val="hybridMultilevel"/>
    <w:lvl w:ilvl="0">
      <w:lvlJc w:val="left"/>
      <w:lvlText w:val="%1."/>
      <w:numFmt w:val="decimal"/>
      <w:start w:val="9"/>
    </w:lvl>
  </w:abstractNum>
  <w:abstractNum w:abstractNumId="131">
    <w:nsid w:val="634C574C"/>
    <w:multiLevelType w:val="hybridMultilevel"/>
    <w:lvl w:ilvl="0">
      <w:lvlJc w:val="left"/>
      <w:lvlText w:val="%1."/>
      <w:numFmt w:val="decimal"/>
      <w:start w:val="10"/>
    </w:lvl>
  </w:abstractNum>
  <w:abstractNum w:abstractNumId="132">
    <w:nsid w:val="24E99DD7"/>
    <w:multiLevelType w:val="hybridMultilevel"/>
    <w:lvl w:ilvl="0">
      <w:lvlJc w:val="left"/>
      <w:lvlText w:val="%1."/>
      <w:numFmt w:val="decimal"/>
      <w:start w:val="11"/>
    </w:lvl>
  </w:abstractNum>
  <w:abstractNum w:abstractNumId="133">
    <w:nsid w:val="2A31B62D"/>
    <w:multiLevelType w:val="hybridMultilevel"/>
    <w:lvl w:ilvl="0">
      <w:lvlJc w:val="left"/>
      <w:lvlText w:val="%1."/>
      <w:numFmt w:val="decimal"/>
      <w:start w:val="12"/>
    </w:lvl>
  </w:abstractNum>
  <w:abstractNum w:abstractNumId="134">
    <w:nsid w:val="1849C29B"/>
    <w:multiLevelType w:val="hybridMultilevel"/>
    <w:lvl w:ilvl="0">
      <w:lvlJc w:val="left"/>
      <w:lvlText w:val="•"/>
      <w:numFmt w:val="bullet"/>
      <w:start w:val="1"/>
    </w:lvl>
  </w:abstractNum>
  <w:abstractNum w:abstractNumId="135">
    <w:nsid w:val="7DFF9D09"/>
    <w:multiLevelType w:val="hybridMultilevel"/>
    <w:lvl w:ilvl="0">
      <w:lvlJc w:val="left"/>
      <w:lvlText w:val="%1."/>
      <w:numFmt w:val="decimal"/>
      <w:start w:val="13"/>
    </w:lvl>
  </w:abstractNum>
  <w:abstractNum w:abstractNumId="136">
    <w:nsid w:val="754342"/>
    <w:multiLevelType w:val="hybridMultilevel"/>
    <w:lvl w:ilvl="0">
      <w:lvlJc w:val="left"/>
      <w:lvlText w:val="%1."/>
      <w:numFmt w:val="decimal"/>
      <w:start w:val="14"/>
    </w:lvl>
  </w:abstractNum>
  <w:abstractNum w:abstractNumId="137">
    <w:nsid w:val="69E7F3E5"/>
    <w:multiLevelType w:val="hybridMultilevel"/>
    <w:lvl w:ilvl="0">
      <w:lvlJc w:val="left"/>
      <w:lvlText w:val="%1."/>
      <w:numFmt w:val="decimal"/>
      <w:start w:val="15"/>
    </w:lvl>
  </w:abstractNum>
  <w:abstractNum w:abstractNumId="138">
    <w:nsid w:val="2A6DE806"/>
    <w:multiLevelType w:val="hybridMultilevel"/>
    <w:lvl w:ilvl="0">
      <w:lvlJc w:val="left"/>
      <w:lvlText w:val="%1."/>
      <w:numFmt w:val="decimal"/>
      <w:start w:val="16"/>
    </w:lvl>
  </w:abstractNum>
  <w:abstractNum w:abstractNumId="139">
    <w:nsid w:val="1816F8C4"/>
    <w:multiLevelType w:val="hybridMultilevel"/>
    <w:lvl w:ilvl="0">
      <w:lvlJc w:val="left"/>
      <w:lvlText w:val="%1."/>
      <w:numFmt w:val="decimal"/>
      <w:start w:val="17"/>
    </w:lvl>
  </w:abstractNum>
  <w:abstractNum w:abstractNumId="140">
    <w:nsid w:val="37DF2233"/>
    <w:multiLevelType w:val="hybridMultilevel"/>
    <w:lvl w:ilvl="0">
      <w:lvlJc w:val="left"/>
      <w:lvlText w:val="*"/>
      <w:numFmt w:val="bullet"/>
      <w:start w:val="1"/>
    </w:lvl>
  </w:abstractNum>
  <w:abstractNum w:abstractNumId="141">
    <w:nsid w:val="7AB49DAF"/>
    <w:multiLevelType w:val="hybridMultilevel"/>
    <w:lvl w:ilvl="0">
      <w:lvlJc w:val="left"/>
      <w:lvlText w:val="(%1)"/>
      <w:numFmt w:val="lowerLetter"/>
      <w:start w:val="1"/>
    </w:lvl>
  </w:abstractNum>
  <w:abstractNum w:abstractNumId="142">
    <w:nsid w:val="759F82CD"/>
    <w:multiLevelType w:val="hybridMultilevel"/>
    <w:lvl w:ilvl="0">
      <w:lvlJc w:val="left"/>
      <w:lvlText w:val="(%1)"/>
      <w:numFmt w:val="lowerLetter"/>
      <w:start w:val="5"/>
    </w:lvl>
  </w:abstractNum>
  <w:abstractNum w:abstractNumId="143">
    <w:nsid w:val="61E74EA3"/>
    <w:multiLevelType w:val="hybridMultilevel"/>
    <w:lvl w:ilvl="0">
      <w:lvlJc w:val="left"/>
      <w:lvlText w:val="+"/>
      <w:numFmt w:val="bullet"/>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2020-08-26T23:06:41Z</dcterms:created>
  <dcterms:modified xsi:type="dcterms:W3CDTF">2020-08-26T23:06:41Z</dcterms:modified>
</cp:coreProperties>
</file>