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Callori Fred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LeonaBio,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LONA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LEONABIO, INC.</w:t>
      </w:r>
    </w:p>
    <w:p>
      <w:pPr>
        <w:spacing w:after="0" w:line="70"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18706 NORTH CREEK PARKWAY, SUITE 104</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BOTHELL  WA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98011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6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6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Mark Worthington,</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 for Fred</w:t>
            </w:r>
          </w:p>
        </w:tc>
        <w:tc>
          <w:tcPr>
            <w:tcW w:w="236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05/07/2026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1"/>
              </w:rPr>
              <w:t>P. Callori</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4"/>
          <w:szCs w:val="24"/>
          <w:color w:val="auto"/>
        </w:rPr>
        <w:t>The undersigned hereby constitutes and appoints Mark Worthington, Robert Renninger, Vieng Keophilavanh, Barbara Mery, and each of the responsible attorneys and paralegals of Wilson Sonsini Goodrich &amp; Rosati, Professional Corporation, the undersigned’s true and lawful attorney-in-fact to:</w:t>
      </w:r>
    </w:p>
    <w:p>
      <w:pPr>
        <w:spacing w:after="0" w:line="218" w:lineRule="exact"/>
        <w:rPr>
          <w:sz w:val="20"/>
          <w:szCs w:val="20"/>
          <w:color w:val="auto"/>
        </w:rPr>
      </w:pPr>
    </w:p>
    <w:p>
      <w:pPr>
        <w:jc w:val="both"/>
        <w:ind w:left="1080" w:hanging="360"/>
        <w:spacing w:after="0" w:line="241" w:lineRule="auto"/>
        <w:tabs>
          <w:tab w:leader="none" w:pos="105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LeonaBio, Inc. (the “Company”), Form ID, Update Passphrase Acknowledgment, Schedules 13D and 13G, Forms 3, 4 and 5 and amendments thereto in accordance with Section 16(a) of the Securities Exchange Act of 1934, as amended (the “Exchange Act”), and the rules thereunder, and Form 144 and amendments thereto in accordance with Rule 144 promulgated under the Securities Act of 1933, as amended (the “Securities Act”);</w:t>
      </w:r>
    </w:p>
    <w:p>
      <w:pPr>
        <w:spacing w:after="0" w:line="228" w:lineRule="exact"/>
        <w:rPr>
          <w:rFonts w:ascii="Times New Roman" w:cs="Times New Roman" w:eastAsia="Times New Roman" w:hAnsi="Times New Roman"/>
          <w:sz w:val="24"/>
          <w:szCs w:val="24"/>
          <w:color w:val="auto"/>
        </w:rPr>
      </w:pPr>
    </w:p>
    <w:p>
      <w:pPr>
        <w:jc w:val="both"/>
        <w:ind w:left="1080" w:hanging="360"/>
        <w:spacing w:after="0" w:line="242" w:lineRule="auto"/>
        <w:tabs>
          <w:tab w:leader="none" w:pos="105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ID, Update Passphrase Acknowledgment, Form 144, Schedules 13D and 13G, and Forms 3, 4 and 5 and amendments thereto and timely file such form with the United States Securities and Exchange Commission and any stock exchange or similar authority.</w:t>
      </w:r>
    </w:p>
    <w:p>
      <w:pPr>
        <w:spacing w:after="0" w:line="229" w:lineRule="exact"/>
        <w:rPr>
          <w:rFonts w:ascii="Times New Roman" w:cs="Times New Roman" w:eastAsia="Times New Roman" w:hAnsi="Times New Roman"/>
          <w:sz w:val="24"/>
          <w:szCs w:val="24"/>
          <w:color w:val="auto"/>
        </w:rPr>
      </w:pPr>
    </w:p>
    <w:p>
      <w:pPr>
        <w:jc w:val="both"/>
        <w:ind w:left="1080" w:hanging="360"/>
        <w:spacing w:after="0" w:line="236" w:lineRule="auto"/>
        <w:tabs>
          <w:tab w:leader="none" w:pos="105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serve as the undersigned’s “account administrator” pursuant to the Electronic Data Gathering, Analysis, and Retrieval system (“</w:t>
      </w:r>
      <w:r>
        <w:rPr>
          <w:rFonts w:ascii="Times New Roman" w:cs="Times New Roman" w:eastAsia="Times New Roman" w:hAnsi="Times New Roman"/>
          <w:sz w:val="24"/>
          <w:szCs w:val="24"/>
          <w:b w:val="1"/>
          <w:bCs w:val="1"/>
          <w:color w:val="auto"/>
        </w:rPr>
        <w:t>EDGAR</w:t>
      </w:r>
      <w:r>
        <w:rPr>
          <w:rFonts w:ascii="Times New Roman" w:cs="Times New Roman" w:eastAsia="Times New Roman" w:hAnsi="Times New Roman"/>
          <w:sz w:val="24"/>
          <w:szCs w:val="24"/>
          <w:color w:val="auto"/>
        </w:rPr>
        <w:t>”) of the U.S. Securities and Exchange Commission, which role includes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216" w:lineRule="exact"/>
        <w:rPr>
          <w:rFonts w:ascii="Times New Roman" w:cs="Times New Roman" w:eastAsia="Times New Roman" w:hAnsi="Times New Roman"/>
          <w:sz w:val="24"/>
          <w:szCs w:val="24"/>
          <w:color w:val="auto"/>
        </w:rPr>
      </w:pPr>
    </w:p>
    <w:p>
      <w:pPr>
        <w:jc w:val="both"/>
        <w:ind w:left="1080" w:hanging="360"/>
        <w:spacing w:after="0" w:line="242" w:lineRule="auto"/>
        <w:tabs>
          <w:tab w:leader="none" w:pos="105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necessary or desirable in connection with the foregoing authority, it being understood that the documents executed by such attorney-in-fact on behalf of the undersigned pursuant to this Power of Attorney shall be in such form and shall contain such terms and conditions as such attorney-in-fact may approve.</w:t>
      </w:r>
    </w:p>
    <w:p>
      <w:pPr>
        <w:spacing w:after="0" w:line="229" w:lineRule="exact"/>
        <w:rPr>
          <w:sz w:val="20"/>
          <w:szCs w:val="20"/>
          <w:color w:val="auto"/>
        </w:rPr>
      </w:pPr>
    </w:p>
    <w:p>
      <w:pPr>
        <w:jc w:val="both"/>
        <w:ind w:left="360"/>
        <w:spacing w:after="0" w:line="231" w:lineRule="auto"/>
        <w:rPr>
          <w:sz w:val="20"/>
          <w:szCs w:val="20"/>
          <w:color w:val="auto"/>
        </w:rPr>
      </w:pPr>
      <w:r>
        <w:rPr>
          <w:rFonts w:ascii="Times New Roman" w:cs="Times New Roman" w:eastAsia="Times New Roman" w:hAnsi="Times New Roman"/>
          <w:sz w:val="24"/>
          <w:szCs w:val="24"/>
          <w:color w:val="auto"/>
        </w:rPr>
        <w:t>The undersigned hereby ratifies and confirms all that said attorneys-in-fact, agents, and account administrators shall do or cause to be done by virtue hereof. The undersigned acknowledges that the foregoing attorneys-in-fact, in serving in such capacity at the request of the undersigned, are not assuming (i) any of the undersigned’s responsibilities to comply with the Securities Exchange Act of 1934 (as amended) (the “</w:t>
      </w:r>
      <w:r>
        <w:rPr>
          <w:rFonts w:ascii="Times New Roman" w:cs="Times New Roman" w:eastAsia="Times New Roman" w:hAnsi="Times New Roman"/>
          <w:sz w:val="24"/>
          <w:szCs w:val="24"/>
          <w:b w:val="1"/>
          <w:bCs w:val="1"/>
          <w:color w:val="auto"/>
        </w:rPr>
        <w:t>Exchange Act</w:t>
      </w:r>
      <w:r>
        <w:rPr>
          <w:rFonts w:ascii="Times New Roman" w:cs="Times New Roman" w:eastAsia="Times New Roman" w:hAnsi="Times New Roman"/>
          <w:sz w:val="24"/>
          <w:szCs w:val="24"/>
          <w:color w:val="auto"/>
        </w:rPr>
        <w:t>”), (ii) any liability of the undersigned for failure to comply with such requirements, or</w:t>
      </w:r>
    </w:p>
    <w:p>
      <w:pPr>
        <w:spacing w:after="0" w:line="3" w:lineRule="exact"/>
        <w:rPr>
          <w:sz w:val="20"/>
          <w:szCs w:val="20"/>
          <w:color w:val="auto"/>
        </w:rPr>
      </w:pPr>
    </w:p>
    <w:p>
      <w:pPr>
        <w:ind w:left="360" w:right="20"/>
        <w:spacing w:after="0" w:line="235" w:lineRule="auto"/>
        <w:tabs>
          <w:tab w:leader="none" w:pos="845"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w:t>
      </w: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This Limited Power of Attorney shall remain in full force and effect until the earlier to occur of the following:</w:t>
      </w:r>
    </w:p>
    <w:p>
      <w:pPr>
        <w:spacing w:after="0" w:line="20" w:lineRule="exact"/>
        <w:rPr>
          <w:sz w:val="20"/>
          <w:szCs w:val="20"/>
          <w:color w:val="auto"/>
        </w:rPr>
      </w:pPr>
    </w:p>
    <w:p>
      <w:pPr>
        <w:ind w:right="40"/>
        <w:spacing w:after="0" w:line="237" w:lineRule="auto"/>
        <w:tabs>
          <w:tab w:leader="none" w:pos="287"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date on which the undersigned is no longer required to file Form ID, Update Passphrase Acknowledgment, Form 144, Schedules 13D and 13G, Forms 3, 4 and 5 and amendments thereto with respect to the undersigned’s holdings of and transactions in securities issued by LeonaBio, Inc.; (ii) the date on which the applicable account administrator is removed as an account administrator on the undersigned’s EDGAR account; or (iii) the date on which this Limited Power of Attorney is revoked by the undersigned in a writing delivered to the applicable foregoing attorney-in-fact.</w:t>
      </w:r>
    </w:p>
    <w:p>
      <w:pPr>
        <w:spacing w:after="0" w:line="230"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April 28, 2026.</w:t>
      </w:r>
    </w:p>
    <w:p>
      <w:pPr>
        <w:spacing w:after="0" w:line="328" w:lineRule="exact"/>
        <w:rPr>
          <w:sz w:val="20"/>
          <w:szCs w:val="20"/>
          <w:color w:val="auto"/>
        </w:rPr>
      </w:pPr>
    </w:p>
    <w:tbl>
      <w:tblPr>
        <w:tblLayout w:type="fixed"/>
        <w:tblInd w:w="4780" w:type="dxa"/>
        <w:tblCellMar>
          <w:top w:w="0" w:type="dxa"/>
          <w:left w:w="0" w:type="dxa"/>
          <w:bottom w:w="0" w:type="dxa"/>
          <w:right w:w="0" w:type="dxa"/>
        </w:tblCellMar>
      </w:tblPr>
      <w:tr>
        <w:trPr>
          <w:trHeight w:val="26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4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Frederick P. Callori</w:t>
            </w:r>
          </w:p>
        </w:tc>
      </w:tr>
      <w:tr>
        <w:trPr>
          <w:trHeight w:val="475"/>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Frederick P. Callori</w:t>
            </w:r>
          </w:p>
        </w:tc>
      </w:tr>
    </w:tbl>
    <w:p>
      <w:pPr>
        <w:spacing w:after="0" w:line="1" w:lineRule="exact"/>
        <w:rPr>
          <w:sz w:val="20"/>
          <w:szCs w:val="20"/>
          <w:color w:val="auto"/>
        </w:rPr>
      </w:pPr>
    </w:p>
    <w:sectPr>
      <w:pgSz w:w="11900" w:h="16838" w:orient="portrait"/>
      <w:cols w:equalWidth="0" w:num="1">
        <w:col w:w="10940"/>
      </w:cols>
      <w:pgMar w:left="480" w:top="644" w:right="479" w:bottom="79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43393"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2026-05-07T19:23:24Z</dcterms:created>
  <dcterms:modified xsi:type="dcterms:W3CDTF">2026-05-07T19:23:24Z</dcterms:modified>
</cp:coreProperties>
</file>