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26"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1226"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1226"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7"/>
          <w:szCs w:val="17"/>
          <w:color w:val="auto"/>
        </w:rPr>
        <w:t>On September 15, 2024, Athira Pharma, Inc. (the “Company”) committed to a workforce reduction that is expected to result in the termination of approximately 49 positions, representing approximately 70% of the Company’s workforce (the “Restructuring”). The Company took this step to decrease its costs, extend its cash runway, and create a more streamlined organization to support its strategic priorities, including the continued development of ATH-1105. In connection with the Restructuring, the Company currently estimates it will incur one-time costs of approximately $2.8 million, consisting primarily of cash severance costs and termination benefits, which the Company expects to recognize in the third quarter of 2024. The Company expects to substantially complete the Restructuring by December 31, 2024. The estimates of costs and expenses that the Company expects to incur in connection with the Restructuring are subject to a number of assumptions and actual results may differ materially. The Company may also incur additional costs not currently contemplated due to events that may occur as a result of, or that are associated with, the Restructuring. On September 17, 2024, the Company issued a press release regarding the Restructuring, a copy of which press release is attached hereto as Exhibit 99.1 and incorporated herein by reference.</w:t>
      </w:r>
    </w:p>
    <w:p>
      <w:pPr>
        <w:spacing w:after="0" w:line="16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5.02 Departure of Directors or Certain Officers; Election of Directors; Appointment of Certain Officers; Compensatory Arrangements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Executive Officers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on September 16, 2024 the Company terminated without cause the employment of Andrew Gengos, chief business officer and chief financial officer, effective October 1, 2024, and Rachel Lenington, chief operating officer and chief development officer, effective October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Vice President of Finance as Principal Financial Officer and Principal Accounting Officer</w:t>
      </w:r>
    </w:p>
    <w:p>
      <w:pPr>
        <w:spacing w:after="0" w:line="121" w:lineRule="exact"/>
        <w:rPr>
          <w:sz w:val="20"/>
          <w:szCs w:val="20"/>
          <w:color w:val="auto"/>
        </w:rPr>
      </w:pPr>
    </w:p>
    <w:p>
      <w:pPr>
        <w:ind w:right="180" w:firstLine="794"/>
        <w:spacing w:after="0" w:line="282" w:lineRule="auto"/>
        <w:rPr>
          <w:sz w:val="20"/>
          <w:szCs w:val="20"/>
          <w:color w:val="auto"/>
        </w:rPr>
      </w:pPr>
      <w:r>
        <w:rPr>
          <w:rFonts w:ascii="Times New Roman" w:cs="Times New Roman" w:eastAsia="Times New Roman" w:hAnsi="Times New Roman"/>
          <w:sz w:val="18"/>
          <w:szCs w:val="18"/>
          <w:color w:val="auto"/>
        </w:rPr>
        <w:t>On September 16, 2024, the Company’s board of directors (the “Board”) appointed Robert Renninger, age 40, vice president of finance, as the Company’s principal financial officer and principal accounting officer, effective as of October 1, 2024.</w:t>
      </w:r>
    </w:p>
    <w:p>
      <w:pPr>
        <w:spacing w:after="0" w:line="5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Mr. Renninger has served as the vice president of finance of the Company since January 2022. He previously served as its senior director of finance from September 2020 to January 2022, and as its director of finance from July 2020 to September 2020. Mr. Renninger served as financial controller of Infobip (formerly OpenMarket), a global communications platform, from July 2019 to July 2020. He also served as technical controller of Baker Hughes, an energy company, from September 2017 to May 2019. Mr. Renninger also served in various roles at Ernst &amp; Young, LLP, a global accounting firm, from September 2007 through September 2017, including most recently as senior manager. Mr. Renninger has over 15 years of experience serving in various finance, accounting, and auditing positions for companies in the pharmaceutical, technology, and energy sectors.</w:t>
      </w:r>
    </w:p>
    <w:p>
      <w:pPr>
        <w:spacing w:after="0" w:line="7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Renninger and any other persons pursuant to which he was appointed as principal financial officer and principal accounting officer. There are also no family relationships between Mr. Renninger and any director or executive officer of the Company and he has no direct or indirect material interest in any transaction required to be disclosed pursuant to Item 404(a) of Regulation S-K.</w:t>
      </w:r>
    </w:p>
    <w:p>
      <w:pPr>
        <w:spacing w:after="0" w:line="68"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Company and Mr. Renninger previously entered into an offer letter, effective June 22, 2020, which is at-will and does not have a specific term. Pursuant to such offer letter and adjustments made to Mr. Renninger’s compensation subsequent to the date of his offer letter, Mr. Renninger is entitled to the following compensation and benefits:</w:t>
      </w:r>
    </w:p>
    <w:p>
      <w:pPr>
        <w:spacing w:after="0" w:line="68" w:lineRule="exact"/>
        <w:rPr>
          <w:sz w:val="20"/>
          <w:szCs w:val="20"/>
          <w:color w:val="auto"/>
        </w:rPr>
      </w:pPr>
    </w:p>
    <w:p>
      <w:pPr>
        <w:ind w:left="1020" w:right="5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$312,000, with an annual discretionary target performance bonus in an amount up to 30% of Mr. Renninger’s annual base salary.</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determined in accordance with the Company’s compensation program, at the discretion of the Board’s compensation committee.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employee benefit plans, policies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Pursuant to the terms of Mr. Renninger’s change in control agreement with the Company, effective March 17, 2023, subject to Mr. Renninger’s execution and non-revocation of the Company’s standard separation agreement and release of claims, if Mr. Renninger’s employment is terminated inside the period beginning one month prior to the date of a change in control and ending 12 months following that change in control either (1) by the Company without “cause” (excluding by reason of death or disability) or (2) by Mr. Renninger for “good reason” (as such terms are defined in such agreement, such termination, a “Qualified Termination”), Mr. Renninger will receive vesting acceleration of 100% of any “service-based awards” (as defined in such agreement) that are unvested and outstanding on such termination date. In the event any such termination does not constitute a Qualified Termination, Mr. Renninger may be eligible to receive certain severance or other benefits as may be established under the Company’s then existing severance and benefits plans or programs.</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his appointment, Mr. Renninger will enter into a standard indemnification agreement in the form previously approved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99"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complete text of Mr. Renninger’s offer letter and change in control agreement, which are filed as Exhibit 10.1 and Exhibit 10.2,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objectives, expectations and intentions. All statements other than historical or current facts are forward-looking statements, including, without limitation, statements about the nature, timing and scope of potential workforce reductions, including the expected costs of potential workforce reductions and the anticipated period time over which such costs will be paid. These forward-looking statements are subject to certain risks and uncertainties that could cause actual results to differ materially from those anticipated in the forward-looking statements. These statements, like all statements in this report, speak only as of their date. Except as required by law, the Company does not undertake to publicly update or revise any forward-looking statements to reflect events or circumstances that may arise after the date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Employment Offer Letter between the Registrant and Robert Renninger.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Change in Control Agreement between the Registrant and Robert Renninger.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Athira Pharma, Inc. press release dated September 17,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640"/>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September 17, 2024</w:t>
      </w:r>
      <w:r>
        <w:rPr>
          <w:sz w:val="20"/>
          <w:szCs w:val="20"/>
          <w:color w:val="auto"/>
        </w:rPr>
        <w:tab/>
      </w:r>
      <w:r>
        <w:rPr>
          <w:rFonts w:ascii="Times New Roman" w:cs="Times New Roman" w:eastAsia="Times New Roman" w:hAnsi="Times New Roman"/>
          <w:sz w:val="18"/>
          <w:szCs w:val="18"/>
          <w:color w:val="auto"/>
        </w:rPr>
        <w:t>By:</w:t>
        <w:tab/>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3444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4000 MASON RD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300, BOX 352141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SEATTLE, WA 98195-2141</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21,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Renninger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415 West Crockett Street</w:t>
      </w:r>
    </w:p>
    <w:p>
      <w:pPr>
        <w:spacing w:after="0"/>
        <w:rPr>
          <w:sz w:val="20"/>
          <w:szCs w:val="20"/>
          <w:color w:val="auto"/>
        </w:rPr>
      </w:pPr>
      <w:r>
        <w:rPr>
          <w:rFonts w:ascii="Times New Roman" w:cs="Times New Roman" w:eastAsia="Times New Roman" w:hAnsi="Times New Roman"/>
          <w:sz w:val="20"/>
          <w:szCs w:val="20"/>
          <w:color w:val="auto"/>
        </w:rPr>
        <w:t>Seattle, WA 98119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Mr. Renninger,</w:t>
      </w:r>
    </w:p>
    <w:p>
      <w:pPr>
        <w:spacing w:after="0" w:line="22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We are pleased to offer you a position with Athira Pharma, Inc, (the “Company”) as Director of Accounting &amp; Reporting. If you decide to join us, you will become part of a fast-paced and dedicated team that works together to accelerate the development of life changing therapeutics.</w:t>
      </w:r>
    </w:p>
    <w:p>
      <w:pPr>
        <w:spacing w:after="0" w:line="1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Effective July 6, 2020, you will start in a fulltime position at an annual salary of $150,000 which will be paid monthly in accordance with our normal payroll procedures. You will eligible for PTO, group-term life insurance, and will qualify for health insurance under the company’s plan. Your eligibility for our 401K program will be effective immediately. Though we do not currently have a formal bonus program, and cannot guarantee a particular future bonus amount, the Company expects to adopt a bonus program in coming months and we expect you would be eligible to participate in such program in the future.</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will recommend to the Board of Directors that you be granted an option to purchase shares of the Company’s common stock. The number of shares subject to the option will be determined in accordance with the Company’s compensation plan, which is currently being revised. When awarded, the options will be subject to the terms and conditions applicable to options granted under the Company’s Employee Stock Option plan, as described in that plan and the applicable stock option agreement, which you will be required to sign. The exercise price per share will be equal to the fair market value per share on the date the option is granted, as determined by the Company’s Board of Directors in good faith compliance with applicable guidance in order to avoid having the option be treated as deferred compensation under Section 409A of the Internal Revenue Code of 1986, as amended. There is no guarantee that the Internal Revenue Service will agree with this value. You should consult with your own tax advisor concerning the tax risks associated with accepting an option to purchase the Company’s common stock.</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Company is excited to have you join our team and anticipates a beneficial and productive relationship. Nevertheless, you should be aware that your employment with the Company is for no specified period and constitutes “at will” employment meaning that either you or the Company may terminate your employment at any time and for any reason, with or without cause.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 We request that, in the event of your resignation, you give the Company notice of at least two weeks.</w:t>
      </w:r>
    </w:p>
    <w:p>
      <w:pPr>
        <w:spacing w:after="0" w:line="184"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ind w:right="320"/>
        <w:spacing w:after="0" w:line="254" w:lineRule="auto"/>
        <w:rPr>
          <w:sz w:val="20"/>
          <w:szCs w:val="20"/>
          <w:color w:val="auto"/>
        </w:rPr>
      </w:pPr>
      <w:r>
        <w:rPr>
          <w:rFonts w:ascii="Times New Roman" w:cs="Times New Roman" w:eastAsia="Times New Roman" w:hAnsi="Times New Roman"/>
          <w:sz w:val="20"/>
          <w:szCs w:val="20"/>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18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As a Company employee, you will be expected to abide by the Company’s rules and standards. Specifically, you will be required to sign an acknowledgment that you have read and understand the Company’s rules of conduct which are included in the Company Handbook which the Company will soon complete and distribute. As a condition of your employment you are also required to sign and comply with a Confidential Information Invention Assignment Agreement (the “Agreement”) that requires, among other provisions, the assignment of patent rights to any invention made during your employment at the Company, and nondisclosure of Company proprietary information. In the event of any dispute or claim relating to or arising out of our employment relationship, you and the Company agree that (i) any and all disputes between you and the Company shall be fully and finally resolved by binding arbitration, (ii) you are waiving any and all rights to a jury trial but all court remedies will be available in arbitration, (iii) al disputes shall be resolved by a neutral arbitrator who shall issue a written opinion and (iv) the arbitration shall provide for adequate discovery.</w:t>
      </w:r>
    </w:p>
    <w:p>
      <w:pPr>
        <w:spacing w:after="0" w:line="18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This letter supersedes and replaces any prior understandings or agreements, whether oral, written or implied, between you and the Company regarding the matters described in this letter.</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To accept the Company’s offer, please sign and date this letter in the space provided below. If you accept our offer, your first day of employment will be July 7, 2020. This letter, along with any agreement relating to proprietary rights between you and the Company, set forth the terms of your employment with the Company and supersede any prior representations or agreements including, but not limited to, any representations made during your recruitment, interviews or pre-employment negotiations whether written or oral. This letter including, but not limited to, its at will employment provision, may not be modified or amended except by a written agreement signed by the Chief Executive Officer of the Company and you.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offer of employment will terminate if it is not accepted, signed and returned by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We look forward to your acceptance of our offer and to working with you at Athira Pharma,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Leen Kawas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Leen Kawas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Accepted:</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60" w:type="dxa"/>
            <w:vAlign w:val="bottom"/>
          </w:tcPr>
          <w:p>
            <w:pPr>
              <w:spacing w:after="0"/>
              <w:rPr>
                <w:sz w:val="22"/>
                <w:szCs w:val="22"/>
                <w:color w:val="auto"/>
              </w:rPr>
            </w:pPr>
          </w:p>
        </w:tc>
      </w:tr>
      <w:tr>
        <w:trPr>
          <w:trHeight w:val="332"/>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w w:val="98"/>
              </w:rPr>
              <w:t>/s/ Robert Renninger</w:t>
            </w:r>
          </w:p>
        </w:tc>
        <w:tc>
          <w:tcPr>
            <w:tcW w:w="56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6"/>
              </w:rPr>
              <w:t>6/22/2020</w:t>
            </w:r>
          </w:p>
        </w:tc>
        <w:tc>
          <w:tcPr>
            <w:tcW w:w="7660" w:type="dxa"/>
            <w:vAlign w:val="bottom"/>
          </w:tcPr>
          <w:p>
            <w:pPr>
              <w:spacing w:after="0"/>
              <w:rPr>
                <w:sz w:val="24"/>
                <w:szCs w:val="24"/>
                <w:color w:val="auto"/>
              </w:rPr>
            </w:pPr>
          </w:p>
        </w:tc>
      </w:tr>
      <w:tr>
        <w:trPr>
          <w:trHeight w:val="256"/>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Robert Renninger</w:t>
            </w: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c>
          <w:tcPr>
            <w:tcW w:w="7660" w:type="dxa"/>
            <w:vAlign w:val="bottom"/>
          </w:tcPr>
          <w:p>
            <w:pPr>
              <w:spacing w:after="0"/>
              <w:rPr>
                <w:sz w:val="22"/>
                <w:szCs w:val="22"/>
                <w:color w:val="auto"/>
              </w:rPr>
            </w:pPr>
          </w:p>
        </w:tc>
      </w:tr>
      <w:tr>
        <w:trPr>
          <w:trHeight w:val="2148"/>
        </w:trPr>
        <w:tc>
          <w:tcPr>
            <w:tcW w:w="1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3444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18706 NORTH CREEK PARKWAY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 98011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Robert Renninger,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recognition of your contributions and accomplishments this year, we are pleased to present you with the following: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Annual Discretionary Bonus: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2023 Bonus Payout: $84,938</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Individual bonus %: 100%</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Corporate bonus %: 92.5%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Salary Adjustment:</w:t>
      </w:r>
    </w:p>
    <w:p>
      <w:pPr>
        <w:spacing w:after="0" w:line="1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We are also pleased to present you with the following changes to your compensation which will be effective retroactively to January 1, 2024, and reflected in your February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payroll, including the retroactive plus up for the month of January.</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Current Base Salary: $300,000</w:t>
      </w:r>
    </w:p>
    <w:p>
      <w:pPr>
        <w:spacing w:after="0" w:line="148"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Merit Increase:</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bl>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New Base Salary: $312,000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2024 Equity Awards</w:t>
      </w:r>
    </w:p>
    <w:p>
      <w:pPr>
        <w:spacing w:after="0" w:line="15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Additionally, we are excited to inform you that Athira is awarding you the following equity as approved by the Compensation Committee of the Board: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Grant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Stock Options: 74,154</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Strike Price – closing price as of February 14, 2024: $3.26</w:t>
      </w:r>
    </w:p>
    <w:p>
      <w:pPr>
        <w:spacing w:after="0" w:line="13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Thank you so much for your commitment to restoring lives by thoughtfully and urgently advancing bold therapies for neuronal health. You are a vital part of the Athira team.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all looking forward to another productive and impactful year.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Litton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Change in Control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Robert Renninger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________________, 2023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in connection with a change in control of the Company. Certain capitalized terms used in this Agreement are defined in Section 7 below.</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757"/>
        <w:spacing w:after="0" w:line="244" w:lineRule="auto"/>
        <w:tabs>
          <w:tab w:leader="none" w:pos="1018"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3.1. 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Executive will receive vesting acceleration of one hundred percent (100%) of any Service-based Awards that are outstanding and unvested as of the date of the Qualifying Termination.</w:t>
      </w:r>
    </w:p>
    <w:p>
      <w:pPr>
        <w:spacing w:after="0" w:line="173"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3.2. 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 w:name="page10"/>
    <w:bookmarkEnd w:id="9"/>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entitled to receive any severance or other benefits in connection with such termination except for those, if any, as may then be established under the Company’s then existing severance and benefits plans or programs.</w:t>
      </w:r>
    </w:p>
    <w:p>
      <w:pPr>
        <w:spacing w:after="0" w:line="15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u w:val="single" w:color="auto"/>
          <w:color w:val="auto"/>
        </w:rPr>
        <w:t>3.3. Non-duplication of Payment or Benefits</w:t>
      </w:r>
      <w:r>
        <w:rPr>
          <w:rFonts w:ascii="Times New Roman" w:cs="Times New Roman" w:eastAsia="Times New Roman" w:hAnsi="Times New Roman"/>
          <w:sz w:val="21"/>
          <w:szCs w:val="21"/>
          <w:color w:val="auto"/>
        </w:rPr>
        <w:t>. Notwithstanding any provision of this Agreement to the contrary, if Executive is entitled to any vesting acceleration of any Awards by operation of applicable law or under a plan, policy, contract, or arrangement sponsored by or to which the Company is a party other than this Agreement (“</w:t>
      </w:r>
      <w:r>
        <w:rPr>
          <w:rFonts w:ascii="Times New Roman" w:cs="Times New Roman" w:eastAsia="Times New Roman" w:hAnsi="Times New Roman"/>
          <w:sz w:val="21"/>
          <w:szCs w:val="21"/>
          <w:u w:val="single" w:color="auto"/>
          <w:color w:val="auto"/>
        </w:rPr>
        <w:t>Other Benefits</w:t>
      </w:r>
      <w:r>
        <w:rPr>
          <w:rFonts w:ascii="Times New Roman" w:cs="Times New Roman" w:eastAsia="Times New Roman" w:hAnsi="Times New Roman"/>
          <w:sz w:val="21"/>
          <w:szCs w:val="21"/>
          <w:color w:val="auto"/>
        </w:rPr>
        <w:t>”), then the corresponding benefits under this Agreement will be reduced by the amount of Other Benefits paid or provided to Executive.</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3.4. 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73" w:lineRule="exact"/>
        <w:rPr>
          <w:sz w:val="20"/>
          <w:szCs w:val="20"/>
          <w:color w:val="auto"/>
        </w:rPr>
      </w:pPr>
    </w:p>
    <w:p>
      <w:pPr>
        <w:jc w:val="both"/>
        <w:ind w:firstLine="757"/>
        <w:spacing w:after="0" w:line="244" w:lineRule="auto"/>
        <w:tabs>
          <w:tab w:leader="none" w:pos="1018" w:val="left"/>
        </w:tabs>
        <w:numPr>
          <w:ilvl w:val="0"/>
          <w:numId w:val="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Conditions to Receipt of Vesting Acceleration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5.1. Separation Agreement and Release of Claims</w:t>
      </w:r>
      <w:r>
        <w:rPr>
          <w:rFonts w:ascii="Times New Roman" w:cs="Times New Roman" w:eastAsia="Times New Roman" w:hAnsi="Times New Roman"/>
          <w:sz w:val="22"/>
          <w:szCs w:val="22"/>
          <w:color w:val="auto"/>
        </w:rPr>
        <w:t>. Executive’s receipt of any benefits upon a Qualifying Termination under Section 3.1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benefits under Section 3.</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5.2. Payment Timing</w:t>
      </w:r>
      <w:r>
        <w:rPr>
          <w:rFonts w:ascii="Times New Roman" w:cs="Times New Roman" w:eastAsia="Times New Roman" w:hAnsi="Times New Roman"/>
          <w:sz w:val="22"/>
          <w:szCs w:val="22"/>
          <w:color w:val="auto"/>
        </w:rPr>
        <w:t>.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3.1 will be settled, subject to any delay required by Section 5.3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5.3. 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77" w:lineRule="exact"/>
        <w:rPr>
          <w:sz w:val="20"/>
          <w:szCs w:val="20"/>
          <w:color w:val="auto"/>
        </w:rPr>
      </w:pPr>
    </w:p>
    <w:p>
      <w:pPr>
        <w:jc w:val="both"/>
        <w:ind w:firstLine="2254"/>
        <w:spacing w:after="0" w:line="239" w:lineRule="auto"/>
        <w:tabs>
          <w:tab w:leader="none" w:pos="254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5.3.</w:t>
      </w:r>
    </w:p>
    <w:p>
      <w:pPr>
        <w:spacing w:after="0" w:line="180"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7"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 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u w:val="single" w:color="auto"/>
          <w:color w:val="auto"/>
        </w:rPr>
        <w:t>6.1. 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w:t>
      </w:r>
    </w:p>
    <w:p>
      <w:pPr>
        <w:spacing w:after="0" w:line="2" w:lineRule="exact"/>
        <w:rPr>
          <w:sz w:val="20"/>
          <w:szCs w:val="20"/>
          <w:color w:val="auto"/>
        </w:rPr>
      </w:pPr>
    </w:p>
    <w:p>
      <w:pPr>
        <w:ind w:firstLine="8"/>
        <w:spacing w:after="0" w:line="237" w:lineRule="auto"/>
        <w:tabs>
          <w:tab w:leader="none" w:pos="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“parachute payment” within the meaning of Section 280G of the Code and (b) but for this sentence, be subject to the excise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8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6.2. Determination of Excise Tax Liability</w:t>
      </w:r>
      <w:r>
        <w:rPr>
          <w:rFonts w:ascii="Times New Roman" w:cs="Times New Roman" w:eastAsia="Times New Roman" w:hAnsi="Times New Roman"/>
          <w:sz w:val="21"/>
          <w:szCs w:val="21"/>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1"/>
          <w:szCs w:val="21"/>
          <w:u w:val="single" w:color="auto"/>
          <w:color w:val="auto"/>
        </w:rPr>
        <w:t>Firm</w:t>
      </w:r>
      <w:r>
        <w:rPr>
          <w:rFonts w:ascii="Times New Roman" w:cs="Times New Roman" w:eastAsia="Times New Roman" w:hAnsi="Times New Roman"/>
          <w:sz w:val="21"/>
          <w:szCs w:val="21"/>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5" w:lineRule="exact"/>
        <w:rPr>
          <w:sz w:val="20"/>
          <w:szCs w:val="20"/>
          <w:color w:val="auto"/>
        </w:rPr>
      </w:pPr>
    </w:p>
    <w:p>
      <w:pPr>
        <w:ind w:left="1020" w:hanging="263"/>
        <w:spacing w:after="0"/>
        <w:tabs>
          <w:tab w:leader="none" w:pos="1020"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stock options and other equity awards covering shares of Company common stock granted to Executive.</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Company’s Board of Directors.</w:t>
      </w:r>
    </w:p>
    <w:p>
      <w:pPr>
        <w:spacing w:after="0" w:line="206"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Executive’s: (a) indictment or conviction of any felony or any crime involving dishonesty or moral turpitude; (b) participation in any fraud against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2254"/>
        <w:spacing w:after="0" w:line="233" w:lineRule="auto"/>
        <w:tabs>
          <w:tab w:leader="none" w:pos="2546"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9" w:lineRule="exact"/>
        <w:rPr>
          <w:rFonts w:ascii="Times New Roman" w:cs="Times New Roman" w:eastAsia="Times New Roman" w:hAnsi="Times New Roman"/>
          <w:sz w:val="22"/>
          <w:szCs w:val="22"/>
          <w:u w:val="single" w:color="auto"/>
          <w:color w:val="auto"/>
        </w:rPr>
      </w:pPr>
    </w:p>
    <w:p>
      <w:pPr>
        <w:jc w:val="both"/>
        <w:ind w:firstLine="2254"/>
        <w:spacing w:after="0" w:line="235" w:lineRule="auto"/>
        <w:tabs>
          <w:tab w:leader="none" w:pos="2546"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u w:val="single" w:color="auto"/>
          <w:color w:val="auto"/>
        </w:rPr>
      </w:pPr>
    </w:p>
    <w:p>
      <w:pPr>
        <w:jc w:val="both"/>
        <w:ind w:firstLine="2254"/>
        <w:spacing w:after="0" w:line="261" w:lineRule="auto"/>
        <w:tabs>
          <w:tab w:leader="none" w:pos="2546" w:val="left"/>
        </w:tabs>
        <w:numPr>
          <w:ilvl w:val="0"/>
          <w:numId w:val="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 entered into with the Company dated September 23, 2020.</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termination of Executive’s employment with the Company within thirty (30) days following the end of the Company’s Cure Period (as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1"/>
          <w:szCs w:val="21"/>
          <w:color w:val="auto"/>
        </w:rPr>
        <w:t>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1"/>
          <w:szCs w:val="21"/>
          <w:u w:val="single" w:color="auto"/>
          <w:color w:val="auto"/>
        </w:rPr>
        <w:t>Cure Period</w:t>
      </w:r>
      <w:r>
        <w:rPr>
          <w:rFonts w:ascii="Times New Roman" w:cs="Times New Roman" w:eastAsia="Times New Roman" w:hAnsi="Times New Roman"/>
          <w:sz w:val="21"/>
          <w:szCs w:val="21"/>
          <w:color w:val="auto"/>
        </w:rPr>
        <w:t>”) of such written notice. To the extent Executive’s primary work location is not the Company’s corporate offices due to a shelter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place order, quarantine order, or similar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from</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 means Code Section 409A and the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means Awards that, as of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73" w:lineRule="exact"/>
        <w:rPr>
          <w:sz w:val="20"/>
          <w:szCs w:val="20"/>
          <w:color w:val="auto"/>
        </w:rPr>
      </w:pPr>
    </w:p>
    <w:p>
      <w:pPr>
        <w:jc w:val="both"/>
        <w:ind w:firstLine="757"/>
        <w:spacing w:after="0" w:line="235" w:lineRule="auto"/>
        <w:tabs>
          <w:tab w:leader="none" w:pos="1018" w:val="left"/>
        </w:tabs>
        <w:numPr>
          <w:ilvl w:val="0"/>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descent and distribution. Any other attempted assignment, transfer, conveyance, or other disposition of Executive’s right to compensation or other benefits will be null and void.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9.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9.1. 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18706 North Creek Parkway, Suite 104</w:t>
      </w:r>
    </w:p>
    <w:p>
      <w:pPr>
        <w:ind w:left="2260"/>
        <w:spacing w:after="0" w:line="230" w:lineRule="auto"/>
        <w:rPr>
          <w:sz w:val="20"/>
          <w:szCs w:val="20"/>
          <w:color w:val="auto"/>
        </w:rPr>
      </w:pPr>
      <w:r>
        <w:rPr>
          <w:rFonts w:ascii="Times New Roman" w:cs="Times New Roman" w:eastAsia="Times New Roman" w:hAnsi="Times New Roman"/>
          <w:sz w:val="22"/>
          <w:szCs w:val="22"/>
          <w:color w:val="auto"/>
        </w:rPr>
        <w:t>Bothell, WA 98011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9.2. 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 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and 6.</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11.2. 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11.3. 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11.4. Entire Agreement</w:t>
      </w:r>
      <w:r>
        <w:rPr>
          <w:rFonts w:ascii="Times New Roman" w:cs="Times New Roman" w:eastAsia="Times New Roman" w:hAnsi="Times New Roman"/>
          <w:sz w:val="22"/>
          <w:szCs w:val="22"/>
          <w:color w:val="auto"/>
        </w:rPr>
        <w:t>. This Agreement, together with the Confidentiality Agreement and Executive’s employment letter with the Company dated September 23, 2020,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11.5. 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u w:val="single" w:color="auto"/>
          <w:color w:val="auto"/>
        </w:rPr>
        <w:t>11.6. Severability</w:t>
      </w:r>
      <w:r>
        <w:rPr>
          <w:rFonts w:ascii="Times New Roman" w:cs="Times New Roman" w:eastAsia="Times New Roman" w:hAnsi="Times New Roman"/>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57"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u w:val="single" w:color="auto"/>
          <w:color w:val="auto"/>
        </w:rPr>
        <w:t>11.7. 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11.8. 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60"/>
        <w:spacing w:after="0"/>
        <w:tabs>
          <w:tab w:leader="none" w:pos="632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-13970</wp:posOffset>
            </wp:positionV>
            <wp:extent cx="1371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Mark Litton</w:t>
      </w: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___</w:t>
      </w:r>
    </w:p>
    <w:p>
      <w:pPr>
        <w:spacing w:after="0" w:line="314"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-13970</wp:posOffset>
            </wp:positionV>
            <wp:extent cx="1554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60"/>
        <w:spacing w:after="0"/>
        <w:tabs>
          <w:tab w:leader="none" w:pos="718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2"/>
          <w:szCs w:val="22"/>
          <w:color w:val="auto"/>
        </w:rPr>
        <w:t>/s/ 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-11430</wp:posOffset>
            </wp:positionV>
            <wp:extent cx="192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Robert Renninger</w:t>
      </w: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Date: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-13970</wp:posOffset>
            </wp:positionV>
            <wp:extent cx="1280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12065</wp:posOffset>
            </wp:positionV>
            <wp:extent cx="2005965" cy="994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059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Athira Pharma to Focus on Advancement of ATH-1105 for the Treatment of Neurodegeneratve Diseases</w:t>
      </w:r>
    </w:p>
    <w:p>
      <w:pPr>
        <w:spacing w:after="0" w:line="288"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333333"/>
        </w:rPr>
        <w:t>ATH-1105 is an orally delivered, positve modulator of the neurotrophic HGF system that is currently in a Phase 1 clinical trial with completon expected by year end 2024 and commencement of dosing of ALS patents expected in 2025</w:t>
      </w:r>
    </w:p>
    <w:p>
      <w:pPr>
        <w:spacing w:after="0" w:line="218"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i w:val="1"/>
          <w:iCs w:val="1"/>
          <w:color w:val="333333"/>
        </w:rPr>
        <w:t>Company announces cost containment measures in alignment with focus on advancing ATH-1105</w:t>
      </w:r>
    </w:p>
    <w:p>
      <w:pPr>
        <w:spacing w:after="0" w:line="207" w:lineRule="exact"/>
        <w:rPr>
          <w:sz w:val="20"/>
          <w:szCs w:val="20"/>
          <w:color w:val="auto"/>
        </w:rPr>
      </w:pPr>
    </w:p>
    <w:p>
      <w:pPr>
        <w:ind w:right="260"/>
        <w:spacing w:after="0" w:line="237" w:lineRule="auto"/>
        <w:rPr>
          <w:sz w:val="20"/>
          <w:szCs w:val="20"/>
          <w:color w:val="auto"/>
        </w:rPr>
      </w:pPr>
      <w:r>
        <w:rPr>
          <w:rFonts w:ascii="Calibri" w:cs="Calibri" w:eastAsia="Calibri" w:hAnsi="Calibri"/>
          <w:sz w:val="20"/>
          <w:szCs w:val="20"/>
          <w:b w:val="1"/>
          <w:bCs w:val="1"/>
          <w:color w:val="auto"/>
        </w:rPr>
        <w:t xml:space="preserve">BOTHELL, Wash., September 17, 2024 – Athira Pharma, Inc. </w:t>
      </w:r>
      <w:r>
        <w:rPr>
          <w:rFonts w:ascii="Calibri" w:cs="Calibri" w:eastAsia="Calibri" w:hAnsi="Calibri"/>
          <w:sz w:val="20"/>
          <w:szCs w:val="20"/>
          <w:color w:val="auto"/>
        </w:rPr>
        <w:t>(NASDAQ: ATHA), a clinical stage biopharmaceutcal company focused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developing small molecules to restore neuronal health and slow neurodegeneraton, today announced that following the topline data readout from the Phase 2/3 LIFT-AD clinical trial of fosgonimeton to treat Alzheimer’s disease (AD) the Company plans to focus on advancing the clinical development program for ATH-1105 as a potental treatment for neurodegeneratve diseases, including amyotrophic lateral sclerosis (ALS) and AD. ATH-1105 is the Company’s oral, next-generaton small molecule positve modulator of the neurotrophic hepatocyte growth factor (HGF) system currently in development for the treatment of ALS.</w:t>
      </w:r>
    </w:p>
    <w:p>
      <w:pPr>
        <w:spacing w:after="0" w:line="255"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In alignment with Athira’s focus on contnued development of ATH-1105, the Company is implementng cost containment measures including a reducton in workforce of approximately 70%. Athira expects one-tme costs of approximately $2.8 million and cost savings of approximately $13.4 million on an annualized basis related to the reducton in the workforce. As a result of these cost containment measures and based on its current operatng plan, Athira now expects to extend its cash runway into the frst quarter of 2026. Moving forward, the Company will review and consider various optons including partnering and fnancing with the intent of extending its cash runway to achieve inital proof-of-concept and enable further development for ATH-1105 in neurodegeneratve diseases.</w:t>
      </w:r>
    </w:p>
    <w:p>
      <w:pPr>
        <w:spacing w:after="0" w:line="160"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“We are encouraged about the potental for ATH-1105, as this oral, next-generaton HGF-modulatng drug candidate has enhanced blood-brain-barrier penetraton and improved pharmacokinetc propertes. Our robust preclinical data to date have demonstrated ATH-1105's neuroprotectve efects including a consistent reducton in plasma neuroflament light chain (NfL) levels,” said Mark Liton, Ph.D., President and Chief Executve Ofcer of Athira.</w:t>
      </w:r>
    </w:p>
    <w:p>
      <w:pPr>
        <w:spacing w:after="0" w:line="255"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“The NfL biomarker data from the LIFT-AD study suggests that HGF modulaton may reduce levels of plasma NfL with the potental efect of preventng neurodegeneraton. In ALS, plasma NfL is an established marker of disease progression and neurodegeneraton and reducton in NfL is associated with improvement in clinical outcomes,” said Javier San Martn, M.D., Chief Medical Ofcer of Athira. “We look forward to the contnued development of this promising therapeutc candidate for the potental treatment of neurodegeneratve diseases including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9" w:name="page20"/>
    <w:bookmarkEnd w:id="19"/>
    <w:p>
      <w:pPr>
        <w:ind w:right="280"/>
        <w:spacing w:after="0" w:line="236" w:lineRule="auto"/>
        <w:rPr>
          <w:sz w:val="20"/>
          <w:szCs w:val="20"/>
          <w:color w:val="auto"/>
        </w:rPr>
      </w:pPr>
      <w:r>
        <w:rPr>
          <w:rFonts w:ascii="Calibri" w:cs="Calibri" w:eastAsia="Calibri" w:hAnsi="Calibri"/>
          <w:sz w:val="20"/>
          <w:szCs w:val="20"/>
          <w:color w:val="auto"/>
        </w:rPr>
        <w:t>Dr. Liton added, “I want to thank our colleagues who will be departng from Athira as part of the restructuring and acknowledge their many contributons to the development of therapeutcs that modulate the neurotrophic HGF system, and to the evoluton of our Company. We are sorry to see them go and wish them the very best in the future.”</w:t>
      </w:r>
    </w:p>
    <w:p>
      <w:pPr>
        <w:spacing w:after="0" w:line="252"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The Company is conductng a frst-in-human Phase 1 (NCT 06432647) double-blind, placebo-controlled trial that is enrolling up to 80 healthy volunteers to evaluate single and multple oral ascending doses of ATH-1105. The study is evaluatng the safety and tolerability of ATH-1105 and includes measurements of pharmacokinetc outcomes. Athira completed the frst cohort of healthy volunteers in June 2024 and expects to complete the full study by year-end 2024, with a goal to begin dosing ALS patents in 2025.</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ATH-1105</w:t>
      </w:r>
    </w:p>
    <w:p>
      <w:pPr>
        <w:spacing w:after="0" w:line="9"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ATH-1105 is a next-generaton, orally administered, small molecule drug candidate in development for the potental treatment of ALS. In preclinical models of ALS, ATH-1105 has been shown to signifcantly increase survival, enhance motor and nerve functon, reduce peripheral nerve demyelinaton and axon degeneraton, and improve neurodegeneraton and infammaton.</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Athira Pharma, Inc.</w:t>
      </w:r>
    </w:p>
    <w:p>
      <w:pPr>
        <w:spacing w:after="0" w:line="9" w:lineRule="exact"/>
        <w:rPr>
          <w:sz w:val="20"/>
          <w:szCs w:val="20"/>
          <w:color w:val="auto"/>
        </w:rPr>
      </w:pPr>
    </w:p>
    <w:p>
      <w:pPr>
        <w:ind w:right="500"/>
        <w:spacing w:after="0" w:line="236" w:lineRule="auto"/>
        <w:rPr>
          <w:sz w:val="20"/>
          <w:szCs w:val="20"/>
          <w:color w:val="auto"/>
        </w:rPr>
      </w:pPr>
      <w:r>
        <w:rPr>
          <w:rFonts w:ascii="Calibri" w:cs="Calibri" w:eastAsia="Calibri" w:hAnsi="Calibri"/>
          <w:sz w:val="20"/>
          <w:szCs w:val="20"/>
          <w:color w:val="auto"/>
        </w:rPr>
        <w:t>Athira Pharma, Inc., headquartered in the Seatle, Washington area, is a clinical-stage biopharmaceutcal company focused on developing small molecules to restore neuronal health and slow neurodegeneraton. Athira aims to alter the course of neurological diseases by advancing its pipeline of drug candidates that modulate the neurotrophic HGF system. For more informaton, visit w</w:t>
      </w:r>
      <w:r>
        <w:rPr>
          <w:rFonts w:ascii="Calibri" w:cs="Calibri" w:eastAsia="Calibri" w:hAnsi="Calibri"/>
          <w:sz w:val="20"/>
          <w:szCs w:val="20"/>
          <w:u w:val="single" w:color="auto"/>
          <w:color w:val="auto"/>
        </w:rPr>
        <w:t>ww.athira.com</w:t>
      </w:r>
      <w:r>
        <w:rPr>
          <w:rFonts w:ascii="Calibri" w:cs="Calibri" w:eastAsia="Calibri" w:hAnsi="Calibri"/>
          <w:sz w:val="20"/>
          <w:szCs w:val="20"/>
          <w:color w:val="auto"/>
        </w:rPr>
        <w:t xml:space="preserve">. You can also follow Athira on </w:t>
      </w:r>
      <w:r>
        <w:rPr>
          <w:rFonts w:ascii="Calibri" w:cs="Calibri" w:eastAsia="Calibri" w:hAnsi="Calibri"/>
          <w:sz w:val="20"/>
          <w:szCs w:val="20"/>
          <w:u w:val="single" w:color="auto"/>
          <w:color w:val="auto"/>
        </w:rPr>
        <w:t>Facebook</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LinkedIn</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X</w:t>
      </w:r>
      <w:r>
        <w:rPr>
          <w:rFonts w:ascii="Calibri" w:cs="Calibri" w:eastAsia="Calibri" w:hAnsi="Calibri"/>
          <w:sz w:val="20"/>
          <w:szCs w:val="20"/>
          <w:color w:val="auto"/>
        </w:rPr>
        <w:t xml:space="preserve"> (formerly known as Twiter) and </w:t>
      </w:r>
      <w:r>
        <w:rPr>
          <w:rFonts w:ascii="Calibri" w:cs="Calibri" w:eastAsia="Calibri" w:hAnsi="Calibri"/>
          <w:sz w:val="20"/>
          <w:szCs w:val="20"/>
          <w:u w:val="single" w:color="auto"/>
          <w:color w:val="auto"/>
        </w:rPr>
        <w:t>Instagram</w:t>
      </w:r>
      <w:r>
        <w:rPr>
          <w:rFonts w:ascii="Calibri" w:cs="Calibri" w:eastAsia="Calibri" w:hAnsi="Calibri"/>
          <w:sz w:val="20"/>
          <w:szCs w:val="20"/>
          <w:color w:val="auto"/>
        </w:rPr>
        <w:t>.</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Athira’s drug candidates as potental treatments for amyotrophic lateral sclerosis and other neurodegeneratve diseases; future development plans; the antcipated tming of its ongoing clinical trials and planned clinical trials; the potental learnings from preclinical studies and other nonclinical data and their ability to inform and improve future clinical development plans; expectatons regarding the potental efcacy and commercial potental of Athira’s drug candidates and regarding the safety and tolerability of ATH-1105; Athira’s ability to advance its drug candidates into later stages of development; Athira’s planned focus on the development of ATH-1105 for the treatment of amyotrophic lateral sclerosis; implementaton of the reducton in workforce and related costs and antcipated cost savings; estmates of Athira’s antcipated cash runway; potental future partnerships, fnancings and collaboratons; the ability to advance product candidates into later stages of development; and other informaton that is not historical informaton. Forward-looking statements generally include statements that are predictve in nature and depend upon or refer to future events or conditons, and include words such as “may,” “will,” “should,” “on track,” “would,” “expect,” “plan,” “believe,” “intend,” “pursue,” “contnue,” “suggest,” “potental,” “target” and similar expressions.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from preclinical and clinical trials may not support the safety, efcacy and tolerability of Athira’s drug candidates; development of drug candidates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 w:name="page21"/>
    <w:bookmarkEnd w:id="20"/>
    <w:p>
      <w:pPr>
        <w:spacing w:after="0" w:line="238" w:lineRule="auto"/>
        <w:rPr>
          <w:sz w:val="20"/>
          <w:szCs w:val="20"/>
          <w:color w:val="auto"/>
        </w:rPr>
      </w:pPr>
      <w:r>
        <w:rPr>
          <w:rFonts w:ascii="Calibri" w:cs="Calibri" w:eastAsia="Calibri" w:hAnsi="Calibri"/>
          <w:sz w:val="20"/>
          <w:szCs w:val="20"/>
          <w:color w:val="auto"/>
        </w:rPr>
        <w:t>cease or be delayed; regulatory authorites could object to protocols, amendments and other submissions; future potental regulatory milestones for drug candidates, including those related to current and planned clinical studies, may be insufcient to support regulatory submissions or approval; Athira may not be able to recruit sufcient patents for its clinical trials; the outcome of legal proceedings that have been or may in the future be insttuted against Athira, its directors and ofcers; possible negatve interactons of Athira's drug candidates with other treatments; Athira’s assumptons regarding its fnancial conditon and the sufciency of its cash, cash equivalents and investments to fund its planned operatons may be incorrect; adverse conditons in the general domestc and global economic markets; the impact of competton; the impact of new or changing laws and regulatons; Athira’s assumptons regarding its fnancial conditon may be incorrect; Athira may ultmately not pursue fnancing, may be unsuccessful if it does pursue fnancing or may be unable to fnance on commercially reasonable terms; Athira may fail to successfully implement the reducton in workforce, may incur greater costs than estmated or may not recognize the antcipated resultng cost savings; Athira may be unable to enter into new partnerships, fnancings or collaboratons; as well as the other risks detailed in Athira’s flings with the Securites and Exchange Commission from tme to tme.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  </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&amp; Media Contact:</w:t>
      </w:r>
      <w:r>
        <w:rPr>
          <w:rFonts w:ascii="Calibri" w:cs="Calibri" w:eastAsia="Calibri" w:hAnsi="Calibri"/>
          <w:sz w:val="20"/>
          <w:szCs w:val="20"/>
          <w:color w:val="auto"/>
        </w:rPr>
        <w:t> </w:t>
      </w:r>
    </w:p>
    <w:p>
      <w:pPr>
        <w:spacing w:after="0" w:line="238" w:lineRule="auto"/>
        <w:rPr>
          <w:sz w:val="20"/>
          <w:szCs w:val="20"/>
          <w:color w:val="auto"/>
        </w:rPr>
      </w:pPr>
      <w:r>
        <w:rPr>
          <w:rFonts w:ascii="Calibri" w:cs="Calibri" w:eastAsia="Calibri" w:hAnsi="Calibri"/>
          <w:sz w:val="20"/>
          <w:szCs w:val="20"/>
          <w:color w:val="auto"/>
        </w:rPr>
        <w:t>Julie Rathbun </w:t>
      </w:r>
    </w:p>
    <w:p>
      <w:pPr>
        <w:spacing w:after="0"/>
        <w:rPr>
          <w:sz w:val="20"/>
          <w:szCs w:val="20"/>
          <w:color w:val="auto"/>
        </w:rPr>
      </w:pPr>
      <w:r>
        <w:rPr>
          <w:rFonts w:ascii="Calibri" w:cs="Calibri" w:eastAsia="Calibri" w:hAnsi="Calibri"/>
          <w:sz w:val="20"/>
          <w:szCs w:val="20"/>
          <w:color w:val="auto"/>
        </w:rPr>
        <w:t>Athira Pharma </w:t>
      </w:r>
    </w:p>
    <w:p>
      <w:pPr>
        <w:spacing w:after="0" w:line="238" w:lineRule="auto"/>
        <w:rPr>
          <w:sz w:val="20"/>
          <w:szCs w:val="20"/>
          <w:color w:val="auto"/>
        </w:rPr>
      </w:pPr>
      <w:r>
        <w:rPr>
          <w:rFonts w:ascii="Calibri" w:cs="Calibri" w:eastAsia="Calibri" w:hAnsi="Calibri"/>
          <w:sz w:val="20"/>
          <w:szCs w:val="20"/>
          <w:u w:val="single" w:color="auto"/>
          <w:color w:val="0563C1"/>
        </w:rPr>
        <w:t>Julie.rathbun@athira.com</w:t>
      </w:r>
      <w:r>
        <w:rPr>
          <w:rFonts w:ascii="Calibri" w:cs="Calibri" w:eastAsia="Calibri" w:hAnsi="Calibri"/>
          <w:sz w:val="20"/>
          <w:szCs w:val="20"/>
          <w:color w:val="000000"/>
        </w:rPr>
        <w:t> </w:t>
      </w:r>
    </w:p>
    <w:p>
      <w:pPr>
        <w:spacing w:after="0"/>
        <w:rPr>
          <w:sz w:val="20"/>
          <w:szCs w:val="20"/>
          <w:color w:val="auto"/>
        </w:rPr>
      </w:pPr>
      <w:r>
        <w:rPr>
          <w:rFonts w:ascii="Calibri" w:cs="Calibri" w:eastAsia="Calibri" w:hAnsi="Calibri"/>
          <w:sz w:val="20"/>
          <w:szCs w:val="20"/>
          <w:color w:val="auto"/>
        </w:rPr>
        <w:t>206-769-9219 </w:t>
      </w:r>
    </w:p>
    <w:p>
      <w:pPr>
        <w:spacing w:after="0" w:line="238" w:lineRule="auto"/>
        <w:rPr>
          <w:sz w:val="20"/>
          <w:szCs w:val="20"/>
          <w:color w:val="auto"/>
        </w:rPr>
      </w:pPr>
      <w:r>
        <w:rPr>
          <w:rFonts w:ascii="Calibri" w:cs="Calibri" w:eastAsia="Calibri" w:hAnsi="Calibri"/>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1131570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2024-09-17T08:07:10Z</dcterms:created>
  <dcterms:modified xsi:type="dcterms:W3CDTF">2024-09-17T08:07:10Z</dcterms:modified>
</cp:coreProperties>
</file>