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31" w:before="0" w:after="0"/>
        <w:jc w:val="left"/>
        <w:rPr/>
      </w:pPr>
      <w:bookmarkStart w:id="0" w:name="atha-20220512.htm"/>
      <w:bookmarkStart w:id="1" w:name="ksatha20220512"/>
      <w:bookmarkEnd w:id="0"/>
      <w:bookmarkEnd w:id="1"/>
      <w:r>
        <w:rPr/>
        <w:t> </w:t>
      </w:r>
    </w:p>
    <w:p>
      <w:pPr>
        <w:pStyle w:val="TextBody"/>
        <w:pBdr>
          <w:bottom w:val="double" w:sz="6" w:space="1" w:color="000000"/>
        </w:pBdr>
        <w:spacing w:lineRule="auto" w:line="283" w:before="0" w:after="0"/>
        <w:jc w:val="left"/>
        <w:rPr/>
      </w:pPr>
      <w:r>
        <w:rPr/>
        <w:t> </w:t>
      </w:r>
    </w:p>
    <w:p>
      <w:pPr>
        <w:pStyle w:val="TextBody"/>
        <w:spacing w:lineRule="auto" w:line="273" w:before="0" w:after="0"/>
        <w:jc w:val="left"/>
        <w:rPr/>
      </w:pPr>
      <w:r>
        <w:rPr/>
        <w:t> </w:t>
      </w:r>
    </w:p>
    <w:p>
      <w:pPr>
        <w:pStyle w:val="TextBody"/>
        <w:spacing w:lineRule="auto" w:line="218" w:before="0" w:after="0"/>
        <w:jc w:val="center"/>
        <w:rPr>
          <w:rFonts w:ascii="Times New Roman" w:hAnsi="Times New Roman"/>
          <w:b/>
          <w:sz w:val="36"/>
        </w:rPr>
      </w:pPr>
      <w:r>
        <w:rPr>
          <w:rFonts w:ascii="Times New Roman" w:hAnsi="Times New Roman"/>
          <w:b/>
          <w:sz w:val="36"/>
        </w:rPr>
        <w:t>UNITED STATES</w:t>
      </w:r>
    </w:p>
    <w:p>
      <w:pPr>
        <w:pStyle w:val="TextBody"/>
        <w:spacing w:lineRule="auto" w:line="218" w:before="0" w:after="0"/>
        <w:jc w:val="center"/>
        <w:rPr>
          <w:rFonts w:ascii="Times New Roman" w:hAnsi="Times New Roman"/>
          <w:b/>
          <w:sz w:val="36"/>
        </w:rPr>
      </w:pPr>
      <w:bookmarkStart w:id="2" w:name="agm_results"/>
      <w:bookmarkEnd w:id="2"/>
      <w:r>
        <w:rPr>
          <w:rFonts w:ascii="Times New Roman" w:hAnsi="Times New Roman"/>
          <w:b/>
          <w:sz w:val="36"/>
        </w:rPr>
        <w:t>SECURITIES AND EXCHANGE COMMISSION</w:t>
      </w:r>
    </w:p>
    <w:p>
      <w:pPr>
        <w:pStyle w:val="TextBody"/>
        <w:spacing w:lineRule="auto" w:line="218"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4" w:space="1" w:color="000000"/>
        </w:pBdr>
        <w:spacing w:lineRule="auto" w:line="273" w:before="0" w:after="0"/>
        <w:jc w:val="center"/>
        <w:rPr/>
      </w:pPr>
      <w:r>
        <w:rPr/>
        <w:t> </w:t>
      </w:r>
    </w:p>
    <w:p>
      <w:pPr>
        <w:pStyle w:val="TextBody"/>
        <w:spacing w:lineRule="auto" w:line="273" w:before="40" w:after="0"/>
        <w:jc w:val="center"/>
        <w:rPr>
          <w:rFonts w:ascii="Times New Roman" w:hAnsi="Times New Roman"/>
          <w:b/>
          <w:sz w:val="36"/>
        </w:rPr>
      </w:pPr>
      <w:r>
        <w:rPr>
          <w:rFonts w:ascii="Times New Roman" w:hAnsi="Times New Roman"/>
          <w:b/>
          <w:sz w:val="36"/>
        </w:rPr>
        <w:t>FORM 8-K</w:t>
      </w:r>
    </w:p>
    <w:p>
      <w:pPr>
        <w:pStyle w:val="TextBody"/>
        <w:pBdr>
          <w:bottom w:val="single" w:sz="4" w:space="1" w:color="000000"/>
        </w:pBdr>
        <w:spacing w:lineRule="auto" w:line="273" w:before="0" w:after="0"/>
        <w:jc w:val="center"/>
        <w:rPr/>
      </w:pPr>
      <w:r>
        <w:rPr/>
        <w:t> </w:t>
      </w:r>
    </w:p>
    <w:p>
      <w:pPr>
        <w:pStyle w:val="TextBody"/>
        <w:spacing w:lineRule="auto" w:line="273" w:before="200" w:after="0"/>
        <w:jc w:val="center"/>
        <w:rPr>
          <w:rFonts w:ascii="Times New Roman" w:hAnsi="Times New Roman"/>
          <w:b/>
          <w:sz w:val="24"/>
        </w:rPr>
      </w:pPr>
      <w:r>
        <w:rPr>
          <w:rFonts w:ascii="Times New Roman" w:hAnsi="Times New Roman"/>
          <w:b/>
          <w:sz w:val="24"/>
        </w:rPr>
        <w:t>CURRENT REPORT</w:t>
      </w:r>
    </w:p>
    <w:p>
      <w:pPr>
        <w:pStyle w:val="TextBody"/>
        <w:spacing w:lineRule="auto" w:line="273" w:before="0" w:after="0"/>
        <w:jc w:val="center"/>
        <w:rPr>
          <w:rFonts w:ascii="Times New Roman" w:hAnsi="Times New Roman"/>
          <w:b/>
          <w:sz w:val="24"/>
        </w:rPr>
      </w:pPr>
      <w:r>
        <w:rPr>
          <w:rFonts w:ascii="Times New Roman" w:hAnsi="Times New Roman"/>
          <w:b/>
          <w:sz w:val="24"/>
        </w:rPr>
        <w:t>Pursuant to Section 13 or 15(d) of the Securities Exchange Act of 1934</w:t>
      </w:r>
    </w:p>
    <w:p>
      <w:pPr>
        <w:pStyle w:val="TextBody"/>
        <w:spacing w:lineRule="auto" w:line="268" w:before="0" w:after="0"/>
        <w:jc w:val="center"/>
        <w:rPr>
          <w:rFonts w:ascii="Times New Roman" w:hAnsi="Times New Roman"/>
          <w:b/>
          <w:sz w:val="20"/>
        </w:rPr>
      </w:pPr>
      <w:r>
        <w:rPr>
          <w:rFonts w:ascii="Times New Roman" w:hAnsi="Times New Roman"/>
          <w:b/>
          <w:sz w:val="20"/>
        </w:rPr>
        <w:t>Date of Report (Date of earliest event reported): May 12, 2022</w:t>
      </w:r>
    </w:p>
    <w:p>
      <w:pPr>
        <w:pStyle w:val="TextBody"/>
        <w:pBdr>
          <w:bottom w:val="single" w:sz="4" w:space="1" w:color="000000"/>
        </w:pBdr>
        <w:spacing w:lineRule="auto" w:line="331" w:before="0" w:after="0"/>
        <w:jc w:val="center"/>
        <w:rPr/>
      </w:pPr>
      <w:r>
        <w:rPr/>
        <w:t> </w:t>
      </w:r>
    </w:p>
    <w:p>
      <w:pPr>
        <w:pStyle w:val="TextBody"/>
        <w:spacing w:lineRule="auto" w:line="273" w:before="160" w:after="0"/>
        <w:jc w:val="center"/>
        <w:rPr>
          <w:rFonts w:ascii="Times New Roman" w:hAnsi="Times New Roman"/>
          <w:b/>
          <w:sz w:val="48"/>
        </w:rPr>
      </w:pPr>
      <w:r>
        <w:rPr>
          <w:rFonts w:ascii="Times New Roman" w:hAnsi="Times New Roman"/>
          <w:b/>
          <w:sz w:val="48"/>
        </w:rPr>
        <w:t>Athira Pharma, Inc.</w:t>
      </w:r>
    </w:p>
    <w:p>
      <w:pPr>
        <w:pStyle w:val="TextBody"/>
        <w:spacing w:lineRule="auto" w:line="273" w:before="0" w:after="0"/>
        <w:jc w:val="center"/>
        <w:rPr>
          <w:rFonts w:ascii="Times New Roman" w:hAnsi="Times New Roman"/>
          <w:b/>
          <w:sz w:val="16"/>
        </w:rPr>
      </w:pPr>
      <w:r>
        <w:rPr>
          <w:rFonts w:ascii="Times New Roman" w:hAnsi="Times New Roman"/>
          <w:b/>
          <w:sz w:val="16"/>
        </w:rPr>
        <w:t>(Exact name of registrant as specified in its charter)</w:t>
      </w:r>
    </w:p>
    <w:p>
      <w:pPr>
        <w:pStyle w:val="TextBody"/>
        <w:pBdr>
          <w:bottom w:val="single" w:sz="4" w:space="1" w:color="000000"/>
        </w:pBdr>
        <w:spacing w:lineRule="auto" w:line="273" w:before="0" w:after="0"/>
        <w:jc w:val="center"/>
        <w:rPr/>
      </w:pPr>
      <w:r>
        <w:rPr/>
        <w:t> </w:t>
      </w:r>
    </w:p>
    <w:p>
      <w:pPr>
        <w:pStyle w:val="TextBody"/>
        <w:spacing w:lineRule="auto" w:line="273" w:before="0" w:after="0"/>
        <w:jc w:val="center"/>
        <w:rPr/>
      </w:pPr>
      <w:r>
        <w:rPr/>
        <w:t> </w:t>
      </w:r>
    </w:p>
    <w:tbl>
      <w:tblPr>
        <w:tblW w:w="4623" w:type="dxa"/>
        <w:jc w:val="left"/>
        <w:tblInd w:w="0" w:type="dxa"/>
        <w:tblCellMar>
          <w:top w:w="28" w:type="dxa"/>
          <w:left w:w="28" w:type="dxa"/>
          <w:bottom w:w="28" w:type="dxa"/>
          <w:right w:w="28" w:type="dxa"/>
        </w:tblCellMar>
      </w:tblPr>
      <w:tblGrid>
        <w:gridCol w:w="2071"/>
        <w:gridCol w:w="1066"/>
        <w:gridCol w:w="1486"/>
      </w:tblGrid>
      <w:tr>
        <w:trPr/>
        <w:tc>
          <w:tcPr>
            <w:tcW w:w="207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tcMar>
              <w:top w:w="0" w:type="dxa"/>
              <w:left w:w="0" w:type="dxa"/>
              <w:bottom w:w="0" w:type="dxa"/>
              <w:right w:w="0" w:type="dxa"/>
            </w:tcMar>
            <w:vAlign w:val="center"/>
          </w:tcPr>
          <w:p>
            <w:pPr>
              <w:pStyle w:val="TableContents"/>
              <w:spacing w:lineRule="auto" w:line="252" w:before="40" w:after="40"/>
              <w:ind w:left="0" w:right="0" w:hanging="0"/>
              <w:jc w:val="center"/>
              <w:rPr>
                <w:rFonts w:ascii="Times New Roman" w:hAnsi="Times New Roman"/>
                <w:b/>
                <w:sz w:val="20"/>
              </w:rPr>
            </w:pPr>
            <w:r>
              <w:rPr>
                <w:rFonts w:ascii="Times New Roman" w:hAnsi="Times New Roman"/>
                <w:b/>
                <w:sz w:val="20"/>
              </w:rPr>
              <w:t>Delaware</w:t>
            </w:r>
          </w:p>
        </w:tc>
        <w:tc>
          <w:tcPr>
            <w:tcW w:w="1066" w:type="dxa"/>
            <w:tcBorders/>
            <w:shd w:fill="auto" w:val="clear"/>
            <w:tcMar>
              <w:top w:w="0" w:type="dxa"/>
              <w:left w:w="0" w:type="dxa"/>
              <w:bottom w:w="0" w:type="dxa"/>
              <w:right w:w="0" w:type="dxa"/>
            </w:tcMar>
            <w:vAlign w:val="center"/>
          </w:tcPr>
          <w:p>
            <w:pPr>
              <w:pStyle w:val="TableContents"/>
              <w:spacing w:lineRule="auto" w:line="252" w:before="40" w:after="40"/>
              <w:ind w:left="0" w:right="0" w:hanging="0"/>
              <w:jc w:val="center"/>
              <w:rPr>
                <w:rFonts w:ascii="Times New Roman" w:hAnsi="Times New Roman"/>
                <w:b/>
                <w:sz w:val="20"/>
              </w:rPr>
            </w:pPr>
            <w:r>
              <w:rPr>
                <w:rFonts w:ascii="Times New Roman" w:hAnsi="Times New Roman"/>
                <w:b/>
                <w:sz w:val="20"/>
              </w:rPr>
              <w:t>001-39503</w:t>
            </w:r>
          </w:p>
        </w:tc>
        <w:tc>
          <w:tcPr>
            <w:tcW w:w="1486" w:type="dxa"/>
            <w:tcBorders/>
            <w:shd w:fill="auto" w:val="clear"/>
            <w:tcMar>
              <w:top w:w="0" w:type="dxa"/>
              <w:left w:w="0" w:type="dxa"/>
              <w:bottom w:w="0" w:type="dxa"/>
              <w:right w:w="0" w:type="dxa"/>
            </w:tcMar>
            <w:vAlign w:val="center"/>
          </w:tcPr>
          <w:p>
            <w:pPr>
              <w:pStyle w:val="TableContents"/>
              <w:spacing w:lineRule="auto" w:line="252" w:before="40" w:after="40"/>
              <w:ind w:left="0" w:right="0" w:hanging="0"/>
              <w:jc w:val="center"/>
              <w:rPr>
                <w:rFonts w:ascii="Times New Roman" w:hAnsi="Times New Roman"/>
                <w:b/>
                <w:sz w:val="20"/>
              </w:rPr>
            </w:pPr>
            <w:r>
              <w:rPr>
                <w:rFonts w:ascii="Times New Roman" w:hAnsi="Times New Roman"/>
                <w:b/>
                <w:sz w:val="20"/>
              </w:rPr>
              <w:t>45-3368487</w:t>
            </w:r>
          </w:p>
        </w:tc>
      </w:tr>
      <w:tr>
        <w:trPr/>
        <w:tc>
          <w:tcPr>
            <w:tcW w:w="2071" w:type="dxa"/>
            <w:tcBorders/>
            <w:shd w:fill="auto" w:val="clear"/>
            <w:tcMar>
              <w:top w:w="0" w:type="dxa"/>
              <w:left w:w="0" w:type="dxa"/>
              <w:bottom w:w="0" w:type="dxa"/>
              <w:right w:w="0" w:type="dxa"/>
            </w:tcMar>
            <w:vAlign w:val="center"/>
          </w:tcPr>
          <w:p>
            <w:pPr>
              <w:pStyle w:val="TableContents"/>
              <w:spacing w:lineRule="auto" w:line="252" w:before="40" w:after="0"/>
              <w:ind w:left="0" w:right="0" w:hanging="0"/>
              <w:jc w:val="center"/>
              <w:rPr>
                <w:rFonts w:ascii="Times New Roman" w:hAnsi="Times New Roman"/>
                <w:b/>
                <w:sz w:val="16"/>
              </w:rPr>
            </w:pPr>
            <w:r>
              <w:rPr>
                <w:rFonts w:ascii="Times New Roman" w:hAnsi="Times New Roman"/>
                <w:b/>
                <w:sz w:val="16"/>
              </w:rPr>
              <w:t>(State or other jurisdiction</w:t>
            </w:r>
          </w:p>
          <w:p>
            <w:pPr>
              <w:pStyle w:val="TableContents"/>
              <w:spacing w:lineRule="auto" w:line="252" w:before="0" w:after="40"/>
              <w:ind w:left="0" w:right="0" w:hanging="0"/>
              <w:jc w:val="center"/>
              <w:rPr>
                <w:rFonts w:ascii="Times New Roman" w:hAnsi="Times New Roman"/>
                <w:b/>
                <w:sz w:val="16"/>
              </w:rPr>
            </w:pPr>
            <w:r>
              <w:rPr>
                <w:rFonts w:ascii="Times New Roman" w:hAnsi="Times New Roman"/>
                <w:b/>
                <w:sz w:val="16"/>
              </w:rPr>
              <w:t>of incorporation)</w:t>
            </w:r>
          </w:p>
        </w:tc>
        <w:tc>
          <w:tcPr>
            <w:tcW w:w="1066" w:type="dxa"/>
            <w:tcBorders/>
            <w:shd w:fill="auto" w:val="clear"/>
            <w:tcMar>
              <w:top w:w="0" w:type="dxa"/>
              <w:left w:w="0" w:type="dxa"/>
              <w:bottom w:w="0" w:type="dxa"/>
              <w:right w:w="0" w:type="dxa"/>
            </w:tcMar>
            <w:vAlign w:val="center"/>
          </w:tcPr>
          <w:p>
            <w:pPr>
              <w:pStyle w:val="TableContents"/>
              <w:spacing w:lineRule="auto" w:line="252" w:before="40" w:after="0"/>
              <w:ind w:left="0" w:right="0" w:hanging="0"/>
              <w:jc w:val="center"/>
              <w:rPr>
                <w:rFonts w:ascii="Times New Roman" w:hAnsi="Times New Roman"/>
                <w:b/>
                <w:sz w:val="16"/>
              </w:rPr>
            </w:pPr>
            <w:r>
              <w:rPr>
                <w:rFonts w:ascii="Times New Roman" w:hAnsi="Times New Roman"/>
                <w:b/>
                <w:sz w:val="16"/>
              </w:rPr>
              <w:t>(Commission</w:t>
            </w:r>
          </w:p>
          <w:p>
            <w:pPr>
              <w:pStyle w:val="TableContents"/>
              <w:spacing w:lineRule="auto" w:line="252" w:before="0" w:after="40"/>
              <w:ind w:left="0" w:right="0" w:hanging="0"/>
              <w:jc w:val="center"/>
              <w:rPr>
                <w:rFonts w:ascii="Times New Roman" w:hAnsi="Times New Roman"/>
                <w:b/>
                <w:sz w:val="16"/>
              </w:rPr>
            </w:pPr>
            <w:r>
              <w:rPr>
                <w:rFonts w:ascii="Times New Roman" w:hAnsi="Times New Roman"/>
                <w:b/>
                <w:sz w:val="16"/>
              </w:rPr>
              <w:t>File Number)</w:t>
            </w:r>
          </w:p>
        </w:tc>
        <w:tc>
          <w:tcPr>
            <w:tcW w:w="1486" w:type="dxa"/>
            <w:tcBorders/>
            <w:shd w:fill="auto" w:val="clear"/>
            <w:tcMar>
              <w:top w:w="0" w:type="dxa"/>
              <w:left w:w="0" w:type="dxa"/>
              <w:bottom w:w="0" w:type="dxa"/>
              <w:right w:w="0" w:type="dxa"/>
            </w:tcMar>
            <w:vAlign w:val="center"/>
          </w:tcPr>
          <w:p>
            <w:pPr>
              <w:pStyle w:val="TableContents"/>
              <w:spacing w:lineRule="auto" w:line="252" w:before="40" w:after="0"/>
              <w:ind w:left="0" w:right="0" w:hanging="0"/>
              <w:jc w:val="center"/>
              <w:rPr>
                <w:rFonts w:ascii="Times New Roman" w:hAnsi="Times New Roman"/>
                <w:b/>
                <w:sz w:val="16"/>
              </w:rPr>
            </w:pPr>
            <w:r>
              <w:rPr>
                <w:rFonts w:ascii="Times New Roman" w:hAnsi="Times New Roman"/>
                <w:b/>
                <w:sz w:val="16"/>
              </w:rPr>
              <w:t>(IRS Employer</w:t>
            </w:r>
          </w:p>
          <w:p>
            <w:pPr>
              <w:pStyle w:val="TableContents"/>
              <w:spacing w:lineRule="auto" w:line="252" w:before="0" w:after="40"/>
              <w:ind w:left="0" w:right="0" w:hanging="0"/>
              <w:jc w:val="center"/>
              <w:rPr>
                <w:rFonts w:ascii="Times New Roman" w:hAnsi="Times New Roman"/>
                <w:b/>
                <w:sz w:val="16"/>
              </w:rPr>
            </w:pPr>
            <w:r>
              <w:rPr>
                <w:rFonts w:ascii="Times New Roman" w:hAnsi="Times New Roman"/>
                <w:b/>
                <w:sz w:val="16"/>
              </w:rPr>
              <w:t>Identification No.)</w:t>
            </w:r>
          </w:p>
        </w:tc>
      </w:tr>
    </w:tbl>
    <w:p>
      <w:pPr>
        <w:pStyle w:val="TextBody"/>
        <w:spacing w:lineRule="auto" w:line="331"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18706 North Creek Parkway, Suite 104</w:t>
        <w:br/>
        <w:t>Bothell, WA</w:t>
      </w:r>
      <w:r>
        <w:rPr>
          <w:rFonts w:ascii="Times New Roman" w:hAnsi="Times New Roman"/>
          <w:sz w:val="20"/>
        </w:rPr>
        <w:t xml:space="preserve"> </w:t>
      </w:r>
      <w:r>
        <w:rPr>
          <w:rFonts w:ascii="Times New Roman" w:hAnsi="Times New Roman"/>
          <w:b/>
          <w:sz w:val="20"/>
        </w:rPr>
        <w:t>98011</w:t>
      </w:r>
    </w:p>
    <w:p>
      <w:pPr>
        <w:pStyle w:val="TextBody"/>
        <w:spacing w:lineRule="auto" w:line="283"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spacing w:lineRule="auto" w:line="283" w:before="0" w:after="0"/>
        <w:jc w:val="center"/>
        <w:rPr/>
      </w:pPr>
      <w:r>
        <w:rPr/>
        <w:t> </w:t>
      </w:r>
    </w:p>
    <w:p>
      <w:pPr>
        <w:pStyle w:val="TextBody"/>
        <w:spacing w:lineRule="auto" w:line="283" w:before="0" w:after="0"/>
        <w:jc w:val="center"/>
        <w:rPr>
          <w:rFonts w:ascii="Times New Roman" w:hAnsi="Times New Roman"/>
          <w:b/>
          <w:sz w:val="20"/>
        </w:rPr>
      </w:pPr>
      <w:r>
        <w:rPr>
          <w:rFonts w:ascii="Times New Roman" w:hAnsi="Times New Roman"/>
          <w:b/>
          <w:sz w:val="20"/>
        </w:rPr>
        <w:t>(425) 620-8501</w:t>
      </w:r>
    </w:p>
    <w:p>
      <w:pPr>
        <w:pStyle w:val="TextBody"/>
        <w:spacing w:lineRule="auto" w:line="283"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lineRule="auto" w:line="283" w:before="0" w:after="0"/>
        <w:jc w:val="center"/>
        <w:rPr/>
      </w:pPr>
      <w:r>
        <w:rPr/>
        <w:t> </w:t>
      </w:r>
    </w:p>
    <w:p>
      <w:pPr>
        <w:pStyle w:val="TextBody"/>
        <w:spacing w:lineRule="auto" w:line="283"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pBdr>
          <w:bottom w:val="single" w:sz="4" w:space="1" w:color="000000"/>
        </w:pBdr>
        <w:spacing w:lineRule="auto" w:line="331" w:before="0" w:after="0"/>
        <w:jc w:val="center"/>
        <w:rPr/>
      </w:pPr>
      <w:r>
        <w:rPr/>
        <w:t> </w:t>
      </w:r>
    </w:p>
    <w:p>
      <w:pPr>
        <w:pStyle w:val="TextBody"/>
        <w:spacing w:lineRule="auto" w:line="218" w:before="120" w:after="0"/>
        <w:jc w:val="left"/>
        <w:rPr>
          <w:rFonts w:ascii="Times New Roman" w:hAnsi="Times New Roman"/>
          <w:b w:val="false"/>
          <w:sz w:val="20"/>
        </w:rPr>
      </w:pPr>
      <w:r>
        <w:rPr>
          <w:rFonts w:ascii="Times New Roman" w:hAnsi="Times New Roman"/>
          <w:b w:val="false"/>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283" w:before="0" w:after="0"/>
        <w:jc w:val="left"/>
        <w:rPr/>
      </w:pPr>
      <w:r>
        <w:rPr/>
        <w:t> </w:t>
      </w:r>
    </w:p>
    <w:tbl>
      <w:tblPr>
        <w:tblW w:w="9512" w:type="dxa"/>
        <w:jc w:val="left"/>
        <w:tblInd w:w="0" w:type="dxa"/>
        <w:tblCellMar>
          <w:top w:w="28" w:type="dxa"/>
          <w:left w:w="28" w:type="dxa"/>
          <w:bottom w:w="28" w:type="dxa"/>
          <w:right w:w="28" w:type="dxa"/>
        </w:tblCellMar>
      </w:tblPr>
      <w:tblGrid>
        <w:gridCol w:w="331"/>
        <w:gridCol w:w="9181"/>
      </w:tblGrid>
      <w:tr>
        <w:trPr/>
        <w:tc>
          <w:tcPr>
            <w:tcW w:w="331" w:type="dxa"/>
            <w:tcBorders/>
            <w:shd w:fill="auto" w:val="clear"/>
            <w:vAlign w:val="center"/>
          </w:tcPr>
          <w:p>
            <w:pPr>
              <w:pStyle w:val="TableContents"/>
              <w:spacing w:before="0" w:after="283"/>
              <w:rPr>
                <w:sz w:val="4"/>
                <w:szCs w:val="4"/>
              </w:rPr>
            </w:pPr>
            <w:r>
              <w:rPr>
                <w:sz w:val="4"/>
                <w:szCs w:val="4"/>
              </w:rPr>
            </w:r>
          </w:p>
        </w:tc>
        <w:tc>
          <w:tcPr>
            <w:tcW w:w="918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Written communications pursuant to Rule 425 under the Securities Act (17 CFR 230.425)</w:t>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Soliciting material pursuant to Rule 14a-12 under the Exchange Act (17 CFR 240.14a-12)</w:t>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Pre-commencement communications pursuant to Rule 14d-2(b) under the Exchange Act (17 CFR 240.14d-2(b))</w:t>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Pre-commencement communications pursuant to Rule 13e-4(c) under the Exchange Act (17 CFR 240.13e-4(c))</w:t>
            </w:r>
          </w:p>
        </w:tc>
      </w:tr>
    </w:tbl>
    <w:p>
      <w:pPr>
        <w:pStyle w:val="TextBody"/>
        <w:spacing w:lineRule="auto" w:line="218" w:before="120" w:after="120"/>
        <w:jc w:val="left"/>
        <w:rPr>
          <w:rFonts w:ascii="Times New Roman" w:hAnsi="Times New Roman"/>
          <w:b w:val="false"/>
          <w:sz w:val="20"/>
        </w:rPr>
      </w:pPr>
      <w:r>
        <w:rPr>
          <w:rFonts w:ascii="Times New Roman" w:hAnsi="Times New Roman"/>
          <w:b w:val="false"/>
          <w:sz w:val="20"/>
        </w:rPr>
        <w:t>Securities registered pursuant to Section 12(b) of the Act:</w:t>
      </w:r>
    </w:p>
    <w:tbl>
      <w:tblPr>
        <w:tblW w:w="8058" w:type="dxa"/>
        <w:jc w:val="left"/>
        <w:tblInd w:w="0" w:type="dxa"/>
        <w:tblCellMar>
          <w:top w:w="28" w:type="dxa"/>
          <w:left w:w="28" w:type="dxa"/>
          <w:bottom w:w="28" w:type="dxa"/>
          <w:right w:w="28" w:type="dxa"/>
        </w:tblCellMar>
      </w:tblPr>
      <w:tblGrid>
        <w:gridCol w:w="3286"/>
        <w:gridCol w:w="145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 of each class</w:t>
            </w:r>
          </w:p>
        </w:tc>
        <w:tc>
          <w:tcPr>
            <w:tcW w:w="14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Trading Symbol(s)</w:t>
            </w:r>
          </w:p>
        </w:tc>
        <w:tc>
          <w:tcPr>
            <w:tcW w:w="3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2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Common Stock, $0.0001 par value per share</w:t>
            </w:r>
          </w:p>
        </w:tc>
        <w:tc>
          <w:tcPr>
            <w:tcW w:w="14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ATHA</w:t>
            </w:r>
          </w:p>
        </w:tc>
        <w:tc>
          <w:tcPr>
            <w:tcW w:w="3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18"/>
              </w:rPr>
              <w:t>The Nasdaq Stock Market LLC</w:t>
            </w:r>
            <w:r>
              <w:rPr>
                <w:rFonts w:ascii="Times New Roman" w:hAnsi="Times New Roman"/>
                <w:sz w:val="20"/>
              </w:rPr>
              <w:t> </w:t>
            </w:r>
            <w:r>
              <w:rPr>
                <w:rFonts w:ascii="Times New Roman" w:hAnsi="Times New Roman"/>
                <w:b w:val="false"/>
                <w:sz w:val="18"/>
              </w:rPr>
              <w:br/>
              <w:t>(The Nasdaq Global Select Market)</w:t>
            </w:r>
          </w:p>
        </w:tc>
      </w:tr>
    </w:tbl>
    <w:p>
      <w:pPr>
        <w:pStyle w:val="TextBody"/>
        <w:spacing w:lineRule="auto" w:line="283" w:before="0" w:after="0"/>
        <w:jc w:val="left"/>
        <w:rPr/>
      </w:pPr>
      <w:r>
        <w:rPr/>
        <w:t> </w:t>
      </w:r>
    </w:p>
    <w:p>
      <w:pPr>
        <w:pStyle w:val="TextBody"/>
        <w:spacing w:lineRule="auto" w:line="218" w:before="0" w:after="120"/>
        <w:jc w:val="left"/>
        <w:rPr>
          <w:rFonts w:ascii="Times New Roman" w:hAnsi="Times New Roman"/>
          <w:b w:val="false"/>
          <w:sz w:val="20"/>
        </w:rPr>
      </w:pPr>
      <w:r>
        <w:rPr>
          <w:rFonts w:ascii="Times New Roman" w:hAnsi="Times New Roman"/>
          <w:b w:val="false"/>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CellMar>
          <w:top w:w="28" w:type="dxa"/>
          <w:left w:w="28" w:type="dxa"/>
          <w:bottom w:w="28" w:type="dxa"/>
          <w:right w:w="28" w:type="dxa"/>
        </w:tblCellMar>
      </w:tblPr>
      <w:tblGrid>
        <w:gridCol w:w="2401"/>
        <w:gridCol w:w="361"/>
      </w:tblGrid>
      <w:tr>
        <w:trPr/>
        <w:tc>
          <w:tcPr>
            <w:tcW w:w="240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401" w:type="dxa"/>
            <w:tcBorders/>
            <w:shd w:fill="auto" w:val="clear"/>
            <w:tcMar>
              <w:top w:w="0" w:type="dxa"/>
              <w:left w:w="0" w:type="dxa"/>
              <w:bottom w:w="0" w:type="dxa"/>
              <w:right w:w="0" w:type="dxa"/>
            </w:tcMar>
            <w:vAlign w:val="center"/>
          </w:tcPr>
          <w:p>
            <w:pPr>
              <w:pStyle w:val="TableContents"/>
              <w:spacing w:lineRule="auto" w:line="252" w:before="40" w:after="0"/>
              <w:ind w:left="0" w:right="0" w:hanging="0"/>
              <w:jc w:val="left"/>
              <w:rPr>
                <w:rFonts w:ascii="Times New Roman" w:hAnsi="Times New Roman"/>
                <w:b w:val="false"/>
                <w:sz w:val="20"/>
              </w:rPr>
            </w:pPr>
            <w:r>
              <w:rPr>
                <w:rFonts w:ascii="Times New Roman" w:hAnsi="Times New Roman"/>
                <w:b w:val="false"/>
                <w:sz w:val="20"/>
              </w:rPr>
              <w:t>Emerging Growth Company</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bl>
    <w:p>
      <w:pPr>
        <w:pStyle w:val="TextBody"/>
        <w:spacing w:lineRule="auto" w:line="218" w:before="80" w:after="0"/>
        <w:jc w:val="left"/>
        <w:rPr>
          <w:rFonts w:ascii="Times New Roman" w:hAnsi="Times New Roman"/>
          <w:sz w:val="20"/>
        </w:rPr>
      </w:pPr>
      <w:r>
        <w:rPr>
          <w:rFonts w:ascii="Times New Roman" w:hAnsi="Times New Roman"/>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pBdr>
          <w:bottom w:val="double" w:sz="6" w:space="1" w:color="000000"/>
        </w:pBdr>
        <w:spacing w:lineRule="auto" w:line="283" w:before="0" w:after="0"/>
        <w:jc w:val="left"/>
        <w:rPr/>
      </w:pPr>
      <w:r>
        <w:rPr/>
        <w:t> </w:t>
      </w:r>
    </w:p>
    <w:p>
      <w:pPr>
        <w:pStyle w:val="TextBody"/>
        <w:spacing w:lineRule="auto" w:line="331" w:before="0" w:after="0"/>
        <w:jc w:val="left"/>
        <w:rPr/>
      </w:pPr>
      <w:r>
        <w:rPr/>
        <w:t> </w:t>
      </w:r>
    </w:p>
    <w:p>
      <w:pPr>
        <w:pStyle w:val="TextBody"/>
        <w:spacing w:lineRule="auto" w:line="273" w:before="0" w:after="0"/>
        <w:jc w:val="center"/>
        <w:rPr/>
      </w:pPr>
      <w:r>
        <w:rPr/>
        <w:t> </w:t>
      </w:r>
    </w:p>
    <w:p>
      <w:pPr>
        <w:pStyle w:val="TextBody"/>
        <w:spacing w:lineRule="auto" w:line="331" w:before="0" w:after="0"/>
        <w:jc w:val="left"/>
        <w:rPr/>
      </w:pPr>
      <w:r>
        <w:rPr/>
        <w:t> </w:t>
      </w:r>
    </w:p>
    <w:p>
      <w:pPr>
        <w:pStyle w:val="HorizontalLine"/>
        <w:rPr/>
      </w:pPr>
      <w:r>
        <w:rPr/>
      </w:r>
    </w:p>
    <w:p>
      <w:pPr>
        <w:pStyle w:val="TextBody"/>
        <w:spacing w:lineRule="auto" w:line="331" w:before="0" w:after="0"/>
        <w:jc w:val="left"/>
        <w:rPr/>
      </w:pPr>
      <w:r>
        <w:rPr/>
        <w:t> </w:t>
      </w:r>
    </w:p>
    <w:p>
      <w:pPr>
        <w:pStyle w:val="TextBody"/>
        <w:spacing w:lineRule="auto" w:line="331" w:before="0" w:after="0"/>
        <w:jc w:val="left"/>
        <w:rPr>
          <w:rFonts w:ascii="Times New Roman" w:hAnsi="Times New Roman"/>
          <w:b/>
          <w:sz w:val="20"/>
        </w:rPr>
      </w:pPr>
      <w:r>
        <w:rPr>
          <w:rFonts w:ascii="Times New Roman" w:hAnsi="Times New Roman"/>
          <w:b/>
          <w:sz w:val="20"/>
        </w:rPr>
        <w:t>Item 2.02 Results of Operations and Financial Condition.</w:t>
      </w:r>
    </w:p>
    <w:p>
      <w:pPr>
        <w:pStyle w:val="TextBody"/>
        <w:spacing w:lineRule="auto" w:line="331" w:before="120" w:after="0"/>
        <w:jc w:val="left"/>
        <w:rPr>
          <w:rFonts w:ascii="Times New Roman" w:hAnsi="Times New Roman"/>
          <w:b w:val="false"/>
          <w:sz w:val="20"/>
        </w:rPr>
      </w:pPr>
      <w:r>
        <w:rPr>
          <w:rFonts w:ascii="Times New Roman" w:hAnsi="Times New Roman"/>
          <w:b w:val="false"/>
          <w:sz w:val="20"/>
        </w:rPr>
        <w:t>On May 12, 2022, Athira Pharma, Inc. (the “Company”) issued a press release reporting its financial results for the quarter ended March 31, 2022. A copy of the press release is furnished herewith as Exhibit 99.1.</w:t>
      </w:r>
    </w:p>
    <w:p>
      <w:pPr>
        <w:pStyle w:val="TextBody"/>
        <w:spacing w:lineRule="auto" w:line="283" w:before="240" w:after="0"/>
        <w:jc w:val="left"/>
        <w:rPr>
          <w:rFonts w:ascii="Times New Roman" w:hAnsi="Times New Roman"/>
          <w:sz w:val="20"/>
        </w:rPr>
      </w:pPr>
      <w:r>
        <w:rPr>
          <w:rFonts w:ascii="Times New Roman" w:hAnsi="Times New Roman"/>
          <w:b w:val="false"/>
          <w:sz w:val="20"/>
        </w:rPr>
        <w:t>I</w:t>
      </w:r>
      <w:r>
        <w:rPr>
          <w:rFonts w:ascii="Times New Roman" w:hAnsi="Times New Roman"/>
          <w:b/>
          <w:sz w:val="20"/>
        </w:rPr>
        <w:t>tem 7.01 Regulation FD Disclosure.</w:t>
      </w:r>
    </w:p>
    <w:p>
      <w:pPr>
        <w:pStyle w:val="TextBody"/>
        <w:spacing w:lineRule="auto" w:line="331" w:before="120" w:after="0"/>
        <w:jc w:val="left"/>
        <w:rPr>
          <w:rFonts w:ascii="Times New Roman" w:hAnsi="Times New Roman"/>
          <w:b w:val="false"/>
          <w:sz w:val="20"/>
        </w:rPr>
      </w:pPr>
      <w:r>
        <w:rPr>
          <w:rFonts w:ascii="Times New Roman" w:hAnsi="Times New Roman"/>
          <w:b w:val="false"/>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spacing w:lineRule="auto" w:line="331" w:before="240" w:after="0"/>
        <w:jc w:val="left"/>
        <w:rPr>
          <w:rFonts w:ascii="Times New Roman" w:hAnsi="Times New Roman"/>
          <w:b/>
          <w:sz w:val="20"/>
        </w:rPr>
      </w:pPr>
      <w:r>
        <w:rPr>
          <w:rFonts w:ascii="Times New Roman" w:hAnsi="Times New Roman"/>
          <w:b/>
          <w:sz w:val="20"/>
        </w:rPr>
        <w:t>Item 9.01 Financial Statements and Exhibits.</w:t>
      </w:r>
    </w:p>
    <w:p>
      <w:pPr>
        <w:pStyle w:val="TextBody"/>
        <w:spacing w:lineRule="auto" w:line="331" w:before="120" w:after="0"/>
        <w:jc w:val="left"/>
        <w:rPr>
          <w:rFonts w:ascii="Times New Roman" w:hAnsi="Times New Roman"/>
          <w:b/>
          <w:sz w:val="20"/>
        </w:rPr>
      </w:pPr>
      <w:r>
        <w:rPr>
          <w:rFonts w:ascii="Times New Roman" w:hAnsi="Times New Roman"/>
          <w:b/>
          <w:sz w:val="20"/>
        </w:rPr>
        <w:t>(d) Exhibits.</w:t>
      </w:r>
    </w:p>
    <w:p>
      <w:pPr>
        <w:pStyle w:val="TextBody"/>
        <w:spacing w:lineRule="auto" w:line="273" w:before="0" w:after="0"/>
        <w:jc w:val="left"/>
        <w:rPr/>
      </w:pPr>
      <w:r>
        <w:rPr/>
        <w:t> </w:t>
      </w:r>
    </w:p>
    <w:tbl>
      <w:tblPr>
        <w:tblW w:w="6118" w:type="dxa"/>
        <w:jc w:val="left"/>
        <w:tblInd w:w="0" w:type="dxa"/>
        <w:tblCellMar>
          <w:top w:w="28" w:type="dxa"/>
          <w:left w:w="28" w:type="dxa"/>
          <w:bottom w:w="28" w:type="dxa"/>
          <w:right w:w="28" w:type="dxa"/>
        </w:tblCellMar>
      </w:tblPr>
      <w:tblGrid>
        <w:gridCol w:w="946"/>
        <w:gridCol w:w="146"/>
        <w:gridCol w:w="5026"/>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26" w:type="dxa"/>
            <w:tcBorders/>
            <w:shd w:fill="auto" w:val="clear"/>
            <w:vAlign w:val="center"/>
          </w:tcPr>
          <w:p>
            <w:pPr>
              <w:pStyle w:val="TableContents"/>
              <w:spacing w:before="0" w:after="283"/>
              <w:rPr>
                <w:sz w:val="4"/>
                <w:szCs w:val="4"/>
              </w:rPr>
            </w:pPr>
            <w:r>
              <w:rPr>
                <w:sz w:val="4"/>
                <w:szCs w:val="4"/>
              </w:rPr>
            </w:r>
          </w:p>
        </w:tc>
      </w:tr>
      <w:tr>
        <w:trPr/>
        <w:tc>
          <w:tcPr>
            <w:tcW w:w="9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Exhibit No.</w:t>
            </w:r>
          </w:p>
        </w:tc>
        <w:tc>
          <w:tcPr>
            <w:tcW w:w="14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026"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Description</w:t>
            </w:r>
          </w:p>
        </w:tc>
      </w:tr>
      <w:tr>
        <w:trPr/>
        <w:tc>
          <w:tcPr>
            <w:tcW w:w="9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99.1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hyperlink w:anchor="atha-ex99_1.htm">
              <w:r>
                <w:rPr>
                  <w:rStyle w:val="InternetLink"/>
                  <w:rFonts w:ascii="Times New Roman" w:hAnsi="Times New Roman"/>
                  <w:b w:val="false"/>
                  <w:sz w:val="20"/>
                  <w:u w:val="single"/>
                </w:rPr>
                <w:t>Athira Pharma, Inc. press release dated May 12, 2022</w:t>
              </w:r>
            </w:hyperlink>
          </w:p>
        </w:tc>
      </w:tr>
      <w:tr>
        <w:trPr/>
        <w:tc>
          <w:tcPr>
            <w:tcW w:w="9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pPr>
            <w:r>
              <w:rPr/>
              <w:t> </w:t>
            </w:r>
          </w:p>
        </w:tc>
      </w:tr>
      <w:tr>
        <w:trPr/>
        <w:tc>
          <w:tcPr>
            <w:tcW w:w="9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Cover Page Interactive Data File (formatted as Inline XBRL)</w:t>
            </w:r>
          </w:p>
        </w:tc>
      </w:tr>
    </w:tbl>
    <w:p>
      <w:pPr>
        <w:pStyle w:val="TextBody"/>
        <w:spacing w:lineRule="auto" w:line="331" w:before="0" w:after="0"/>
        <w:jc w:val="left"/>
        <w:rPr/>
      </w:pPr>
      <w:r>
        <w:rPr/>
        <w:t> </w:t>
      </w:r>
    </w:p>
    <w:p>
      <w:pPr>
        <w:pStyle w:val="TextBody"/>
        <w:spacing w:lineRule="auto" w:line="283" w:before="40" w:after="0"/>
        <w:jc w:val="left"/>
        <w:rPr>
          <w:rFonts w:ascii="Times New Roman" w:hAnsi="Times New Roman"/>
          <w:b w:val="false"/>
          <w:sz w:val="20"/>
        </w:rPr>
      </w:pPr>
      <w:r>
        <w:rPr>
          <w:rFonts w:ascii="Times New Roman" w:hAnsi="Times New Roman"/>
          <w:b w:val="false"/>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331" w:before="0" w:after="0"/>
        <w:jc w:val="left"/>
        <w:rPr/>
      </w:pPr>
      <w:r>
        <w:rPr/>
        <w:t> </w:t>
      </w:r>
    </w:p>
    <w:p>
      <w:pPr>
        <w:pStyle w:val="HorizontalLine"/>
        <w:rPr/>
      </w:pPr>
      <w:r>
        <w:rPr/>
      </w:r>
    </w:p>
    <w:p>
      <w:pPr>
        <w:pStyle w:val="TextBody"/>
        <w:spacing w:lineRule="auto" w:line="331" w:before="0" w:after="0"/>
        <w:jc w:val="left"/>
        <w:rPr/>
      </w:pPr>
      <w:r>
        <w:rPr/>
        <w:t> </w:t>
      </w:r>
    </w:p>
    <w:p>
      <w:pPr>
        <w:pStyle w:val="TextBody"/>
        <w:spacing w:lineRule="auto" w:line="331" w:before="0" w:after="0"/>
        <w:jc w:val="center"/>
        <w:rPr>
          <w:rFonts w:ascii="Times New Roman" w:hAnsi="Times New Roman"/>
          <w:b/>
          <w:sz w:val="20"/>
        </w:rPr>
      </w:pPr>
      <w:r>
        <w:rPr>
          <w:rFonts w:ascii="Times New Roman" w:hAnsi="Times New Roman"/>
          <w:b/>
          <w:sz w:val="20"/>
        </w:rPr>
        <w:t>SIGNATURES</w:t>
      </w:r>
    </w:p>
    <w:p>
      <w:pPr>
        <w:pStyle w:val="TextBody"/>
        <w:spacing w:lineRule="auto" w:line="331" w:before="24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hereunto duly authorized.</w:t>
      </w:r>
    </w:p>
    <w:p>
      <w:pPr>
        <w:pStyle w:val="TextBody"/>
        <w:spacing w:lineRule="auto" w:line="331" w:before="0" w:after="0"/>
        <w:jc w:val="left"/>
        <w:rPr/>
      </w:pPr>
      <w:r>
        <w:rPr/>
        <w:t> </w:t>
      </w:r>
    </w:p>
    <w:tbl>
      <w:tblPr>
        <w:tblW w:w="5419" w:type="dxa"/>
        <w:jc w:val="left"/>
        <w:tblInd w:w="0" w:type="dxa"/>
        <w:tblCellMar>
          <w:top w:w="28" w:type="dxa"/>
          <w:left w:w="28" w:type="dxa"/>
          <w:bottom w:w="28" w:type="dxa"/>
          <w:right w:w="28" w:type="dxa"/>
        </w:tblCellMar>
      </w:tblPr>
      <w:tblGrid>
        <w:gridCol w:w="556"/>
        <w:gridCol w:w="1246"/>
        <w:gridCol w:w="406"/>
        <w:gridCol w:w="3211"/>
      </w:tblGrid>
      <w:tr>
        <w:trPr/>
        <w:tc>
          <w:tcPr>
            <w:tcW w:w="5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Athira Pharma, Inc.</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Date:</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May 12, 2022</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211" w:type="dxa"/>
            <w:tcBorders>
              <w:bottom w:val="single" w:sz="8"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Mark Litton</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Mark Litton</w:t>
            </w:r>
          </w:p>
        </w:tc>
      </w:tr>
      <w:tr>
        <w:trPr/>
        <w:tc>
          <w:tcPr>
            <w:tcW w:w="5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President and Chief Executive Officer</w:t>
            </w:r>
          </w:p>
        </w:tc>
      </w:tr>
    </w:tbl>
    <w:p>
      <w:pPr>
        <w:pStyle w:val="TextBody"/>
        <w:spacing w:lineRule="atLeast" w:line="141" w:before="0" w:after="0"/>
        <w:jc w:val="left"/>
        <w:rPr/>
      </w:pPr>
      <w:r>
        <w:rPr/>
        <w:t> </w:t>
      </w:r>
    </w:p>
    <w:p>
      <w:pPr>
        <w:pStyle w:val="TextBody"/>
        <w:spacing w:lineRule="auto" w:line="331" w:before="0" w:after="0"/>
        <w:jc w:val="left"/>
        <w:rPr/>
      </w:pPr>
      <w:r>
        <w:rPr/>
        <w:t> </w:t>
      </w:r>
    </w:p>
    <w:p>
      <w:pPr>
        <w:pStyle w:val="TextBody"/>
        <w:spacing w:lineRule="auto" w:line="273" w:before="0" w:after="0"/>
        <w:jc w:val="center"/>
        <w:rPr/>
      </w:pPr>
      <w:r>
        <w:rPr/>
        <w:t> </w:t>
      </w:r>
    </w:p>
    <w:p>
      <w:pPr>
        <w:pStyle w:val="TextBody"/>
        <w:spacing w:lineRule="auto" w:line="331" w:before="0" w:after="0"/>
        <w:jc w:val="left"/>
        <w:rPr/>
      </w:pPr>
      <w:r>
        <w:rPr/>
        <w:t> </w:t>
      </w:r>
    </w:p>
    <w:p>
      <w:pPr>
        <w:pStyle w:val="HorizontalLine"/>
        <w:rPr/>
      </w:pPr>
      <w:r>
        <w:rPr/>
      </w:r>
      <w:r>
        <w:br w:type="page"/>
      </w:r>
    </w:p>
    <w:p>
      <w:pPr>
        <w:pStyle w:val="TextBody"/>
        <w:spacing w:lineRule="auto" w:line="273" w:before="0" w:after="0"/>
        <w:jc w:val="right"/>
        <w:rPr>
          <w:rFonts w:ascii="Calibri" w:hAnsi="Calibri"/>
          <w:b/>
          <w:sz w:val="22"/>
        </w:rPr>
      </w:pPr>
      <w:bookmarkStart w:id="3" w:name="atha-ex99_1.htm"/>
      <w:bookmarkStart w:id="4" w:name="ksathaex99_1"/>
      <w:bookmarkEnd w:id="3"/>
      <w:bookmarkEnd w:id="4"/>
      <w:r>
        <w:rPr>
          <w:rFonts w:ascii="Calibri" w:hAnsi="Calibri"/>
          <w:b/>
          <w:sz w:val="22"/>
        </w:rPr>
        <w:t>Exhibit 99.1</w:t>
      </w:r>
    </w:p>
    <w:p>
      <w:pPr>
        <w:pStyle w:val="TextBody"/>
        <w:spacing w:lineRule="auto" w:line="273" w:before="0" w:after="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r>
        <w:rPr/>
        <w:t> </w:t>
      </w:r>
    </w:p>
    <w:p>
      <w:pPr>
        <w:pStyle w:val="TextBody"/>
        <w:spacing w:lineRule="auto" w:line="316" w:before="0" w:after="0"/>
        <w:jc w:val="center"/>
        <w:rPr/>
      </w:pPr>
      <w:r>
        <w:rPr/>
        <w:t> </w:t>
      </w:r>
    </w:p>
    <w:p>
      <w:pPr>
        <w:pStyle w:val="TextBody"/>
        <w:spacing w:lineRule="auto" w:line="273" w:before="0" w:after="0"/>
        <w:jc w:val="center"/>
        <w:rPr>
          <w:rFonts w:ascii="Calibri" w:hAnsi="Calibri"/>
          <w:b/>
          <w:sz w:val="28"/>
        </w:rPr>
      </w:pPr>
      <w:r>
        <w:rPr>
          <w:rFonts w:ascii="Calibri" w:hAnsi="Calibri"/>
          <w:b/>
          <w:sz w:val="28"/>
        </w:rPr>
        <w:t>Athira Pharma Reports First Quarter 2022 Financial Results</w:t>
      </w:r>
    </w:p>
    <w:p>
      <w:pPr>
        <w:pStyle w:val="TextBody"/>
        <w:spacing w:lineRule="auto" w:line="273" w:before="0" w:after="0"/>
        <w:jc w:val="center"/>
        <w:rPr>
          <w:rFonts w:ascii="Calibri" w:hAnsi="Calibri"/>
          <w:b/>
          <w:sz w:val="28"/>
        </w:rPr>
      </w:pPr>
      <w:r>
        <w:rPr>
          <w:rFonts w:ascii="Calibri" w:hAnsi="Calibri"/>
          <w:b/>
          <w:sz w:val="28"/>
        </w:rPr>
        <w:t>and Provides Pipeline and Business Updates</w:t>
      </w:r>
    </w:p>
    <w:p>
      <w:pPr>
        <w:pStyle w:val="TextBody"/>
        <w:spacing w:lineRule="auto" w:line="273" w:before="0" w:after="0"/>
        <w:jc w:val="center"/>
        <w:rPr/>
      </w:pPr>
      <w:r>
        <w:rPr/>
        <w:t> </w:t>
      </w:r>
    </w:p>
    <w:p>
      <w:pPr>
        <w:pStyle w:val="TextBody"/>
        <w:spacing w:lineRule="auto" w:line="273" w:before="0" w:after="0"/>
        <w:jc w:val="center"/>
        <w:rPr>
          <w:rFonts w:ascii="Calibri" w:hAnsi="Calibri"/>
          <w:b w:val="false"/>
          <w:i/>
          <w:sz w:val="24"/>
        </w:rPr>
      </w:pPr>
      <w:r>
        <w:rPr>
          <w:rFonts w:ascii="Calibri" w:hAnsi="Calibri"/>
          <w:b w:val="false"/>
          <w:i/>
          <w:sz w:val="24"/>
        </w:rPr>
        <w:t>On track to report topline data from ACT-AD Phase 2 Alzheimer’s disease study by end of 2Q22</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Calibri" w:hAnsi="Calibri"/>
          <w:b/>
          <w:sz w:val="22"/>
        </w:rPr>
        <w:t>BOTHELL, WA, May 12, 2022</w:t>
      </w:r>
      <w:r>
        <w:rPr>
          <w:rFonts w:ascii="Times New Roman" w:hAnsi="Times New Roman"/>
          <w:sz w:val="20"/>
        </w:rPr>
        <w:t xml:space="preserve"> — </w:t>
      </w:r>
      <w:r>
        <w:rPr>
          <w:rFonts w:ascii="Calibri" w:hAnsi="Calibri"/>
          <w:b w:val="false"/>
          <w:sz w:val="22"/>
        </w:rPr>
        <w:t>Athira Pharma, Inc.</w:t>
      </w:r>
      <w:r>
        <w:rPr>
          <w:rFonts w:ascii="Times New Roman" w:hAnsi="Times New Roman"/>
          <w:sz w:val="20"/>
        </w:rPr>
        <w:t xml:space="preserve"> </w:t>
      </w:r>
      <w:r>
        <w:rPr>
          <w:rFonts w:ascii="Calibri" w:hAnsi="Calibri"/>
          <w:b w:val="false"/>
          <w:sz w:val="22"/>
        </w:rPr>
        <w:t>(NASDAQ: ATHA), a late clinical-stage biopharmaceutical company focused on developing small molecules to restore neuronal health and slow neurodegeneration, today announced the company’s financial resumlts for the quarter ended March 31, 2022 and provided pipeline and business updates.</w:t>
      </w:r>
    </w:p>
    <w:p>
      <w:pPr>
        <w:pStyle w:val="TextBody"/>
        <w:spacing w:lineRule="auto" w:line="273" w:before="0" w:after="0"/>
        <w:jc w:val="left"/>
        <w:rPr/>
      </w:pPr>
      <w:r>
        <w:rPr/>
        <w:t> </w:t>
      </w:r>
    </w:p>
    <w:p>
      <w:pPr>
        <w:pStyle w:val="TextBody"/>
        <w:spacing w:lineRule="auto" w:line="273" w:before="0" w:after="0"/>
        <w:jc w:val="left"/>
        <w:rPr/>
      </w:pPr>
      <w:r>
        <w:rPr/>
        <w:t>“</w:t>
      </w:r>
      <w:r>
        <w:rPr>
          <w:rFonts w:ascii="Calibri" w:hAnsi="Calibri"/>
          <w:b w:val="false"/>
          <w:sz w:val="22"/>
        </w:rPr>
        <w:t>Throughout the first quarter of 2022 we made significant progress advancing our strategy across Athira’s clinical development programs, with a focus on bringing our lead drug candidate, fosgonimeton, and the other molecules in our pipeline to patients while continuing to create lasting shareholder value,” stated Mark Litton, Ph.D., MBA, President and Chief Executive Officer of Athira. “During the first quarter, we published and presented a growing body of clinical and preclinical evidence in support of targeting the HGF/MET neurotrophic system. We were pleased to initiate two new studies in the first quarter: the Phase 2 SHAPE study of fosgonimeton in Parkinson’s disease dementia and Dementia with Lewy Bodies and a Phase 1 study of ATH-1020 to evaluate its safety, tolerability, and pharmacokinetics in healthy volunteers.”</w:t>
      </w:r>
    </w:p>
    <w:p>
      <w:pPr>
        <w:pStyle w:val="TextBody"/>
        <w:spacing w:lineRule="auto" w:line="273" w:before="0" w:after="0"/>
        <w:jc w:val="left"/>
        <w:rPr/>
      </w:pPr>
      <w:r>
        <w:rPr/>
        <w:t> </w:t>
      </w:r>
    </w:p>
    <w:p>
      <w:pPr>
        <w:pStyle w:val="TextBody"/>
        <w:spacing w:lineRule="auto" w:line="273" w:before="0" w:after="0"/>
        <w:jc w:val="left"/>
        <w:rPr/>
      </w:pPr>
      <w:r>
        <w:rPr/>
        <w:t>“</w:t>
      </w:r>
      <w:r>
        <w:rPr>
          <w:rFonts w:ascii="Calibri" w:hAnsi="Calibri"/>
          <w:b w:val="false"/>
          <w:sz w:val="22"/>
        </w:rPr>
        <w:t>In addition to our considerable clinical progress, we advanced our corporate strategy through the expansion of our senior management team, as well as the expansion of our Board of Directors with two talented industry leaders – Grant Pickering, a proven life sciences leader with over 30 years of experience across all stages of corporate and clinical development, and Dr. Michael Panzara, an industry veteran with more than 20 years of CNS drug development and commercialization experience.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w:t>
      </w:r>
      <w:r>
        <w:rPr>
          <w:rFonts w:ascii="Calibri" w:hAnsi="Calibri"/>
          <w:b w:val="false"/>
          <w:sz w:val="22"/>
        </w:rPr>
        <w:t>We are looking forward to reporting topline data from our Phase 2 ACT-AD study in Alzheimer’s disease by the end of 2Q22 as we expect to gain insights into the safety and efficacy of our novel intervention as well as optimize the analysis plan for our potentially pivotal LIFT-AD study. We continue to advance these important studies in order to bring this potentially transformative medicine to the millions of patients impacted by Alzheimer’s disease,” concluded Dr. Litton.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Calibri" w:hAnsi="Calibri"/>
          <w:b/>
          <w:sz w:val="24"/>
        </w:rPr>
      </w:pPr>
      <w:r>
        <w:rPr>
          <w:rFonts w:ascii="Calibri" w:hAnsi="Calibri"/>
          <w:b/>
          <w:sz w:val="24"/>
        </w:rPr>
        <w:t>First Quarter and Recent Highlights:</w:t>
      </w:r>
    </w:p>
    <w:p>
      <w:pPr>
        <w:pStyle w:val="TextBody"/>
        <w:spacing w:lineRule="auto" w:line="273" w:before="280" w:after="0"/>
        <w:jc w:val="left"/>
        <w:rPr/>
      </w:pPr>
      <w:r>
        <w:rPr/>
        <w:t>•</w:t>
      </w:r>
    </w:p>
    <w:p>
      <w:pPr>
        <w:pStyle w:val="TextBody"/>
        <w:spacing w:lineRule="auto" w:line="273" w:before="280" w:after="0"/>
        <w:jc w:val="left"/>
        <w:rPr>
          <w:rFonts w:ascii="Calibri" w:hAnsi="Calibri"/>
          <w:b w:val="false"/>
          <w:sz w:val="22"/>
        </w:rPr>
      </w:pPr>
      <w:r>
        <w:rPr>
          <w:rFonts w:ascii="Calibri" w:hAnsi="Calibri"/>
          <w:b w:val="false"/>
          <w:sz w:val="22"/>
        </w:rPr>
        <w:t>Announced it is extending the ongoing Open Label Extension study for the LIFT-AD and ACT-AD clinical trials of fosgonimeton for mild-to-moderate Alzheimer’s disease, enabling eligible patients who have completed either trial, and elect to participate in the ongoing open label extension, to now receive up to 18 months of open-label treatment with fosgonimeton;</w:t>
      </w:r>
    </w:p>
    <w:p>
      <w:pPr>
        <w:pStyle w:val="TextBody"/>
        <w:spacing w:lineRule="auto" w:line="273" w:before="0" w:after="0"/>
        <w:jc w:val="left"/>
        <w:rPr/>
      </w:pPr>
      <w:r>
        <w:rPr/>
        <w:t>•</w:t>
      </w:r>
    </w:p>
    <w:p>
      <w:pPr>
        <w:pStyle w:val="TextBody"/>
        <w:spacing w:lineRule="auto" w:line="273"/>
        <w:jc w:val="left"/>
        <w:rPr>
          <w:rFonts w:ascii="Calibri" w:hAnsi="Calibri"/>
          <w:b w:val="false"/>
          <w:sz w:val="22"/>
        </w:rPr>
      </w:pPr>
      <w:r>
        <w:rPr>
          <w:rFonts w:ascii="Calibri" w:hAnsi="Calibri"/>
          <w:b w:val="false"/>
          <w:sz w:val="22"/>
        </w:rPr>
        <w:t xml:space="preserve">Presented baseline Event Related Potential (ERP) P300 latency and patient demographic data from the ACT-AD study at the AD/PD conference that showed the study patient population enrolled in the Phase 2 trial is representative of the mild-to-moderate Alzheimer’s population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rFonts w:ascii="Calibri" w:hAnsi="Calibri"/>
          <w:b w:val="false"/>
          <w:sz w:val="22"/>
        </w:rPr>
        <w:t>and is appropriate to evaluate the effect of fosgonimeton on ERP P300 latency, a functional, objective measure of working memory processing speed</w:t>
      </w:r>
      <w:r>
        <w:rPr/>
        <w:t xml:space="preserve"> </w:t>
      </w:r>
      <w:r>
        <w:rPr>
          <w:rFonts w:ascii="Calibri" w:hAnsi="Calibri"/>
          <w:b w:val="false"/>
          <w:sz w:val="22"/>
        </w:rPr>
        <w:t>and executive function that highly correlates with cognition;</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Highlighted preclinical data that demonstrate the mechanism of action of the active metabolite of fosgonimeton is through positive modulation of HGF/MET and results in neurotrophic and procognitive effects in an oral presentation at the American Society for Experimental Neurotherapeutics (ASENT) annual meeting; </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Presented preclinical data at ASENT showing that ATH-1020, a novel, orally available, brain-penetrant small molecule, demonstrated neuroprotective effects, mitigated depression-like behaviors and normalized an electroencephalography (EEG) hallmark of schizophrenia in animal models; </w:t>
      </w:r>
    </w:p>
    <w:p>
      <w:pPr>
        <w:pStyle w:val="TextBody"/>
        <w:spacing w:lineRule="auto" w:line="273" w:before="0" w:after="0"/>
        <w:jc w:val="left"/>
        <w:rPr/>
      </w:pPr>
      <w:r>
        <w:rPr/>
        <w:t>•</w:t>
      </w:r>
    </w:p>
    <w:p>
      <w:pPr>
        <w:pStyle w:val="TextBody"/>
        <w:spacing w:lineRule="auto" w:line="273" w:before="0" w:after="0"/>
        <w:jc w:val="left"/>
        <w:rPr/>
      </w:pPr>
      <w:r>
        <w:rPr>
          <w:rFonts w:ascii="Calibri" w:hAnsi="Calibri"/>
          <w:b w:val="false"/>
          <w:sz w:val="22"/>
        </w:rPr>
        <w:t xml:space="preserve">Published results from Phase 1 clinical trial of fosgonimeton in healthy volunteers and patients with Alzheimer’s disease in the peer-reviewed </w:t>
      </w:r>
      <w:r>
        <w:rPr>
          <w:rFonts w:ascii="Calibri" w:hAnsi="Calibri"/>
          <w:b w:val="false"/>
          <w:i/>
          <w:sz w:val="22"/>
        </w:rPr>
        <w:t xml:space="preserve">Journal of Alzheimer's Disease </w:t>
      </w:r>
      <w:r>
        <w:rPr>
          <w:rFonts w:ascii="Calibri" w:hAnsi="Calibri"/>
          <w:b w:val="false"/>
          <w:sz w:val="22"/>
        </w:rPr>
        <w:t>showing that fosgonimeton demonstrated a statistically significant improvement of ERP P300 latency as compared with placebo in Alzheimer’s disease patients;</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Announced fosgonimeton as the World Health Organization’s recommended international nonproprietary name for lead product candidate ATH-1017, and the United States Adopted Names (USAN) Council has adopted fosgonimeton as a USAN; </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Dosed the first patient in the SHAPE Phase 2 clinical trial of fosgonimeton in Parkinson’s disease dementia and Dementia with Lewy bodies; </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Dosed the first subject in a Phase 1 study of ATH-1020, designed to target neuropsychiatric conditions;</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Appointed life science industry leaders Grant Pickering and Michael Panzara, M.D. to the Board of Directors; and </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Expanded the senior management team with new hires, including the addition of: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o</w:t>
      </w:r>
    </w:p>
    <w:p>
      <w:pPr>
        <w:pStyle w:val="TextBody"/>
        <w:spacing w:lineRule="auto" w:line="273" w:before="0" w:after="0"/>
        <w:jc w:val="left"/>
        <w:rPr>
          <w:rFonts w:ascii="Calibri" w:hAnsi="Calibri"/>
          <w:b w:val="false"/>
          <w:sz w:val="22"/>
        </w:rPr>
      </w:pPr>
      <w:r>
        <w:rPr>
          <w:rFonts w:ascii="Calibri" w:hAnsi="Calibri"/>
          <w:b w:val="false"/>
          <w:sz w:val="22"/>
        </w:rPr>
        <w:t xml:space="preserve">Donald Mackenzie, Ph.D., Senior Vice President CMC and Technical Operations. Dr. Mackenzie brings more than 30 years of experience in developing and launching new medicines at GlaxoSmithKline (GSK), including 15 new medicines over the last decade; </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o</w:t>
      </w:r>
    </w:p>
    <w:p>
      <w:pPr>
        <w:pStyle w:val="TextBody"/>
        <w:spacing w:lineRule="auto" w:line="273" w:before="0" w:after="0"/>
        <w:jc w:val="left"/>
        <w:rPr>
          <w:rFonts w:ascii="Calibri" w:hAnsi="Calibri"/>
          <w:b w:val="false"/>
          <w:sz w:val="22"/>
        </w:rPr>
      </w:pPr>
      <w:r>
        <w:rPr>
          <w:rFonts w:ascii="Calibri" w:hAnsi="Calibri"/>
          <w:b w:val="false"/>
          <w:sz w:val="22"/>
        </w:rPr>
        <w:t>Arthur Rosenthal, Vice President of Drug Regulatory Affairs. Mr. Rosenthal brings more than 30 years of regulatory experience and has a proven track record of bringing neurology products to approval at companies including Avanir Pharmaceuticals and Valeant;</w:t>
      </w:r>
    </w:p>
    <w:p>
      <w:pPr>
        <w:pStyle w:val="TextBody"/>
        <w:spacing w:lineRule="auto" w:line="273" w:before="0" w:after="0"/>
        <w:jc w:val="left"/>
        <w:rPr>
          <w:rFonts w:ascii="Times New Roman" w:hAnsi="Times New Roman"/>
          <w:b w:val="false"/>
          <w:sz w:val="22"/>
        </w:rPr>
      </w:pPr>
      <w:r>
        <w:rPr>
          <w:rFonts w:ascii="Times New Roman" w:hAnsi="Times New Roman"/>
          <w:b w:val="false"/>
          <w:sz w:val="22"/>
        </w:rPr>
        <w:t>o</w:t>
      </w:r>
    </w:p>
    <w:p>
      <w:pPr>
        <w:pStyle w:val="TextBody"/>
        <w:spacing w:lineRule="auto" w:line="273" w:before="0" w:after="0"/>
        <w:jc w:val="left"/>
        <w:rPr>
          <w:rFonts w:ascii="Calibri" w:hAnsi="Calibri"/>
          <w:b w:val="false"/>
          <w:sz w:val="22"/>
        </w:rPr>
      </w:pPr>
      <w:r>
        <w:rPr>
          <w:rFonts w:ascii="Calibri" w:hAnsi="Calibri"/>
          <w:b w:val="false"/>
          <w:sz w:val="22"/>
        </w:rPr>
        <w:t>Lana Gloukhova, M.D., Vice President Drug Safety and Pharmacovigilance. Dr. Gloukhova has extensive experience leading global safety and clinical teams at multinational pharmaceutical companies including CSL Behring, AbbVie, Merck and Schering-Plough; and</w:t>
      </w:r>
    </w:p>
    <w:p>
      <w:pPr>
        <w:pStyle w:val="TextBody"/>
        <w:spacing w:lineRule="auto" w:line="273" w:before="0" w:after="280"/>
        <w:jc w:val="left"/>
        <w:rPr>
          <w:rFonts w:ascii="Times New Roman" w:hAnsi="Times New Roman"/>
          <w:b w:val="false"/>
          <w:sz w:val="22"/>
        </w:rPr>
      </w:pPr>
      <w:r>
        <w:rPr>
          <w:rFonts w:ascii="Times New Roman" w:hAnsi="Times New Roman"/>
          <w:b w:val="false"/>
          <w:sz w:val="22"/>
        </w:rPr>
        <w:t>o</w:t>
      </w:r>
    </w:p>
    <w:p>
      <w:pPr>
        <w:pStyle w:val="TextBody"/>
        <w:spacing w:lineRule="auto" w:line="273" w:before="0" w:after="280"/>
        <w:jc w:val="left"/>
        <w:rPr>
          <w:rFonts w:ascii="Calibri" w:hAnsi="Calibri"/>
          <w:b w:val="false"/>
          <w:sz w:val="22"/>
        </w:rPr>
      </w:pPr>
      <w:r>
        <w:rPr>
          <w:rFonts w:ascii="Calibri" w:hAnsi="Calibri"/>
          <w:b w:val="false"/>
          <w:sz w:val="22"/>
        </w:rPr>
        <w:t>Simon Daggett, Vice President Clinical Operations. Mr. Daggett brings more than 30 years of drug development experience, including 19 years at Allergan. He has considerable global expertise leading all aspects of clinical studies from pre-IND through Phase 3 to approval.</w:t>
      </w:r>
    </w:p>
    <w:p>
      <w:pPr>
        <w:pStyle w:val="TextBody"/>
        <w:spacing w:lineRule="auto" w:line="316" w:before="0" w:after="0"/>
        <w:jc w:val="left"/>
        <w:rPr>
          <w:rFonts w:ascii="Times New Roman" w:hAnsi="Times New Roman"/>
          <w:sz w:val="20"/>
        </w:rPr>
      </w:pPr>
      <w:r>
        <w:rPr>
          <w:rFonts w:ascii="Calibri" w:hAnsi="Calibri"/>
          <w:b/>
          <w:sz w:val="24"/>
        </w:rPr>
        <w:t>Pipeline Update: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Calibri" w:hAnsi="Calibri"/>
          <w:b/>
          <w:sz w:val="22"/>
        </w:rPr>
        <w:t>Fosgonimeton (ATH-1017)</w:t>
      </w:r>
      <w:r>
        <w:rPr>
          <w:rFonts w:ascii="Times New Roman" w:hAnsi="Times New Roman"/>
          <w:sz w:val="20"/>
        </w:rPr>
        <w:t xml:space="preserve"> </w:t>
      </w:r>
      <w:r>
        <w:rPr>
          <w:rFonts w:ascii="Calibri" w:hAnsi="Calibri"/>
          <w:b w:val="false"/>
          <w:sz w:val="22"/>
        </w:rPr>
        <w:t>is a small molecule specifically designed to enhance the activity of hepatocyte growth factor (HGF) and its receptor, MET.</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270" w:after="0"/>
        <w:jc w:val="left"/>
        <w:rPr>
          <w:rFonts w:ascii="Calibri" w:hAnsi="Calibri"/>
          <w:b/>
          <w:i/>
          <w:sz w:val="22"/>
        </w:rPr>
      </w:pPr>
      <w:r>
        <w:rPr>
          <w:rFonts w:ascii="Calibri" w:hAnsi="Calibri"/>
          <w:b/>
          <w:i/>
          <w:sz w:val="22"/>
        </w:rPr>
        <w:t>ACT-AD Phase 2 Study in mild-to-moderate Alzheimer’s disease (NCT04491006)</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Enrollment in ACT-AD completed in October 2021 with 77 participants with mild-to-moderate Alzheimer’s disease across 14 sites in the United States and Australia. The primary endpoint for ACT-AD is change in ERP P300 Latency, a functional, objective measure of working memory processing speed, with secondary endpoints measuring cognition, function, and behavior.</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Athira remains on track to report top-line data by the end of the second quarter of 2022.</w:t>
      </w:r>
    </w:p>
    <w:p>
      <w:pPr>
        <w:pStyle w:val="TextBody"/>
        <w:spacing w:lineRule="auto" w:line="273" w:before="0" w:after="0"/>
        <w:jc w:val="left"/>
        <w:rPr/>
      </w:pPr>
      <w:r>
        <w:rPr/>
        <w:t>•</w:t>
      </w:r>
    </w:p>
    <w:p>
      <w:pPr>
        <w:pStyle w:val="TextBody"/>
        <w:spacing w:lineRule="auto" w:line="273"/>
        <w:jc w:val="left"/>
        <w:rPr>
          <w:rFonts w:ascii="Calibri" w:hAnsi="Calibri"/>
          <w:b w:val="false"/>
          <w:sz w:val="22"/>
        </w:rPr>
      </w:pPr>
      <w:r>
        <w:rPr>
          <w:rFonts w:ascii="Calibri" w:hAnsi="Calibri"/>
          <w:b w:val="false"/>
          <w:sz w:val="22"/>
        </w:rPr>
        <w:t>ACT-AD trial is supported by a grant from the National Institute on Aging of the National Institutes of Health under Award Number R01AG06268. The information presented in this press release is solely the responsibility of Athira and does not necessarily represent the official views of the National Institutes of Health.</w:t>
      </w:r>
    </w:p>
    <w:p>
      <w:pPr>
        <w:pStyle w:val="TextBody"/>
        <w:spacing w:lineRule="auto" w:line="273" w:before="270" w:after="0"/>
        <w:jc w:val="left"/>
        <w:rPr>
          <w:rFonts w:ascii="Calibri" w:hAnsi="Calibri"/>
          <w:b/>
          <w:i/>
          <w:sz w:val="22"/>
        </w:rPr>
      </w:pPr>
      <w:r>
        <w:rPr>
          <w:rFonts w:ascii="Calibri" w:hAnsi="Calibri"/>
          <w:b/>
          <w:i/>
          <w:sz w:val="22"/>
        </w:rPr>
        <w:t>LIFT-AD Phase 3 Study in mild-to-moderate Alzheimer’s Disease (NCT04488419)</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Recruitment in the LIFT-AD trial is ongoing.</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Athira increased the study sample size from 300 to approximately 420, in order to strengthen the statistical power of co-key secondary endpoints, including ADAS-Cog11.</w:t>
      </w:r>
    </w:p>
    <w:p>
      <w:pPr>
        <w:pStyle w:val="TextBody"/>
        <w:spacing w:lineRule="auto" w:line="273" w:before="0" w:after="0"/>
        <w:jc w:val="left"/>
        <w:rPr/>
      </w:pPr>
      <w:r>
        <w:rPr/>
        <w:t>•</w:t>
      </w:r>
    </w:p>
    <w:p>
      <w:pPr>
        <w:pStyle w:val="TextBody"/>
        <w:spacing w:lineRule="auto" w:line="273"/>
        <w:jc w:val="left"/>
        <w:rPr>
          <w:rFonts w:ascii="Calibri" w:hAnsi="Calibri"/>
          <w:b w:val="false"/>
          <w:sz w:val="22"/>
        </w:rPr>
      </w:pPr>
      <w:r>
        <w:rPr>
          <w:rFonts w:ascii="Calibri" w:hAnsi="Calibri"/>
          <w:b w:val="false"/>
          <w:sz w:val="22"/>
        </w:rPr>
        <w:t>The company is targeting completion of enrollment of this potentially pivotal study in the third quarter of 2022 and top-line data in the first half of 2023.</w:t>
      </w:r>
    </w:p>
    <w:p>
      <w:pPr>
        <w:pStyle w:val="TextBody"/>
        <w:spacing w:lineRule="auto" w:line="273" w:before="270" w:after="0"/>
        <w:jc w:val="left"/>
        <w:rPr>
          <w:rFonts w:ascii="Calibri" w:hAnsi="Calibri"/>
          <w:b/>
          <w:i/>
          <w:sz w:val="22"/>
        </w:rPr>
      </w:pPr>
      <w:r>
        <w:rPr>
          <w:rFonts w:ascii="Calibri" w:hAnsi="Calibri"/>
          <w:b/>
          <w:i/>
          <w:sz w:val="22"/>
        </w:rPr>
        <w:t>Open Label Extension Study (NCT04886063)</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In June 2021, Athira initiated an Open Label Extension Study (OLEX). Following completion of the 26-week treatment period during the LIFT-AD or ACT-AD trials, eligible patients can elect to continue on the OLEX and receive treatment with fosgonimeton at the high dose (70 mg/day) for up to an additional 26 weeks. Investigators and patients remain blinded to treatment group assignment in the original trials.</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 xml:space="preserve">The company recently announced that it is extending the length of the current Open Label Extension (OLEX) study. The decision is in alignment with the independent Data and Safety Monitoring Board (DSMB) following its most recent review of available data. Eligible patients who have completed the LIFT-AD or ACT-AD trials and elect to participate in the ongoing open label extension may now receive up to 18 months of open-label treatment with fosgonimeton. </w:t>
      </w:r>
    </w:p>
    <w:p>
      <w:pPr>
        <w:pStyle w:val="TextBody"/>
        <w:spacing w:lineRule="auto" w:line="273" w:before="0" w:after="0"/>
        <w:jc w:val="left"/>
        <w:rPr/>
      </w:pPr>
      <w:r>
        <w:rPr/>
        <w:t>•</w:t>
      </w:r>
    </w:p>
    <w:p>
      <w:pPr>
        <w:pStyle w:val="TextBody"/>
        <w:spacing w:lineRule="auto" w:line="273"/>
        <w:jc w:val="left"/>
        <w:rPr>
          <w:rFonts w:ascii="Calibri" w:hAnsi="Calibri"/>
          <w:b w:val="false"/>
          <w:sz w:val="22"/>
        </w:rPr>
      </w:pPr>
      <w:r>
        <w:rPr>
          <w:rFonts w:ascii="Calibri" w:hAnsi="Calibri"/>
          <w:b w:val="false"/>
          <w:sz w:val="22"/>
        </w:rPr>
        <w:t>The majority of eligible patients who have completed the LIFT-AD and ACT-AD studies have opted to participate in the OLEX.</w:t>
      </w:r>
    </w:p>
    <w:p>
      <w:pPr>
        <w:pStyle w:val="TextBody"/>
        <w:spacing w:lineRule="auto" w:line="273" w:before="270" w:after="0"/>
        <w:jc w:val="left"/>
        <w:rPr>
          <w:rFonts w:ascii="Calibri" w:hAnsi="Calibri"/>
          <w:b/>
          <w:i/>
          <w:sz w:val="22"/>
        </w:rPr>
      </w:pPr>
      <w:r>
        <w:rPr>
          <w:rFonts w:ascii="Calibri" w:hAnsi="Calibri"/>
          <w:b/>
          <w:i/>
          <w:sz w:val="22"/>
        </w:rPr>
        <w:t>SHAPE Phase 2 Study in Parkinson’s disease dementia and Dementia with Lewy bodies (NCT04831281)</w:t>
      </w:r>
    </w:p>
    <w:p>
      <w:pPr>
        <w:pStyle w:val="TextBody"/>
        <w:spacing w:lineRule="auto" w:line="273" w:before="0" w:after="0"/>
        <w:jc w:val="left"/>
        <w:rPr/>
      </w:pPr>
      <w:r>
        <w:rPr/>
        <w:t>•</w:t>
      </w:r>
    </w:p>
    <w:p>
      <w:pPr>
        <w:pStyle w:val="TextBody"/>
        <w:spacing w:lineRule="auto" w:line="273" w:before="0" w:after="0"/>
        <w:jc w:val="left"/>
        <w:rPr>
          <w:rFonts w:ascii="Calibri" w:hAnsi="Calibri"/>
          <w:b w:val="false"/>
          <w:sz w:val="22"/>
        </w:rPr>
      </w:pPr>
      <w:r>
        <w:rPr>
          <w:rFonts w:ascii="Calibri" w:hAnsi="Calibri"/>
          <w:b w:val="false"/>
          <w:sz w:val="22"/>
        </w:rPr>
        <w:t>Athira dosed the first patient in the SHAPE trial in January 2022. SHAPE is a randomized, double-blind, placebo-controlled, parallel-group Phase 2 proof-of-concept study of fosgonimeton in approximately 75 participants with Parkinson’s disease dementia or Dementia with Lewy bodies.</w:t>
      </w:r>
    </w:p>
    <w:p>
      <w:pPr>
        <w:pStyle w:val="TextBody"/>
        <w:spacing w:lineRule="auto" w:line="273" w:before="0" w:after="0"/>
        <w:jc w:val="left"/>
        <w:rPr/>
      </w:pPr>
      <w:r>
        <w:rPr/>
        <w:t>•</w:t>
      </w:r>
    </w:p>
    <w:p>
      <w:pPr>
        <w:pStyle w:val="TextBody"/>
        <w:spacing w:lineRule="auto" w:line="273"/>
        <w:jc w:val="left"/>
        <w:rPr>
          <w:rFonts w:ascii="Calibri" w:hAnsi="Calibri"/>
          <w:b w:val="false"/>
          <w:sz w:val="22"/>
        </w:rPr>
      </w:pPr>
      <w:r>
        <w:rPr>
          <w:rFonts w:ascii="Calibri" w:hAnsi="Calibri"/>
          <w:b w:val="false"/>
          <w:sz w:val="22"/>
        </w:rPr>
        <w:t>The company is targeting completion of enrollment of the SHAPE study in the first half of 2023.</w:t>
      </w:r>
    </w:p>
    <w:p>
      <w:pPr>
        <w:pStyle w:val="TextBody"/>
        <w:spacing w:lineRule="auto" w:line="273" w:before="270" w:after="0"/>
        <w:jc w:val="left"/>
        <w:rPr>
          <w:rFonts w:ascii="Times New Roman" w:hAnsi="Times New Roman"/>
          <w:sz w:val="20"/>
        </w:rPr>
      </w:pPr>
      <w:r>
        <w:rPr>
          <w:rFonts w:ascii="Calibri" w:hAnsi="Calibri"/>
          <w:b/>
          <w:sz w:val="22"/>
        </w:rPr>
        <w:t xml:space="preserve">ATH-1020 </w:t>
      </w:r>
      <w:r>
        <w:rPr>
          <w:rFonts w:ascii="Calibri" w:hAnsi="Calibri"/>
          <w:b w:val="false"/>
          <w:sz w:val="22"/>
        </w:rPr>
        <w:t>is a novel, orally available, brain-penetrant small molecule designed to enhance the HGF/MET system that is being advanced as a potential treatment candidate for neuropsychiatric indications.</w:t>
      </w:r>
      <w:r>
        <w:rPr>
          <w:rFonts w:ascii="Times New Roman" w:hAnsi="Times New Roman"/>
          <w:sz w:val="20"/>
        </w:rPr>
        <w:t xml:space="preserve"> </w:t>
      </w:r>
    </w:p>
    <w:p>
      <w:pPr>
        <w:pStyle w:val="TextBody"/>
        <w:spacing w:lineRule="auto" w:line="273" w:before="270" w:after="0"/>
        <w:jc w:val="left"/>
        <w:rPr>
          <w:rFonts w:ascii="Calibri" w:hAnsi="Calibri"/>
          <w:b/>
          <w:i/>
          <w:sz w:val="22"/>
        </w:rPr>
      </w:pPr>
      <w:r>
        <w:rPr>
          <w:rFonts w:ascii="Calibri" w:hAnsi="Calibri"/>
          <w:b/>
          <w:i/>
          <w:sz w:val="22"/>
        </w:rPr>
        <w:t>Phase 1 Study in Healthy Volunteers (NCT05169671)</w:t>
      </w:r>
    </w:p>
    <w:p>
      <w:pPr>
        <w:pStyle w:val="TextBody"/>
        <w:spacing w:lineRule="auto" w:line="273" w:before="0" w:after="0"/>
        <w:jc w:val="left"/>
        <w:rPr/>
      </w:pPr>
      <w:r>
        <w:rPr/>
        <w:t>•</w:t>
      </w:r>
    </w:p>
    <w:p>
      <w:pPr>
        <w:pStyle w:val="TextBody"/>
        <w:spacing w:lineRule="auto" w:line="273"/>
        <w:jc w:val="left"/>
        <w:rPr>
          <w:rFonts w:ascii="Calibri" w:hAnsi="Calibri"/>
          <w:b w:val="false"/>
          <w:sz w:val="22"/>
        </w:rPr>
      </w:pPr>
      <w:r>
        <w:rPr>
          <w:rFonts w:ascii="Calibri" w:hAnsi="Calibri"/>
          <w:b w:val="false"/>
          <w:sz w:val="22"/>
        </w:rPr>
        <w:t>Athira initiated a Phase 1 clinical trial for ATH-1020 in the first quarter of 2022. The Phase 1 study will evaluate the safety, tolerability, and pharmacokinetics of ATH-1020 in approximately 68 healthy young and elderly volunteers.</w:t>
      </w:r>
    </w:p>
    <w:p>
      <w:pPr>
        <w:pStyle w:val="TextBody"/>
        <w:spacing w:lineRule="auto" w:line="316"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316" w:before="0" w:after="0"/>
        <w:jc w:val="left"/>
        <w:rPr>
          <w:rFonts w:ascii="Calibri" w:hAnsi="Calibri"/>
          <w:b/>
          <w:sz w:val="22"/>
        </w:rPr>
      </w:pPr>
      <w:r>
        <w:rPr>
          <w:rFonts w:ascii="Calibri" w:hAnsi="Calibri"/>
          <w:b/>
          <w:sz w:val="22"/>
        </w:rPr>
        <w:t>Preclinical Data of novel HGF/MET positive modulators (ATH-1018 and ATH-1019) to be presented at Peripheral Nerve Society (PNS) 2022 Annual Meeting</w:t>
      </w:r>
    </w:p>
    <w:p>
      <w:pPr>
        <w:pStyle w:val="TextBody"/>
        <w:spacing w:lineRule="auto" w:line="273" w:before="0" w:after="0"/>
        <w:jc w:val="left"/>
        <w:rPr/>
      </w:pPr>
      <w:r>
        <w:rPr/>
        <w:t>•</w:t>
      </w:r>
    </w:p>
    <w:p>
      <w:pPr>
        <w:pStyle w:val="TextBody"/>
        <w:spacing w:lineRule="auto" w:line="273"/>
        <w:jc w:val="left"/>
        <w:rPr/>
      </w:pPr>
      <w:r>
        <w:rPr>
          <w:rFonts w:ascii="Calibri" w:hAnsi="Calibri"/>
          <w:b w:val="false"/>
          <w:sz w:val="22"/>
        </w:rPr>
        <w:t>Athira will present new preclinical data at the upcoming PNS 2022 Annual Meeting in a poster presentation titled, “Small Molecule HGF/MET Positive Modulator Effectively Reduces Pain-Related Behaviors in a Rat Diabetic Neuropathy Model,” on May 15, 2022. The data are supportive of the HGF/MET mechanism and the company’s future plans to continue exploring HGF/MET positive modulators for other therapeutic indications, including peripheral indications.</w:t>
        <w:br/>
      </w:r>
      <w:r>
        <w:rPr/>
        <w:t> </w:t>
      </w:r>
    </w:p>
    <w:p>
      <w:pPr>
        <w:pStyle w:val="TextBody"/>
        <w:spacing w:lineRule="auto" w:line="316" w:before="0" w:after="0"/>
        <w:jc w:val="left"/>
        <w:rPr>
          <w:rFonts w:ascii="Times New Roman" w:hAnsi="Times New Roman"/>
          <w:sz w:val="20"/>
        </w:rPr>
      </w:pPr>
      <w:r>
        <w:rPr>
          <w:rFonts w:ascii="Calibri" w:hAnsi="Calibri"/>
          <w:b/>
          <w:sz w:val="24"/>
        </w:rPr>
        <w:t>Financial Results</w:t>
      </w:r>
      <w:r>
        <w:rPr>
          <w:rFonts w:ascii="Times New Roman" w:hAnsi="Times New Roman"/>
          <w:sz w:val="20"/>
        </w:rPr>
        <w:t xml:space="preserve"> </w:t>
      </w:r>
    </w:p>
    <w:p>
      <w:pPr>
        <w:pStyle w:val="TextBody"/>
        <w:spacing w:lineRule="auto" w:line="273" w:before="0" w:after="0"/>
        <w:jc w:val="left"/>
        <w:rPr/>
      </w:pPr>
      <w:r>
        <w:rPr/>
        <w:t>•</w:t>
      </w:r>
    </w:p>
    <w:p>
      <w:pPr>
        <w:pStyle w:val="TextBody"/>
        <w:spacing w:lineRule="auto" w:line="273" w:before="0" w:after="0"/>
        <w:jc w:val="left"/>
        <w:rPr/>
      </w:pPr>
      <w:r>
        <w:rPr>
          <w:rFonts w:ascii="Calibri" w:hAnsi="Calibri"/>
          <w:b/>
          <w:sz w:val="22"/>
        </w:rPr>
        <w:t>Cash Position</w:t>
      </w:r>
      <w:r>
        <w:rPr>
          <w:rFonts w:ascii="Calibri" w:hAnsi="Calibri"/>
          <w:b w:val="false"/>
          <w:sz w:val="22"/>
        </w:rPr>
        <w:t>. Cash, cash equivalents and investments were $301.2 million as of March 31, 2022, compared with $319.7 million as of December 31, 2021. Cash used in operations was $16.6 million for the quarter ended March 31, 2022, compared with $7.3 million for the first quarter of 2021.</w:t>
      </w:r>
    </w:p>
    <w:p>
      <w:pPr>
        <w:pStyle w:val="TextBody"/>
        <w:spacing w:lineRule="auto" w:line="273" w:before="0" w:after="0"/>
        <w:jc w:val="left"/>
        <w:rPr/>
      </w:pPr>
      <w:r>
        <w:rPr/>
        <w:t>•</w:t>
      </w:r>
    </w:p>
    <w:p>
      <w:pPr>
        <w:pStyle w:val="TextBody"/>
        <w:spacing w:lineRule="auto" w:line="273" w:before="0" w:after="0"/>
        <w:jc w:val="left"/>
        <w:rPr/>
      </w:pPr>
      <w:r>
        <w:rPr>
          <w:rFonts w:ascii="Calibri" w:hAnsi="Calibri"/>
          <w:b/>
          <w:sz w:val="22"/>
        </w:rPr>
        <w:t>Research and Development (R&amp;D) Expenses</w:t>
      </w:r>
      <w:r>
        <w:rPr>
          <w:rFonts w:ascii="Calibri" w:hAnsi="Calibri"/>
          <w:b w:val="false"/>
          <w:sz w:val="22"/>
        </w:rPr>
        <w:t xml:space="preserve">. R&amp;D expenses were $14.5 million for the first quarter ended March 31, 2022, compared with $7.4 million for the same period in 2021. The increase was driven primarily by costs related to increased clinical trial activities, increased personnel, and increased preclinical R&amp;D expenses. </w:t>
      </w:r>
    </w:p>
    <w:p>
      <w:pPr>
        <w:pStyle w:val="TextBody"/>
        <w:spacing w:lineRule="auto" w:line="273" w:before="0" w:after="0"/>
        <w:jc w:val="left"/>
        <w:rPr/>
      </w:pPr>
      <w:r>
        <w:rPr/>
        <w:t>•</w:t>
      </w:r>
    </w:p>
    <w:p>
      <w:pPr>
        <w:pStyle w:val="TextBody"/>
        <w:spacing w:lineRule="auto" w:line="273" w:before="0" w:after="0"/>
        <w:jc w:val="left"/>
        <w:rPr/>
      </w:pPr>
      <w:r>
        <w:rPr>
          <w:rFonts w:ascii="Calibri" w:hAnsi="Calibri"/>
          <w:b/>
          <w:sz w:val="22"/>
        </w:rPr>
        <w:t xml:space="preserve">General and Administrative (G&amp;A) Expenses. </w:t>
      </w:r>
      <w:r>
        <w:rPr>
          <w:rFonts w:ascii="Calibri" w:hAnsi="Calibri"/>
          <w:b w:val="false"/>
          <w:sz w:val="22"/>
        </w:rPr>
        <w:t xml:space="preserve">G&amp;A expenses were $8.9 million for the first quarter ended March 31, 2022, compared with $3.3 million for the same period in 2021, primarily due to increased personnel expense associated with the company’s headcount growth. In addition, increases to G&amp;A expenses in 2022 were the result of costs associated with the proxy solicitation in connection with the company’s annual stockholder meeting, an increase in professional services expenses, an increase in business development expenses, and to lesser extents, increases in insurance and facilities costs. </w:t>
      </w:r>
    </w:p>
    <w:p>
      <w:pPr>
        <w:pStyle w:val="TextBody"/>
        <w:spacing w:lineRule="auto" w:line="273" w:before="0" w:after="0"/>
        <w:jc w:val="left"/>
        <w:rPr/>
      </w:pPr>
      <w:r>
        <w:rPr/>
        <w:t>•</w:t>
      </w:r>
    </w:p>
    <w:p>
      <w:pPr>
        <w:pStyle w:val="TextBody"/>
        <w:spacing w:lineRule="auto" w:line="273"/>
        <w:jc w:val="left"/>
        <w:rPr/>
      </w:pPr>
      <w:r>
        <w:rPr>
          <w:rFonts w:ascii="Calibri" w:hAnsi="Calibri"/>
          <w:b/>
          <w:sz w:val="22"/>
        </w:rPr>
        <w:t>Net Loss</w:t>
      </w:r>
      <w:r>
        <w:rPr>
          <w:rFonts w:ascii="Calibri" w:hAnsi="Calibri"/>
          <w:b w:val="false"/>
          <w:sz w:val="22"/>
        </w:rPr>
        <w:t xml:space="preserve">. Net loss was $21.0 million, or $0.56 per share, for the first quarter ended March 31, 2022, compared with a net loss of $8.9 million, or $0.25 per share, for the first quarter ended March 31, 2021. </w:t>
      </w:r>
    </w:p>
    <w:p>
      <w:pPr>
        <w:pStyle w:val="TextBody"/>
        <w:spacing w:lineRule="auto" w:line="316" w:before="0" w:after="0"/>
        <w:jc w:val="left"/>
        <w:rPr/>
      </w:pPr>
      <w:r>
        <w:rPr/>
        <w:t> </w:t>
      </w:r>
    </w:p>
    <w:p>
      <w:pPr>
        <w:pStyle w:val="TextBody"/>
        <w:spacing w:lineRule="auto" w:line="316" w:before="0" w:after="0"/>
        <w:jc w:val="left"/>
        <w:rPr>
          <w:rFonts w:ascii="Calibri" w:hAnsi="Calibri"/>
          <w:b/>
          <w:sz w:val="22"/>
        </w:rPr>
      </w:pPr>
      <w:r>
        <w:rPr>
          <w:rFonts w:ascii="Calibri" w:hAnsi="Calibri"/>
          <w:b/>
          <w:sz w:val="22"/>
        </w:rPr>
        <w:t>About Athira Pharma, Inc.</w:t>
      </w:r>
    </w:p>
    <w:p>
      <w:pPr>
        <w:pStyle w:val="TextBody"/>
        <w:spacing w:lineRule="auto" w:line="316" w:before="0" w:after="0"/>
        <w:jc w:val="left"/>
        <w:rPr>
          <w:rFonts w:ascii="Times New Roman" w:hAnsi="Times New Roman"/>
          <w:sz w:val="20"/>
        </w:rPr>
      </w:pPr>
      <w:r>
        <w:rPr>
          <w:rFonts w:ascii="Calibri" w:hAnsi="Calibri"/>
          <w:b w:val="false"/>
          <w:sz w:val="22"/>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of therapeutic candidates, targeting the HGF/MET neurotrophic system, for Alzheimer’s and Parkinson’s disease dementia, Dementia with Lewy bodies, and neuropsychiatric and peripheral indications. For more information, visit </w:t>
      </w:r>
      <w:r>
        <w:rPr>
          <w:rFonts w:ascii="Calibri" w:hAnsi="Calibri"/>
          <w:b w:val="false"/>
          <w:sz w:val="21"/>
        </w:rPr>
        <w:t>www.athira.com</w:t>
      </w:r>
      <w:r>
        <w:rPr>
          <w:rFonts w:ascii="Calibri" w:hAnsi="Calibri"/>
          <w:b w:val="false"/>
          <w:sz w:val="22"/>
        </w:rPr>
        <w:t>. You can also follow Athira on Facebook, LinkedIn</w:t>
      </w:r>
      <w:r>
        <w:rPr>
          <w:rFonts w:ascii="Times New Roman" w:hAnsi="Times New Roman"/>
          <w:sz w:val="20"/>
        </w:rPr>
        <w:t xml:space="preserve"> </w:t>
      </w:r>
      <w:r>
        <w:rPr>
          <w:rFonts w:ascii="Calibri" w:hAnsi="Calibri"/>
          <w:b w:val="false"/>
          <w:sz w:val="22"/>
        </w:rPr>
        <w:t>and @athirapharma on Twitter</w:t>
      </w:r>
      <w:r>
        <w:rPr>
          <w:rFonts w:ascii="Times New Roman" w:hAnsi="Times New Roman"/>
          <w:sz w:val="20"/>
        </w:rPr>
        <w:t xml:space="preserve"> </w:t>
      </w:r>
      <w:r>
        <w:rPr>
          <w:rFonts w:ascii="Calibri" w:hAnsi="Calibri"/>
          <w:b w:val="false"/>
          <w:sz w:val="22"/>
        </w:rPr>
        <w:t>and Instagram.</w:t>
      </w:r>
    </w:p>
    <w:p>
      <w:pPr>
        <w:pStyle w:val="TextBody"/>
        <w:spacing w:lineRule="auto" w:line="316" w:before="0" w:after="0"/>
        <w:jc w:val="left"/>
        <w:rPr/>
      </w:pPr>
      <w:r>
        <w:rPr/>
        <w:t> </w:t>
      </w:r>
    </w:p>
    <w:p>
      <w:pPr>
        <w:pStyle w:val="TextBody"/>
        <w:spacing w:lineRule="auto" w:line="316" w:before="0" w:after="0"/>
        <w:jc w:val="left"/>
        <w:rPr>
          <w:rFonts w:ascii="Times New Roman" w:hAnsi="Times New Roman"/>
          <w:sz w:val="20"/>
        </w:rPr>
      </w:pPr>
      <w:r>
        <w:rPr>
          <w:rFonts w:ascii="Calibri" w:hAnsi="Calibri"/>
          <w:b/>
          <w:sz w:val="22"/>
        </w:rPr>
        <w:t>Forward-Looking Statements</w:t>
      </w:r>
      <w:r>
        <w:rPr>
          <w:rFonts w:ascii="Times New Roman" w:hAnsi="Times New Roman"/>
          <w:sz w:val="20"/>
        </w:rPr>
        <w:t xml:space="preserve"> </w:t>
      </w:r>
    </w:p>
    <w:p>
      <w:pPr>
        <w:pStyle w:val="TextBody"/>
        <w:spacing w:lineRule="auto" w:line="316" w:before="0" w:after="0"/>
        <w:jc w:val="left"/>
        <w:rPr>
          <w:rFonts w:ascii="Times New Roman" w:hAnsi="Times New Roman"/>
          <w:sz w:val="20"/>
        </w:rPr>
      </w:pPr>
      <w:r>
        <w:rPr>
          <w:rFonts w:ascii="Calibri" w:hAnsi="Calibri"/>
          <w:b w:val="false"/>
          <w:sz w:val="22"/>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and ATH-1020 as a potential treatment for neuropsychiatric indications; Athira’s platform technology and potential therapies; future</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316" w:before="0" w:after="0"/>
        <w:jc w:val="left"/>
        <w:rPr>
          <w:rFonts w:ascii="Calibri" w:hAnsi="Calibri"/>
          <w:b w:val="false"/>
          <w:sz w:val="22"/>
        </w:rPr>
      </w:pPr>
      <w:r>
        <w:rPr>
          <w:rFonts w:ascii="Calibri" w:hAnsi="Calibri"/>
          <w:b w:val="false"/>
          <w:sz w:val="22"/>
        </w:rPr>
        <w:t>development plans; clinical and regulatory objectives and the timing thereof, including the timing of the LIFT-AD and ACT-AD clinical trials and the timing of the Phase 2 clinical trial of fosgonimeton for treatment of Parkinson’s disease dementia and Dementia with Lewy bodies;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our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which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pStyle w:val="TextBody"/>
        <w:spacing w:lineRule="auto" w:line="316"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316" w:before="0" w:after="0"/>
        <w:jc w:val="left"/>
        <w:rPr>
          <w:rFonts w:ascii="Times New Roman" w:hAnsi="Times New Roman"/>
          <w:sz w:val="20"/>
        </w:rPr>
      </w:pPr>
      <w:r>
        <w:rPr>
          <w:rFonts w:ascii="Calibri" w:hAnsi="Calibri"/>
          <w:b/>
          <w:sz w:val="22"/>
        </w:rPr>
        <w:t>Investor &amp; Media Contact</w:t>
      </w:r>
      <w:r>
        <w:rPr>
          <w:rFonts w:ascii="Calibri" w:hAnsi="Calibri"/>
          <w:b w:val="false"/>
          <w:sz w:val="22"/>
        </w:rPr>
        <w:t>:</w:t>
      </w:r>
    </w:p>
    <w:p>
      <w:pPr>
        <w:pStyle w:val="TextBody"/>
        <w:spacing w:lineRule="auto" w:line="316" w:before="0" w:after="0"/>
        <w:jc w:val="left"/>
        <w:rPr>
          <w:rFonts w:ascii="Calibri" w:hAnsi="Calibri"/>
          <w:b w:val="false"/>
          <w:sz w:val="22"/>
        </w:rPr>
      </w:pPr>
      <w:r>
        <w:rPr>
          <w:rFonts w:ascii="Calibri" w:hAnsi="Calibri"/>
          <w:b w:val="false"/>
          <w:sz w:val="22"/>
        </w:rPr>
        <w:t>Julie Rathbun</w:t>
      </w:r>
    </w:p>
    <w:p>
      <w:pPr>
        <w:pStyle w:val="TextBody"/>
        <w:spacing w:lineRule="auto" w:line="316" w:before="0" w:after="0"/>
        <w:jc w:val="left"/>
        <w:rPr>
          <w:rFonts w:ascii="Calibri" w:hAnsi="Calibri"/>
          <w:b w:val="false"/>
          <w:sz w:val="22"/>
        </w:rPr>
      </w:pPr>
      <w:r>
        <w:rPr>
          <w:rFonts w:ascii="Calibri" w:hAnsi="Calibri"/>
          <w:b w:val="false"/>
          <w:sz w:val="22"/>
        </w:rPr>
        <w:t>Athira Pharma</w:t>
      </w:r>
    </w:p>
    <w:p>
      <w:pPr>
        <w:pStyle w:val="TextBody"/>
        <w:spacing w:lineRule="auto" w:line="316" w:before="0" w:after="0"/>
        <w:jc w:val="left"/>
        <w:rPr>
          <w:rFonts w:ascii="Calibri" w:hAnsi="Calibri"/>
          <w:b w:val="false"/>
          <w:sz w:val="22"/>
        </w:rPr>
      </w:pPr>
      <w:r>
        <w:rPr>
          <w:rFonts w:ascii="Calibri" w:hAnsi="Calibri"/>
          <w:b w:val="false"/>
          <w:sz w:val="22"/>
        </w:rPr>
        <w:t>Julie.rathbun@athira.com</w:t>
      </w:r>
    </w:p>
    <w:p>
      <w:pPr>
        <w:pStyle w:val="TextBody"/>
        <w:spacing w:lineRule="auto" w:line="316" w:before="0" w:after="0"/>
        <w:jc w:val="left"/>
        <w:rPr>
          <w:rFonts w:ascii="Calibri" w:hAnsi="Calibri"/>
          <w:b w:val="false"/>
          <w:sz w:val="22"/>
        </w:rPr>
      </w:pPr>
      <w:r>
        <w:rPr>
          <w:rFonts w:ascii="Calibri" w:hAnsi="Calibri"/>
          <w:b w:val="false"/>
          <w:sz w:val="22"/>
        </w:rPr>
        <w:t>206-769-9219</w:t>
      </w:r>
    </w:p>
    <w:p>
      <w:pPr>
        <w:pStyle w:val="TextBody"/>
        <w:spacing w:lineRule="auto" w:line="316"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316" w:before="0" w:after="0"/>
        <w:jc w:val="center"/>
        <w:rPr>
          <w:rFonts w:ascii="Arial" w:hAnsi="Arial"/>
          <w:b/>
          <w:sz w:val="20"/>
        </w:rPr>
      </w:pPr>
      <w:r>
        <w:rPr>
          <w:rFonts w:ascii="Arial" w:hAnsi="Arial"/>
          <w:b/>
          <w:sz w:val="20"/>
        </w:rPr>
        <w:t>Athira Pharma, Inc.</w:t>
      </w:r>
    </w:p>
    <w:p>
      <w:pPr>
        <w:pStyle w:val="TextBody"/>
        <w:spacing w:lineRule="auto" w:line="316" w:before="0" w:after="0"/>
        <w:jc w:val="center"/>
        <w:rPr>
          <w:rFonts w:ascii="Arial" w:hAnsi="Arial"/>
          <w:b/>
          <w:sz w:val="20"/>
        </w:rPr>
      </w:pPr>
      <w:r>
        <w:rPr>
          <w:rFonts w:ascii="Arial" w:hAnsi="Arial"/>
          <w:b/>
          <w:sz w:val="20"/>
        </w:rPr>
        <w:t>Condensed Consolidated Balance Sheets</w:t>
      </w:r>
    </w:p>
    <w:p>
      <w:pPr>
        <w:pStyle w:val="TextBody"/>
        <w:spacing w:lineRule="auto" w:line="316" w:before="0" w:after="0"/>
        <w:jc w:val="center"/>
        <w:rPr>
          <w:rFonts w:ascii="Arial" w:hAnsi="Arial"/>
          <w:b w:val="false"/>
          <w:sz w:val="20"/>
        </w:rPr>
      </w:pPr>
      <w:r>
        <w:rPr>
          <w:rFonts w:ascii="Arial" w:hAnsi="Arial"/>
          <w:b w:val="false"/>
          <w:sz w:val="20"/>
        </w:rPr>
        <w:t>(Amounts in thousands)</w:t>
      </w:r>
    </w:p>
    <w:p>
      <w:pPr>
        <w:pStyle w:val="TextBody"/>
        <w:spacing w:lineRule="auto" w:line="316" w:before="0" w:after="0"/>
        <w:jc w:val="center"/>
        <w:rPr>
          <w:rFonts w:ascii="Arial" w:hAnsi="Arial"/>
          <w:b w:val="false"/>
          <w:sz w:val="20"/>
        </w:rPr>
      </w:pPr>
      <w:r>
        <w:rPr>
          <w:rFonts w:ascii="Arial" w:hAnsi="Arial"/>
          <w:b w:val="false"/>
          <w:sz w:val="20"/>
        </w:rPr>
        <w:t>(Unaudited)</w:t>
      </w:r>
    </w:p>
    <w:p>
      <w:pPr>
        <w:pStyle w:val="TextBody"/>
        <w:spacing w:lineRule="auto" w:line="316" w:before="0" w:after="0"/>
        <w:jc w:val="center"/>
        <w:rPr/>
      </w:pPr>
      <w:r>
        <w:rPr/>
        <w:t> </w:t>
      </w:r>
    </w:p>
    <w:tbl>
      <w:tblPr>
        <w:tblW w:w="6332" w:type="dxa"/>
        <w:jc w:val="left"/>
        <w:tblInd w:w="0" w:type="dxa"/>
        <w:tblCellMar>
          <w:top w:w="28" w:type="dxa"/>
          <w:left w:w="28" w:type="dxa"/>
          <w:bottom w:w="28" w:type="dxa"/>
          <w:right w:w="28" w:type="dxa"/>
        </w:tblCellMar>
      </w:tblPr>
      <w:tblGrid>
        <w:gridCol w:w="3526"/>
        <w:gridCol w:w="146"/>
        <w:gridCol w:w="211"/>
        <w:gridCol w:w="796"/>
        <w:gridCol w:w="146"/>
        <w:gridCol w:w="146"/>
        <w:gridCol w:w="245"/>
        <w:gridCol w:w="925"/>
        <w:gridCol w:w="191"/>
      </w:tblGrid>
      <w:tr>
        <w:trPr/>
        <w:tc>
          <w:tcPr>
            <w:tcW w:w="3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007"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170"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1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007"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170"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Assets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Cash and cash equivalents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117,811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110,537</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Short-term investments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145,715</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143,222</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Other short-term assets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5,628</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7,040</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Long-term investments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37,644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65,936</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Other long-term assets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6,204</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5,273</w:t>
            </w:r>
          </w:p>
        </w:tc>
        <w:tc>
          <w:tcPr>
            <w:tcW w:w="1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assets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313,002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332,008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Liabilities and stockholders' equity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Current liabilities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9,471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9,292</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Arial" w:hAnsi="Arial"/>
                <w:b w:val="false"/>
                <w:sz w:val="20"/>
              </w:rPr>
              <w:t>Long-term liabilities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1,554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1,632</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liabilities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79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11,025</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10,924</w:t>
            </w:r>
          </w:p>
        </w:tc>
        <w:tc>
          <w:tcPr>
            <w:tcW w:w="19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Stockholders' equity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301,977</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45"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5"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321,084</w:t>
            </w:r>
          </w:p>
        </w:tc>
        <w:tc>
          <w:tcPr>
            <w:tcW w:w="19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liabilities and stockholders' equity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313,002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332,008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316"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316" w:before="0" w:after="0"/>
        <w:jc w:val="center"/>
        <w:rPr>
          <w:rFonts w:ascii="Arial" w:hAnsi="Arial"/>
          <w:b/>
          <w:sz w:val="20"/>
        </w:rPr>
      </w:pPr>
      <w:r>
        <w:rPr>
          <w:rFonts w:ascii="Arial" w:hAnsi="Arial"/>
          <w:b/>
          <w:sz w:val="20"/>
        </w:rPr>
        <w:t>Athira Pharma, Inc.</w:t>
      </w:r>
    </w:p>
    <w:p>
      <w:pPr>
        <w:pStyle w:val="TextBody"/>
        <w:spacing w:lineRule="auto" w:line="316" w:before="0" w:after="0"/>
        <w:jc w:val="center"/>
        <w:rPr>
          <w:rFonts w:ascii="Arial" w:hAnsi="Arial"/>
          <w:b/>
          <w:sz w:val="20"/>
        </w:rPr>
      </w:pPr>
      <w:r>
        <w:rPr>
          <w:rFonts w:ascii="Arial" w:hAnsi="Arial"/>
          <w:b/>
          <w:sz w:val="20"/>
        </w:rPr>
        <w:t>Condensed Consolidated Statement of Comprehensive Loss</w:t>
      </w:r>
    </w:p>
    <w:p>
      <w:pPr>
        <w:pStyle w:val="TextBody"/>
        <w:spacing w:lineRule="auto" w:line="316" w:before="0" w:after="0"/>
        <w:jc w:val="center"/>
        <w:rPr>
          <w:rFonts w:ascii="Arial" w:hAnsi="Arial"/>
          <w:b w:val="false"/>
          <w:sz w:val="20"/>
        </w:rPr>
      </w:pPr>
      <w:r>
        <w:rPr>
          <w:rFonts w:ascii="Arial" w:hAnsi="Arial"/>
          <w:b w:val="false"/>
          <w:sz w:val="20"/>
        </w:rPr>
        <w:t>(Amounts in thousands, except share and per share amounts)</w:t>
      </w:r>
    </w:p>
    <w:p>
      <w:pPr>
        <w:pStyle w:val="TextBody"/>
        <w:spacing w:lineRule="auto" w:line="316" w:before="0" w:after="0"/>
        <w:jc w:val="center"/>
        <w:rPr>
          <w:rFonts w:ascii="Arial" w:hAnsi="Arial"/>
          <w:b w:val="false"/>
          <w:sz w:val="20"/>
        </w:rPr>
      </w:pPr>
      <w:r>
        <w:rPr>
          <w:rFonts w:ascii="Arial" w:hAnsi="Arial"/>
          <w:b w:val="false"/>
          <w:sz w:val="20"/>
        </w:rPr>
        <w:t>(Unaudited)</w:t>
      </w:r>
    </w:p>
    <w:p>
      <w:pPr>
        <w:pStyle w:val="TextBody"/>
        <w:spacing w:lineRule="auto" w:line="316" w:before="0" w:after="0"/>
        <w:jc w:val="center"/>
        <w:rPr/>
      </w:pPr>
      <w:r>
        <w:rPr/>
        <w:t> </w:t>
      </w:r>
    </w:p>
    <w:tbl>
      <w:tblPr>
        <w:tblW w:w="9058" w:type="dxa"/>
        <w:jc w:val="left"/>
        <w:tblInd w:w="0" w:type="dxa"/>
        <w:tblCellMar>
          <w:top w:w="28" w:type="dxa"/>
          <w:left w:w="28" w:type="dxa"/>
          <w:bottom w:w="28" w:type="dxa"/>
          <w:right w:w="28" w:type="dxa"/>
        </w:tblCellMar>
      </w:tblPr>
      <w:tblGrid>
        <w:gridCol w:w="5116"/>
        <w:gridCol w:w="146"/>
        <w:gridCol w:w="233"/>
        <w:gridCol w:w="1181"/>
        <w:gridCol w:w="184"/>
        <w:gridCol w:w="161"/>
        <w:gridCol w:w="233"/>
        <w:gridCol w:w="528"/>
        <w:gridCol w:w="538"/>
        <w:gridCol w:w="738"/>
      </w:tblGrid>
      <w:tr>
        <w:trPr/>
        <w:tc>
          <w:tcPr>
            <w:tcW w:w="5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2520" w:type="dxa"/>
            <w:gridSpan w:val="6"/>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Year Ended December 31,</w:t>
            </w:r>
          </w:p>
        </w:tc>
        <w:tc>
          <w:tcPr>
            <w:tcW w:w="1276"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14"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8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299" w:type="dxa"/>
            <w:gridSpan w:val="3"/>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738"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expenses: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1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c>
          <w:tcPr>
            <w:tcW w:w="738" w:type="dxa"/>
            <w:tcBorders/>
            <w:shd w:fill="auto" w:val="clear"/>
            <w:tcMar>
              <w:top w:w="0" w:type="dxa"/>
              <w:left w:w="0" w:type="dxa"/>
              <w:bottom w:w="0" w:type="dxa"/>
              <w:right w:w="0" w:type="dxa"/>
            </w:tcMar>
            <w:vAlign w:val="center"/>
          </w:tcPr>
          <w:p>
            <w:pPr>
              <w:pStyle w:val="TableContents"/>
              <w:spacing w:lineRule="auto" w:line="252" w:before="0" w:after="0"/>
              <w:ind w:left="0" w:right="0" w:firstLine="274"/>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274" w:right="0" w:hanging="0"/>
              <w:jc w:val="left"/>
              <w:rPr>
                <w:rFonts w:ascii="Arial" w:hAnsi="Arial"/>
                <w:b w:val="false"/>
                <w:sz w:val="20"/>
              </w:rPr>
            </w:pPr>
            <w:r>
              <w:rPr>
                <w:rFonts w:ascii="Arial" w:hAnsi="Arial"/>
                <w:b w:val="false"/>
                <w:sz w:val="20"/>
              </w:rPr>
              <w:t>Research and development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14,460</w:t>
            </w:r>
          </w:p>
        </w:tc>
        <w:tc>
          <w:tcPr>
            <w:tcW w:w="1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7,445</w:t>
            </w:r>
          </w:p>
        </w:tc>
        <w:tc>
          <w:tcPr>
            <w:tcW w:w="738" w:type="dxa"/>
            <w:tcBorders/>
            <w:shd w:fill="auto" w:val="clear"/>
            <w:tcMar>
              <w:top w:w="0" w:type="dxa"/>
              <w:left w:w="0" w:type="dxa"/>
              <w:bottom w:w="0" w:type="dxa"/>
              <w:right w:w="0" w:type="dxa"/>
            </w:tcMar>
            <w:vAlign w:val="center"/>
          </w:tcPr>
          <w:p>
            <w:pPr>
              <w:pStyle w:val="TableContents"/>
              <w:spacing w:lineRule="auto" w:line="252" w:before="0" w:after="0"/>
              <w:ind w:left="0" w:right="0" w:firstLine="274"/>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274"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8,927</w:t>
            </w:r>
          </w:p>
        </w:tc>
        <w:tc>
          <w:tcPr>
            <w:tcW w:w="18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3,336</w:t>
            </w:r>
          </w:p>
        </w:tc>
        <w:tc>
          <w:tcPr>
            <w:tcW w:w="738"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firstLine="547"/>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547" w:right="0" w:hanging="0"/>
              <w:jc w:val="left"/>
              <w:rPr>
                <w:rFonts w:ascii="Arial" w:hAnsi="Arial"/>
                <w:b w:val="false"/>
                <w:sz w:val="20"/>
              </w:rPr>
            </w:pPr>
            <w:r>
              <w:rPr>
                <w:rFonts w:ascii="Arial" w:hAnsi="Arial"/>
                <w:b w:val="false"/>
                <w:sz w:val="20"/>
              </w:rPr>
              <w:t>Total operating expenses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23,387</w:t>
            </w:r>
          </w:p>
        </w:tc>
        <w:tc>
          <w:tcPr>
            <w:tcW w:w="18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10,781</w:t>
            </w:r>
          </w:p>
        </w:tc>
        <w:tc>
          <w:tcPr>
            <w:tcW w:w="738"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Loss from operations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(23,387</w:t>
            </w:r>
          </w:p>
        </w:tc>
        <w:tc>
          <w:tcPr>
            <w:tcW w:w="1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(10,781</w:t>
            </w:r>
          </w:p>
        </w:tc>
        <w:tc>
          <w:tcPr>
            <w:tcW w:w="73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Grant income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2,234</w:t>
            </w:r>
          </w:p>
        </w:tc>
        <w:tc>
          <w:tcPr>
            <w:tcW w:w="18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1,831</w:t>
            </w:r>
          </w:p>
        </w:tc>
        <w:tc>
          <w:tcPr>
            <w:tcW w:w="738"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income, net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173</w:t>
            </w:r>
          </w:p>
        </w:tc>
        <w:tc>
          <w:tcPr>
            <w:tcW w:w="18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w:t>
            </w:r>
          </w:p>
        </w:tc>
        <w:tc>
          <w:tcPr>
            <w:tcW w:w="738"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(20,980</w:t>
            </w:r>
          </w:p>
        </w:tc>
        <w:tc>
          <w:tcPr>
            <w:tcW w:w="1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gridSpan w:val="2"/>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(8,866</w:t>
            </w:r>
          </w:p>
        </w:tc>
        <w:tc>
          <w:tcPr>
            <w:tcW w:w="7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Unrealized loss on available-for-sale securities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(1,068</w:t>
            </w:r>
          </w:p>
        </w:tc>
        <w:tc>
          <w:tcPr>
            <w:tcW w:w="184"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738"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Comprehensive loss attributable to common stockholders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(22,048</w:t>
            </w:r>
          </w:p>
        </w:tc>
        <w:tc>
          <w:tcPr>
            <w:tcW w:w="1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gridSpan w:val="2"/>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(8,871</w:t>
            </w:r>
          </w:p>
        </w:tc>
        <w:tc>
          <w:tcPr>
            <w:tcW w:w="7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per share attributable to common stockholders,</w:t>
            </w:r>
          </w:p>
          <w:p>
            <w:pPr>
              <w:pStyle w:val="TableContents"/>
              <w:spacing w:lineRule="auto" w:line="252" w:before="0" w:after="0"/>
              <w:ind w:left="0" w:right="0" w:hanging="0"/>
              <w:jc w:val="left"/>
              <w:rPr/>
            </w:pPr>
            <w:r>
              <w:rPr/>
              <w:t>   </w:t>
            </w:r>
            <w:r>
              <w:rPr>
                <w:rFonts w:ascii="Arial" w:hAnsi="Arial"/>
                <w:b w:val="false"/>
                <w:sz w:val="20"/>
              </w:rPr>
              <w:t>basic and diluted</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(0.56</w:t>
            </w:r>
          </w:p>
        </w:tc>
        <w:tc>
          <w:tcPr>
            <w:tcW w:w="1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gridSpan w:val="2"/>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(0.25</w:t>
            </w:r>
          </w:p>
        </w:tc>
        <w:tc>
          <w:tcPr>
            <w:tcW w:w="7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1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shares used in computing net loss per</w:t>
            </w:r>
          </w:p>
          <w:p>
            <w:pPr>
              <w:pStyle w:val="TableContents"/>
              <w:spacing w:lineRule="auto" w:line="252" w:before="0" w:after="0"/>
              <w:ind w:left="0" w:right="0" w:hanging="0"/>
              <w:jc w:val="left"/>
              <w:rPr/>
            </w:pPr>
            <w:r>
              <w:rPr/>
              <w:t>   </w:t>
            </w:r>
            <w:r>
              <w:rPr>
                <w:rFonts w:ascii="Arial" w:hAnsi="Arial"/>
                <w:b w:val="false"/>
                <w:sz w:val="20"/>
              </w:rPr>
              <w:t>share attributable to common stockholders, basic</w:t>
            </w:r>
          </w:p>
          <w:p>
            <w:pPr>
              <w:pStyle w:val="TableContents"/>
              <w:spacing w:lineRule="auto" w:line="252" w:before="0" w:after="0"/>
              <w:ind w:left="0" w:right="0" w:hanging="0"/>
              <w:jc w:val="left"/>
              <w:rPr/>
            </w:pPr>
            <w:r>
              <w:rPr/>
              <w:t>   </w:t>
            </w:r>
            <w:r>
              <w:rPr>
                <w:rFonts w:ascii="Arial" w:hAnsi="Arial"/>
                <w:b w:val="false"/>
                <w:sz w:val="20"/>
              </w:rPr>
              <w:t>and diluted</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37,593,328</w:t>
            </w:r>
          </w:p>
        </w:tc>
        <w:tc>
          <w:tcPr>
            <w:tcW w:w="1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gridSpan w:val="2"/>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35,775,454</w:t>
            </w:r>
          </w:p>
        </w:tc>
        <w:tc>
          <w:tcPr>
            <w:tcW w:w="7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97" w:before="0" w:after="160"/>
        <w:jc w:val="left"/>
        <w:rPr/>
      </w:pPr>
      <w:r>
        <w:rPr/>
        <w:t> </w:t>
      </w:r>
    </w:p>
    <w:p>
      <w:pPr>
        <w:pStyle w:val="TextBody"/>
        <w:spacing w:lineRule="auto" w:line="297" w:before="0" w:after="16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3280</Words>
  <CharactersWithSpaces>22311</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