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5"/>
            <w:vMerge w:val="restart"/>
          </w:tcPr>
          <w:p>
            <w:pPr>
              <w:ind w:left="20"/>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Romano Kelly A</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Athira Pharma,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ATHA</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gridSpan w:val="5"/>
            <w:vMerge w:val="continue"/>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05/20/2022</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ATHIRA PHARMA, INC.</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w w:val="98"/>
              </w:rPr>
              <w:t>18706 NORTH CREEK PARKWAY, SUITE 104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BOTHELL</w:t>
            </w:r>
          </w:p>
        </w:tc>
        <w:tc>
          <w:tcPr>
            <w:tcW w:w="1220" w:type="dxa"/>
            <w:vAlign w:val="bottom"/>
            <w:gridSpan w:val="3"/>
          </w:tcPr>
          <w:p>
            <w:pPr>
              <w:spacing w:after="0"/>
              <w:rPr>
                <w:sz w:val="20"/>
                <w:szCs w:val="20"/>
                <w:color w:val="auto"/>
              </w:rPr>
            </w:pPr>
            <w:r>
              <w:rPr>
                <w:rFonts w:ascii="Arial" w:cs="Arial" w:eastAsia="Arial" w:hAnsi="Arial"/>
                <w:sz w:val="17"/>
                <w:szCs w:val="17"/>
                <w:color w:val="0000FF"/>
              </w:rPr>
              <w:t>WA</w:t>
            </w:r>
          </w:p>
        </w:tc>
        <w:tc>
          <w:tcPr>
            <w:tcW w:w="1100" w:type="dxa"/>
            <w:vAlign w:val="bottom"/>
          </w:tcPr>
          <w:p>
            <w:pPr>
              <w:spacing w:after="0"/>
              <w:rPr>
                <w:sz w:val="20"/>
                <w:szCs w:val="20"/>
                <w:color w:val="auto"/>
              </w:rPr>
            </w:pPr>
            <w:r>
              <w:rPr>
                <w:rFonts w:ascii="Arial" w:cs="Arial" w:eastAsia="Arial" w:hAnsi="Arial"/>
                <w:sz w:val="17"/>
                <w:szCs w:val="17"/>
                <w:color w:val="0000FF"/>
              </w:rPr>
              <w:t>98011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8.93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Arial" w:cs="Arial" w:eastAsia="Arial" w:hAnsi="Arial"/>
                <w:sz w:val="13"/>
                <w:szCs w:val="13"/>
                <w:color w:val="0000FF"/>
              </w:rPr>
              <w:t>05/20/2022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13,871</w:t>
            </w:r>
          </w:p>
        </w:tc>
        <w:tc>
          <w:tcPr>
            <w:tcW w:w="340" w:type="dxa"/>
            <w:vAlign w:val="bottom"/>
          </w:tcPr>
          <w:p>
            <w:pPr>
              <w:spacing w:after="0"/>
              <w:rPr>
                <w:sz w:val="16"/>
                <w:szCs w:val="16"/>
                <w:color w:val="auto"/>
              </w:rPr>
            </w:pPr>
          </w:p>
        </w:tc>
        <w:tc>
          <w:tcPr>
            <w:tcW w:w="760" w:type="dxa"/>
            <w:vAlign w:val="bottom"/>
            <w:gridSpan w:val="3"/>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05/19/2032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13,871</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13,871</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will vest on the earlier of (i) May 20, 2023, or (ii) the day immediately before the date of the next annual meeting of the Issuer's stockholders that occurs after May 20, 2022. The option reported was granted pursuant to the terms of the Issuer's outside director compensation policy.</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Glenna Mileson, Attorney 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05/27/2022</w:t>
            </w:r>
          </w:p>
        </w:tc>
        <w:tc>
          <w:tcPr>
            <w:tcW w:w="0" w:type="dxa"/>
            <w:vAlign w:val="bottom"/>
          </w:tcPr>
          <w:p>
            <w:pPr>
              <w:spacing w:after="0"/>
              <w:rPr>
                <w:sz w:val="1"/>
                <w:szCs w:val="1"/>
                <w:color w:val="auto"/>
              </w:rPr>
            </w:pPr>
          </w:p>
        </w:tc>
      </w:tr>
      <w:tr>
        <w:trPr>
          <w:trHeight w:val="88"/>
        </w:trPr>
        <w:tc>
          <w:tcPr>
            <w:tcW w:w="1720" w:type="dxa"/>
            <w:vAlign w:val="bottom"/>
            <w:tcBorders>
              <w:top w:val="single" w:sz="8" w:color="auto"/>
              <w:bottom w:val="single" w:sz="8" w:color="auto"/>
            </w:tcBorders>
            <w:vMerge w:val="restart"/>
          </w:tcPr>
          <w:p>
            <w:pPr>
              <w:spacing w:after="0" w:line="186" w:lineRule="exact"/>
              <w:rPr>
                <w:sz w:val="20"/>
                <w:szCs w:val="20"/>
                <w:color w:val="auto"/>
              </w:rPr>
            </w:pPr>
            <w:r>
              <w:rPr>
                <w:rFonts w:ascii="Arial" w:cs="Arial" w:eastAsia="Arial" w:hAnsi="Arial"/>
                <w:sz w:val="17"/>
                <w:szCs w:val="17"/>
                <w:color w:val="0000FF"/>
                <w:w w:val="92"/>
              </w:rPr>
              <w:t>fact for Kelly A. Romano</w:t>
            </w:r>
          </w:p>
        </w:tc>
        <w:tc>
          <w:tcPr>
            <w:tcW w:w="2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720" w:type="dxa"/>
            <w:vAlign w:val="bottom"/>
            <w:tcBorders>
              <w:bottom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22055"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2022-05-28T17:04:30Z</dcterms:created>
  <dcterms:modified xsi:type="dcterms:W3CDTF">2022-05-28T17:04:30Z</dcterms:modified>
</cp:coreProperties>
</file>