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CHURCH KEVIN</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220" w:type="dxa"/>
            <w:vAlign w:val="bottom"/>
          </w:tcPr>
          <w:p>
            <w:pPr>
              <w:spacing w:after="0"/>
              <w:rPr>
                <w:sz w:val="18"/>
                <w:szCs w:val="18"/>
                <w:color w:val="auto"/>
              </w:rPr>
            </w:pP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01/19/2023</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85"/>
        <w:spacing w:after="0"/>
        <w:rPr>
          <w:sz w:val="20"/>
          <w:szCs w:val="20"/>
          <w:color w:val="auto"/>
        </w:rPr>
      </w:pPr>
      <w:r>
        <w:rPr>
          <w:rFonts w:ascii="Times New Roman" w:cs="Times New Roman" w:eastAsia="Times New Roman" w:hAnsi="Times New Roman"/>
          <w:sz w:val="17"/>
          <w:szCs w:val="17"/>
          <w:color w:val="0000FF"/>
        </w:rPr>
        <w:t>Executive VP, Research</w:t>
      </w:r>
    </w:p>
    <w:p>
      <w:pPr>
        <w:spacing w:after="0" w:line="38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98011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5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2000" w:type="dxa"/>
            <w:vAlign w:val="bottom"/>
            <w:gridSpan w:val="4"/>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2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9"/>
              </w:rPr>
              <w:t>Common Stock</w:t>
            </w:r>
            <w:r>
              <w:rPr>
                <w:rFonts w:ascii="Times New Roman" w:cs="Times New Roman" w:eastAsia="Times New Roman" w:hAnsi="Times New Roman"/>
                <w:sz w:val="21"/>
                <w:szCs w:val="21"/>
                <w:color w:val="008000"/>
                <w:w w:val="99"/>
                <w:vertAlign w:val="superscript"/>
              </w:rPr>
              <w:t>(1)</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11/18/2022</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4"/>
              </w:rPr>
              <w:t>V</w:t>
            </w:r>
          </w:p>
        </w:tc>
        <w:tc>
          <w:tcPr>
            <w:tcW w:w="6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657</w:t>
            </w:r>
          </w:p>
        </w:tc>
        <w:tc>
          <w:tcPr>
            <w:tcW w:w="6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86"/>
              </w:rPr>
              <w:t>$</w:t>
            </w:r>
            <w:r>
              <w:rPr>
                <w:rFonts w:ascii="Times New Roman" w:cs="Times New Roman" w:eastAsia="Times New Roman" w:hAnsi="Times New Roman"/>
                <w:sz w:val="17"/>
                <w:szCs w:val="17"/>
                <w:color w:val="0000FF"/>
                <w:w w:val="86"/>
              </w:rPr>
              <w:t>2.74</w:t>
            </w:r>
            <w:r>
              <w:rPr>
                <w:rFonts w:ascii="Times New Roman" w:cs="Times New Roman" w:eastAsia="Times New Roman" w:hAnsi="Times New Roman"/>
                <w:sz w:val="21"/>
                <w:szCs w:val="21"/>
                <w:color w:val="008000"/>
                <w:w w:val="86"/>
                <w:vertAlign w:val="superscript"/>
              </w:rPr>
              <w:t>(3)</w:t>
            </w: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62,052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3.37</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01/19/2023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150,000</w:t>
            </w:r>
          </w:p>
        </w:tc>
        <w:tc>
          <w:tcPr>
            <w:tcW w:w="260" w:type="dxa"/>
            <w:vAlign w:val="bottom"/>
          </w:tcPr>
          <w:p>
            <w:pPr>
              <w:spacing w:after="0"/>
              <w:rPr>
                <w:sz w:val="17"/>
                <w:szCs w:val="17"/>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01/18/2033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150,000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18, 2022 through November 18, 2022. This transaction is also exempt under Rule 16b-3(c).</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November 18, 2022 and is the sole Purchase Period in the Offering Period (as defined in the ESPP) that began May 18, 2022.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18, 2022.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thirty-sixth (1/36th) of the shares subject to the option will vest on February 19, 2023 and one thirty-sixth of the shares subject to the option will vest each month thereafter.</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Glenna Mileson, Attorney-</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01/23/2023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 for Kevin Church</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2499"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2023-01-23T16:32:40Z</dcterms:created>
  <dcterms:modified xsi:type="dcterms:W3CDTF">2023-01-23T16:32:40Z</dcterms:modified>
</cp:coreProperties>
</file>