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8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86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CHURCH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7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01/04/2024</w:t>
            </w:r>
          </w:p>
        </w:tc>
        <w:tc>
          <w:tcPr>
            <w:tcW w:w="2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Scientific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05/18/2023</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809</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2.41</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69,271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(4)</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11/20/2023</w:t>
            </w:r>
            <w:r>
              <w:rPr>
                <w:rFonts w:ascii="Times New Roman" w:cs="Times New Roman" w:eastAsia="Times New Roman" w:hAnsi="Times New Roman"/>
                <w:sz w:val="22"/>
                <w:szCs w:val="22"/>
                <w:color w:val="008000"/>
                <w:vertAlign w:val="superscript"/>
              </w:rPr>
              <w:t>(5)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V</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3,397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1.34</w:t>
            </w:r>
            <w:r>
              <w:rPr>
                <w:rFonts w:ascii="Times New Roman" w:cs="Times New Roman" w:eastAsia="Times New Roman" w:hAnsi="Times New Roman"/>
                <w:sz w:val="22"/>
                <w:szCs w:val="22"/>
                <w:color w:val="008000"/>
                <w:w w:val="92"/>
                <w:vertAlign w:val="superscript"/>
              </w:rPr>
              <w:t>(6)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72,668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01/04/2023</w:t>
            </w:r>
            <w:r>
              <w:rPr>
                <w:rFonts w:ascii="Times New Roman" w:cs="Times New Roman" w:eastAsia="Times New Roman" w:hAnsi="Times New Roman"/>
                <w:sz w:val="22"/>
                <w:szCs w:val="22"/>
                <w:color w:val="008000"/>
                <w:vertAlign w:val="superscript"/>
              </w:rPr>
              <w:t>(7)</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10,000</w:t>
            </w:r>
            <w:r>
              <w:rPr>
                <w:rFonts w:ascii="Times New Roman" w:cs="Times New Roman" w:eastAsia="Times New Roman" w:hAnsi="Times New Roman"/>
                <w:sz w:val="22"/>
                <w:szCs w:val="22"/>
                <w:color w:val="008000"/>
                <w:w w:val="93"/>
                <w:vertAlign w:val="superscript"/>
              </w:rPr>
              <w:t>(8)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82,668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01/05/2023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(9)</w:t>
            </w:r>
          </w:p>
        </w:tc>
        <w:tc>
          <w:tcPr>
            <w:tcW w:w="3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2,412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2.91</w:t>
            </w:r>
            <w:r>
              <w:rPr>
                <w:rFonts w:ascii="Times New Roman" w:cs="Times New Roman" w:eastAsia="Times New Roman" w:hAnsi="Times New Roman"/>
                <w:sz w:val="22"/>
                <w:szCs w:val="22"/>
                <w:color w:val="008000"/>
                <w:w w:val="91"/>
                <w:vertAlign w:val="superscript"/>
              </w:rPr>
              <w:t>(10)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80,256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jc w:val="right"/>
              <w:ind w:right="20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1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Athira Pharma, Inc. 2020 Employee Stock Purchase Plan ("ESPP"), for the ESPP Purchase Period (as defined in the ESPP) of November 18, 2022 through May 18, 2023.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May 18, 2023 and is the Purchase Period comprising the Offering Period (as defined in the ESPP) that began November 18,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May 18, 2023.</w:t>
      </w:r>
    </w:p>
    <w:p>
      <w:pPr>
        <w:spacing w:after="0" w:line="50" w:lineRule="exact"/>
        <w:rPr>
          <w:rFonts w:ascii="Times New Roman" w:cs="Times New Roman" w:eastAsia="Times New Roman" w:hAnsi="Times New Roman"/>
          <w:sz w:val="13"/>
          <w:szCs w:val="13"/>
          <w:color w:val="008000"/>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acquisition of shares of the issuer's common stock pursuant to the ESPP, for the ESPP Purchase Period (as defined in the ESPP) of May 18, 2023 through November 20, 2023. This transaction is also exempt under Rule 16b-3(c).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Period ended November 20, 2023 and is the Purchase Period comprising the Offering Period (as defined in the ESPP) that began May 18,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ESPP, these shares were purchased based on 85% of the closing price on November 20,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are scheduled to vest according to the following amended vesting schedule: (1) one third (1/3rd) of the number of shares subject to the RSU award vest at the completion of the public readout of topline results of the Issuer's ACT-AD Phase 2 clinical trial; (2) one third (1/3rd) of the number of shares subject to the RSU award vest as of the date the Compensation Committee (the "Committee") determines that enrollment of the Company's LIFT-AD Phase 2/3 clinical trial has been completed, and (3) one third (1/3rd) of the number of shares subject to the RSU award vest as of the completion of the public readout of topline results of the Issuer's LIFT-AD Phase 2/3 clinical trial (the "LIFT-AD Readout"), in each case subject to continued service with the Issuer through the applicable vesting date.</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4, 2023, the Committee determined that enrollment of the Company's LIFT-AD Phase 2/3 clinical trial had been completed and 10,000 RSUs vested and settled on such date.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$2.84 to $3.01,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7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on behalf of</w:t>
        <w:tab/>
        <w:t>01/08/2024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Kevin Church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20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03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2499"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2024-01-08T15:56:34Z</dcterms:created>
  <dcterms:modified xsi:type="dcterms:W3CDTF">2024-01-08T15:56:34Z</dcterms:modified>
</cp:coreProperties>
</file>