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424(b)(4)</w:t>
      </w:r>
    </w:p>
    <w:p>
      <w:pPr>
        <w:spacing w:after="0" w:line="2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333-252192</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4,000,000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2207895</wp:posOffset>
            </wp:positionH>
            <wp:positionV relativeFrom="paragraph">
              <wp:posOffset>111125</wp:posOffset>
            </wp:positionV>
            <wp:extent cx="2726055" cy="13544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26055" cy="13544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171450</wp:posOffset>
            </wp:positionV>
            <wp:extent cx="16116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89" w:lineRule="exact"/>
        <w:rPr>
          <w:sz w:val="24"/>
          <w:szCs w:val="24"/>
          <w:color w:val="auto"/>
        </w:rPr>
      </w:pPr>
    </w:p>
    <w:p>
      <w:pPr>
        <w:ind w:left="540"/>
        <w:spacing w:after="0"/>
        <w:rPr>
          <w:sz w:val="20"/>
          <w:szCs w:val="20"/>
          <w:color w:val="auto"/>
        </w:rPr>
      </w:pPr>
      <w:r>
        <w:rPr>
          <w:rFonts w:ascii="Arial" w:cs="Arial" w:eastAsia="Arial" w:hAnsi="Arial"/>
          <w:sz w:val="18"/>
          <w:szCs w:val="18"/>
          <w:color w:val="auto"/>
        </w:rPr>
        <w:t>We are offering 4,000,000 shares of common stock.</w:t>
      </w:r>
    </w:p>
    <w:p>
      <w:pPr>
        <w:spacing w:after="0" w:line="144" w:lineRule="exact"/>
        <w:rPr>
          <w:sz w:val="24"/>
          <w:szCs w:val="24"/>
          <w:color w:val="auto"/>
        </w:rPr>
      </w:pPr>
    </w:p>
    <w:p>
      <w:pPr>
        <w:ind w:right="340" w:firstLine="535"/>
        <w:spacing w:after="0" w:line="276" w:lineRule="auto"/>
        <w:rPr>
          <w:sz w:val="20"/>
          <w:szCs w:val="20"/>
          <w:color w:val="auto"/>
        </w:rPr>
      </w:pPr>
      <w:r>
        <w:rPr>
          <w:rFonts w:ascii="Arial" w:cs="Arial" w:eastAsia="Arial" w:hAnsi="Arial"/>
          <w:sz w:val="18"/>
          <w:szCs w:val="18"/>
          <w:color w:val="auto"/>
        </w:rPr>
        <w:t>Our common stock is listed on the Nasdaq Global Select Market under the symbol “ATHA.” On January 20, 2021, the last reported sale price of our common stock on the Nasdaq Global Select Market was $24.32 per share.</w:t>
      </w:r>
    </w:p>
    <w:p>
      <w:pPr>
        <w:spacing w:after="0" w:line="64" w:lineRule="exact"/>
        <w:rPr>
          <w:sz w:val="24"/>
          <w:szCs w:val="24"/>
          <w:color w:val="auto"/>
        </w:rPr>
      </w:pPr>
    </w:p>
    <w:p>
      <w:pPr>
        <w:ind w:right="100" w:firstLine="535"/>
        <w:spacing w:after="0" w:line="276" w:lineRule="auto"/>
        <w:rPr>
          <w:sz w:val="20"/>
          <w:szCs w:val="20"/>
          <w:color w:val="auto"/>
        </w:rPr>
      </w:pPr>
      <w:r>
        <w:rPr>
          <w:rFonts w:ascii="Arial" w:cs="Arial" w:eastAsia="Arial" w:hAnsi="Arial"/>
          <w:sz w:val="18"/>
          <w:szCs w:val="18"/>
          <w:color w:val="auto"/>
        </w:rPr>
        <w:t>We are an “emerging growth company” as defined under the federal securities laws and, as such, have elected to comply with certain reduced public company reporting requirements in this prospectus and may elect to do so in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114935</wp:posOffset>
            </wp:positionV>
            <wp:extent cx="16116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56" w:lineRule="exact"/>
        <w:rPr>
          <w:sz w:val="24"/>
          <w:szCs w:val="24"/>
          <w:color w:val="auto"/>
        </w:rPr>
      </w:pPr>
    </w:p>
    <w:p>
      <w:pPr>
        <w:ind w:right="540" w:firstLine="535"/>
        <w:spacing w:after="0" w:line="274" w:lineRule="auto"/>
        <w:rPr>
          <w:sz w:val="20"/>
          <w:szCs w:val="20"/>
          <w:color w:val="auto"/>
        </w:rPr>
      </w:pPr>
      <w:r>
        <w:rPr>
          <w:rFonts w:ascii="Arial" w:cs="Arial" w:eastAsia="Arial" w:hAnsi="Arial"/>
          <w:sz w:val="18"/>
          <w:szCs w:val="18"/>
          <w:i w:val="1"/>
          <w:iCs w:val="1"/>
          <w:color w:val="auto"/>
        </w:rPr>
        <w:t>See the section titled “</w:t>
      </w:r>
      <w:r>
        <w:rPr>
          <w:rFonts w:ascii="Arial" w:cs="Arial" w:eastAsia="Arial" w:hAnsi="Arial"/>
          <w:sz w:val="18"/>
          <w:szCs w:val="18"/>
          <w:i w:val="1"/>
          <w:iCs w:val="1"/>
          <w:u w:val="single" w:color="auto"/>
          <w:color w:val="auto"/>
        </w:rPr>
        <w:t>Risk Factors</w:t>
      </w:r>
      <w:r>
        <w:rPr>
          <w:rFonts w:ascii="Arial" w:cs="Arial" w:eastAsia="Arial" w:hAnsi="Arial"/>
          <w:sz w:val="18"/>
          <w:szCs w:val="18"/>
          <w:i w:val="1"/>
          <w:iCs w:val="1"/>
          <w:color w:val="auto"/>
        </w:rPr>
        <w:t>” beginning on page 16 to read about factors you should consider before deciding to invest in shares of our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107315</wp:posOffset>
            </wp:positionV>
            <wp:extent cx="16116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40" w:lineRule="exact"/>
        <w:rPr>
          <w:sz w:val="24"/>
          <w:szCs w:val="24"/>
          <w:color w:val="auto"/>
        </w:rPr>
      </w:pPr>
    </w:p>
    <w:p>
      <w:pPr>
        <w:jc w:val="both"/>
        <w:ind w:right="480" w:firstLine="535"/>
        <w:spacing w:after="0" w:line="26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109855</wp:posOffset>
            </wp:positionV>
            <wp:extent cx="16116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292"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6220" w:type="dxa"/>
            <w:vAlign w:val="bottom"/>
          </w:tcPr>
          <w:p>
            <w:pPr>
              <w:spacing w:after="0"/>
              <w:rPr>
                <w:sz w:val="21"/>
                <w:szCs w:val="21"/>
                <w:color w:val="auto"/>
              </w:rPr>
            </w:pPr>
          </w:p>
        </w:tc>
        <w:tc>
          <w:tcPr>
            <w:tcW w:w="3680" w:type="dxa"/>
            <w:vAlign w:val="bottom"/>
          </w:tcPr>
          <w:p>
            <w:pPr>
              <w:jc w:val="right"/>
              <w:ind w:right="610"/>
              <w:spacing w:after="0"/>
              <w:rPr>
                <w:sz w:val="20"/>
                <w:szCs w:val="20"/>
                <w:color w:val="auto"/>
              </w:rPr>
            </w:pPr>
            <w:r>
              <w:rPr>
                <w:rFonts w:ascii="Arial" w:cs="Arial" w:eastAsia="Arial" w:hAnsi="Arial"/>
                <w:sz w:val="18"/>
                <w:szCs w:val="18"/>
                <w:color w:val="auto"/>
              </w:rPr>
              <w:t>Per Share</w:t>
            </w:r>
          </w:p>
        </w:tc>
        <w:tc>
          <w:tcPr>
            <w:tcW w:w="1340" w:type="dxa"/>
            <w:vAlign w:val="bottom"/>
          </w:tcPr>
          <w:p>
            <w:pPr>
              <w:jc w:val="right"/>
              <w:ind w:right="490"/>
              <w:spacing w:after="0"/>
              <w:rPr>
                <w:sz w:val="20"/>
                <w:szCs w:val="20"/>
                <w:color w:val="auto"/>
              </w:rPr>
            </w:pPr>
            <w:r>
              <w:rPr>
                <w:rFonts w:ascii="Arial" w:cs="Arial" w:eastAsia="Arial" w:hAnsi="Arial"/>
                <w:sz w:val="18"/>
                <w:szCs w:val="18"/>
                <w:color w:val="auto"/>
              </w:rPr>
              <w:t>Total</w:t>
            </w:r>
          </w:p>
        </w:tc>
      </w:tr>
      <w:tr>
        <w:trPr>
          <w:trHeight w:val="225"/>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Public offering price</w:t>
            </w:r>
          </w:p>
        </w:tc>
        <w:tc>
          <w:tcPr>
            <w:tcW w:w="368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$22.50</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$90,000,000</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3680" w:type="dxa"/>
            <w:vAlign w:val="bottom"/>
          </w:tcPr>
          <w:p>
            <w:pPr>
              <w:jc w:val="right"/>
              <w:ind w:right="230"/>
              <w:spacing w:after="0"/>
              <w:rPr>
                <w:sz w:val="20"/>
                <w:szCs w:val="20"/>
                <w:color w:val="auto"/>
              </w:rPr>
            </w:pPr>
            <w:r>
              <w:rPr>
                <w:rFonts w:ascii="Arial" w:cs="Arial" w:eastAsia="Arial" w:hAnsi="Arial"/>
                <w:sz w:val="18"/>
                <w:szCs w:val="18"/>
                <w:color w:val="auto"/>
              </w:rPr>
              <w:t>$1.35</w:t>
            </w:r>
          </w:p>
        </w:tc>
        <w:tc>
          <w:tcPr>
            <w:tcW w:w="1340" w:type="dxa"/>
            <w:vAlign w:val="bottom"/>
          </w:tcPr>
          <w:p>
            <w:pPr>
              <w:jc w:val="right"/>
              <w:spacing w:after="0"/>
              <w:rPr>
                <w:sz w:val="20"/>
                <w:szCs w:val="20"/>
                <w:color w:val="auto"/>
              </w:rPr>
            </w:pPr>
            <w:r>
              <w:rPr>
                <w:rFonts w:ascii="Arial" w:cs="Arial" w:eastAsia="Arial" w:hAnsi="Arial"/>
                <w:sz w:val="18"/>
                <w:szCs w:val="18"/>
                <w:color w:val="auto"/>
              </w:rPr>
              <w:t>$5,400,000</w:t>
            </w:r>
          </w:p>
        </w:tc>
      </w:tr>
      <w:tr>
        <w:trPr>
          <w:trHeight w:val="216"/>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Proceeds, before expenses, to Athira Pharma, Inc.</w:t>
            </w:r>
          </w:p>
        </w:tc>
        <w:tc>
          <w:tcPr>
            <w:tcW w:w="368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$21.15</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$84,600,000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0198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19810" cy="8890"/>
                    </a:xfrm>
                    <a:prstGeom prst="rect">
                      <a:avLst/>
                    </a:prstGeom>
                    <a:noFill/>
                  </pic:spPr>
                </pic:pic>
              </a:graphicData>
            </a:graphic>
          </wp:anchor>
        </w:drawing>
      </w:r>
    </w:p>
    <w:p>
      <w:pPr>
        <w:spacing w:after="0" w:line="151" w:lineRule="exact"/>
        <w:rPr>
          <w:sz w:val="24"/>
          <w:szCs w:val="24"/>
          <w:color w:val="auto"/>
        </w:rPr>
      </w:pPr>
    </w:p>
    <w:p>
      <w:pPr>
        <w:ind w:left="400" w:hanging="392"/>
        <w:spacing w:after="0"/>
        <w:tabs>
          <w:tab w:leader="none" w:pos="400" w:val="left"/>
        </w:tabs>
        <w:numPr>
          <w:ilvl w:val="0"/>
          <w:numId w:val="1"/>
        </w:numPr>
        <w:rPr>
          <w:rFonts w:ascii="Arial" w:cs="Arial" w:eastAsia="Arial" w:hAnsi="Arial"/>
          <w:sz w:val="15"/>
          <w:szCs w:val="15"/>
          <w:color w:val="auto"/>
        </w:rPr>
      </w:pPr>
      <w:r>
        <w:rPr>
          <w:rFonts w:ascii="Arial" w:cs="Arial" w:eastAsia="Arial" w:hAnsi="Arial"/>
          <w:sz w:val="16"/>
          <w:szCs w:val="16"/>
          <w:color w:val="auto"/>
        </w:rPr>
        <w:t>See the section titled “Underwriting” for a description of the compensation payable to the underwriters.</w:t>
      </w:r>
    </w:p>
    <w:p>
      <w:pPr>
        <w:spacing w:after="0" w:line="149" w:lineRule="exact"/>
        <w:rPr>
          <w:sz w:val="24"/>
          <w:szCs w:val="24"/>
          <w:color w:val="auto"/>
        </w:rPr>
      </w:pPr>
    </w:p>
    <w:p>
      <w:pPr>
        <w:ind w:right="80" w:firstLine="535"/>
        <w:spacing w:after="0" w:line="276" w:lineRule="auto"/>
        <w:rPr>
          <w:sz w:val="20"/>
          <w:szCs w:val="20"/>
          <w:color w:val="auto"/>
        </w:rPr>
      </w:pPr>
      <w:r>
        <w:rPr>
          <w:rFonts w:ascii="Arial" w:cs="Arial" w:eastAsia="Arial" w:hAnsi="Arial"/>
          <w:sz w:val="18"/>
          <w:szCs w:val="18"/>
          <w:color w:val="auto"/>
        </w:rPr>
        <w:t>To the extent that the underwriters sell more than 4,000,000 shares of common stock, the underwriters have an option to purchase up to an additional 600,000 shares from us at the public offering price, less the underwriting discounts and commissions.</w:t>
      </w:r>
    </w:p>
    <w:p>
      <w:pPr>
        <w:spacing w:after="0" w:line="77" w:lineRule="exact"/>
        <w:rPr>
          <w:sz w:val="24"/>
          <w:szCs w:val="24"/>
          <w:color w:val="auto"/>
        </w:rPr>
      </w:pPr>
    </w:p>
    <w:p>
      <w:pPr>
        <w:ind w:left="540"/>
        <w:spacing w:after="0"/>
        <w:rPr>
          <w:sz w:val="20"/>
          <w:szCs w:val="20"/>
          <w:color w:val="auto"/>
        </w:rPr>
      </w:pPr>
      <w:r>
        <w:rPr>
          <w:rFonts w:ascii="Arial" w:cs="Arial" w:eastAsia="Arial" w:hAnsi="Arial"/>
          <w:sz w:val="18"/>
          <w:szCs w:val="18"/>
          <w:color w:val="auto"/>
        </w:rPr>
        <w:t>The underwriters expect to deliver the shares against payment in New York, New York on January 25,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148590</wp:posOffset>
            </wp:positionV>
            <wp:extent cx="16116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96" w:lineRule="exact"/>
        <w:rPr>
          <w:sz w:val="24"/>
          <w:szCs w:val="24"/>
          <w:color w:val="auto"/>
        </w:rPr>
      </w:pPr>
    </w:p>
    <w:p>
      <w:pPr>
        <w:spacing w:after="0"/>
        <w:tabs>
          <w:tab w:leader="none" w:pos="5120" w:val="left"/>
          <w:tab w:leader="none" w:pos="10540" w:val="left"/>
        </w:tabs>
        <w:rPr>
          <w:sz w:val="20"/>
          <w:szCs w:val="20"/>
          <w:color w:val="auto"/>
        </w:rPr>
      </w:pPr>
      <w:r>
        <w:rPr>
          <w:rFonts w:ascii="Arial" w:cs="Arial" w:eastAsia="Arial" w:hAnsi="Arial"/>
          <w:sz w:val="28"/>
          <w:szCs w:val="28"/>
          <w:b w:val="1"/>
          <w:bCs w:val="1"/>
          <w:color w:val="auto"/>
        </w:rPr>
        <w:t>Goldman Sachs &amp; Co. LLC</w:t>
      </w:r>
      <w:r>
        <w:rPr>
          <w:sz w:val="20"/>
          <w:szCs w:val="20"/>
          <w:color w:val="auto"/>
        </w:rPr>
        <w:tab/>
      </w:r>
      <w:r>
        <w:rPr>
          <w:rFonts w:ascii="Arial" w:cs="Arial" w:eastAsia="Arial" w:hAnsi="Arial"/>
          <w:sz w:val="28"/>
          <w:szCs w:val="28"/>
          <w:b w:val="1"/>
          <w:bCs w:val="1"/>
          <w:color w:val="auto"/>
        </w:rPr>
        <w:t>Jefferies</w:t>
      </w:r>
      <w:r>
        <w:rPr>
          <w:sz w:val="20"/>
          <w:szCs w:val="20"/>
          <w:color w:val="auto"/>
        </w:rPr>
        <w:tab/>
      </w:r>
      <w:r>
        <w:rPr>
          <w:rFonts w:ascii="Arial" w:cs="Arial" w:eastAsia="Arial" w:hAnsi="Arial"/>
          <w:sz w:val="27"/>
          <w:szCs w:val="27"/>
          <w:b w:val="1"/>
          <w:bCs w:val="1"/>
          <w:color w:val="auto"/>
        </w:rPr>
        <w:t>Stifel</w:t>
      </w:r>
    </w:p>
    <w:p>
      <w:pPr>
        <w:spacing w:after="0" w:line="33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JMP Securities</w:t>
      </w:r>
    </w:p>
    <w:p>
      <w:pPr>
        <w:spacing w:after="0" w:line="38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Prospectus dated January 20,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30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10300" w:type="dxa"/>
            <w:vAlign w:val="bottom"/>
            <w:vMerge w:val="restart"/>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Prospectus Summary</w:t>
              </w:r>
            </w:hyperlink>
          </w:p>
        </w:tc>
        <w:tc>
          <w:tcPr>
            <w:tcW w:w="9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7"/>
        </w:trPr>
        <w:tc>
          <w:tcPr>
            <w:tcW w:w="10300" w:type="dxa"/>
            <w:vAlign w:val="bottom"/>
            <w:vMerge w:val="continue"/>
          </w:tcPr>
          <w:p>
            <w:pPr>
              <w:spacing w:after="0"/>
              <w:rPr>
                <w:sz w:val="16"/>
                <w:szCs w:val="16"/>
                <w:color w:val="auto"/>
              </w:rPr>
            </w:pPr>
          </w:p>
        </w:tc>
        <w:tc>
          <w:tcPr>
            <w:tcW w:w="940" w:type="dxa"/>
            <w:vAlign w:val="bottom"/>
          </w:tcPr>
          <w:p>
            <w:pPr>
              <w:jc w:val="right"/>
              <w:spacing w:after="0" w:line="187"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Risk Factors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Special Note Regarding Forward-Looking Statements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Market, Industry and Other Data</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Use of Proceeds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Dividend Policy</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Capitalization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Dilution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Selected Financial Data</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Management’s Discussion and Analysis of Financial Condition and Results of Operations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Business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Management</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Executive Compensation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Certain Relationships and Related Party Transactions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Principal Stockholders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Description of Capital Stock</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187">
              <w:r>
                <w:rPr>
                  <w:rFonts w:ascii="Arial" w:cs="Arial" w:eastAsia="Arial" w:hAnsi="Arial"/>
                  <w:sz w:val="18"/>
                  <w:szCs w:val="18"/>
                  <w:u w:val="single" w:color="auto"/>
                  <w:color w:val="0000EE"/>
                </w:rPr>
                <w:t>Shares Eligible for Future Sale</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190">
              <w:r>
                <w:rPr>
                  <w:rFonts w:ascii="Arial" w:cs="Arial" w:eastAsia="Arial" w:hAnsi="Arial"/>
                  <w:sz w:val="18"/>
                  <w:szCs w:val="18"/>
                  <w:u w:val="single" w:color="auto"/>
                  <w:color w:val="0000EE"/>
                </w:rPr>
                <w:t>Material U.S. Federal Income and Estate Tax Consequences for Non-U.S. Holders of Common Stock</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194">
              <w:r>
                <w:rPr>
                  <w:rFonts w:ascii="Arial" w:cs="Arial" w:eastAsia="Arial" w:hAnsi="Arial"/>
                  <w:sz w:val="18"/>
                  <w:szCs w:val="18"/>
                  <w:u w:val="single" w:color="auto"/>
                  <w:color w:val="0000EE"/>
                </w:rPr>
                <w:t>Underwriting</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200">
              <w:r>
                <w:rPr>
                  <w:rFonts w:ascii="Arial" w:cs="Arial" w:eastAsia="Arial" w:hAnsi="Arial"/>
                  <w:sz w:val="18"/>
                  <w:szCs w:val="18"/>
                  <w:u w:val="single" w:color="auto"/>
                  <w:color w:val="0000EE"/>
                </w:rPr>
                <w:t>Legal Matters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200">
              <w:r>
                <w:rPr>
                  <w:rFonts w:ascii="Arial" w:cs="Arial" w:eastAsia="Arial" w:hAnsi="Arial"/>
                  <w:sz w:val="18"/>
                  <w:szCs w:val="18"/>
                  <w:u w:val="single" w:color="auto"/>
                  <w:color w:val="0000EE"/>
                </w:rPr>
                <w:t>Experts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200">
              <w:r>
                <w:rPr>
                  <w:rFonts w:ascii="Arial" w:cs="Arial" w:eastAsia="Arial" w:hAnsi="Arial"/>
                  <w:sz w:val="18"/>
                  <w:szCs w:val="18"/>
                  <w:u w:val="single" w:color="auto"/>
                  <w:color w:val="0000EE"/>
                </w:rPr>
                <w:t>Where You Can Find Additional Information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56"/>
        </w:trPr>
        <w:tc>
          <w:tcPr>
            <w:tcW w:w="10300" w:type="dxa"/>
            <w:vAlign w:val="bottom"/>
          </w:tcPr>
          <w:p>
            <w:pPr>
              <w:spacing w:after="0"/>
              <w:rPr>
                <w:rFonts w:ascii="Arial" w:cs="Arial" w:eastAsia="Arial" w:hAnsi="Arial"/>
                <w:sz w:val="18"/>
                <w:szCs w:val="18"/>
                <w:u w:val="single" w:color="auto"/>
                <w:color w:val="0000EE"/>
              </w:rPr>
            </w:pPr>
            <w:hyperlink w:anchor="page201">
              <w:r>
                <w:rPr>
                  <w:rFonts w:ascii="Arial" w:cs="Arial" w:eastAsia="Arial" w:hAnsi="Arial"/>
                  <w:sz w:val="18"/>
                  <w:szCs w:val="18"/>
                  <w:u w:val="single" w:color="auto"/>
                  <w:color w:val="0000EE"/>
                </w:rPr>
                <w:t>Index to Financial Statements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134620</wp:posOffset>
            </wp:positionV>
            <wp:extent cx="16116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99" w:lineRule="exact"/>
        <w:rPr>
          <w:sz w:val="20"/>
          <w:szCs w:val="20"/>
          <w:color w:val="auto"/>
        </w:rPr>
      </w:pPr>
    </w:p>
    <w:p>
      <w:pPr>
        <w:ind w:right="140" w:firstLine="501"/>
        <w:spacing w:after="0" w:line="243" w:lineRule="auto"/>
        <w:rPr>
          <w:sz w:val="20"/>
          <w:szCs w:val="20"/>
          <w:color w:val="auto"/>
        </w:rPr>
      </w:pPr>
      <w:r>
        <w:rPr>
          <w:rFonts w:ascii="Arial" w:cs="Arial" w:eastAsia="Arial" w:hAnsi="Arial"/>
          <w:sz w:val="18"/>
          <w:szCs w:val="18"/>
          <w:color w:val="auto"/>
        </w:rPr>
        <w:t>You should rely only on the information contained in this prospectus and any free writing prospectus prepared by or on behalf of us or to which we have referred you. Neither we nor any of the underwriters have authorized anyone to provide you with information that is different. This prospectus is an offer to sell only the securities offered hereby and only under circumstances and in jurisdictions where it is lawful to do so. The information contained in this prospectus is accurate only as of the date of this prospectus, regardless of the time of delivery of this prospectus or of any sale of the securities offered hereby. Our business, financial condition, results of operations and prospects may have changed since that date.</w:t>
      </w:r>
    </w:p>
    <w:p>
      <w:pPr>
        <w:spacing w:after="0" w:line="174" w:lineRule="exact"/>
        <w:rPr>
          <w:sz w:val="20"/>
          <w:szCs w:val="20"/>
          <w:color w:val="auto"/>
        </w:rPr>
      </w:pPr>
    </w:p>
    <w:p>
      <w:pPr>
        <w:ind w:right="560" w:firstLine="602"/>
        <w:spacing w:after="0" w:line="248" w:lineRule="auto"/>
        <w:rPr>
          <w:sz w:val="20"/>
          <w:szCs w:val="20"/>
          <w:color w:val="auto"/>
        </w:rPr>
      </w:pPr>
      <w:r>
        <w:rPr>
          <w:rFonts w:ascii="Arial" w:cs="Arial" w:eastAsia="Arial" w:hAnsi="Arial"/>
          <w:sz w:val="18"/>
          <w:szCs w:val="18"/>
          <w:color w:val="auto"/>
        </w:rPr>
        <w:t>Neither we nor any of the underwriters have taken any action that would permit this offering or possession or distribution of this prospectus in any jurisdiction where action for that purpose is required, other than in the United States. Persons who have come into possession of this prospectus in a jurisdiction outside the United States are required to inform themselves about and to observe any restrictions relating to this offering and the distribution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PROSPECTUS SUMMARY</w:t>
      </w:r>
    </w:p>
    <w:p>
      <w:pPr>
        <w:spacing w:after="0" w:line="216" w:lineRule="exact"/>
        <w:rPr>
          <w:sz w:val="20"/>
          <w:szCs w:val="20"/>
          <w:color w:val="auto"/>
        </w:rPr>
      </w:pPr>
    </w:p>
    <w:p>
      <w:pPr>
        <w:ind w:right="80" w:firstLine="576"/>
        <w:spacing w:after="0" w:line="244" w:lineRule="auto"/>
        <w:rPr>
          <w:sz w:val="20"/>
          <w:szCs w:val="20"/>
          <w:color w:val="auto"/>
        </w:rPr>
      </w:pPr>
      <w:r>
        <w:rPr>
          <w:rFonts w:ascii="Arial" w:cs="Arial" w:eastAsia="Arial" w:hAnsi="Arial"/>
          <w:sz w:val="18"/>
          <w:szCs w:val="18"/>
          <w:i w:val="1"/>
          <w:iCs w:val="1"/>
          <w:color w:val="auto"/>
        </w:rPr>
        <w:t>The following summary highlights information contained elsewhere in this prospectus. It may not contain all the information that may be important to you. You should read this entire prospectus carefully, including the sections of this prospectus titled “Risk Factors” and “Management’s Discussion and Analysis of Financial Condition and Results of Operations,” and our financial statements and related notes included elsewhere in this prospectus, before making an investment decision. In this prospectus, unless the context requires otherwise, all references to “we,” “our,” “us,” “Athira,” and the “Company” refer to Athira Pharma, Inc.</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With our product candidates, we aim to provide rapid cognitive improvement and alter the course of neurological diseases with our novel mechanism of action. Our approach is designed to augment neuronal growth factor signaling through the HGF/MET, a naturally occurring regenerative system. We believe enhancing HGF/MET signaling has the potential to protect existing neurons from damage, reduce inflammation, promote regeneration, and positively modulate brain activity. We anticipate that all of these characteristics may improve neuronal health and translate into clinical benefits. Our pipeline is built from our proprietary drug discovery platform, or ATH platform, and consists of a series of small molecules that are designed to target either (1) the central nervous system, or CNS, by crossing the blood brain barrier, or BBB, or (2) the peripheral nervous system. Our lead candidate, ATH-1017, is a subcutaneous administered, BBB-penetrating, small molecule HGF/MET activator. In our Phase 1a and Phase 1b clinical trials, ATH-1017 for the treatment of Alzheimer’s disease, or AD, was well tolerated with no serious adverse events. These clinical trials recruited 88 subjects, including 11 subjects with mild-to-moderate AD, who were assigned to treatment and control groups. Nonclinical studies and Phase 1 clinical trials with ATH-1017 demonstrated improvements in brain network activity indicating potentially positive effects on brain function. In the AD subjects, multiple dosing of ATH-1017 significantly improved P300 latency. P300 latency is a functional measure that is highly correlated with cognition; however, we have not yet established a connection between these P300 latency results and improved cognition. In September 2020, we began site initiation and patient screening for LIFT-AD, a Phase 2/3 clinical trial for ATH-1017 that may provide pivotal data in support of registration, for the treatment of mild-to-moderate AD with topline results expected by the end of 2022. In November 2020, we also initiated ACT-AD, a P300 Phase 2 clinical trial, in mild-to-moderate AD to better understand the overall effects of ATH-1017 on working memory processing speed and cognitive measures, with topline results expected by early 2022.</w:t>
      </w:r>
    </w:p>
    <w:p>
      <w:pPr>
        <w:spacing w:after="0" w:line="182"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The primary focus of our Phase 1a and Phase 1b clinical trials of ATH-1017 for the treatment of AD was to establish safety and drug exposure levels. ATH-1017 was well tolerated at all tested doses, produced predictable pharmacokinetics with dose-linear exposures, and did not accumulate over the course of treatment. Pharmacodynamic measures evaluating brain penetration, target engagement, and brain function with electroencephalogram, or EEG, methods produced a strong suite of data, justifying further investigation of ATH-1017 in future clinical trials. Individuals with AD typically experience a general slowing of EEG, including a reduction in higher frequency waves, such as gamma. Gamma power is typically associated with learning, memory, and cognitive function. Administration of ATH-1017 increased high frequency gamma power activity with a single dose in both young healthy volunteers and elderly healthy volunteers. Gamma power also improved in AD subjects. P300 latency, a functional measure of working memory processing speed and executive function that highly correlates with cognition, was also substantially improved. After a single dose of ATH-1017, all AD subjects tested had improved P300 latency, and by the end of an 8-day treatment cycle, average P300 latency across the AD treatment group had improved by 73 milliseconds, a statistically significant change compared to placebo group that did not show any significant directional change. These results suggest that ATH-1017 has the potential to substantially improve synaptic connectivity and brain function in AD subjects.</w:t>
      </w:r>
    </w:p>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547" w:right="439" w:bottom="1440" w:gutter="0" w:footer="0" w:header="0"/>
        </w:sectPr>
      </w:pPr>
    </w:p>
    <w:bookmarkStart w:id="3" w:name="page4"/>
    <w:bookmarkEnd w:id="3"/>
    <w:p>
      <w:pPr>
        <w:ind w:right="80" w:firstLine="547"/>
        <w:spacing w:after="0" w:line="24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50596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5059680"/>
                    </a:xfrm>
                    <a:prstGeom prst="rect">
                      <a:avLst/>
                    </a:prstGeom>
                    <a:noFill/>
                  </pic:spPr>
                </pic:pic>
              </a:graphicData>
            </a:graphic>
          </wp:anchor>
        </w:drawing>
        <w:t>AD is a significant unmet medical need with as many as 35 million cases estimated worldwide and no treatments that can significantly reduce the burden on people impacted by the disease. Failures of approaches targeting specific hypotheses of underlying AD pathology highlight the need for novel strategies to address the disease. Regardless of the underlying pathology, it has been established that the loss of synaptic density and breakdown of the neuronal network leads to cognitive impairment in subjects with AD and other forms of dementia. We believe the activation of the HGF/MET growth factor in the brain will lead to increased synaptic density, network recovery, and information transmission in the brain, which could ultimately result in cognitive improvement and clinical benefit.</w:t>
      </w:r>
    </w:p>
    <w:p>
      <w:pPr>
        <w:spacing w:after="0" w:line="179" w:lineRule="exact"/>
        <w:rPr>
          <w:sz w:val="20"/>
          <w:szCs w:val="20"/>
          <w:color w:val="auto"/>
        </w:rPr>
      </w:pPr>
    </w:p>
    <w:p>
      <w:pPr>
        <w:ind w:right="80" w:firstLine="553"/>
        <w:spacing w:after="0"/>
        <w:rPr>
          <w:sz w:val="20"/>
          <w:szCs w:val="20"/>
          <w:color w:val="auto"/>
        </w:rPr>
      </w:pPr>
      <w:r>
        <w:rPr>
          <w:rFonts w:ascii="Arial" w:cs="Arial" w:eastAsia="Arial" w:hAnsi="Arial"/>
          <w:sz w:val="18"/>
          <w:szCs w:val="18"/>
          <w:color w:val="auto"/>
        </w:rPr>
        <w:t>We are pioneering the use of small molecules that are designed to promote the hepatocyte growth factor/MET, or HGF/MET, a naturally occurring regenerative system, in neurological disorders. While discovered in the liver, HGF is a critical growth factor across multiple organs, including in the brain. HGF/MET has long been known as a promising therapeutic target for CNS disorders however, delivery of large proteins or gene therapy to the CNS to augment HGF/MET is challenging due to the invasive methods needed for them to bypass the BBB and the risk of potential adverse immune response. Our novel BBB-penetrating small molecules are designed to overcome many of these hurdles, allowing us to efficiently tap into the regenerative potential of HGF/MET. For therapeutic applications in CNS disorders, particularly AD, treatments that target neuronal growth factors can potentially accomplish several therapeutic goals, including rapid cognitive improvement and sustained neuroprotective effects.</w:t>
      </w:r>
    </w:p>
    <w:p>
      <w:pPr>
        <w:spacing w:after="0" w:line="180" w:lineRule="exact"/>
        <w:rPr>
          <w:sz w:val="20"/>
          <w:szCs w:val="20"/>
          <w:color w:val="auto"/>
        </w:rPr>
      </w:pPr>
    </w:p>
    <w:p>
      <w:pPr>
        <w:ind w:firstLine="553"/>
        <w:spacing w:after="0" w:line="206" w:lineRule="exact"/>
        <w:rPr>
          <w:sz w:val="20"/>
          <w:szCs w:val="20"/>
          <w:color w:val="auto"/>
        </w:rPr>
      </w:pPr>
      <w:r>
        <w:rPr>
          <w:rFonts w:ascii="Arial" w:cs="Arial" w:eastAsia="Arial" w:hAnsi="Arial"/>
          <w:sz w:val="18"/>
          <w:szCs w:val="18"/>
          <w:color w:val="auto"/>
        </w:rPr>
        <w:t>It is our goal to establish in current and future clinical trials that our ATH platform, which is designed to enhance the body’s repair mechanism of HGF/MET, can potentially address a wide range of clinical applications ranging from CNS disorders, such as AD, Parkinson’s disease dementia, or PDD, multiple sclerosis, or MS, and amyotrophic lateral sclerosis, or ALS, to more peripheral conditions such as neuropathy. In addition, we believe that HGF/MET biology plays a role in neuropsychiatric indications such as depression and anxiety. We are planning to initiate a Phase 2 clinical trial for ATH-1017 for the treatment of PDD by the end of 2021. Currently we have several preclinical candidates for non-AD indications, including ATH-1018, which is being developed to address peripheral indications, and ATH-1019 / ATH</w:t>
      </w:r>
      <w:r>
        <w:rPr>
          <w:rFonts w:ascii="MS PGothic" w:cs="MS PGothic" w:eastAsia="MS PGothic" w:hAnsi="MS PGothic"/>
          <w:sz w:val="18"/>
          <w:szCs w:val="18"/>
          <w:color w:val="auto"/>
        </w:rPr>
        <w:t>‑</w:t>
      </w:r>
      <w:r>
        <w:rPr>
          <w:rFonts w:ascii="Arial" w:cs="Arial" w:eastAsia="Arial" w:hAnsi="Arial"/>
          <w:sz w:val="18"/>
          <w:szCs w:val="18"/>
          <w:color w:val="auto"/>
        </w:rPr>
        <w:t>1020 compounds, which are being advanced to address neuropsychiatric indications. ATH</w:t>
      </w:r>
      <w:r>
        <w:rPr>
          <w:rFonts w:ascii="MS PGothic" w:cs="MS PGothic" w:eastAsia="MS PGothic" w:hAnsi="MS PGothic"/>
          <w:sz w:val="18"/>
          <w:szCs w:val="18"/>
          <w:color w:val="auto"/>
        </w:rPr>
        <w:t>‑</w:t>
      </w:r>
      <w:r>
        <w:rPr>
          <w:rFonts w:ascii="Arial" w:cs="Arial" w:eastAsia="Arial" w:hAnsi="Arial"/>
          <w:sz w:val="18"/>
          <w:szCs w:val="18"/>
          <w:color w:val="auto"/>
        </w:rPr>
        <w:t>1020 is a new compound that recently moved from the discovery to the development stage. Similar to ATH</w:t>
      </w:r>
      <w:r>
        <w:rPr>
          <w:rFonts w:ascii="MS PGothic" w:cs="MS PGothic" w:eastAsia="MS PGothic" w:hAnsi="MS PGothic"/>
          <w:sz w:val="18"/>
          <w:szCs w:val="18"/>
          <w:color w:val="auto"/>
        </w:rPr>
        <w:t>‑</w:t>
      </w:r>
      <w:r>
        <w:rPr>
          <w:rFonts w:ascii="Arial" w:cs="Arial" w:eastAsia="Arial" w:hAnsi="Arial"/>
          <w:sz w:val="18"/>
          <w:szCs w:val="18"/>
          <w:color w:val="auto"/>
        </w:rPr>
        <w:t>1019, it is designed to activate HGF/MET and is neuroactive in animal models. Late-stage non-clinical development work and potentially early clinical studies will support decisions on selection of the lead product candidate and indication moving forward. Our ATH platform allows us the flexibility to engineer compounds that are BBB-penetrating or that generate specific activity in the periphery and molecules for subcutaneous or oral route of administration.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 and ATH Platform</w:t>
      </w:r>
    </w:p>
    <w:p>
      <w:pPr>
        <w:spacing w:after="0" w:line="106" w:lineRule="exact"/>
        <w:rPr>
          <w:sz w:val="20"/>
          <w:szCs w:val="20"/>
          <w:color w:val="auto"/>
        </w:rPr>
      </w:pPr>
    </w:p>
    <w:p>
      <w:pPr>
        <w:ind w:right="280" w:firstLine="553"/>
        <w:spacing w:after="0" w:line="255" w:lineRule="auto"/>
        <w:rPr>
          <w:sz w:val="20"/>
          <w:szCs w:val="20"/>
          <w:color w:val="auto"/>
        </w:rPr>
      </w:pPr>
      <w:r>
        <w:rPr>
          <w:rFonts w:ascii="Arial" w:cs="Arial" w:eastAsia="Arial" w:hAnsi="Arial"/>
          <w:sz w:val="18"/>
          <w:szCs w:val="18"/>
          <w:color w:val="auto"/>
        </w:rPr>
        <w:t>The following figure illustrates the current development stages of our ATH compounds and discovery and development programs. In addition, we are expanding our ATH platform to additional indications in the CNS and peripheral nervous system as we aim to improve neuronal health in multiple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80010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60"/>
          </w:cols>
          <w:pgMar w:left="560" w:top="765" w:right="579" w:bottom="1440" w:gutter="0" w:footer="0" w:header="0"/>
        </w:sectPr>
      </w:pPr>
    </w:p>
    <w:bookmarkStart w:id="4" w:name="page5"/>
    <w:bookmarkEnd w:id="4"/>
    <w:p>
      <w:pPr>
        <w:ind w:right="4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739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6739890"/>
                    </a:xfrm>
                    <a:prstGeom prst="rect">
                      <a:avLst/>
                    </a:prstGeom>
                    <a:noFill/>
                  </pic:spPr>
                </pic:pic>
              </a:graphicData>
            </a:graphic>
          </wp:anchor>
        </w:drawing>
        <w:t>disorders. Our drug discovery efforts are focused on exploring the potential of ATH technology, which is designed to promote HGF/MET activity for a variety of clinical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60" w:hanging="458"/>
        <w:spacing w:after="0"/>
        <w:tabs>
          <w:tab w:leader="none" w:pos="460" w:val="left"/>
        </w:tabs>
        <w:numPr>
          <w:ilvl w:val="0"/>
          <w:numId w:val="2"/>
        </w:numPr>
        <w:rPr>
          <w:rFonts w:ascii="Arial" w:cs="Arial" w:eastAsia="Arial" w:hAnsi="Arial"/>
          <w:sz w:val="24"/>
          <w:szCs w:val="24"/>
          <w:color w:val="auto"/>
          <w:vertAlign w:val="superscript"/>
        </w:rPr>
      </w:pPr>
      <w:r>
        <w:rPr>
          <w:rFonts w:ascii="Arial" w:cs="Arial" w:eastAsia="Arial" w:hAnsi="Arial"/>
          <w:sz w:val="14"/>
          <w:szCs w:val="14"/>
          <w:color w:val="auto"/>
        </w:rPr>
        <w:t>RoA: route of administration; SC: subcutaneous; PO: oral.</w:t>
      </w:r>
    </w:p>
    <w:p>
      <w:pPr>
        <w:spacing w:after="0" w:line="26" w:lineRule="exact"/>
        <w:rPr>
          <w:rFonts w:ascii="Arial" w:cs="Arial" w:eastAsia="Arial" w:hAnsi="Arial"/>
          <w:sz w:val="24"/>
          <w:szCs w:val="24"/>
          <w:color w:val="auto"/>
          <w:vertAlign w:val="superscript"/>
        </w:rPr>
      </w:pPr>
    </w:p>
    <w:p>
      <w:pPr>
        <w:ind w:left="460" w:hanging="458"/>
        <w:spacing w:after="0" w:line="183" w:lineRule="auto"/>
        <w:tabs>
          <w:tab w:leader="none" w:pos="460" w:val="left"/>
        </w:tabs>
        <w:numPr>
          <w:ilvl w:val="0"/>
          <w:numId w:val="2"/>
        </w:numPr>
        <w:rPr>
          <w:rFonts w:ascii="Arial" w:cs="Arial" w:eastAsia="Arial" w:hAnsi="Arial"/>
          <w:sz w:val="20"/>
          <w:szCs w:val="20"/>
          <w:color w:val="auto"/>
          <w:vertAlign w:val="superscript"/>
        </w:rPr>
      </w:pPr>
      <w:r>
        <w:rPr>
          <w:rFonts w:ascii="Arial" w:cs="Arial" w:eastAsia="Arial" w:hAnsi="Arial"/>
          <w:sz w:val="12"/>
          <w:szCs w:val="12"/>
          <w:color w:val="auto"/>
        </w:rPr>
        <w:t>ATH-1017 for AD is moving from Phase 1b to a Phase 2/3 clinical trial that may provide pivotal data in support of registration based on discussions with FDA.</w:t>
      </w:r>
    </w:p>
    <w:p>
      <w:pPr>
        <w:spacing w:after="0" w:line="27" w:lineRule="exact"/>
        <w:rPr>
          <w:rFonts w:ascii="Arial" w:cs="Arial" w:eastAsia="Arial" w:hAnsi="Arial"/>
          <w:sz w:val="20"/>
          <w:szCs w:val="20"/>
          <w:color w:val="auto"/>
          <w:vertAlign w:val="superscript"/>
        </w:rPr>
      </w:pPr>
    </w:p>
    <w:p>
      <w:pPr>
        <w:ind w:left="460" w:right="140" w:hanging="458"/>
        <w:spacing w:after="0" w:line="200" w:lineRule="auto"/>
        <w:tabs>
          <w:tab w:leader="none" w:pos="460" w:val="left"/>
        </w:tabs>
        <w:numPr>
          <w:ilvl w:val="0"/>
          <w:numId w:val="2"/>
        </w:numPr>
        <w:rPr>
          <w:rFonts w:ascii="Arial" w:cs="Arial" w:eastAsia="Arial" w:hAnsi="Arial"/>
          <w:sz w:val="24"/>
          <w:szCs w:val="24"/>
          <w:color w:val="auto"/>
          <w:vertAlign w:val="superscript"/>
        </w:rPr>
      </w:pPr>
      <w:r>
        <w:rPr>
          <w:rFonts w:ascii="Arial" w:cs="Arial" w:eastAsia="Arial" w:hAnsi="Arial"/>
          <w:sz w:val="14"/>
          <w:szCs w:val="14"/>
          <w:color w:val="auto"/>
        </w:rPr>
        <w:t>We plan to initiate a Phase 2 clinical trial in PDD based on results from Phase 1a and 1b clinical trials in AD with ATH-1017. A second IND for PDD can cross-reference the already active IND for AD. It is not required that we repeat any studies or trials that are applicable across the two indications for the second IND for PDD, including a Phase 1 clinical trial.</w:t>
      </w:r>
    </w:p>
    <w:p>
      <w:pPr>
        <w:spacing w:after="0" w:line="176" w:lineRule="exact"/>
        <w:rPr>
          <w:sz w:val="20"/>
          <w:szCs w:val="20"/>
          <w:color w:val="auto"/>
        </w:rPr>
      </w:pPr>
    </w:p>
    <w:p>
      <w:pPr>
        <w:jc w:val="both"/>
        <w:ind w:firstLine="553"/>
        <w:spacing w:after="0" w:line="255" w:lineRule="auto"/>
        <w:rPr>
          <w:sz w:val="20"/>
          <w:szCs w:val="20"/>
          <w:color w:val="auto"/>
        </w:rPr>
      </w:pPr>
      <w:r>
        <w:rPr>
          <w:rFonts w:ascii="Arial" w:cs="Arial" w:eastAsia="Arial" w:hAnsi="Arial"/>
          <w:sz w:val="18"/>
          <w:szCs w:val="18"/>
          <w:color w:val="auto"/>
        </w:rPr>
        <w:t>Our ATH platform utilizes proprietary technology to target and enhance the activity of a vital neuronal growth factor that promotes neuronal health and regeneration. We believe that our ATH platform has multiple advantages compared to previous strategies that have targeted growth factors, including:</w:t>
      </w:r>
    </w:p>
    <w:p>
      <w:pPr>
        <w:spacing w:after="0" w:line="56" w:lineRule="exact"/>
        <w:rPr>
          <w:sz w:val="20"/>
          <w:szCs w:val="20"/>
          <w:color w:val="auto"/>
        </w:rPr>
      </w:pPr>
    </w:p>
    <w:p>
      <w:pPr>
        <w:ind w:left="780" w:hanging="238"/>
        <w:spacing w:after="0"/>
        <w:tabs>
          <w:tab w:leader="none" w:pos="7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small molecule focus;</w:t>
      </w:r>
    </w:p>
    <w:p>
      <w:pPr>
        <w:spacing w:after="0" w:line="116" w:lineRule="exact"/>
        <w:rPr>
          <w:rFonts w:ascii="Times New Roman" w:cs="Times New Roman" w:eastAsia="Times New Roman" w:hAnsi="Times New Roman"/>
          <w:sz w:val="18"/>
          <w:szCs w:val="18"/>
          <w:color w:val="auto"/>
        </w:rPr>
      </w:pPr>
    </w:p>
    <w:p>
      <w:pPr>
        <w:ind w:left="780" w:hanging="238"/>
        <w:spacing w:after="0"/>
        <w:tabs>
          <w:tab w:leader="none" w:pos="7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efficient and scalable manufacturing process; and</w:t>
      </w:r>
    </w:p>
    <w:p>
      <w:pPr>
        <w:spacing w:after="0" w:line="116" w:lineRule="exact"/>
        <w:rPr>
          <w:rFonts w:ascii="Times New Roman" w:cs="Times New Roman" w:eastAsia="Times New Roman" w:hAnsi="Times New Roman"/>
          <w:sz w:val="18"/>
          <w:szCs w:val="18"/>
          <w:color w:val="auto"/>
        </w:rPr>
      </w:pPr>
    </w:p>
    <w:p>
      <w:pPr>
        <w:ind w:left="780" w:hanging="238"/>
        <w:spacing w:after="0"/>
        <w:tabs>
          <w:tab w:leader="none" w:pos="7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avoids alteration of target system regulation.</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ATH-1017 for the Potential Treatment of AD</w:t>
      </w:r>
    </w:p>
    <w:p>
      <w:pPr>
        <w:spacing w:after="0" w:line="106" w:lineRule="exact"/>
        <w:rPr>
          <w:sz w:val="20"/>
          <w:szCs w:val="20"/>
          <w:color w:val="auto"/>
        </w:rPr>
      </w:pPr>
    </w:p>
    <w:p>
      <w:pPr>
        <w:ind w:right="80" w:firstLine="553"/>
        <w:spacing w:after="0" w:line="255" w:lineRule="auto"/>
        <w:rPr>
          <w:sz w:val="20"/>
          <w:szCs w:val="20"/>
          <w:color w:val="auto"/>
        </w:rPr>
      </w:pPr>
      <w:r>
        <w:rPr>
          <w:rFonts w:ascii="Arial" w:cs="Arial" w:eastAsia="Arial" w:hAnsi="Arial"/>
          <w:sz w:val="18"/>
          <w:szCs w:val="18"/>
          <w:color w:val="auto"/>
        </w:rPr>
        <w:t>We are developing our lead product candidate, ATH-1017, for the treatment of neurodegenerative disorders, with an initial focus on AD. ATH-1017 is designed to improve neuronal health and promote regeneration, thereby improving symptoms in cognitively impaired subjects. As we continue to develop</w:t>
      </w:r>
    </w:p>
    <w:p>
      <w:pPr>
        <w:spacing w:after="0" w:line="35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80010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00"/>
          </w:cols>
          <w:pgMar w:left="560" w:top="657" w:right="5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491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6491605"/>
                    </a:xfrm>
                    <a:prstGeom prst="rect">
                      <a:avLst/>
                    </a:prstGeom>
                    <a:noFill/>
                  </pic:spPr>
                </pic:pic>
              </a:graphicData>
            </a:graphic>
          </wp:anchor>
        </w:drawing>
        <w:t>ATH-1017, we will plan to assess additional functional and behavioral benefits. In our Phase 1a and Phase 1b clinical trials, ATH-1017:</w:t>
      </w:r>
    </w:p>
    <w:p>
      <w:pPr>
        <w:spacing w:after="0" w:line="104" w:lineRule="exact"/>
        <w:rPr>
          <w:sz w:val="20"/>
          <w:szCs w:val="20"/>
          <w:color w:val="auto"/>
        </w:rPr>
      </w:pPr>
    </w:p>
    <w:p>
      <w:pPr>
        <w:ind w:left="780" w:right="20" w:hanging="238"/>
        <w:spacing w:after="0" w:line="275" w:lineRule="auto"/>
        <w:tabs>
          <w:tab w:leader="none" w:pos="7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was well tolerated with no serious adverse events across 88 subjects recruited in the study, including 11 subjects with mild-to-moderate AD, who were assigned to treatment and control groups;</w:t>
      </w:r>
    </w:p>
    <w:p>
      <w:pPr>
        <w:spacing w:after="0" w:line="37" w:lineRule="exact"/>
        <w:rPr>
          <w:rFonts w:ascii="Times New Roman" w:cs="Times New Roman" w:eastAsia="Times New Roman" w:hAnsi="Times New Roman"/>
          <w:sz w:val="18"/>
          <w:szCs w:val="18"/>
          <w:color w:val="auto"/>
        </w:rPr>
      </w:pPr>
    </w:p>
    <w:p>
      <w:pPr>
        <w:ind w:left="780" w:hanging="238"/>
        <w:spacing w:after="0"/>
        <w:tabs>
          <w:tab w:leader="none" w:pos="7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led to improvements in brain network activity that indicated potentially positive effects on brain function; and</w:t>
      </w:r>
    </w:p>
    <w:p>
      <w:pPr>
        <w:spacing w:after="0" w:line="116" w:lineRule="exact"/>
        <w:rPr>
          <w:rFonts w:ascii="Times New Roman" w:cs="Times New Roman" w:eastAsia="Times New Roman" w:hAnsi="Times New Roman"/>
          <w:sz w:val="18"/>
          <w:szCs w:val="18"/>
          <w:color w:val="auto"/>
        </w:rPr>
      </w:pPr>
    </w:p>
    <w:p>
      <w:pPr>
        <w:ind w:left="780" w:right="40" w:hanging="238"/>
        <w:spacing w:after="0" w:line="255" w:lineRule="auto"/>
        <w:tabs>
          <w:tab w:leader="none" w:pos="7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demonstrated significant improvement in P300 latency, a functional measure that is highly correlated with cognition, in the AD subjects with multiple dosing; however, we have not yet established a connection between these P300 latency results and improved cognition.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from Our Phase 1b Clinical Trial</w:t>
      </w:r>
    </w:p>
    <w:p>
      <w:pPr>
        <w:spacing w:after="0" w:line="104" w:lineRule="exact"/>
        <w:rPr>
          <w:sz w:val="20"/>
          <w:szCs w:val="20"/>
          <w:color w:val="auto"/>
        </w:rPr>
      </w:pPr>
    </w:p>
    <w:p>
      <w:pPr>
        <w:ind w:firstLine="553"/>
        <w:spacing w:after="0" w:line="253" w:lineRule="auto"/>
        <w:rPr>
          <w:sz w:val="20"/>
          <w:szCs w:val="20"/>
          <w:color w:val="auto"/>
        </w:rPr>
      </w:pPr>
      <w:r>
        <w:rPr>
          <w:rFonts w:ascii="Arial" w:cs="Arial" w:eastAsia="Arial" w:hAnsi="Arial"/>
          <w:sz w:val="17"/>
          <w:szCs w:val="17"/>
          <w:color w:val="auto"/>
        </w:rPr>
        <w:t>In our Phase 1b clinical trial, event-related potential, or ERP, P300 recordings were collected from the multiple ascending dose, or MAD, healthy elderly and AD subjects. Analysis of these P300 data demonstrated that one daily dose of ATH-1017 improved P300 latency over an 8-day dosing period in AD subjects, as shown in the figures below. P300 latency, a functional measure of working memory processing speed and executive function that highly correlates with cognition, was dramatically improved; however, we have not yet established a connection between these P300 latency results and improved cognition. After a single dose of ATH-1017, all AD subjects tested had improved P300 latency, and by the end of an 8-day treatment cycle, average P300 latency across the AD treatment group had improved by 73 milliseconds, a statistically significant change compared to placebo group that did not show any significant directional change. We also observed sustained effects on P300 latency in the pre-dose recordings on subsequent testing days (the arrows in the figure below show the average P300 latency value from the ATH-1017 group as a heat map). At these time points, which are 24 hours after the last dose, ATH-1017 was measured and shown to be completely cleared from the plasma, while recorded P300 latency values remained lower than baseline. These data indicate ATH-1017 treatment potentially recovered disruptions to brain function and network connectivity, which we believe are likely through several components of the mechanism, including NMDA receptor modulation, increased connectivity through recovery of synaptic density, and overall improvement in neuronal health and function.</w:t>
      </w:r>
    </w:p>
    <w:p>
      <w:pPr>
        <w:spacing w:after="0" w:line="170" w:lineRule="exact"/>
        <w:rPr>
          <w:sz w:val="20"/>
          <w:szCs w:val="20"/>
          <w:color w:val="auto"/>
        </w:rPr>
      </w:pPr>
    </w:p>
    <w:p>
      <w:pPr>
        <w:ind w:right="240" w:firstLine="553"/>
        <w:spacing w:after="0" w:line="276" w:lineRule="auto"/>
        <w:rPr>
          <w:sz w:val="20"/>
          <w:szCs w:val="20"/>
          <w:color w:val="auto"/>
        </w:rPr>
      </w:pPr>
      <w:r>
        <w:rPr>
          <w:rFonts w:ascii="Arial" w:cs="Arial" w:eastAsia="Arial" w:hAnsi="Arial"/>
          <w:sz w:val="18"/>
          <w:szCs w:val="18"/>
          <w:i w:val="1"/>
          <w:iCs w:val="1"/>
          <w:color w:val="auto"/>
        </w:rPr>
        <w:t xml:space="preserve">ATH-1017 Treatment Led to Continued and Sustained Improvement in P300 Latency in AD Subjects. </w:t>
      </w:r>
      <w:r>
        <w:rPr>
          <w:rFonts w:ascii="Arial" w:cs="Arial" w:eastAsia="Arial" w:hAnsi="Arial"/>
          <w:sz w:val="18"/>
          <w:szCs w:val="18"/>
          <w:color w:val="auto"/>
        </w:rPr>
        <w:t>The arrows highlight the</w:t>
      </w:r>
      <w:r>
        <w:rPr>
          <w:rFonts w:ascii="Arial" w:cs="Arial" w:eastAsia="Arial" w:hAnsi="Arial"/>
          <w:sz w:val="18"/>
          <w:szCs w:val="18"/>
          <w:i w:val="1"/>
          <w:iCs w:val="1"/>
          <w:color w:val="auto"/>
        </w:rPr>
        <w:t xml:space="preserve"> </w:t>
      </w:r>
      <w:r>
        <w:rPr>
          <w:rFonts w:ascii="Arial" w:cs="Arial" w:eastAsia="Arial" w:hAnsi="Arial"/>
          <w:sz w:val="18"/>
          <w:szCs w:val="18"/>
          <w:color w:val="auto"/>
        </w:rPr>
        <w:t>sustained P300 latency benefit due to ATH-1017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80010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60"/>
          </w:cols>
          <w:pgMar w:left="560" w:top="657" w:right="579" w:bottom="1440" w:gutter="0" w:footer="0" w:header="0"/>
        </w:sectPr>
      </w:pPr>
    </w:p>
    <w:bookmarkStart w:id="6" w:name="page7"/>
    <w:bookmarkEnd w:id="6"/>
    <w:p>
      <w:pPr>
        <w:ind w:right="60" w:firstLine="553"/>
        <w:spacing w:after="0" w:line="25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040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7040245"/>
                    </a:xfrm>
                    <a:prstGeom prst="rect">
                      <a:avLst/>
                    </a:prstGeom>
                    <a:noFill/>
                  </pic:spPr>
                </pic:pic>
              </a:graphicData>
            </a:graphic>
          </wp:anchor>
        </w:drawing>
        <w:t xml:space="preserve">Quantification of the Change in P300 Latency from Baseline, ATH-1017 Significantly Reduced P300 Latency Compared to the Placebo Group on Day 8 Recordings. </w:t>
      </w:r>
      <w:r>
        <w:rPr>
          <w:rFonts w:ascii="Arial" w:cs="Arial" w:eastAsia="Arial" w:hAnsi="Arial"/>
          <w:sz w:val="18"/>
          <w:szCs w:val="18"/>
          <w:color w:val="auto"/>
        </w:rPr>
        <w:t>Data show the average of P300 latency values of 7 AD subjects treated with ATH-1017 vs. 4 AD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subjects on placebo * p≤0.05.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Strategy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LIFT-AD Trial: A 26-Week Phase 2/3 Clinical Trial in Mild-to-Moderate AD Subjects</w:t>
      </w:r>
    </w:p>
    <w:p>
      <w:pPr>
        <w:spacing w:after="0" w:line="102" w:lineRule="exact"/>
        <w:rPr>
          <w:sz w:val="20"/>
          <w:szCs w:val="20"/>
          <w:color w:val="auto"/>
        </w:rPr>
      </w:pPr>
    </w:p>
    <w:p>
      <w:pPr>
        <w:ind w:firstLine="553"/>
        <w:spacing w:after="0" w:line="260" w:lineRule="auto"/>
        <w:rPr>
          <w:sz w:val="20"/>
          <w:szCs w:val="20"/>
          <w:color w:val="auto"/>
        </w:rPr>
      </w:pPr>
      <w:r>
        <w:rPr>
          <w:rFonts w:ascii="Arial" w:cs="Arial" w:eastAsia="Arial" w:hAnsi="Arial"/>
          <w:sz w:val="17"/>
          <w:szCs w:val="17"/>
          <w:color w:val="auto"/>
        </w:rPr>
        <w:t>Based on the safety and translational Phase 1a and Phase 1b clinical trial results, including AD subjects, we have initiated LIFT-AD, a Phase 2/3 randomized, double-blind, placebo-controlled clinical trial. This clinical trial is designed to assess the efficacy, safety, and tolerability of two dose levels of ATH-1017 (low and high) in subjects with mild-to-moderate AD compared to placebo. The clinical trial is intended to enroll approximately 240 to 300 AD subjects. In September 2020, we began site initiation and patient screening for the LIFT-AD trial and anticipate topline results by the end of 2022. These topline results may provide pivotal data in support of registration, but the FDA or other regulators may still require additional trials even if results from the LIFT-AD trial are positive.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ACT-AD P300 Trial: A 26-Week Phase 2 Clinical Trial in Mild-to-Moderate AD Subjects</w:t>
      </w:r>
    </w:p>
    <w:p>
      <w:pPr>
        <w:spacing w:after="0" w:line="102" w:lineRule="exact"/>
        <w:rPr>
          <w:sz w:val="20"/>
          <w:szCs w:val="20"/>
          <w:color w:val="auto"/>
        </w:rPr>
      </w:pPr>
    </w:p>
    <w:p>
      <w:pPr>
        <w:ind w:right="180" w:firstLine="553"/>
        <w:spacing w:after="0" w:line="245" w:lineRule="auto"/>
        <w:rPr>
          <w:sz w:val="20"/>
          <w:szCs w:val="20"/>
          <w:color w:val="auto"/>
        </w:rPr>
      </w:pPr>
      <w:r>
        <w:rPr>
          <w:rFonts w:ascii="Arial" w:cs="Arial" w:eastAsia="Arial" w:hAnsi="Arial"/>
          <w:sz w:val="18"/>
          <w:szCs w:val="18"/>
          <w:color w:val="auto"/>
        </w:rPr>
        <w:t>In addition to LIFT-AD, in November 2020 we initiated ACT-AD, a randomized, placebo-controlled clinical trial designed to test the same dose levels of ATH-1017 (low and high) in subjects with mild-to-moderate AD compared to placebo. We intend to enroll approximately 60 to 75 mild-to-moderate AD subjects. The ACT-AD P300 Phase 2 clinical trial in mild-to-moderate AD is intended to better understand the overall effects of ATH-1017 on working memory processing speed and cognitive measures, with topline results expected by early 2022.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06" w:lineRule="exact"/>
        <w:rPr>
          <w:sz w:val="20"/>
          <w:szCs w:val="20"/>
          <w:color w:val="auto"/>
        </w:rPr>
      </w:pPr>
    </w:p>
    <w:p>
      <w:pPr>
        <w:ind w:right="240" w:firstLine="553"/>
        <w:spacing w:after="0" w:line="276" w:lineRule="auto"/>
        <w:rPr>
          <w:sz w:val="20"/>
          <w:szCs w:val="20"/>
          <w:color w:val="auto"/>
        </w:rPr>
      </w:pPr>
      <w:r>
        <w:rPr>
          <w:rFonts w:ascii="Arial" w:cs="Arial" w:eastAsia="Arial" w:hAnsi="Arial"/>
          <w:sz w:val="18"/>
          <w:szCs w:val="18"/>
          <w:color w:val="auto"/>
        </w:rPr>
        <w:t>We intend to create, develop, and commercialize therapeutics with the potential to transform lives by repairing, restoring, and reversing the damage to nerve cells throughout the body. Key aspects of our business strategy to achieve these goals are to:</w:t>
      </w:r>
    </w:p>
    <w:p>
      <w:pPr>
        <w:spacing w:after="0" w:line="37" w:lineRule="exact"/>
        <w:rPr>
          <w:sz w:val="20"/>
          <w:szCs w:val="20"/>
          <w:color w:val="auto"/>
        </w:rPr>
      </w:pPr>
    </w:p>
    <w:p>
      <w:pPr>
        <w:ind w:left="780" w:hanging="238"/>
        <w:spacing w:after="0"/>
        <w:tabs>
          <w:tab w:leader="none" w:pos="7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advance ATH-1017 through clinical development for AD;</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80010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20"/>
          </w:cols>
          <w:pgMar w:left="560" w:top="578" w:right="619" w:bottom="1440" w:gutter="0" w:footer="0" w:header="0"/>
        </w:sectPr>
      </w:pPr>
    </w:p>
    <w:bookmarkStart w:id="7" w:name="page8"/>
    <w:bookmarkEnd w:id="7"/>
    <w:p>
      <w:pPr>
        <w:ind w:left="780" w:hanging="238"/>
        <w:spacing w:after="0"/>
        <w:tabs>
          <w:tab w:leader="none" w:pos="7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5773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6577330"/>
                    </a:xfrm>
                    <a:prstGeom prst="rect">
                      <a:avLst/>
                    </a:prstGeom>
                    <a:noFill/>
                  </pic:spPr>
                </pic:pic>
              </a:graphicData>
            </a:graphic>
          </wp:anchor>
        </w:drawing>
        <w:t>expand the development of ATH-1017 to include additional indications and delivery methods;</w:t>
      </w:r>
    </w:p>
    <w:p>
      <w:pPr>
        <w:spacing w:after="0" w:line="116" w:lineRule="exact"/>
        <w:rPr>
          <w:rFonts w:ascii="Times New Roman" w:cs="Times New Roman" w:eastAsia="Times New Roman" w:hAnsi="Times New Roman"/>
          <w:sz w:val="18"/>
          <w:szCs w:val="18"/>
          <w:color w:val="auto"/>
        </w:rPr>
      </w:pPr>
    </w:p>
    <w:p>
      <w:pPr>
        <w:ind w:left="780" w:hanging="238"/>
        <w:spacing w:after="0"/>
        <w:tabs>
          <w:tab w:leader="none" w:pos="7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focus on translational and functional endpoints to efficiently develop product candidates;</w:t>
      </w:r>
    </w:p>
    <w:p>
      <w:pPr>
        <w:spacing w:after="0" w:line="116" w:lineRule="exact"/>
        <w:rPr>
          <w:rFonts w:ascii="Times New Roman" w:cs="Times New Roman" w:eastAsia="Times New Roman" w:hAnsi="Times New Roman"/>
          <w:sz w:val="18"/>
          <w:szCs w:val="18"/>
          <w:color w:val="auto"/>
        </w:rPr>
      </w:pPr>
    </w:p>
    <w:p>
      <w:pPr>
        <w:ind w:left="780" w:hanging="238"/>
        <w:spacing w:after="0"/>
        <w:tabs>
          <w:tab w:leader="none" w:pos="7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continue developing additional pipeline programs and utilize our ATH platform for further drug discovery; and</w:t>
      </w:r>
    </w:p>
    <w:p>
      <w:pPr>
        <w:spacing w:after="0" w:line="116" w:lineRule="exact"/>
        <w:rPr>
          <w:rFonts w:ascii="Times New Roman" w:cs="Times New Roman" w:eastAsia="Times New Roman" w:hAnsi="Times New Roman"/>
          <w:sz w:val="18"/>
          <w:szCs w:val="18"/>
          <w:color w:val="auto"/>
        </w:rPr>
      </w:pPr>
    </w:p>
    <w:p>
      <w:pPr>
        <w:ind w:left="780" w:hanging="238"/>
        <w:spacing w:after="0"/>
        <w:tabs>
          <w:tab w:leader="none" w:pos="7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optimize the value of ATH-1017 and other candidates in major markets.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Scientific Data Support HGF/MET’s Role in Maintaining Neuronal Health and Function</w:t>
      </w:r>
    </w:p>
    <w:p>
      <w:pPr>
        <w:spacing w:after="0" w:line="106" w:lineRule="exact"/>
        <w:rPr>
          <w:sz w:val="20"/>
          <w:szCs w:val="20"/>
          <w:color w:val="auto"/>
        </w:rPr>
      </w:pPr>
    </w:p>
    <w:p>
      <w:pPr>
        <w:ind w:right="180" w:firstLine="553"/>
        <w:spacing w:after="0" w:line="255" w:lineRule="auto"/>
        <w:rPr>
          <w:sz w:val="20"/>
          <w:szCs w:val="20"/>
          <w:color w:val="auto"/>
        </w:rPr>
      </w:pPr>
      <w:r>
        <w:rPr>
          <w:rFonts w:ascii="Arial" w:cs="Arial" w:eastAsia="Arial" w:hAnsi="Arial"/>
          <w:sz w:val="18"/>
          <w:szCs w:val="18"/>
          <w:color w:val="auto"/>
        </w:rPr>
        <w:t>Growing evidence suggests that complex CNS disorders, such as AD, are unlikely to be caused by a single route of pathology. Modulation of a neuronal growth factor has gained considerable attention for the potential treatment of neurodegenerative disorders. Promoting the HGF/MET system has been shown to have multiple beneficial downstream effects that are relevant to AD:</w:t>
      </w:r>
    </w:p>
    <w:p>
      <w:pPr>
        <w:spacing w:after="0" w:line="56" w:lineRule="exact"/>
        <w:rPr>
          <w:sz w:val="20"/>
          <w:szCs w:val="20"/>
          <w:color w:val="auto"/>
        </w:rPr>
      </w:pPr>
    </w:p>
    <w:p>
      <w:pPr>
        <w:ind w:left="780" w:hanging="238"/>
        <w:spacing w:after="0"/>
        <w:tabs>
          <w:tab w:leader="none" w:pos="7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HGF/MET is a critical neurotrophic factor for normative brain function and it is reduced in AD subjects;</w:t>
      </w:r>
    </w:p>
    <w:p>
      <w:pPr>
        <w:spacing w:after="0" w:line="116" w:lineRule="exact"/>
        <w:rPr>
          <w:rFonts w:ascii="Times New Roman" w:cs="Times New Roman" w:eastAsia="Times New Roman" w:hAnsi="Times New Roman"/>
          <w:sz w:val="18"/>
          <w:szCs w:val="18"/>
          <w:color w:val="auto"/>
        </w:rPr>
      </w:pPr>
    </w:p>
    <w:p>
      <w:pPr>
        <w:ind w:left="780" w:right="180" w:hanging="238"/>
        <w:spacing w:after="0" w:line="275" w:lineRule="auto"/>
        <w:tabs>
          <w:tab w:leader="none" w:pos="7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promotion of the HGF/MET system has shown in several animal models the potential to directly halt neurodegeneration and induce regeneration, improve cerebral blood flow, and reduce inflammation; and</w:t>
      </w:r>
    </w:p>
    <w:p>
      <w:pPr>
        <w:spacing w:after="0" w:line="37" w:lineRule="exact"/>
        <w:rPr>
          <w:rFonts w:ascii="Times New Roman" w:cs="Times New Roman" w:eastAsia="Times New Roman" w:hAnsi="Times New Roman"/>
          <w:sz w:val="18"/>
          <w:szCs w:val="18"/>
          <w:color w:val="auto"/>
        </w:rPr>
      </w:pPr>
    </w:p>
    <w:p>
      <w:pPr>
        <w:ind w:left="780" w:right="80" w:hanging="238"/>
        <w:spacing w:after="0" w:line="275" w:lineRule="auto"/>
        <w:tabs>
          <w:tab w:leader="none" w:pos="7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we expect HGF/MET system activation to improve P300 latency, as observed in AD subjects after ATH-1017 treatment in our Phase 1a and Phase 1b clinical trials.</w:t>
      </w:r>
    </w:p>
    <w:p>
      <w:pPr>
        <w:spacing w:after="0" w:line="146" w:lineRule="exact"/>
        <w:rPr>
          <w:sz w:val="20"/>
          <w:szCs w:val="20"/>
          <w:color w:val="auto"/>
        </w:rPr>
      </w:pPr>
    </w:p>
    <w:p>
      <w:pPr>
        <w:ind w:right="60" w:firstLine="553"/>
        <w:spacing w:after="0" w:line="248" w:lineRule="auto"/>
        <w:rPr>
          <w:sz w:val="20"/>
          <w:szCs w:val="20"/>
          <w:color w:val="auto"/>
        </w:rPr>
      </w:pPr>
      <w:r>
        <w:rPr>
          <w:rFonts w:ascii="Arial" w:cs="Arial" w:eastAsia="Arial" w:hAnsi="Arial"/>
          <w:sz w:val="18"/>
          <w:szCs w:val="18"/>
          <w:color w:val="auto"/>
        </w:rPr>
        <w:t>Multiple third-party studies have documented the regenerative impact of HGF/MET promotion in models of AD, PDD, MS, and ALS. Notably, promotion of the HGF/MET system improved memory in AD and PDD models and improvement in neuronal survival was reported in various disease models including MS and ALS. These studies support the HGF/MET system as a therapeutic target in a diverse array of nervous system disorders.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Challenges with Approved and Traditional Neuronal and AD Therapy Approaches</w:t>
      </w:r>
    </w:p>
    <w:p>
      <w:pPr>
        <w:spacing w:after="0" w:line="106" w:lineRule="exact"/>
        <w:rPr>
          <w:sz w:val="20"/>
          <w:szCs w:val="20"/>
          <w:color w:val="auto"/>
        </w:rPr>
      </w:pPr>
    </w:p>
    <w:p>
      <w:pPr>
        <w:ind w:firstLine="553"/>
        <w:spacing w:after="0" w:line="245" w:lineRule="auto"/>
        <w:rPr>
          <w:sz w:val="20"/>
          <w:szCs w:val="20"/>
          <w:color w:val="auto"/>
        </w:rPr>
      </w:pPr>
      <w:r>
        <w:rPr>
          <w:rFonts w:ascii="Arial" w:cs="Arial" w:eastAsia="Arial" w:hAnsi="Arial"/>
          <w:sz w:val="18"/>
          <w:szCs w:val="18"/>
          <w:color w:val="auto"/>
        </w:rPr>
        <w:t>The development of neuronal therapies presents unique challenges including: an imperfect understanding of the biology, the presence of the BBB that restricts the flow of drugs to the brain, and a lack of translatability of preclinical study results in human trials. Currently approved neuronal therapies have limited efficacy, poor side effect profiles, and minimal impact on quality of life. There remains an urgent need for new and novel approaches to address most neuronal disorders including progressive and severe conditions such as AD, PDD, MS, and others.</w:t>
      </w:r>
    </w:p>
    <w:p>
      <w:pPr>
        <w:spacing w:after="0" w:line="172" w:lineRule="exact"/>
        <w:rPr>
          <w:sz w:val="20"/>
          <w:szCs w:val="20"/>
          <w:color w:val="auto"/>
        </w:rPr>
      </w:pPr>
    </w:p>
    <w:p>
      <w:pPr>
        <w:ind w:right="60" w:firstLine="553"/>
        <w:spacing w:after="0" w:line="241" w:lineRule="auto"/>
        <w:rPr>
          <w:sz w:val="20"/>
          <w:szCs w:val="20"/>
          <w:color w:val="auto"/>
        </w:rPr>
      </w:pPr>
      <w:r>
        <w:rPr>
          <w:rFonts w:ascii="Arial" w:cs="Arial" w:eastAsia="Arial" w:hAnsi="Arial"/>
          <w:sz w:val="18"/>
          <w:szCs w:val="18"/>
          <w:color w:val="auto"/>
        </w:rPr>
        <w:t>Specific to AD, each of the currently approved therapies only works on a single neurotransmitter target with limited and transient effects on cognition and low tolerability, which negatively impacts compliance and minimally reduces the caregiver burden. Other therapies in development that target a slowdown in disease progression have a marginal benefit on clinical decline and are mainly focused on mild cognitive impairment, or MCI, and early-mild AD, and lack any immediate benefit in reducing the burden on people impacted by the disease. These approaches rely on the body’s repair mechanisms, which may be damaged, and do not promote additional activation of regenerative pathways, and hence can lead to variability of treatment outcomes and longer clinical development timelines.</w:t>
      </w:r>
    </w:p>
    <w:p>
      <w:pPr>
        <w:spacing w:after="0" w:line="179" w:lineRule="exact"/>
        <w:rPr>
          <w:sz w:val="20"/>
          <w:szCs w:val="20"/>
          <w:color w:val="auto"/>
        </w:rPr>
      </w:pPr>
    </w:p>
    <w:p>
      <w:pPr>
        <w:ind w:right="40" w:firstLine="553"/>
        <w:spacing w:after="0" w:line="245" w:lineRule="auto"/>
        <w:rPr>
          <w:sz w:val="20"/>
          <w:szCs w:val="20"/>
          <w:color w:val="auto"/>
        </w:rPr>
      </w:pPr>
      <w:r>
        <w:rPr>
          <w:rFonts w:ascii="Arial" w:cs="Arial" w:eastAsia="Arial" w:hAnsi="Arial"/>
          <w:sz w:val="18"/>
          <w:szCs w:val="18"/>
          <w:color w:val="auto"/>
        </w:rPr>
        <w:t>Further complicating drug development in AD has been the lack of utilization of biomarkers and measures that are able to detect early signs of efficacy and find promising candidates to take forward into larger trials. These methods have revolutionized clinical research in oncology and other therapeutic areas, but traditionally not in AD. Traditionally, AD testing in clinical trials has relied heavily on imaging techniques to assess changes in amyloid PET scans over several years, creating enormous costs and elongated timelines for the development process while not showing any direct correlation to cognitive functional improvement.</w:t>
      </w: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80010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80"/>
          </w:cols>
          <w:pgMar w:left="560" w:top="981" w:right="5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0629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275" cy="6062980"/>
                    </a:xfrm>
                    <a:prstGeom prst="rect">
                      <a:avLst/>
                    </a:prstGeom>
                    <a:noFill/>
                  </pic:spPr>
                </pic:pic>
              </a:graphicData>
            </a:graphic>
          </wp:anchor>
        </w:drawing>
        <w:t>Our Differentiated Approach</w:t>
      </w:r>
    </w:p>
    <w:p>
      <w:pPr>
        <w:spacing w:after="0" w:line="106" w:lineRule="exact"/>
        <w:rPr>
          <w:sz w:val="20"/>
          <w:szCs w:val="20"/>
          <w:color w:val="auto"/>
        </w:rPr>
      </w:pPr>
    </w:p>
    <w:p>
      <w:pPr>
        <w:ind w:right="160" w:firstLine="553"/>
        <w:spacing w:after="0" w:line="277" w:lineRule="auto"/>
        <w:rPr>
          <w:sz w:val="20"/>
          <w:szCs w:val="20"/>
          <w:color w:val="auto"/>
        </w:rPr>
      </w:pPr>
      <w:r>
        <w:rPr>
          <w:rFonts w:ascii="Arial" w:cs="Arial" w:eastAsia="Arial" w:hAnsi="Arial"/>
          <w:sz w:val="17"/>
          <w:szCs w:val="17"/>
          <w:color w:val="auto"/>
        </w:rPr>
        <w:t>We believe our ATH platform of small molecules will promote neuronal health and function through stimulating the HGF/MET system. Our small molecules are BBB-penetrating, can be delivered non-invasively, have very low risk of an immune reaction and are more cost efficient to manufacture and distribute. Boosting the HGF/MET system leads to the following primary downstream effects:</w:t>
      </w:r>
    </w:p>
    <w:p>
      <w:pPr>
        <w:spacing w:after="0" w:line="39" w:lineRule="exact"/>
        <w:rPr>
          <w:sz w:val="20"/>
          <w:szCs w:val="20"/>
          <w:color w:val="auto"/>
        </w:rPr>
      </w:pPr>
    </w:p>
    <w:p>
      <w:pPr>
        <w:ind w:left="780" w:right="60" w:hanging="238"/>
        <w:spacing w:after="0" w:line="248" w:lineRule="auto"/>
        <w:tabs>
          <w:tab w:leader="none" w:pos="7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Modulation of NMDA neurotransmitter system by enhancing synaptic localization and signaling</w:t>
      </w:r>
      <w:r>
        <w:rPr>
          <w:rFonts w:ascii="Arial" w:cs="Arial" w:eastAsia="Arial" w:hAnsi="Arial"/>
          <w:sz w:val="18"/>
          <w:szCs w:val="18"/>
          <w:color w:val="auto"/>
        </w:rPr>
        <w:t>, leading to a rapid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brain network function. The NMDA receptor plays a key role in memory and learning. Other approaches work directly on the NMDA receptors and lack the specificity to modulate the NMDA receptor to the synaptic cleft, which is required to increase transmission of brain signals.</w:t>
      </w:r>
    </w:p>
    <w:p>
      <w:pPr>
        <w:spacing w:after="0" w:line="61" w:lineRule="exact"/>
        <w:rPr>
          <w:rFonts w:ascii="Times New Roman" w:cs="Times New Roman" w:eastAsia="Times New Roman" w:hAnsi="Times New Roman"/>
          <w:sz w:val="18"/>
          <w:szCs w:val="18"/>
          <w:color w:val="auto"/>
        </w:rPr>
      </w:pPr>
    </w:p>
    <w:p>
      <w:pPr>
        <w:ind w:left="780" w:right="20" w:hanging="238"/>
        <w:spacing w:after="0" w:line="255" w:lineRule="auto"/>
        <w:tabs>
          <w:tab w:leader="none" w:pos="7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Restoration of traditional neuronal growth factor pathways </w:t>
      </w:r>
      <w:r>
        <w:rPr>
          <w:rFonts w:ascii="Arial" w:cs="Arial" w:eastAsia="Arial" w:hAnsi="Arial"/>
          <w:sz w:val="18"/>
          <w:szCs w:val="18"/>
          <w:color w:val="auto"/>
        </w:rPr>
        <w:t>that are critical to neuronal survival and activate brain systems that</w:t>
      </w:r>
      <w:r>
        <w:rPr>
          <w:rFonts w:ascii="Arial" w:cs="Arial" w:eastAsia="Arial" w:hAnsi="Arial"/>
          <w:sz w:val="18"/>
          <w:szCs w:val="18"/>
          <w:i w:val="1"/>
          <w:iCs w:val="1"/>
          <w:color w:val="auto"/>
        </w:rPr>
        <w:t xml:space="preserve"> </w:t>
      </w:r>
      <w:r>
        <w:rPr>
          <w:rFonts w:ascii="Arial" w:cs="Arial" w:eastAsia="Arial" w:hAnsi="Arial"/>
          <w:sz w:val="18"/>
          <w:szCs w:val="18"/>
          <w:color w:val="auto"/>
        </w:rPr>
        <w:t>reduce oxidative stress, which is expected to reduce damage and slow down disease progression and improve network activity. Many therapies in development are focused only on slowing disease progression.</w:t>
      </w:r>
    </w:p>
    <w:p>
      <w:pPr>
        <w:spacing w:after="0" w:line="54" w:lineRule="exact"/>
        <w:rPr>
          <w:rFonts w:ascii="Times New Roman" w:cs="Times New Roman" w:eastAsia="Times New Roman" w:hAnsi="Times New Roman"/>
          <w:sz w:val="18"/>
          <w:szCs w:val="18"/>
          <w:color w:val="auto"/>
        </w:rPr>
      </w:pPr>
    </w:p>
    <w:p>
      <w:pPr>
        <w:ind w:left="780" w:right="200" w:hanging="238"/>
        <w:spacing w:after="0" w:line="275" w:lineRule="auto"/>
        <w:tabs>
          <w:tab w:leader="none" w:pos="7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Improvement in cerebral blood flow, as well as reducing inflammation </w:t>
      </w:r>
      <w:r>
        <w:rPr>
          <w:rFonts w:ascii="Arial" w:cs="Arial" w:eastAsia="Arial" w:hAnsi="Arial"/>
          <w:sz w:val="18"/>
          <w:szCs w:val="18"/>
          <w:color w:val="auto"/>
        </w:rPr>
        <w:t>by modulating inflammatory cytokine expression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glia. Many other therapies only have a single mode of activity.</w:t>
      </w:r>
    </w:p>
    <w:p>
      <w:pPr>
        <w:spacing w:after="0" w:line="146" w:lineRule="exact"/>
        <w:rPr>
          <w:sz w:val="20"/>
          <w:szCs w:val="20"/>
          <w:color w:val="auto"/>
        </w:rPr>
      </w:pPr>
    </w:p>
    <w:p>
      <w:pPr>
        <w:ind w:right="340" w:firstLine="553"/>
        <w:spacing w:after="0" w:line="255" w:lineRule="auto"/>
        <w:rPr>
          <w:sz w:val="20"/>
          <w:szCs w:val="20"/>
          <w:color w:val="auto"/>
        </w:rPr>
      </w:pPr>
      <w:r>
        <w:rPr>
          <w:rFonts w:ascii="Arial" w:cs="Arial" w:eastAsia="Arial" w:hAnsi="Arial"/>
          <w:sz w:val="18"/>
          <w:szCs w:val="18"/>
          <w:color w:val="auto"/>
        </w:rPr>
        <w:t>It is our goal to establish in current and future clinical trials that our ATH platform can positively impact neuronal health and function, not only by slowing down disease progression, but also by improving brain network activity and function. We believe these effects could position Athira, and initially ATH-1017, to address the complex pathology in neurodegenerative diseases.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Highly Translatable and Predictive Measures to Guide Clinical Development</w:t>
      </w:r>
    </w:p>
    <w:p>
      <w:pPr>
        <w:spacing w:after="0" w:line="104" w:lineRule="exact"/>
        <w:rPr>
          <w:sz w:val="20"/>
          <w:szCs w:val="20"/>
          <w:color w:val="auto"/>
        </w:rPr>
      </w:pPr>
    </w:p>
    <w:p>
      <w:pPr>
        <w:ind w:firstLine="553"/>
        <w:spacing w:after="0" w:line="248" w:lineRule="auto"/>
        <w:rPr>
          <w:sz w:val="20"/>
          <w:szCs w:val="20"/>
          <w:color w:val="auto"/>
        </w:rPr>
      </w:pPr>
      <w:r>
        <w:rPr>
          <w:rFonts w:ascii="Arial" w:cs="Arial" w:eastAsia="Arial" w:hAnsi="Arial"/>
          <w:sz w:val="18"/>
          <w:szCs w:val="18"/>
          <w:color w:val="auto"/>
        </w:rPr>
        <w:t>We believe EEG and ERP have the potential to revolutionize the paradigm in AD clinical trials. EEG and ERP methods are highly translatable and predictive measures that can guide clinical dose decisions and provide predictable measures of potential clinical benefit. These methods focus on changes in cognitive processing and function, can result in more efficient and cost-effective clinical trials, and potentially provide an accelerated development path compared to traditional AD drug development programs.</w:t>
      </w:r>
    </w:p>
    <w:p>
      <w:pPr>
        <w:spacing w:after="0" w:line="170" w:lineRule="exact"/>
        <w:rPr>
          <w:sz w:val="20"/>
          <w:szCs w:val="20"/>
          <w:color w:val="auto"/>
        </w:rPr>
      </w:pPr>
    </w:p>
    <w:p>
      <w:pPr>
        <w:ind w:right="40" w:firstLine="553"/>
        <w:spacing w:after="0" w:line="241" w:lineRule="auto"/>
        <w:rPr>
          <w:sz w:val="20"/>
          <w:szCs w:val="20"/>
          <w:color w:val="auto"/>
        </w:rPr>
      </w:pPr>
      <w:r>
        <w:rPr>
          <w:rFonts w:ascii="Arial" w:cs="Arial" w:eastAsia="Arial" w:hAnsi="Arial"/>
          <w:sz w:val="18"/>
          <w:szCs w:val="18"/>
          <w:color w:val="auto"/>
        </w:rPr>
        <w:t>Our focused drug development approach aims to understand the potential clinical benefit of a product candidate at early stages of clinical development by utilizing EEG and ERP methods. Commonly used in clinical research and clinical practice, EEG and ERP methods provide valuable insight into cognitive function but have been largely overlooked in AD clinical trials. At Athira, we are innovatively using these non-invasive methods to gain early insight into potential therapeutic effects. Improvement in the brain network, as well as changes in neurotransmitter activity, can be captured in the electrical activity of the brain. By focusing on these direct measures of brain activity and cognitive processing, we believe we will be able to develop ATH-1017 more efficiently for treatment of AD and broader dementia.</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Insights from Approved Therapies and Applications to Our ATH Platform</w:t>
      </w:r>
    </w:p>
    <w:p>
      <w:pPr>
        <w:spacing w:after="0" w:line="104" w:lineRule="exact"/>
        <w:rPr>
          <w:sz w:val="20"/>
          <w:szCs w:val="20"/>
          <w:color w:val="auto"/>
        </w:rPr>
      </w:pPr>
    </w:p>
    <w:p>
      <w:pPr>
        <w:ind w:right="40" w:firstLine="553"/>
        <w:spacing w:after="0" w:line="245" w:lineRule="auto"/>
        <w:rPr>
          <w:sz w:val="20"/>
          <w:szCs w:val="20"/>
          <w:color w:val="auto"/>
        </w:rPr>
      </w:pPr>
      <w:r>
        <w:rPr>
          <w:rFonts w:ascii="Arial" w:cs="Arial" w:eastAsia="Arial" w:hAnsi="Arial"/>
          <w:sz w:val="18"/>
          <w:szCs w:val="18"/>
          <w:color w:val="auto"/>
        </w:rPr>
        <w:t>Companies with approved therapies have demonstrated parallel improvement in P300 latency and cognition as assessed by the Alzheimer’s Disease Assessment Scale-Cognitive Subscale, or ADAS-cog, as shown in the table below. ADAS-cog is a neuropsychological assessment used to assess the severity of cognitive symptoms of dementia. While these changes induced by acetylcholinesterase inhibitors are modest and often transient, these previously published results support the correlation of P300 latency and cognition in AD subjects.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80010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60"/>
          </w:cols>
          <w:pgMar w:left="560" w:top="871" w:right="579" w:bottom="1440" w:gutter="0" w:footer="0" w:header="0"/>
        </w:sectPr>
      </w:pPr>
    </w:p>
    <w:bookmarkStart w:id="9" w:name="page10"/>
    <w:bookmarkEnd w:id="9"/>
    <w:p>
      <w:pPr>
        <w:ind w:left="5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9545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6954520"/>
                    </a:xfrm>
                    <a:prstGeom prst="rect">
                      <a:avLst/>
                    </a:prstGeom>
                    <a:noFill/>
                  </pic:spPr>
                </pic:pic>
              </a:graphicData>
            </a:graphic>
          </wp:anchor>
        </w:drawing>
        <w:t>Studies Suggest Changes in P300 Latency Have Been Predictive of Changes in 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40"/>
        <w:spacing w:after="0" w:line="288" w:lineRule="auto"/>
        <w:rPr>
          <w:sz w:val="20"/>
          <w:szCs w:val="20"/>
          <w:color w:val="auto"/>
        </w:rPr>
      </w:pPr>
      <w:r>
        <w:rPr>
          <w:rFonts w:ascii="Arial" w:cs="Arial" w:eastAsia="Arial" w:hAnsi="Arial"/>
          <w:sz w:val="14"/>
          <w:szCs w:val="14"/>
          <w:i w:val="1"/>
          <w:iCs w:val="1"/>
          <w:color w:val="auto"/>
        </w:rPr>
        <w:t>Source: Results for donepezil and rivastigmine adapted from Thomas et al., 2001; results for memantine adapted from Sallach et al., 2011, and results for scopolamine adapted from Potter et al., 2000.</w:t>
      </w:r>
    </w:p>
    <w:p>
      <w:pPr>
        <w:spacing w:after="0" w:line="142" w:lineRule="exact"/>
        <w:rPr>
          <w:sz w:val="20"/>
          <w:szCs w:val="20"/>
          <w:color w:val="auto"/>
        </w:rPr>
      </w:pPr>
    </w:p>
    <w:p>
      <w:pPr>
        <w:ind w:firstLine="553"/>
        <w:spacing w:after="0" w:line="245" w:lineRule="auto"/>
        <w:rPr>
          <w:sz w:val="20"/>
          <w:szCs w:val="20"/>
          <w:color w:val="auto"/>
        </w:rPr>
      </w:pPr>
      <w:r>
        <w:rPr>
          <w:rFonts w:ascii="Arial" w:cs="Arial" w:eastAsia="Arial" w:hAnsi="Arial"/>
          <w:sz w:val="18"/>
          <w:szCs w:val="18"/>
          <w:color w:val="auto"/>
        </w:rPr>
        <w:t>In CNS disorders, fluid or imaging biomarkers have been extensively used in drug development. However, these can be invasive and expensive, and the connection of these biomarkers to cognition is not clear. We sought to develop a translational strategy for ATH that was highly correlated to brain function and cognition which led us to use EEG/ERP for the clinical development of ATH-1017. Positive changes in EEG and ERP P300 latency potentially indicate a positive cognitive effect of ATH treatment, which increases our confidence that these effects may translate to clinical benefit in later-stage clinical trials.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NIH Grant</w:t>
      </w:r>
    </w:p>
    <w:p>
      <w:pPr>
        <w:spacing w:after="0" w:line="106" w:lineRule="exact"/>
        <w:rPr>
          <w:sz w:val="20"/>
          <w:szCs w:val="20"/>
          <w:color w:val="auto"/>
        </w:rPr>
      </w:pPr>
    </w:p>
    <w:p>
      <w:pPr>
        <w:ind w:right="320" w:firstLine="547"/>
        <w:spacing w:after="0" w:line="248" w:lineRule="auto"/>
        <w:rPr>
          <w:sz w:val="20"/>
          <w:szCs w:val="20"/>
          <w:color w:val="auto"/>
        </w:rPr>
      </w:pPr>
      <w:r>
        <w:rPr>
          <w:rFonts w:ascii="Arial" w:cs="Arial" w:eastAsia="Arial" w:hAnsi="Arial"/>
          <w:sz w:val="18"/>
          <w:szCs w:val="18"/>
          <w:color w:val="auto"/>
        </w:rPr>
        <w:t>In December 2020, we determined that we would accept a grant from the National Institutes of Health, or NIH, to support our ACT-AD Phase 2 clinical trial for ATH-1017. Under the terms of the agreement, we may receive approximately $7.8 million with the potential for an additional $7.4 million up to an aggregate of $15.2 million. For additional information regarding this grant, see the section of this prospectus titled “Business—Our Collaboration and Grant Agreements.”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Preliminary Financial Position Information</w:t>
      </w:r>
    </w:p>
    <w:p>
      <w:pPr>
        <w:spacing w:after="0" w:line="106" w:lineRule="exact"/>
        <w:rPr>
          <w:sz w:val="20"/>
          <w:szCs w:val="20"/>
          <w:color w:val="auto"/>
        </w:rPr>
      </w:pPr>
    </w:p>
    <w:p>
      <w:pPr>
        <w:ind w:right="80" w:firstLine="547"/>
        <w:spacing w:after="0" w:line="258" w:lineRule="auto"/>
        <w:rPr>
          <w:sz w:val="20"/>
          <w:szCs w:val="20"/>
          <w:color w:val="auto"/>
        </w:rPr>
      </w:pPr>
      <w:r>
        <w:rPr>
          <w:rFonts w:ascii="Arial" w:cs="Arial" w:eastAsia="Arial" w:hAnsi="Arial"/>
          <w:sz w:val="17"/>
          <w:szCs w:val="17"/>
          <w:color w:val="auto"/>
        </w:rPr>
        <w:t>Our consolidated financial statements for the year ended December 31, 2020 are not yet available. The preliminary financial data included in this prospectus supplement has been prepared by, and is the responsibility of, management. Our independent registered public accounting firm, Ernst &amp; Young LLP, has not audited, reviewed, compiled, or applied agreed -upon procedures with respect to the preliminary financial data. Accordingly, Ernst &amp; Young LLP does not express an opinion or any other form of assurance with respect thereto. It is possible that we or Ernst &amp; Young LLP may identify items that require us to make adjustments to the financial information set forth below. We expect to complete our audited consolidated financial statements for the year ended December 31, 2020 subsequent to the completion of this offering. Accordingly, undue reliance should not be placed on this preliminary estimate.</w:t>
      </w:r>
    </w:p>
    <w:p>
      <w:pPr>
        <w:spacing w:after="0" w:line="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December 31, 2020, we had approximately $268.2 million in cash, cash equivalents and investments.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106" w:lineRule="exact"/>
        <w:rPr>
          <w:sz w:val="20"/>
          <w:szCs w:val="20"/>
          <w:color w:val="auto"/>
        </w:rPr>
      </w:pPr>
    </w:p>
    <w:p>
      <w:pPr>
        <w:ind w:right="60" w:firstLine="547"/>
        <w:spacing w:after="0" w:line="255" w:lineRule="auto"/>
        <w:rPr>
          <w:sz w:val="20"/>
          <w:szCs w:val="20"/>
          <w:color w:val="auto"/>
        </w:rPr>
      </w:pPr>
      <w:r>
        <w:rPr>
          <w:rFonts w:ascii="Arial" w:cs="Arial" w:eastAsia="Arial" w:hAnsi="Arial"/>
          <w:sz w:val="18"/>
          <w:szCs w:val="18"/>
          <w:color w:val="auto"/>
        </w:rPr>
        <w:t>Our business is subject to numerous risks and uncertainties that you should consider before investing in our company. These risks are described more fully in the section titled “Risk Factors” in this prospectus. The following is a summary of the principal risks we face:</w:t>
      </w:r>
    </w:p>
    <w:p>
      <w:pPr>
        <w:spacing w:after="0" w:line="15" w:lineRule="exact"/>
        <w:rPr>
          <w:sz w:val="20"/>
          <w:szCs w:val="20"/>
          <w:color w:val="auto"/>
        </w:rPr>
      </w:pPr>
    </w:p>
    <w:p>
      <w:pPr>
        <w:ind w:left="5280" w:right="2580" w:hanging="4455"/>
        <w:spacing w:after="0" w:line="745" w:lineRule="auto"/>
        <w:tabs>
          <w:tab w:leader="none" w:pos="1236"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We are a late clinical-stage biopharmaceutical company with a limited operating history.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-219710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60"/>
          </w:cols>
          <w:pgMar w:left="560" w:top="767" w:right="579" w:bottom="1440" w:gutter="0" w:footer="0" w:header="0"/>
        </w:sectPr>
      </w:pPr>
    </w:p>
    <w:bookmarkStart w:id="10" w:name="page11"/>
    <w:bookmarkEnd w:id="10"/>
    <w:p>
      <w:pPr>
        <w:ind w:left="415" w:right="480" w:hanging="415"/>
        <w:spacing w:after="0" w:line="273" w:lineRule="auto"/>
        <w:tabs>
          <w:tab w:leader="none" w:pos="415"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242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275" cy="6242685"/>
                    </a:xfrm>
                    <a:prstGeom prst="rect">
                      <a:avLst/>
                    </a:prstGeom>
                    <a:noFill/>
                  </pic:spPr>
                </pic:pic>
              </a:graphicData>
            </a:graphic>
          </wp:anchor>
        </w:drawing>
        <w:t>Our ability to generate revenue and achieve profitability depends significantly on our ability to achieve a number of objectives.</w:t>
      </w:r>
    </w:p>
    <w:p>
      <w:pPr>
        <w:ind w:left="415" w:hanging="415"/>
        <w:spacing w:after="0"/>
        <w:tabs>
          <w:tab w:leader="none" w:pos="415"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development of ATH-1017 may never lead to a marketable product.</w:t>
      </w:r>
    </w:p>
    <w:p>
      <w:pPr>
        <w:spacing w:after="0" w:line="75" w:lineRule="exact"/>
        <w:rPr>
          <w:rFonts w:ascii="Times New Roman" w:cs="Times New Roman" w:eastAsia="Times New Roman" w:hAnsi="Times New Roman"/>
          <w:sz w:val="18"/>
          <w:szCs w:val="18"/>
          <w:color w:val="auto"/>
        </w:rPr>
      </w:pPr>
    </w:p>
    <w:p>
      <w:pPr>
        <w:ind w:left="415" w:hanging="415"/>
        <w:spacing w:after="0" w:line="242" w:lineRule="auto"/>
        <w:tabs>
          <w:tab w:leader="none" w:pos="415"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approach to targeting brain growth factors through the use of small molecules is based on a novel therapeutic approach, which exposes us to unforeseen risks. We have limited data from our Phase 1a and 1b clinical trials, including only 11 patients with mild to moderate Alzheimer’s disease, and we cannot be certain that future trials will yield similar data. In addition, our use of electroencephalogram methods to gather data requires placement of electrodes on a subject’s scalp and, if not properly placed, we may be unable to obtain the data sought or data obtained may be unreliable.</w:t>
      </w:r>
    </w:p>
    <w:p>
      <w:pPr>
        <w:spacing w:after="0" w:line="29" w:lineRule="exact"/>
        <w:rPr>
          <w:rFonts w:ascii="Times New Roman" w:cs="Times New Roman" w:eastAsia="Times New Roman" w:hAnsi="Times New Roman"/>
          <w:sz w:val="18"/>
          <w:szCs w:val="18"/>
          <w:color w:val="auto"/>
        </w:rPr>
      </w:pPr>
    </w:p>
    <w:p>
      <w:pPr>
        <w:ind w:left="415" w:right="60" w:hanging="415"/>
        <w:spacing w:after="0" w:line="273" w:lineRule="auto"/>
        <w:tabs>
          <w:tab w:leader="none" w:pos="415"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have concentrated our research and development efforts on the treatment of central nervous system and peripheral degenerative disorders, a field that has seen very limited success in product development.</w:t>
      </w:r>
    </w:p>
    <w:p>
      <w:pPr>
        <w:ind w:left="415" w:right="20" w:hanging="415"/>
        <w:spacing w:after="0" w:line="248" w:lineRule="auto"/>
        <w:tabs>
          <w:tab w:leader="none" w:pos="415"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Clinical development involves a lengthy and expensive process with an uncertain outcome, and results of early, smaller-scale studies and clinical trials with a single or few clinical trial sites may not be predictive of eventual safety or effectiveness in large-scale pivotal clinical trials across multiple clinical trial sites. We may encounter substantial delays in clinical trials, or may not be able to conduct or complete clinical trials on the expected timelines, if at all.</w:t>
      </w:r>
    </w:p>
    <w:p>
      <w:pPr>
        <w:spacing w:after="0" w:line="21" w:lineRule="exact"/>
        <w:rPr>
          <w:rFonts w:ascii="Times New Roman" w:cs="Times New Roman" w:eastAsia="Times New Roman" w:hAnsi="Times New Roman"/>
          <w:sz w:val="18"/>
          <w:szCs w:val="18"/>
          <w:color w:val="auto"/>
        </w:rPr>
      </w:pPr>
    </w:p>
    <w:p>
      <w:pPr>
        <w:ind w:left="415" w:right="640" w:hanging="415"/>
        <w:spacing w:after="0" w:line="273" w:lineRule="auto"/>
        <w:tabs>
          <w:tab w:leader="none" w:pos="415"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If we experience delays or difficulties in the enrollment and/or retention of patients in clinical trials, our regulatory submissions or receipt of necessary marketing approvals could be delayed or prevented.</w:t>
      </w:r>
    </w:p>
    <w:p>
      <w:pPr>
        <w:ind w:left="415" w:right="160" w:hanging="415"/>
        <w:spacing w:after="0" w:line="255" w:lineRule="auto"/>
        <w:tabs>
          <w:tab w:leader="none" w:pos="415"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14" w:lineRule="exact"/>
        <w:rPr>
          <w:rFonts w:ascii="Times New Roman" w:cs="Times New Roman" w:eastAsia="Times New Roman" w:hAnsi="Times New Roman"/>
          <w:sz w:val="18"/>
          <w:szCs w:val="18"/>
          <w:color w:val="auto"/>
        </w:rPr>
      </w:pPr>
    </w:p>
    <w:p>
      <w:pPr>
        <w:ind w:left="415" w:right="800" w:hanging="415"/>
        <w:spacing w:after="0" w:line="273" w:lineRule="auto"/>
        <w:tabs>
          <w:tab w:leader="none" w:pos="415"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outbreak of the novel coronavirus disease, COVID-19, could adversely impact our business, including our nonclinical studies and clinical trials.</w:t>
      </w:r>
    </w:p>
    <w:p>
      <w:pPr>
        <w:ind w:left="415" w:right="40" w:hanging="415"/>
        <w:spacing w:after="0" w:line="273" w:lineRule="auto"/>
        <w:tabs>
          <w:tab w:leader="none" w:pos="415"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have incurred significant losses since our inception and anticipate that we will continue to incur significant losses for the foreseeable future.</w:t>
      </w:r>
    </w:p>
    <w:p>
      <w:pPr>
        <w:ind w:left="415" w:right="40" w:hanging="415"/>
        <w:spacing w:after="0" w:line="275" w:lineRule="auto"/>
        <w:tabs>
          <w:tab w:leader="none" w:pos="415"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We will require substantial additional funding to finance our operations, complete the development and commercialization of ATH-1017, and evaluate other and future product candidates. If we are unable to raise this funding when needed, we may be forced to delay, reduce, or eliminate our product development programs or other operations.</w:t>
      </w:r>
    </w:p>
    <w:p>
      <w:pPr>
        <w:spacing w:after="0" w:line="2" w:lineRule="exact"/>
        <w:rPr>
          <w:rFonts w:ascii="Times New Roman" w:cs="Times New Roman" w:eastAsia="Times New Roman" w:hAnsi="Times New Roman"/>
          <w:sz w:val="17"/>
          <w:szCs w:val="17"/>
          <w:color w:val="auto"/>
        </w:rPr>
      </w:pPr>
    </w:p>
    <w:p>
      <w:pPr>
        <w:ind w:left="415" w:right="160" w:hanging="415"/>
        <w:spacing w:after="0" w:line="267" w:lineRule="auto"/>
        <w:tabs>
          <w:tab w:leader="none" w:pos="415"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The regulatory approval processes of the U.S. Food and Drug Administration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6" w:lineRule="exact"/>
        <w:rPr>
          <w:rFonts w:ascii="Times New Roman" w:cs="Times New Roman" w:eastAsia="Times New Roman" w:hAnsi="Times New Roman"/>
          <w:sz w:val="17"/>
          <w:szCs w:val="17"/>
          <w:color w:val="auto"/>
        </w:rPr>
      </w:pPr>
    </w:p>
    <w:p>
      <w:pPr>
        <w:jc w:val="both"/>
        <w:ind w:left="415" w:right="100" w:hanging="415"/>
        <w:spacing w:after="0" w:line="255" w:lineRule="auto"/>
        <w:tabs>
          <w:tab w:leader="none" w:pos="415"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plan to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14" w:lineRule="exact"/>
        <w:rPr>
          <w:rFonts w:ascii="Times New Roman" w:cs="Times New Roman" w:eastAsia="Times New Roman" w:hAnsi="Times New Roman"/>
          <w:sz w:val="18"/>
          <w:szCs w:val="18"/>
          <w:color w:val="auto"/>
        </w:rPr>
      </w:pPr>
    </w:p>
    <w:p>
      <w:pPr>
        <w:ind w:left="415" w:right="260" w:hanging="415"/>
        <w:spacing w:after="0" w:line="273" w:lineRule="auto"/>
        <w:tabs>
          <w:tab w:leader="none" w:pos="415"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Even if approved, our product candidates may not achieve adequate market acceptance among physicians, patients, healthcare payors and others in the medical community necessary for commercial success.</w:t>
      </w:r>
    </w:p>
    <w:p>
      <w:pPr>
        <w:ind w:left="415" w:right="560" w:hanging="415"/>
        <w:spacing w:after="0" w:line="273" w:lineRule="auto"/>
        <w:tabs>
          <w:tab w:leader="none" w:pos="415"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have never commercialized a product candidate before and may lack the necessary expertise, personnel and resources to successfully commercialize any products on our own or together with suitable collaborators.</w:t>
      </w:r>
    </w:p>
    <w:p>
      <w:pPr>
        <w:ind w:left="415" w:hanging="415"/>
        <w:spacing w:after="0"/>
        <w:tabs>
          <w:tab w:leader="none" w:pos="415"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success depends on our ability to protect our intellectual property and our proprietary technologies.</w:t>
      </w:r>
    </w:p>
    <w:p>
      <w:pPr>
        <w:spacing w:after="0" w:line="400" w:lineRule="exact"/>
        <w:rPr>
          <w:sz w:val="20"/>
          <w:szCs w:val="20"/>
          <w:color w:val="auto"/>
        </w:rPr>
      </w:pPr>
    </w:p>
    <w:p>
      <w:pPr>
        <w:ind w:left="4455"/>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80010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955"/>
          </w:cols>
          <w:pgMar w:left="1385" w:top="900" w:right="559" w:bottom="1440" w:gutter="0" w:footer="0" w:header="0"/>
        </w:sectPr>
      </w:pPr>
    </w:p>
    <w:bookmarkStart w:id="11" w:name="page12"/>
    <w:bookmarkEnd w:id="11"/>
    <w:p>
      <w:pPr>
        <w:ind w:left="1240" w:right="320" w:hanging="415"/>
        <w:spacing w:after="0" w:line="255" w:lineRule="auto"/>
        <w:tabs>
          <w:tab w:leader="none" w:pos="12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885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6885940"/>
                    </a:xfrm>
                    <a:prstGeom prst="rect">
                      <a:avLst/>
                    </a:prstGeom>
                    <a:noFill/>
                  </pic:spPr>
                </pic:pic>
              </a:graphicData>
            </a:graphic>
          </wp:anchor>
        </w:drawing>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14"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market price of our common stock may be volatile, which could result in substantial losses for investors.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06" w:lineRule="exact"/>
        <w:rPr>
          <w:sz w:val="20"/>
          <w:szCs w:val="20"/>
          <w:color w:val="auto"/>
        </w:rPr>
      </w:pPr>
    </w:p>
    <w:p>
      <w:pPr>
        <w:ind w:firstLine="553"/>
        <w:spacing w:after="0" w:line="245" w:lineRule="auto"/>
        <w:rPr>
          <w:sz w:val="20"/>
          <w:szCs w:val="20"/>
          <w:color w:val="auto"/>
        </w:rPr>
      </w:pPr>
      <w:r>
        <w:rPr>
          <w:rFonts w:ascii="Arial" w:cs="Arial" w:eastAsia="Arial" w:hAnsi="Arial"/>
          <w:sz w:val="18"/>
          <w:szCs w:val="18"/>
          <w:color w:val="auto"/>
        </w:rPr>
        <w:t>We were incorporated in Washington as a corporation in March 2011 under the name M3 Biotechnology, Inc. In October 2015, we converted to a Delaware corporation and subsequently changed our name to “Athira Pharma, Inc.” Our principal executive office is located at 18706 North Creek Parkway, Suite 104, Bothell, Washington 98011. Our telephone number is (206) 221-8115. Our website is www.athira.com. Information contained in, or that can be accessed through, our website is not a part of, and is not incorporated into, this prospectus, and the inclusion of our website address in this prospectus is an inactive textual reference only.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Service Marks</w:t>
      </w:r>
    </w:p>
    <w:p>
      <w:pPr>
        <w:spacing w:after="0" w:line="106" w:lineRule="exact"/>
        <w:rPr>
          <w:sz w:val="20"/>
          <w:szCs w:val="20"/>
          <w:color w:val="auto"/>
        </w:rPr>
      </w:pPr>
    </w:p>
    <w:p>
      <w:pPr>
        <w:ind w:firstLine="547"/>
        <w:spacing w:after="0" w:line="241" w:lineRule="auto"/>
        <w:rPr>
          <w:sz w:val="20"/>
          <w:szCs w:val="20"/>
          <w:color w:val="auto"/>
        </w:rPr>
      </w:pPr>
      <w:r>
        <w:rPr>
          <w:rFonts w:ascii="Arial" w:cs="Arial" w:eastAsia="Arial" w:hAnsi="Arial"/>
          <w:sz w:val="18"/>
          <w:szCs w:val="18"/>
          <w:color w:val="auto"/>
        </w:rPr>
        <w:t xml:space="preserve">We use Athira, Athira Pharma, the Athira logo,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Arial" w:cs="Arial" w:eastAsia="Arial" w:hAnsi="Arial"/>
          <w:sz w:val="15"/>
          <w:szCs w:val="15"/>
          <w:color w:val="auto"/>
        </w:rPr>
        <w:t>®</w:t>
      </w:r>
      <w:r>
        <w:rPr>
          <w:rFonts w:ascii="Arial" w:cs="Arial" w:eastAsia="Arial" w:hAnsi="Arial"/>
          <w:sz w:val="18"/>
          <w:szCs w:val="18"/>
          <w:color w:val="auto"/>
        </w:rPr>
        <w:t xml:space="preserve"> or </w:t>
      </w:r>
      <w:r>
        <w:rPr>
          <w:rFonts w:ascii="Arial" w:cs="Arial" w:eastAsia="Arial" w:hAnsi="Arial"/>
          <w:sz w:val="15"/>
          <w:szCs w:val="15"/>
          <w:color w:val="auto"/>
        </w:rPr>
        <w:t>TM</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06" w:lineRule="exact"/>
        <w:rPr>
          <w:sz w:val="20"/>
          <w:szCs w:val="20"/>
          <w:color w:val="auto"/>
        </w:rPr>
      </w:pPr>
    </w:p>
    <w:p>
      <w:pPr>
        <w:jc w:val="both"/>
        <w:ind w:right="380" w:firstLine="553"/>
        <w:spacing w:after="0" w:line="255" w:lineRule="auto"/>
        <w:rPr>
          <w:sz w:val="20"/>
          <w:szCs w:val="20"/>
          <w:color w:val="auto"/>
        </w:rPr>
      </w:pPr>
      <w:r>
        <w:rPr>
          <w:rFonts w:ascii="Arial" w:cs="Arial" w:eastAsia="Arial" w:hAnsi="Arial"/>
          <w:sz w:val="18"/>
          <w:szCs w:val="18"/>
          <w:color w:val="auto"/>
          <w:highlight w:val="white"/>
        </w:rPr>
        <w:t>We are an “emerging growth company” as defined in the Jumpstart Our Business Startups Act of 2012, as amended, or the JOBS Act. As such, we may take advantage of reduced disclosure and other requirements otherwise generally applicable to public companies, including:</w:t>
      </w:r>
    </w:p>
    <w:p>
      <w:pPr>
        <w:spacing w:after="0" w:line="56" w:lineRule="exact"/>
        <w:rPr>
          <w:sz w:val="20"/>
          <w:szCs w:val="20"/>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presentation of only two years of audited financial statements and related financial disclosure;</w:t>
      </w:r>
    </w:p>
    <w:p>
      <w:pPr>
        <w:spacing w:after="0" w:line="116" w:lineRule="exact"/>
        <w:rPr>
          <w:rFonts w:ascii="Times New Roman" w:cs="Times New Roman" w:eastAsia="Times New Roman" w:hAnsi="Times New Roman"/>
          <w:sz w:val="18"/>
          <w:szCs w:val="18"/>
          <w:color w:val="auto"/>
        </w:rPr>
      </w:pPr>
    </w:p>
    <w:p>
      <w:pPr>
        <w:ind w:left="1240" w:right="740" w:hanging="415"/>
        <w:spacing w:after="0" w:line="275" w:lineRule="auto"/>
        <w:tabs>
          <w:tab w:leader="none" w:pos="12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exemption from requirement to have our registered independent public accounting firm attest to management's assessment of our internal control over financial reporting;</w:t>
      </w:r>
    </w:p>
    <w:p>
      <w:pPr>
        <w:spacing w:after="0" w:line="3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reduced disclosure about our executive compensation arrangements; and</w:t>
      </w:r>
    </w:p>
    <w:p>
      <w:pPr>
        <w:spacing w:after="0" w:line="116" w:lineRule="exact"/>
        <w:rPr>
          <w:rFonts w:ascii="Times New Roman" w:cs="Times New Roman" w:eastAsia="Times New Roman" w:hAnsi="Times New Roman"/>
          <w:sz w:val="18"/>
          <w:szCs w:val="18"/>
          <w:color w:val="auto"/>
        </w:rPr>
      </w:pPr>
    </w:p>
    <w:p>
      <w:pPr>
        <w:ind w:left="1240" w:right="620" w:hanging="415"/>
        <w:spacing w:after="0" w:line="275" w:lineRule="auto"/>
        <w:tabs>
          <w:tab w:leader="none" w:pos="12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exemption from requirement to hold non-binding advisory votes on executive compensation or golden parachute arrangements.</w:t>
      </w:r>
    </w:p>
    <w:p>
      <w:pPr>
        <w:spacing w:after="0" w:line="146" w:lineRule="exact"/>
        <w:rPr>
          <w:sz w:val="20"/>
          <w:szCs w:val="20"/>
          <w:color w:val="auto"/>
        </w:rPr>
      </w:pPr>
    </w:p>
    <w:p>
      <w:pPr>
        <w:ind w:right="60" w:firstLine="547"/>
        <w:spacing w:after="0" w:line="243" w:lineRule="auto"/>
        <w:rPr>
          <w:sz w:val="20"/>
          <w:szCs w:val="20"/>
          <w:color w:val="auto"/>
        </w:rPr>
      </w:pPr>
      <w:r>
        <w:rPr>
          <w:rFonts w:ascii="Arial" w:cs="Arial" w:eastAsia="Arial" w:hAnsi="Arial"/>
          <w:sz w:val="18"/>
          <w:szCs w:val="18"/>
          <w:color w:val="auto"/>
          <w:highlight w:val="white"/>
        </w:rPr>
        <w:t>We will remain an emerging growth company until the earliest to occur of: (1) the last day of the fiscal year in which we have at least $1.07 billion in annual revenue; (2) the last day of the fiscal year in which we are deemed to be a “large accelerated filer,” as defined in Rule 12b-2 under the Securities Exchange Act of 1934, as amended, or the Exchange Act, which would occur if the market value of our common stock held by non-affiliates exceeded $700 million as of the last business day of the second fiscal quarter of such year; (3) the date on which we have issued more than $1.0 billion in non-convertible debt securities during the prior three-year period; and (4) the last day of the fiscal year ending after the fifth anniversary of our initial public offering.</w:t>
      </w:r>
    </w:p>
    <w:p>
      <w:pPr>
        <w:spacing w:after="0" w:line="174" w:lineRule="exact"/>
        <w:rPr>
          <w:sz w:val="20"/>
          <w:szCs w:val="20"/>
          <w:color w:val="auto"/>
        </w:rPr>
      </w:pPr>
    </w:p>
    <w:p>
      <w:pPr>
        <w:ind w:right="40" w:firstLine="547"/>
        <w:spacing w:after="0" w:line="245" w:lineRule="auto"/>
        <w:rPr>
          <w:sz w:val="20"/>
          <w:szCs w:val="20"/>
          <w:color w:val="auto"/>
        </w:rPr>
      </w:pPr>
      <w:r>
        <w:rPr>
          <w:rFonts w:ascii="Arial" w:cs="Arial" w:eastAsia="Arial" w:hAnsi="Arial"/>
          <w:sz w:val="18"/>
          <w:szCs w:val="18"/>
          <w:color w:val="auto"/>
          <w:highlight w:val="white"/>
        </w:rPr>
        <w:t>As a result of this status, we have taken advantage of reduced reporting requirements in this prospectus and may elect to take advantage of other reduced reporting requirements in our future filings with the SEC. In particular, in this prospectus, we have provided only two years of audited financial statements and have not included all of the executive compensation-related information that would be required if we were not an emerging growth company. In addition, the JOBS Act provides that an emerging growth company may take advantage of an extended transition period for complying with new</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80010</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60"/>
          </w:cols>
          <w:pgMar w:left="560" w:top="616" w:right="579" w:bottom="1440" w:gutter="0" w:footer="0" w:header="0"/>
        </w:sectPr>
      </w:pPr>
    </w:p>
    <w:bookmarkStart w:id="12" w:name="page13"/>
    <w:bookmarkEnd w:id="12"/>
    <w:p>
      <w:pPr>
        <w:ind w:right="40"/>
        <w:spacing w:after="0" w:line="243" w:lineRule="auto"/>
        <w:rPr>
          <w:sz w:val="20"/>
          <w:szCs w:val="20"/>
          <w:color w:val="auto"/>
        </w:rPr>
      </w:pPr>
      <w:r>
        <w:rPr>
          <w:rFonts w:ascii="Arial" w:cs="Arial" w:eastAsia="Arial" w:hAnsi="Arial"/>
          <w:sz w:val="18"/>
          <w:szCs w:val="18"/>
          <w:color w:val="auto"/>
          <w:highlight w:val="whit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8479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2847975"/>
                    </a:xfrm>
                    <a:prstGeom prst="rect">
                      <a:avLst/>
                    </a:prstGeom>
                    <a:noFill/>
                  </pic:spPr>
                </pic:pic>
              </a:graphicData>
            </a:graphic>
          </wp:anchor>
        </w:drawing>
        <w:t>or revised accounting standards, delaying the adoption of these accounting standards until they would apply to private companies unless it otherwise irrevocably elects not to avail itself of this exemption. We have elected to use this extended transition period for complying with new or revised accounting standards that have different effective dates for public and private companies until the earlier of the date that we are no longer an emerging growth company or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74" w:lineRule="exact"/>
        <w:rPr>
          <w:sz w:val="20"/>
          <w:szCs w:val="20"/>
          <w:color w:val="auto"/>
        </w:rPr>
      </w:pPr>
    </w:p>
    <w:p>
      <w:pPr>
        <w:ind w:firstLine="547"/>
        <w:spacing w:after="0" w:line="239" w:lineRule="auto"/>
        <w:rPr>
          <w:sz w:val="20"/>
          <w:szCs w:val="20"/>
          <w:color w:val="auto"/>
        </w:rPr>
      </w:pPr>
      <w:r>
        <w:rPr>
          <w:rFonts w:ascii="Arial" w:cs="Arial" w:eastAsia="Arial" w:hAnsi="Arial"/>
          <w:sz w:val="18"/>
          <w:szCs w:val="18"/>
          <w:color w:val="auto"/>
        </w:rPr>
        <w:t>In addition, we are also a “smaller reporting company” because the market value of our stock held by non-affiliates plus the proposed aggregate amount of gross proceeds to us as a result of this offering is less than $ 700 million as of June 30, 2019 and our annual revenue was less than $100 million during the fiscal year ended December 31, 2019. We may continue to be a smaller reporting company after this offering in any given year if either (1) the market value of our stock held by non-affiliates is less than $250 million as of June 30 in the most recently completed fiscal year or (2) our annual revenue is less than $100 million during the most recently completed fiscal year and the market value of our stock held by non-affiliates is less than $ 700 million as of June 30 in the most recently completed fiscal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80010</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60"/>
          </w:cols>
          <w:pgMar w:left="560" w:top="765" w:right="57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660"/>
        </w:trPr>
        <w:tc>
          <w:tcPr>
            <w:tcW w:w="4140" w:type="dxa"/>
            <w:vAlign w:val="bottom"/>
            <w:tcBorders>
              <w:top w:val="single" w:sz="8" w:color="auto"/>
              <w:left w:val="single" w:sz="8" w:color="auto"/>
            </w:tcBorders>
          </w:tcPr>
          <w:p>
            <w:pPr>
              <w:spacing w:after="0"/>
              <w:rPr>
                <w:sz w:val="24"/>
                <w:szCs w:val="24"/>
                <w:color w:val="auto"/>
              </w:rPr>
            </w:pPr>
          </w:p>
        </w:tc>
        <w:tc>
          <w:tcPr>
            <w:tcW w:w="7140" w:type="dxa"/>
            <w:vAlign w:val="bottom"/>
            <w:tcBorders>
              <w:top w:val="single" w:sz="8" w:color="auto"/>
              <w:right w:val="single" w:sz="8" w:color="auto"/>
            </w:tcBorders>
          </w:tcPr>
          <w:p>
            <w:pPr>
              <w:ind w:left="960"/>
              <w:spacing w:after="0"/>
              <w:rPr>
                <w:sz w:val="20"/>
                <w:szCs w:val="20"/>
                <w:color w:val="auto"/>
              </w:rPr>
            </w:pPr>
            <w:r>
              <w:rPr>
                <w:rFonts w:ascii="Arial" w:cs="Arial" w:eastAsia="Arial" w:hAnsi="Arial"/>
                <w:sz w:val="18"/>
                <w:szCs w:val="18"/>
                <w:b w:val="1"/>
                <w:bCs w:val="1"/>
                <w:color w:val="auto"/>
              </w:rPr>
              <w:t>The Offering</w:t>
            </w:r>
          </w:p>
        </w:tc>
      </w:tr>
      <w:tr>
        <w:trPr>
          <w:trHeight w:val="438"/>
        </w:trPr>
        <w:tc>
          <w:tcPr>
            <w:tcW w:w="414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Common stock offered by us</w:t>
            </w:r>
          </w:p>
        </w:tc>
        <w:tc>
          <w:tcPr>
            <w:tcW w:w="71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4,000,000 shares.</w:t>
            </w:r>
          </w:p>
        </w:tc>
      </w:tr>
      <w:tr>
        <w:trPr>
          <w:trHeight w:val="405"/>
        </w:trPr>
        <w:tc>
          <w:tcPr>
            <w:tcW w:w="414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Option to purchase additional shares</w:t>
            </w:r>
          </w:p>
        </w:tc>
        <w:tc>
          <w:tcPr>
            <w:tcW w:w="71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We have granted the underwriters an option to purchase up</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to 600,000 additional shares of common stock from us. The</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underwriters can exercise this option at any time within 30 days from</w:t>
            </w:r>
          </w:p>
        </w:tc>
      </w:tr>
      <w:tr>
        <w:trPr>
          <w:trHeight w:val="243"/>
        </w:trPr>
        <w:tc>
          <w:tcPr>
            <w:tcW w:w="4140" w:type="dxa"/>
            <w:vAlign w:val="bottom"/>
            <w:tcBorders>
              <w:left w:val="single" w:sz="8" w:color="auto"/>
            </w:tcBorders>
          </w:tcPr>
          <w:p>
            <w:pPr>
              <w:spacing w:after="0"/>
              <w:rPr>
                <w:sz w:val="21"/>
                <w:szCs w:val="21"/>
                <w:color w:val="auto"/>
              </w:rPr>
            </w:pPr>
          </w:p>
        </w:tc>
        <w:tc>
          <w:tcPr>
            <w:tcW w:w="71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the date of this prospectus.</w:t>
            </w:r>
          </w:p>
        </w:tc>
      </w:tr>
      <w:tr>
        <w:trPr>
          <w:trHeight w:val="405"/>
        </w:trPr>
        <w:tc>
          <w:tcPr>
            <w:tcW w:w="414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Common stock to be outstanding</w:t>
            </w:r>
          </w:p>
        </w:tc>
        <w:tc>
          <w:tcPr>
            <w:tcW w:w="71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35,087,395 shares (or 35,687,395 shares if the underwriters exercise</w:t>
            </w:r>
          </w:p>
        </w:tc>
      </w:tr>
      <w:tr>
        <w:trPr>
          <w:trHeight w:val="243"/>
        </w:trPr>
        <w:tc>
          <w:tcPr>
            <w:tcW w:w="414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after the offering</w:t>
            </w:r>
          </w:p>
        </w:tc>
        <w:tc>
          <w:tcPr>
            <w:tcW w:w="71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in full their option to purchase additional shares).</w:t>
            </w:r>
          </w:p>
        </w:tc>
      </w:tr>
      <w:tr>
        <w:trPr>
          <w:trHeight w:val="405"/>
        </w:trPr>
        <w:tc>
          <w:tcPr>
            <w:tcW w:w="414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Use of proceeds</w:t>
            </w:r>
          </w:p>
        </w:tc>
        <w:tc>
          <w:tcPr>
            <w:tcW w:w="71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We estimate that the net proceeds from this offering will be</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approximately $84.1 million, or $96.8 million if the underwriters</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exercise in full their option to purchase additional shares of common</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stock, based upon the public offering price of $22.50 per share and</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after deducting underwriting discounts and commissions and</w:t>
            </w:r>
          </w:p>
        </w:tc>
      </w:tr>
      <w:tr>
        <w:trPr>
          <w:trHeight w:val="243"/>
        </w:trPr>
        <w:tc>
          <w:tcPr>
            <w:tcW w:w="4140" w:type="dxa"/>
            <w:vAlign w:val="bottom"/>
            <w:tcBorders>
              <w:left w:val="single" w:sz="8" w:color="auto"/>
            </w:tcBorders>
          </w:tcPr>
          <w:p>
            <w:pPr>
              <w:spacing w:after="0"/>
              <w:rPr>
                <w:sz w:val="21"/>
                <w:szCs w:val="21"/>
                <w:color w:val="auto"/>
              </w:rPr>
            </w:pPr>
          </w:p>
        </w:tc>
        <w:tc>
          <w:tcPr>
            <w:tcW w:w="71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estimated offering expenses payable by us.</w:t>
            </w:r>
          </w:p>
        </w:tc>
      </w:tr>
      <w:tr>
        <w:trPr>
          <w:trHeight w:val="338"/>
        </w:trPr>
        <w:tc>
          <w:tcPr>
            <w:tcW w:w="4140" w:type="dxa"/>
            <w:vAlign w:val="bottom"/>
            <w:tcBorders>
              <w:left w:val="single" w:sz="8" w:color="auto"/>
            </w:tcBorders>
          </w:tcPr>
          <w:p>
            <w:pPr>
              <w:spacing w:after="0"/>
              <w:rPr>
                <w:sz w:val="24"/>
                <w:szCs w:val="24"/>
                <w:color w:val="auto"/>
              </w:rPr>
            </w:pPr>
          </w:p>
        </w:tc>
        <w:tc>
          <w:tcPr>
            <w:tcW w:w="71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We currently intend to use the net proceeds from this offering for the</w:t>
            </w:r>
          </w:p>
        </w:tc>
      </w:tr>
      <w:tr>
        <w:trPr>
          <w:trHeight w:val="202"/>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following purposes: (1) approximately $34 million to fund the</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continued development of ATH-1017, including for our planned Phase</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2 trial of ATH-1017 for the treatment of Parkinson’s disease dementia</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and for clinical pharmacology and safety studies to support the</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development of ATH-1017 for both mild-to-moderate Alzheimer’s</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disease and Parkinson’s disease dementia; (2) approximately $48</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million to fund our IND-enabling studies and early-stage clinical</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development of ATH-1019 or ATH-1020 for the treatment of</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neuropsychiatric indications; and (3) the remainder for our other</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research and development activities, as well as for working capital</w:t>
            </w:r>
          </w:p>
        </w:tc>
      </w:tr>
      <w:tr>
        <w:trPr>
          <w:trHeight w:val="243"/>
        </w:trPr>
        <w:tc>
          <w:tcPr>
            <w:tcW w:w="4140" w:type="dxa"/>
            <w:vAlign w:val="bottom"/>
            <w:tcBorders>
              <w:left w:val="single" w:sz="8" w:color="auto"/>
            </w:tcBorders>
          </w:tcPr>
          <w:p>
            <w:pPr>
              <w:spacing w:after="0"/>
              <w:rPr>
                <w:sz w:val="21"/>
                <w:szCs w:val="21"/>
                <w:color w:val="auto"/>
              </w:rPr>
            </w:pPr>
          </w:p>
        </w:tc>
        <w:tc>
          <w:tcPr>
            <w:tcW w:w="71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and other general corporate purposes.</w:t>
            </w:r>
          </w:p>
        </w:tc>
      </w:tr>
      <w:tr>
        <w:trPr>
          <w:trHeight w:val="338"/>
        </w:trPr>
        <w:tc>
          <w:tcPr>
            <w:tcW w:w="4140" w:type="dxa"/>
            <w:vAlign w:val="bottom"/>
            <w:tcBorders>
              <w:left w:val="single" w:sz="8" w:color="auto"/>
            </w:tcBorders>
          </w:tcPr>
          <w:p>
            <w:pPr>
              <w:spacing w:after="0"/>
              <w:rPr>
                <w:sz w:val="24"/>
                <w:szCs w:val="24"/>
                <w:color w:val="auto"/>
              </w:rPr>
            </w:pPr>
          </w:p>
        </w:tc>
        <w:tc>
          <w:tcPr>
            <w:tcW w:w="71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We currently intend to use our existing cash, cash equivalents and</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investments to fund the ongoing clinical development of ATH-1017 for</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the treatment of mild-to-moderate Alzheimer’s disease, including our</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ongoing LIFT-AD and ACT-AD clinical trials, and for working capital</w:t>
            </w:r>
          </w:p>
        </w:tc>
      </w:tr>
      <w:tr>
        <w:trPr>
          <w:trHeight w:val="243"/>
        </w:trPr>
        <w:tc>
          <w:tcPr>
            <w:tcW w:w="4140" w:type="dxa"/>
            <w:vAlign w:val="bottom"/>
            <w:tcBorders>
              <w:left w:val="single" w:sz="8" w:color="auto"/>
            </w:tcBorders>
          </w:tcPr>
          <w:p>
            <w:pPr>
              <w:spacing w:after="0"/>
              <w:rPr>
                <w:sz w:val="21"/>
                <w:szCs w:val="21"/>
                <w:color w:val="auto"/>
              </w:rPr>
            </w:pPr>
          </w:p>
        </w:tc>
        <w:tc>
          <w:tcPr>
            <w:tcW w:w="71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and other general corporate purposes.</w:t>
            </w:r>
          </w:p>
        </w:tc>
      </w:tr>
      <w:tr>
        <w:trPr>
          <w:trHeight w:val="351"/>
        </w:trPr>
        <w:tc>
          <w:tcPr>
            <w:tcW w:w="4140" w:type="dxa"/>
            <w:vAlign w:val="bottom"/>
            <w:tcBorders>
              <w:left w:val="single" w:sz="8" w:color="auto"/>
            </w:tcBorders>
          </w:tcPr>
          <w:p>
            <w:pPr>
              <w:spacing w:after="0"/>
              <w:rPr>
                <w:sz w:val="24"/>
                <w:szCs w:val="24"/>
                <w:color w:val="auto"/>
              </w:rPr>
            </w:pPr>
          </w:p>
        </w:tc>
        <w:tc>
          <w:tcPr>
            <w:tcW w:w="71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For a more complete description of our intended use of the proceeds</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from this offering, see the section of this prospectus titled “Use of</w:t>
            </w:r>
          </w:p>
        </w:tc>
      </w:tr>
      <w:tr>
        <w:trPr>
          <w:trHeight w:val="243"/>
        </w:trPr>
        <w:tc>
          <w:tcPr>
            <w:tcW w:w="4140" w:type="dxa"/>
            <w:vAlign w:val="bottom"/>
            <w:tcBorders>
              <w:left w:val="single" w:sz="8" w:color="auto"/>
            </w:tcBorders>
          </w:tcPr>
          <w:p>
            <w:pPr>
              <w:spacing w:after="0"/>
              <w:rPr>
                <w:sz w:val="21"/>
                <w:szCs w:val="21"/>
                <w:color w:val="auto"/>
              </w:rPr>
            </w:pPr>
          </w:p>
        </w:tc>
        <w:tc>
          <w:tcPr>
            <w:tcW w:w="71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Proceeds.”</w:t>
            </w:r>
          </w:p>
        </w:tc>
      </w:tr>
      <w:tr>
        <w:trPr>
          <w:trHeight w:val="405"/>
        </w:trPr>
        <w:tc>
          <w:tcPr>
            <w:tcW w:w="414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Risk factors</w:t>
            </w:r>
          </w:p>
        </w:tc>
        <w:tc>
          <w:tcPr>
            <w:tcW w:w="71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See the section of this prospectus titled “Risk Factors” beginning on</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page 16 and other information included in this prospectus for a</w:t>
            </w:r>
          </w:p>
        </w:tc>
      </w:tr>
      <w:tr>
        <w:trPr>
          <w:trHeight w:val="203"/>
        </w:trPr>
        <w:tc>
          <w:tcPr>
            <w:tcW w:w="4140" w:type="dxa"/>
            <w:vAlign w:val="bottom"/>
            <w:tcBorders>
              <w:left w:val="single" w:sz="8" w:color="auto"/>
            </w:tcBorders>
          </w:tcPr>
          <w:p>
            <w:pPr>
              <w:spacing w:after="0"/>
              <w:rPr>
                <w:sz w:val="17"/>
                <w:szCs w:val="17"/>
                <w:color w:val="auto"/>
              </w:rPr>
            </w:pPr>
          </w:p>
        </w:tc>
        <w:tc>
          <w:tcPr>
            <w:tcW w:w="7140" w:type="dxa"/>
            <w:vAlign w:val="bottom"/>
            <w:tcBorders>
              <w:right w:val="single" w:sz="8" w:color="auto"/>
            </w:tcBorders>
          </w:tcPr>
          <w:p>
            <w:pPr>
              <w:ind w:left="1300"/>
              <w:spacing w:after="0" w:line="202" w:lineRule="exact"/>
              <w:rPr>
                <w:sz w:val="20"/>
                <w:szCs w:val="20"/>
                <w:color w:val="auto"/>
              </w:rPr>
            </w:pPr>
            <w:r>
              <w:rPr>
                <w:rFonts w:ascii="Arial" w:cs="Arial" w:eastAsia="Arial" w:hAnsi="Arial"/>
                <w:sz w:val="18"/>
                <w:szCs w:val="18"/>
                <w:color w:val="auto"/>
              </w:rPr>
              <w:t>discussion of factors you should carefully consider before deciding to</w:t>
            </w:r>
          </w:p>
        </w:tc>
      </w:tr>
      <w:tr>
        <w:trPr>
          <w:trHeight w:val="243"/>
        </w:trPr>
        <w:tc>
          <w:tcPr>
            <w:tcW w:w="4140" w:type="dxa"/>
            <w:vAlign w:val="bottom"/>
            <w:tcBorders>
              <w:left w:val="single" w:sz="8" w:color="auto"/>
            </w:tcBorders>
          </w:tcPr>
          <w:p>
            <w:pPr>
              <w:spacing w:after="0"/>
              <w:rPr>
                <w:sz w:val="21"/>
                <w:szCs w:val="21"/>
                <w:color w:val="auto"/>
              </w:rPr>
            </w:pPr>
          </w:p>
        </w:tc>
        <w:tc>
          <w:tcPr>
            <w:tcW w:w="714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invest in shares of our common stock.</w:t>
            </w:r>
          </w:p>
        </w:tc>
      </w:tr>
      <w:tr>
        <w:trPr>
          <w:trHeight w:val="384"/>
        </w:trPr>
        <w:tc>
          <w:tcPr>
            <w:tcW w:w="4140" w:type="dxa"/>
            <w:vAlign w:val="bottom"/>
            <w:tcBorders>
              <w:left w:val="single" w:sz="8" w:color="auto"/>
              <w:bottom w:val="single" w:sz="8" w:color="auto"/>
            </w:tcBorders>
          </w:tcPr>
          <w:p>
            <w:pPr>
              <w:spacing w:after="0"/>
              <w:rPr>
                <w:sz w:val="24"/>
                <w:szCs w:val="24"/>
                <w:color w:val="auto"/>
              </w:rPr>
            </w:pPr>
          </w:p>
        </w:tc>
        <w:tc>
          <w:tcPr>
            <w:tcW w:w="7140" w:type="dxa"/>
            <w:vAlign w:val="bottom"/>
            <w:tcBorders>
              <w:bottom w:val="single" w:sz="8" w:color="auto"/>
              <w:right w:val="single" w:sz="8" w:color="auto"/>
            </w:tcBorders>
          </w:tcPr>
          <w:p>
            <w:pPr>
              <w:spacing w:after="0"/>
              <w:rPr>
                <w:sz w:val="24"/>
                <w:szCs w:val="24"/>
                <w:color w:val="auto"/>
              </w:rPr>
            </w:pPr>
          </w:p>
        </w:tc>
      </w:tr>
      <w:tr>
        <w:trPr>
          <w:trHeight w:val="433"/>
        </w:trPr>
        <w:tc>
          <w:tcPr>
            <w:tcW w:w="4140" w:type="dxa"/>
            <w:vAlign w:val="bottom"/>
          </w:tcPr>
          <w:p>
            <w:pPr>
              <w:spacing w:after="0"/>
              <w:rPr>
                <w:sz w:val="24"/>
                <w:szCs w:val="24"/>
                <w:color w:val="auto"/>
              </w:rPr>
            </w:pPr>
          </w:p>
        </w:tc>
        <w:tc>
          <w:tcPr>
            <w:tcW w:w="7140" w:type="dxa"/>
            <w:vAlign w:val="bottom"/>
          </w:tcPr>
          <w:p>
            <w:pPr>
              <w:ind w:left="1320"/>
              <w:spacing w:after="0"/>
              <w:rPr>
                <w:sz w:val="20"/>
                <w:szCs w:val="20"/>
                <w:color w:val="auto"/>
              </w:rPr>
            </w:pPr>
            <w:r>
              <w:rPr>
                <w:rFonts w:ascii="Arial" w:cs="Arial" w:eastAsia="Arial" w:hAnsi="Arial"/>
                <w:sz w:val="18"/>
                <w:szCs w:val="18"/>
                <w:color w:val="auto"/>
              </w:rPr>
              <w:t>-12-</w:t>
            </w:r>
          </w:p>
        </w:tc>
      </w:tr>
      <w:tr>
        <w:trPr>
          <w:trHeight w:val="98"/>
        </w:trPr>
        <w:tc>
          <w:tcPr>
            <w:tcW w:w="4140" w:type="dxa"/>
            <w:vAlign w:val="bottom"/>
            <w:tcBorders>
              <w:bottom w:val="single" w:sz="8" w:color="9A9A9A"/>
            </w:tcBorders>
          </w:tcPr>
          <w:p>
            <w:pPr>
              <w:spacing w:after="0"/>
              <w:rPr>
                <w:sz w:val="8"/>
                <w:szCs w:val="8"/>
                <w:color w:val="auto"/>
              </w:rPr>
            </w:pPr>
          </w:p>
        </w:tc>
        <w:tc>
          <w:tcPr>
            <w:tcW w:w="7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80"/>
          </w:cols>
          <w:pgMar w:left="320" w:top="120" w:right="299" w:bottom="1440" w:gutter="0" w:footer="0" w:header="0"/>
        </w:sectPr>
      </w:pPr>
    </w:p>
    <w:bookmarkStart w:id="14" w:name="page15"/>
    <w:bookmarkEnd w:id="14"/>
    <w:p>
      <w:pPr>
        <w:spacing w:after="0"/>
        <w:tabs>
          <w:tab w:leader="none" w:pos="5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58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275" cy="2582545"/>
                    </a:xfrm>
                    <a:prstGeom prst="rect">
                      <a:avLst/>
                    </a:prstGeom>
                    <a:noFill/>
                  </pic:spPr>
                </pic:pic>
              </a:graphicData>
            </a:graphic>
          </wp:anchor>
        </w:drawing>
        <w:t>Nasdaq Global Select Market trading symbol</w:t>
      </w:r>
      <w:r>
        <w:rPr>
          <w:sz w:val="20"/>
          <w:szCs w:val="20"/>
          <w:color w:val="auto"/>
        </w:rPr>
        <w:tab/>
      </w:r>
      <w:r>
        <w:rPr>
          <w:rFonts w:ascii="Arial" w:cs="Arial" w:eastAsia="Arial" w:hAnsi="Arial"/>
          <w:sz w:val="17"/>
          <w:szCs w:val="17"/>
          <w:color w:val="auto"/>
        </w:rPr>
        <w:t>“ATHA”</w:t>
      </w:r>
    </w:p>
    <w:p>
      <w:pPr>
        <w:spacing w:after="0" w:line="212" w:lineRule="exact"/>
        <w:rPr>
          <w:sz w:val="20"/>
          <w:szCs w:val="20"/>
          <w:color w:val="auto"/>
        </w:rPr>
      </w:pPr>
    </w:p>
    <w:p>
      <w:pPr>
        <w:ind w:right="360" w:firstLine="553"/>
        <w:spacing w:after="0" w:line="276" w:lineRule="auto"/>
        <w:rPr>
          <w:sz w:val="20"/>
          <w:szCs w:val="20"/>
          <w:color w:val="auto"/>
        </w:rPr>
      </w:pPr>
      <w:r>
        <w:rPr>
          <w:rFonts w:ascii="Arial" w:cs="Arial" w:eastAsia="Arial" w:hAnsi="Arial"/>
          <w:sz w:val="18"/>
          <w:szCs w:val="18"/>
          <w:color w:val="auto"/>
        </w:rPr>
        <w:t>The number of shares of our common stock outstanding after this offering is based on 31,087,395 shares of common stock outstanding as of September 30, 2020, and excludes:</w:t>
      </w:r>
    </w:p>
    <w:p>
      <w:pPr>
        <w:spacing w:after="0" w:line="37" w:lineRule="exact"/>
        <w:rPr>
          <w:sz w:val="20"/>
          <w:szCs w:val="20"/>
          <w:color w:val="auto"/>
        </w:rPr>
      </w:pPr>
    </w:p>
    <w:p>
      <w:pPr>
        <w:ind w:left="1240" w:right="20" w:hanging="415"/>
        <w:spacing w:after="0" w:line="275" w:lineRule="auto"/>
        <w:tabs>
          <w:tab w:leader="none" w:pos="12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1,927,428 shares of common stock issuable upon the exercise of outstanding options as of September 30, 2020 with a weighted-average exercise price of $8.85 per share;</w:t>
      </w:r>
    </w:p>
    <w:p>
      <w:pPr>
        <w:spacing w:after="0" w:line="37" w:lineRule="exact"/>
        <w:rPr>
          <w:rFonts w:ascii="Times New Roman" w:cs="Times New Roman" w:eastAsia="Times New Roman" w:hAnsi="Times New Roman"/>
          <w:sz w:val="18"/>
          <w:szCs w:val="18"/>
          <w:color w:val="auto"/>
        </w:rPr>
      </w:pPr>
    </w:p>
    <w:p>
      <w:pPr>
        <w:ind w:left="1240" w:hanging="415"/>
        <w:spacing w:after="0" w:line="275" w:lineRule="auto"/>
        <w:tabs>
          <w:tab w:leader="none" w:pos="12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3,790,279 shares of common stock reserved for future issuance under our 2020 Equity Incentive Plan as of September 30, 2020, and any future automatic increase in shares reserved for issuance under such plan; and</w:t>
      </w:r>
    </w:p>
    <w:p>
      <w:pPr>
        <w:spacing w:after="0" w:line="37" w:lineRule="exact"/>
        <w:rPr>
          <w:rFonts w:ascii="Times New Roman" w:cs="Times New Roman" w:eastAsia="Times New Roman" w:hAnsi="Times New Roman"/>
          <w:sz w:val="18"/>
          <w:szCs w:val="18"/>
          <w:color w:val="auto"/>
        </w:rPr>
      </w:pPr>
    </w:p>
    <w:p>
      <w:pPr>
        <w:ind w:left="1240" w:right="740" w:hanging="415"/>
        <w:spacing w:after="0" w:line="275" w:lineRule="auto"/>
        <w:tabs>
          <w:tab w:leader="none" w:pos="12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323,000 shares of common stock reserved for issuance under our 2020 Employee Stock Purchase Plan as of September 30, 2020, and any future automatic increase in shares reserved for issuance under such plan.</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Except as otherwise indicated, all information in this prospectus assumes:</w:t>
      </w:r>
    </w:p>
    <w:p>
      <w:pPr>
        <w:spacing w:after="0" w:line="104" w:lineRule="exact"/>
        <w:rPr>
          <w:sz w:val="20"/>
          <w:szCs w:val="20"/>
          <w:color w:val="auto"/>
        </w:rPr>
      </w:pPr>
    </w:p>
    <w:p>
      <w:pPr>
        <w:ind w:left="1240" w:hanging="415"/>
        <w:spacing w:after="0"/>
        <w:tabs>
          <w:tab w:leader="none" w:pos="12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no exercise of outstanding options described above; and</w:t>
      </w:r>
    </w:p>
    <w:p>
      <w:pPr>
        <w:spacing w:after="0" w:line="116"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no exercise of the underwriters’ option to purchase additional shares.</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80010</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80"/>
          </w:cols>
          <w:pgMar w:left="560" w:top="549" w:right="6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028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275" cy="6028690"/>
                    </a:xfrm>
                    <a:prstGeom prst="rect">
                      <a:avLst/>
                    </a:prstGeom>
                    <a:noFill/>
                  </pic:spPr>
                </pic:pic>
              </a:graphicData>
            </a:graphic>
          </wp:anchor>
        </w:drawing>
        <w:t>Summary Financial Data</w:t>
      </w:r>
    </w:p>
    <w:p>
      <w:pPr>
        <w:spacing w:after="0" w:line="214" w:lineRule="exact"/>
        <w:rPr>
          <w:sz w:val="20"/>
          <w:szCs w:val="20"/>
          <w:color w:val="auto"/>
        </w:rPr>
      </w:pPr>
    </w:p>
    <w:p>
      <w:pPr>
        <w:ind w:right="60" w:firstLine="553"/>
        <w:spacing w:after="0" w:line="238" w:lineRule="auto"/>
        <w:rPr>
          <w:sz w:val="20"/>
          <w:szCs w:val="20"/>
          <w:color w:val="auto"/>
        </w:rPr>
      </w:pPr>
      <w:r>
        <w:rPr>
          <w:rFonts w:ascii="Arial" w:cs="Arial" w:eastAsia="Arial" w:hAnsi="Arial"/>
          <w:sz w:val="18"/>
          <w:szCs w:val="18"/>
          <w:color w:val="auto"/>
        </w:rPr>
        <w:t>The following tables set forth a summary of our financial data. The summary statements of operations data for the years ended December 31, 2018 and 2019 are derived from our audited financial statements included elsewhere in this prospectus. The summary statements of operations data for the nine months ended September 30, 2019 and 2020 and the summary balance sheet data as of September 30, 2020 are derived from our unaudited interim condensed financial statements included elsewhere in this prospectus. Our unaudited interim condensed financial statements have been prepared on a basis consistent with our audited financial statements and, in the opinion of management, reflect all adjustments, consisting solely of normal recurring adjustments, necessary for the fair presentation of the financial information in those statements. You should read this summary data together with our financial statements and related notes included elsewhere in this prospectus and the information in the sections of this prospectus titled “Selected Financial Data” and “Management’s Discussion and Analysis of Financial Condition and Results of Operations.” Our historical results are not necessarily indicative of our future results, and the results of operations for the nine months ended September 30, 2020 are not necessarily indicative of the results to be expected for the full year ending December 31, 2020 or any other period. The summary financial data in this section are not intended to replace the financial statements and related notes included elsewhere in this prospectus.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4"/>
          </w:tcPr>
          <w:p>
            <w:pPr>
              <w:jc w:val="center"/>
              <w:ind w:left="535"/>
              <w:spacing w:after="0"/>
              <w:rPr>
                <w:sz w:val="20"/>
                <w:szCs w:val="20"/>
                <w:color w:val="auto"/>
              </w:rPr>
            </w:pPr>
            <w:r>
              <w:rPr>
                <w:rFonts w:ascii="Arial" w:cs="Arial" w:eastAsia="Arial" w:hAnsi="Arial"/>
                <w:sz w:val="14"/>
                <w:szCs w:val="14"/>
                <w:b w:val="1"/>
                <w:bCs w:val="1"/>
                <w:color w:val="auto"/>
              </w:rPr>
              <w:t>(unaudited)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80" w:type="dxa"/>
            <w:vAlign w:val="bottom"/>
            <w:gridSpan w:val="12"/>
          </w:tcPr>
          <w:p>
            <w:pPr>
              <w:jc w:val="right"/>
              <w:spacing w:after="0"/>
              <w:rPr>
                <w:sz w:val="20"/>
                <w:szCs w:val="20"/>
                <w:color w:val="auto"/>
              </w:rPr>
            </w:pPr>
            <w:r>
              <w:rPr>
                <w:rFonts w:ascii="Arial" w:cs="Arial" w:eastAsia="Arial" w:hAnsi="Arial"/>
                <w:sz w:val="14"/>
                <w:szCs w:val="14"/>
                <w:b w:val="1"/>
                <w:bCs w:val="1"/>
                <w:color w:val="auto"/>
              </w:rPr>
              <w:t>(in thousands, except share and per share data)</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Operations Data:</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Operating expenses: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3,589</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3,793</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3,135</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9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(88)</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50"/>
        </w:trPr>
        <w:tc>
          <w:tcPr>
            <w:tcW w:w="46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(12,253)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40" w:type="dxa"/>
            <w:vAlign w:val="bottom"/>
            <w:tcBorders>
              <w:top w:val="single" w:sz="8" w:color="CFF0FC"/>
            </w:tcBorders>
            <w:shd w:val="clear" w:color="auto" w:fill="CFF0FC"/>
          </w:tcPr>
          <w:p>
            <w:pPr>
              <w:spacing w:after="0" w:line="174" w:lineRule="exact"/>
              <w:rPr>
                <w:sz w:val="20"/>
                <w:szCs w:val="20"/>
                <w:color w:val="auto"/>
              </w:rPr>
            </w:pPr>
            <w:r>
              <w:rPr>
                <w:rFonts w:ascii="Arial" w:cs="Arial" w:eastAsia="Arial" w:hAnsi="Arial"/>
                <w:sz w:val="18"/>
                <w:szCs w:val="18"/>
                <w:color w:val="auto"/>
              </w:rPr>
              <w:t>Unrealized gain on available-for-sale</w:t>
            </w:r>
          </w:p>
        </w:tc>
        <w:tc>
          <w:tcPr>
            <w:tcW w:w="9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securities</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660" w:type="dxa"/>
            <w:vAlign w:val="bottom"/>
            <w:gridSpan w:val="2"/>
          </w:tcPr>
          <w:p>
            <w:pPr>
              <w:spacing w:after="0" w:line="187" w:lineRule="exact"/>
              <w:rPr>
                <w:sz w:val="20"/>
                <w:szCs w:val="20"/>
                <w:color w:val="auto"/>
              </w:rPr>
            </w:pPr>
            <w:r>
              <w:rPr>
                <w:rFonts w:ascii="Arial" w:cs="Arial" w:eastAsia="Arial" w:hAnsi="Arial"/>
                <w:sz w:val="18"/>
                <w:szCs w:val="18"/>
                <w:color w:val="auto"/>
              </w:rPr>
              <w:t>Comprehensive loss attributable to common</w:t>
            </w:r>
          </w:p>
        </w:tc>
        <w:tc>
          <w:tcPr>
            <w:tcW w:w="9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stockholders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(5,097)</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(5,161)</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(4,187)</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(12,246)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40" w:type="dxa"/>
            <w:vAlign w:val="bottom"/>
            <w:tcBorders>
              <w:top w:val="single" w:sz="8" w:color="CFF0FC"/>
            </w:tcBorders>
            <w:shd w:val="clear" w:color="auto" w:fill="CFF0FC"/>
          </w:tcPr>
          <w:p>
            <w:pPr>
              <w:spacing w:after="0" w:line="173" w:lineRule="exact"/>
              <w:rPr>
                <w:sz w:val="20"/>
                <w:szCs w:val="20"/>
                <w:color w:val="auto"/>
              </w:rPr>
            </w:pPr>
            <w:r>
              <w:rPr>
                <w:rFonts w:ascii="Arial" w:cs="Arial" w:eastAsia="Arial" w:hAnsi="Arial"/>
                <w:sz w:val="18"/>
                <w:szCs w:val="18"/>
                <w:color w:val="auto"/>
              </w:rPr>
              <w:t>Net loss per share attributable to common</w:t>
            </w:r>
          </w:p>
        </w:tc>
        <w:tc>
          <w:tcPr>
            <w:tcW w:w="9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 basic and diluted</w:t>
            </w:r>
            <w:r>
              <w:rPr>
                <w:rFonts w:ascii="Arial" w:cs="Arial" w:eastAsia="Arial" w:hAnsi="Arial"/>
                <w:sz w:val="15"/>
                <w:szCs w:val="15"/>
                <w:color w:val="auto"/>
              </w:rPr>
              <w:t>(1)</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(1.47)</w:t>
            </w: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(1.45)</w:t>
            </w:r>
          </w:p>
        </w:tc>
        <w:tc>
          <w:tcPr>
            <w:tcW w:w="2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(1.18)</w:t>
            </w: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outstanding used</w:t>
            </w: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660" w:type="dxa"/>
            <w:vAlign w:val="bottom"/>
            <w:gridSpan w:val="2"/>
            <w:vMerge w:val="continue"/>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tcPr>
          <w:p>
            <w:pPr>
              <w:ind w:left="140"/>
              <w:spacing w:after="0" w:line="202" w:lineRule="exact"/>
              <w:rPr>
                <w:sz w:val="20"/>
                <w:szCs w:val="20"/>
                <w:color w:val="auto"/>
              </w:rPr>
            </w:pPr>
            <w:r>
              <w:rPr>
                <w:rFonts w:ascii="Arial" w:cs="Arial" w:eastAsia="Arial" w:hAnsi="Arial"/>
                <w:sz w:val="18"/>
                <w:szCs w:val="18"/>
                <w:color w:val="auto"/>
              </w:rPr>
              <w:t>in computing net loss per share attributable</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40" w:type="dxa"/>
            <w:vAlign w:val="bottom"/>
          </w:tcPr>
          <w:p>
            <w:pPr>
              <w:ind w:left="140"/>
              <w:spacing w:after="0"/>
              <w:rPr>
                <w:sz w:val="20"/>
                <w:szCs w:val="20"/>
                <w:color w:val="auto"/>
              </w:rPr>
            </w:pPr>
            <w:r>
              <w:rPr>
                <w:rFonts w:ascii="Arial" w:cs="Arial" w:eastAsia="Arial" w:hAnsi="Arial"/>
                <w:sz w:val="18"/>
                <w:szCs w:val="18"/>
                <w:color w:val="auto"/>
              </w:rPr>
              <w:t>to common stockholders, basic and diluted</w:t>
            </w:r>
            <w:r>
              <w:rPr>
                <w:rFonts w:ascii="Arial" w:cs="Arial" w:eastAsia="Arial" w:hAnsi="Arial"/>
                <w:sz w:val="15"/>
                <w:szCs w:val="15"/>
                <w:color w:val="auto"/>
              </w:rPr>
              <w:t>(1)</w:t>
            </w:r>
          </w:p>
        </w:tc>
        <w:tc>
          <w:tcPr>
            <w:tcW w:w="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3,469,153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3,566,849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3,551,586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5,155,338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left="460" w:right="240" w:hanging="458"/>
        <w:spacing w:after="0" w:line="208" w:lineRule="auto"/>
        <w:tabs>
          <w:tab w:leader="none" w:pos="460" w:val="left"/>
        </w:tabs>
        <w:numPr>
          <w:ilvl w:val="0"/>
          <w:numId w:val="15"/>
        </w:numPr>
        <w:rPr>
          <w:rFonts w:ascii="Arial" w:cs="Arial" w:eastAsia="Arial" w:hAnsi="Arial"/>
          <w:sz w:val="24"/>
          <w:szCs w:val="24"/>
          <w:color w:val="auto"/>
          <w:vertAlign w:val="superscript"/>
        </w:rPr>
      </w:pPr>
      <w:r>
        <w:rPr>
          <w:rFonts w:ascii="Arial" w:cs="Arial" w:eastAsia="Arial" w:hAnsi="Arial"/>
          <w:sz w:val="14"/>
          <w:szCs w:val="14"/>
          <w:color w:val="auto"/>
        </w:rPr>
        <w:t>See Note 15 to our audited financial statements and Note 12 to our unaudited interim condensed financial statements included elsewhere in this prospectus for the calculation of our basic and diluted net loss per share attributable to common stockholders, and the weighted-average number of shares used in computing the per share amounts.</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80010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00"/>
          </w:cols>
          <w:pgMar w:left="560" w:top="763" w:right="5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3"/>
          </w:tcPr>
          <w:p>
            <w:pPr>
              <w:jc w:val="center"/>
              <w:ind w:right="213"/>
              <w:spacing w:after="0"/>
              <w:rPr>
                <w:sz w:val="20"/>
                <w:szCs w:val="20"/>
                <w:color w:val="auto"/>
              </w:rPr>
            </w:pPr>
            <w:r>
              <w:rPr>
                <w:rFonts w:ascii="Arial" w:cs="Arial" w:eastAsia="Arial" w:hAnsi="Arial"/>
                <w:sz w:val="14"/>
                <w:szCs w:val="14"/>
                <w:b w:val="1"/>
                <w:bCs w:val="1"/>
                <w:color w:val="auto"/>
              </w:rPr>
              <w:t>As of September 30, 2020</w:t>
            </w:r>
          </w:p>
        </w:tc>
        <w:tc>
          <w:tcPr>
            <w:tcW w:w="12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577"/>
              <w:spacing w:after="0"/>
              <w:rPr>
                <w:sz w:val="20"/>
                <w:szCs w:val="20"/>
                <w:color w:val="auto"/>
              </w:rPr>
            </w:pPr>
            <w:r>
              <w:rPr>
                <w:rFonts w:ascii="Arial" w:cs="Arial" w:eastAsia="Arial" w:hAnsi="Arial"/>
                <w:sz w:val="14"/>
                <w:szCs w:val="14"/>
                <w:b w:val="1"/>
                <w:bCs w:val="1"/>
                <w:color w:val="auto"/>
              </w:rPr>
              <w:t>Actual</w:t>
            </w:r>
          </w:p>
        </w:tc>
        <w:tc>
          <w:tcPr>
            <w:tcW w:w="300" w:type="dxa"/>
            <w:vAlign w:val="bottom"/>
          </w:tcPr>
          <w:p>
            <w:pPr>
              <w:spacing w:after="0"/>
              <w:rPr>
                <w:sz w:val="19"/>
                <w:szCs w:val="19"/>
                <w:color w:val="auto"/>
              </w:rPr>
            </w:pPr>
          </w:p>
        </w:tc>
        <w:tc>
          <w:tcPr>
            <w:tcW w:w="1460" w:type="dxa"/>
            <w:vAlign w:val="bottom"/>
            <w:gridSpan w:val="2"/>
          </w:tcPr>
          <w:p>
            <w:pPr>
              <w:ind w:left="80"/>
              <w:spacing w:after="0" w:line="222" w:lineRule="exact"/>
              <w:rPr>
                <w:sz w:val="20"/>
                <w:szCs w:val="20"/>
                <w:color w:val="auto"/>
              </w:rPr>
            </w:pPr>
            <w:r>
              <w:rPr>
                <w:rFonts w:ascii="Arial" w:cs="Arial" w:eastAsia="Arial" w:hAnsi="Arial"/>
                <w:sz w:val="14"/>
                <w:szCs w:val="14"/>
                <w:b w:val="1"/>
                <w:bCs w:val="1"/>
                <w:color w:val="auto"/>
              </w:rPr>
              <w:t>As Adjusted</w:t>
            </w:r>
            <w:r>
              <w:rPr>
                <w:rFonts w:ascii="Arial" w:cs="Arial" w:eastAsia="Arial" w:hAnsi="Arial"/>
                <w:sz w:val="24"/>
                <w:szCs w:val="24"/>
                <w:b w:val="1"/>
                <w:bCs w:val="1"/>
                <w:color w:val="auto"/>
                <w:vertAlign w:val="superscript"/>
              </w:rPr>
              <w:t>(1)</w:t>
            </w:r>
          </w:p>
        </w:tc>
      </w:tr>
      <w:tr>
        <w:trPr>
          <w:trHeight w:val="167"/>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960" w:type="dxa"/>
            <w:vAlign w:val="bottom"/>
            <w:tcBorders>
              <w:top w:val="single" w:sz="8" w:color="auto"/>
            </w:tcBorders>
            <w:gridSpan w:val="3"/>
          </w:tcPr>
          <w:p>
            <w:pPr>
              <w:jc w:val="center"/>
              <w:ind w:right="213"/>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p>
        </w:tc>
        <w:tc>
          <w:tcPr>
            <w:tcW w:w="2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Cash, cash equivalents and investments</w:t>
            </w:r>
          </w:p>
        </w:tc>
        <w:tc>
          <w:tcPr>
            <w:tcW w:w="2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7"/>
              <w:spacing w:after="0"/>
              <w:rPr>
                <w:sz w:val="20"/>
                <w:szCs w:val="20"/>
                <w:color w:val="auto"/>
              </w:rPr>
            </w:pPr>
            <w:r>
              <w:rPr>
                <w:rFonts w:ascii="Arial" w:cs="Arial" w:eastAsia="Arial" w:hAnsi="Arial"/>
                <w:sz w:val="18"/>
                <w:szCs w:val="18"/>
                <w:color w:val="auto"/>
              </w:rPr>
              <w:t>259,928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344,012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(2)</w:t>
            </w:r>
          </w:p>
        </w:tc>
        <w:tc>
          <w:tcPr>
            <w:tcW w:w="2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224,712</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308,796</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Total assets</w:t>
            </w: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57"/>
              <w:spacing w:after="0"/>
              <w:rPr>
                <w:sz w:val="20"/>
                <w:szCs w:val="20"/>
                <w:color w:val="auto"/>
              </w:rPr>
            </w:pPr>
            <w:r>
              <w:rPr>
                <w:rFonts w:ascii="Arial" w:cs="Arial" w:eastAsia="Arial" w:hAnsi="Arial"/>
                <w:sz w:val="18"/>
                <w:szCs w:val="18"/>
                <w:color w:val="auto"/>
              </w:rPr>
              <w:t>267,939</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352,023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Grant liability</w:t>
            </w:r>
          </w:p>
        </w:tc>
        <w:tc>
          <w:tcPr>
            <w:tcW w:w="2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1,500</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Total liabilities</w:t>
            </w: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57"/>
              <w:spacing w:after="0"/>
              <w:rPr>
                <w:sz w:val="20"/>
                <w:szCs w:val="20"/>
                <w:color w:val="auto"/>
              </w:rPr>
            </w:pPr>
            <w:r>
              <w:rPr>
                <w:rFonts w:ascii="Arial" w:cs="Arial" w:eastAsia="Arial" w:hAnsi="Arial"/>
                <w:sz w:val="18"/>
                <w:szCs w:val="18"/>
                <w:color w:val="auto"/>
              </w:rPr>
              <w:t>8,469</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8,469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2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259,470</w:t>
            </w: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343,554</w:t>
            </w:r>
          </w:p>
        </w:tc>
        <w:tc>
          <w:tcPr>
            <w:tcW w:w="120" w:type="dxa"/>
            <w:vAlign w:val="bottom"/>
            <w:shd w:val="clear" w:color="auto" w:fill="CFF0FC"/>
          </w:tcPr>
          <w:p>
            <w:pPr>
              <w:spacing w:after="0"/>
              <w:rPr>
                <w:sz w:val="18"/>
                <w:szCs w:val="18"/>
                <w:color w:val="auto"/>
              </w:rPr>
            </w:pPr>
          </w:p>
        </w:tc>
      </w:tr>
    </w:tbl>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368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275" cy="2736850"/>
                    </a:xfrm>
                    <a:prstGeom prst="rect">
                      <a:avLst/>
                    </a:prstGeom>
                    <a:noFill/>
                  </pic:spPr>
                </pic:pic>
              </a:graphicData>
            </a:graphic>
          </wp:anchor>
        </w:drawing>
      </w:r>
    </w:p>
    <w:p>
      <w:pPr>
        <w:ind w:left="460" w:right="20" w:hanging="458"/>
        <w:spacing w:after="0" w:line="195" w:lineRule="auto"/>
        <w:tabs>
          <w:tab w:leader="none" w:pos="460" w:val="left"/>
        </w:tabs>
        <w:numPr>
          <w:ilvl w:val="0"/>
          <w:numId w:val="16"/>
        </w:numPr>
        <w:rPr>
          <w:rFonts w:ascii="Arial" w:cs="Arial" w:eastAsia="Arial" w:hAnsi="Arial"/>
          <w:sz w:val="24"/>
          <w:szCs w:val="24"/>
          <w:color w:val="auto"/>
          <w:vertAlign w:val="superscript"/>
        </w:rPr>
      </w:pPr>
      <w:r>
        <w:rPr>
          <w:rFonts w:ascii="Arial" w:cs="Arial" w:eastAsia="Arial" w:hAnsi="Arial"/>
          <w:sz w:val="14"/>
          <w:szCs w:val="14"/>
          <w:color w:val="auto"/>
        </w:rPr>
        <w:t>Reflects, on an as adjusted basis the sale and issuance by us of 4,000,000 shares of common stock in this offering at the public offering price of $22.50 per share, after deducting underwriting discounts and commissions and estimated offering expenses paid and payable by us.</w:t>
      </w:r>
    </w:p>
    <w:p>
      <w:pPr>
        <w:spacing w:after="0" w:line="9" w:lineRule="exact"/>
        <w:rPr>
          <w:rFonts w:ascii="Arial" w:cs="Arial" w:eastAsia="Arial" w:hAnsi="Arial"/>
          <w:sz w:val="24"/>
          <w:szCs w:val="24"/>
          <w:color w:val="auto"/>
          <w:vertAlign w:val="superscript"/>
        </w:rPr>
      </w:pPr>
    </w:p>
    <w:p>
      <w:pPr>
        <w:ind w:left="460" w:right="260" w:hanging="458"/>
        <w:spacing w:after="0" w:line="195" w:lineRule="auto"/>
        <w:tabs>
          <w:tab w:leader="none" w:pos="460" w:val="left"/>
        </w:tabs>
        <w:numPr>
          <w:ilvl w:val="0"/>
          <w:numId w:val="16"/>
        </w:numPr>
        <w:rPr>
          <w:rFonts w:ascii="Arial" w:cs="Arial" w:eastAsia="Arial" w:hAnsi="Arial"/>
          <w:sz w:val="24"/>
          <w:szCs w:val="24"/>
          <w:color w:val="auto"/>
          <w:vertAlign w:val="superscript"/>
        </w:rPr>
      </w:pPr>
      <w:r>
        <w:rPr>
          <w:rFonts w:ascii="Arial" w:cs="Arial" w:eastAsia="Arial" w:hAnsi="Arial"/>
          <w:sz w:val="14"/>
          <w:szCs w:val="14"/>
          <w:color w:val="auto"/>
        </w:rPr>
        <w:t xml:space="preserve">Accounting Standards Codification Topic 210, </w:t>
      </w:r>
      <w:r>
        <w:rPr>
          <w:rFonts w:ascii="Arial" w:cs="Arial" w:eastAsia="Arial" w:hAnsi="Arial"/>
          <w:sz w:val="14"/>
          <w:szCs w:val="14"/>
          <w:i w:val="1"/>
          <w:iCs w:val="1"/>
          <w:color w:val="auto"/>
        </w:rPr>
        <w:t>Balance Sheet</w:t>
      </w:r>
      <w:r>
        <w:rPr>
          <w:rFonts w:ascii="Arial" w:cs="Arial" w:eastAsia="Arial" w:hAnsi="Arial"/>
          <w:sz w:val="14"/>
          <w:szCs w:val="14"/>
          <w:color w:val="auto"/>
        </w:rPr>
        <w:t>, defines working capital as current assets less current liabilities. See our financial statements and related notes included elsewhere in this prospectus for further details regarding our current assets and current liabilities.</w:t>
      </w:r>
    </w:p>
    <w:p>
      <w:pPr>
        <w:spacing w:after="0" w:line="200" w:lineRule="exact"/>
        <w:rPr>
          <w:sz w:val="20"/>
          <w:szCs w:val="20"/>
          <w:color w:val="auto"/>
        </w:rPr>
      </w:pP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80010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00"/>
          </w:cols>
          <w:pgMar w:left="560" w:top="867" w:right="5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66027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275" cy="6602730"/>
                    </a:xfrm>
                    <a:prstGeom prst="rect">
                      <a:avLst/>
                    </a:prstGeom>
                    <a:noFill/>
                  </pic:spPr>
                </pic:pic>
              </a:graphicData>
            </a:graphic>
          </wp:anchor>
        </w:drawing>
        <w:t>RISK FACTORS</w:t>
      </w:r>
    </w:p>
    <w:p>
      <w:pPr>
        <w:spacing w:after="0" w:line="216" w:lineRule="exact"/>
        <w:rPr>
          <w:sz w:val="20"/>
          <w:szCs w:val="20"/>
          <w:color w:val="auto"/>
        </w:rPr>
      </w:pPr>
    </w:p>
    <w:p>
      <w:pPr>
        <w:ind w:right="40" w:firstLine="553"/>
        <w:spacing w:after="0" w:line="241"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prospectus, including our financial statements and the related notes and the section of this prospectus titled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the Development of Our Product Candidates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a late clinical-stage biopharmaceutical company with a limited operating history.</w:t>
      </w:r>
    </w:p>
    <w:p>
      <w:pPr>
        <w:spacing w:after="0" w:line="252" w:lineRule="exact"/>
        <w:rPr>
          <w:sz w:val="20"/>
          <w:szCs w:val="20"/>
          <w:color w:val="auto"/>
        </w:rPr>
      </w:pPr>
    </w:p>
    <w:p>
      <w:pPr>
        <w:ind w:right="140" w:firstLine="547"/>
        <w:spacing w:after="0" w:line="239"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Our limited operating history may make it difficult to evaluate the success of our business. Drug development is a highly uncertain undertaking and involves a substantial degree of risk. We have initiated clinical trials for our lead product candidate, ATH-1017, and have not initiated clinical trials for any of our other product candidates. To date, we have not initiated or completed a pivotal clinical trial, obtained marketing approval for any product candidate, manufactured a commercial scale product candidate, arranged for a third party to do so on our behalf, or conducted sales and marketing activities necessary for successful product candidate commercialization. Our history as a company makes any assessment of our future success and viability subject to significant uncertainty. We will encounter risks and difficulties frequently experienced by clinical-stage biopharmaceutical companies in rapidly evolving fields, and we have not yet demonstrated an ability to overcome such risks and difficulties successfully. If we do not address these risks and difficulties successfully, our business will suffer.</w:t>
      </w:r>
    </w:p>
    <w:p>
      <w:pPr>
        <w:spacing w:after="0" w:line="180" w:lineRule="exact"/>
        <w:rPr>
          <w:sz w:val="20"/>
          <w:szCs w:val="20"/>
          <w:color w:val="auto"/>
        </w:rPr>
      </w:pPr>
    </w:p>
    <w:p>
      <w:pPr>
        <w:ind w:firstLine="553"/>
        <w:spacing w:after="0"/>
        <w:rPr>
          <w:sz w:val="20"/>
          <w:szCs w:val="20"/>
          <w:color w:val="auto"/>
        </w:rPr>
      </w:pPr>
      <w:r>
        <w:rPr>
          <w:rFonts w:ascii="Arial" w:cs="Arial" w:eastAsia="Arial" w:hAnsi="Arial"/>
          <w:sz w:val="18"/>
          <w:szCs w:val="18"/>
          <w:color w:val="auto"/>
        </w:rPr>
        <w:t>We may fail to or be unable to design and execute clinical trials to support marketing approval of ATH-1017 or any of our other product candidates. We cannot be certain that our current or planned clinical trials or any other future clinical trials will be completed on time or be successful. We cannot guarantee that the U.S. Food and Drug Administration, or FDA, or foreign regulatory authorities will interpret clinical trial results as we do, and more clinical trials could be required before we are able to submit applications seeking approval of our product candidates.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product candidates. Even if regulatory approval is secured for any of our product candidates, the terms of such approval may limit the scope and use of our product candidate, which may also limit its commercial potential.</w:t>
      </w:r>
    </w:p>
    <w:p>
      <w:pPr>
        <w:spacing w:after="0" w:line="284" w:lineRule="exact"/>
        <w:rPr>
          <w:sz w:val="20"/>
          <w:szCs w:val="20"/>
          <w:color w:val="auto"/>
        </w:rPr>
      </w:pPr>
    </w:p>
    <w:p>
      <w:pPr>
        <w:ind w:right="420" w:firstLine="547"/>
        <w:spacing w:after="0" w:line="285"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a number of objectives.</w:t>
      </w:r>
    </w:p>
    <w:p>
      <w:pPr>
        <w:spacing w:after="0" w:line="156" w:lineRule="exact"/>
        <w:rPr>
          <w:sz w:val="20"/>
          <w:szCs w:val="20"/>
          <w:color w:val="auto"/>
        </w:rPr>
      </w:pPr>
    </w:p>
    <w:p>
      <w:pPr>
        <w:ind w:right="160" w:firstLine="547"/>
        <w:spacing w:after="0" w:line="245" w:lineRule="auto"/>
        <w:rPr>
          <w:sz w:val="20"/>
          <w:szCs w:val="20"/>
          <w:color w:val="auto"/>
        </w:rPr>
      </w:pPr>
      <w:r>
        <w:rPr>
          <w:rFonts w:ascii="Arial" w:cs="Arial" w:eastAsia="Arial" w:hAnsi="Arial"/>
          <w:sz w:val="18"/>
          <w:szCs w:val="18"/>
          <w:color w:val="auto"/>
        </w:rPr>
        <w:t>Our business depends entirely on the successful discovery, development and commercialization of our product candidates. We have no products approved for commercial sale and do not anticipate generating any revenue from product sales for the next several years, if ever. Our ability to generate product revenue will depend heavily on the successful clinical development and eventual commercialization of ATH-1017 and one or more of our other future product candidates. Our ability to generate revenue and achieve profitability depends significantly on our ability to achieve a number of objectives, including:</w:t>
      </w:r>
    </w:p>
    <w:p>
      <w:pPr>
        <w:spacing w:after="0" w:line="64" w:lineRule="exact"/>
        <w:rPr>
          <w:sz w:val="20"/>
          <w:szCs w:val="20"/>
          <w:color w:val="auto"/>
        </w:rPr>
      </w:pPr>
    </w:p>
    <w:p>
      <w:pPr>
        <w:ind w:left="1240" w:right="540" w:hanging="415"/>
        <w:spacing w:after="0" w:line="275" w:lineRule="auto"/>
        <w:tabs>
          <w:tab w:leader="none" w:pos="124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and timely completion of nonclinical and clinical development of our product candidates and any future product candidates, as well as the associated costs, including any</w:t>
      </w:r>
    </w:p>
    <w:p>
      <w:pPr>
        <w:spacing w:after="0" w:line="33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80010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00"/>
          </w:cols>
          <w:pgMar w:left="560" w:top="763" w:right="539" w:bottom="1440" w:gutter="0" w:footer="0" w:header="0"/>
        </w:sectPr>
      </w:pPr>
    </w:p>
    <w:bookmarkStart w:id="18" w:name="page19"/>
    <w:bookmarkEnd w:id="18"/>
    <w:p>
      <w:pPr>
        <w:ind w:left="1300"/>
        <w:spacing w:after="0" w:line="276" w:lineRule="auto"/>
        <w:rPr>
          <w:sz w:val="20"/>
          <w:szCs w:val="20"/>
          <w:color w:val="auto"/>
        </w:rPr>
      </w:pPr>
      <w:r>
        <w:rPr>
          <w:rFonts w:ascii="Arial" w:cs="Arial" w:eastAsia="Arial" w:hAnsi="Arial"/>
          <w:sz w:val="18"/>
          <w:szCs w:val="18"/>
          <w:color w:val="auto"/>
        </w:rPr>
        <w:t>unforeseen costs we may incur as a result of nonclinical study or clinical trial delays due to the novel coronavirus disease, or COVID-19, pandemic or other causes;</w:t>
      </w:r>
    </w:p>
    <w:p>
      <w:pPr>
        <w:spacing w:after="0" w:line="37" w:lineRule="exact"/>
        <w:rPr>
          <w:sz w:val="20"/>
          <w:szCs w:val="20"/>
          <w:color w:val="auto"/>
        </w:rPr>
      </w:pPr>
    </w:p>
    <w:p>
      <w:pPr>
        <w:ind w:left="1300" w:right="260" w:hanging="442"/>
        <w:spacing w:after="0" w:line="305" w:lineRule="auto"/>
        <w:tabs>
          <w:tab w:leader="none" w:pos="130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establishing and maintaining relationships with contract research organizations, or CROs, and clinical sites for the clinical development, both in the United States and internationally, of our product candidates and any future product candidates;</w:t>
      </w:r>
    </w:p>
    <w:p>
      <w:pPr>
        <w:spacing w:after="0" w:line="15" w:lineRule="exact"/>
        <w:rPr>
          <w:rFonts w:ascii="Times New Roman" w:cs="Times New Roman" w:eastAsia="Times New Roman" w:hAnsi="Times New Roman"/>
          <w:sz w:val="17"/>
          <w:szCs w:val="17"/>
          <w:color w:val="auto"/>
        </w:rPr>
      </w:pPr>
    </w:p>
    <w:p>
      <w:pPr>
        <w:ind w:left="1300" w:right="740" w:hanging="442"/>
        <w:spacing w:after="0" w:line="275" w:lineRule="auto"/>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making any required post-marketing approval commitments to applicable regulatory authorities;</w:t>
      </w:r>
    </w:p>
    <w:p>
      <w:pPr>
        <w:spacing w:after="0" w:line="116" w:lineRule="exact"/>
        <w:rPr>
          <w:rFonts w:ascii="Times New Roman" w:cs="Times New Roman" w:eastAsia="Times New Roman" w:hAnsi="Times New Roman"/>
          <w:sz w:val="18"/>
          <w:szCs w:val="18"/>
          <w:color w:val="auto"/>
        </w:rPr>
      </w:pPr>
    </w:p>
    <w:p>
      <w:pPr>
        <w:ind w:left="1300" w:right="40" w:hanging="442"/>
        <w:spacing w:after="0" w:line="275" w:lineRule="auto"/>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developing an efficient and scalable manufacturing process for our product candidates, including obtaining finished products that are appropriately packaged for sale;</w:t>
      </w:r>
    </w:p>
    <w:p>
      <w:pPr>
        <w:spacing w:after="0" w:line="37" w:lineRule="exact"/>
        <w:rPr>
          <w:rFonts w:ascii="Times New Roman" w:cs="Times New Roman" w:eastAsia="Times New Roman" w:hAnsi="Times New Roman"/>
          <w:sz w:val="18"/>
          <w:szCs w:val="18"/>
          <w:color w:val="auto"/>
        </w:rPr>
      </w:pPr>
    </w:p>
    <w:p>
      <w:pPr>
        <w:jc w:val="both"/>
        <w:ind w:left="1300" w:right="140" w:hanging="442"/>
        <w:spacing w:after="0" w:line="255" w:lineRule="auto"/>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spacing w:after="0" w:line="54" w:lineRule="exact"/>
        <w:rPr>
          <w:rFonts w:ascii="Times New Roman" w:cs="Times New Roman" w:eastAsia="Times New Roman" w:hAnsi="Times New Roman"/>
          <w:sz w:val="18"/>
          <w:szCs w:val="18"/>
          <w:color w:val="auto"/>
        </w:rPr>
      </w:pPr>
    </w:p>
    <w:p>
      <w:pPr>
        <w:ind w:left="1300" w:right="160" w:hanging="442"/>
        <w:spacing w:after="0" w:line="275" w:lineRule="auto"/>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 continued acceptable safety profile following any marketing approval of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commercial acceptance of our product candidates by patients, the medical community and third-party payors;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assessing and developing new product candidates;</w:t>
      </w:r>
    </w:p>
    <w:p>
      <w:pPr>
        <w:spacing w:after="0" w:line="116" w:lineRule="exact"/>
        <w:rPr>
          <w:rFonts w:ascii="Times New Roman" w:cs="Times New Roman" w:eastAsia="Times New Roman" w:hAnsi="Times New Roman"/>
          <w:sz w:val="18"/>
          <w:szCs w:val="18"/>
          <w:color w:val="auto"/>
        </w:rPr>
      </w:pPr>
    </w:p>
    <w:p>
      <w:pPr>
        <w:ind w:left="1300" w:right="60" w:hanging="442"/>
        <w:spacing w:after="0" w:line="275" w:lineRule="auto"/>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protecting our rights in our intellectual property portfolio;</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defending against third-party interference or infringement claims, if any;</w:t>
      </w:r>
    </w:p>
    <w:p>
      <w:pPr>
        <w:spacing w:after="0" w:line="116" w:lineRule="exact"/>
        <w:rPr>
          <w:rFonts w:ascii="Times New Roman" w:cs="Times New Roman" w:eastAsia="Times New Roman" w:hAnsi="Times New Roman"/>
          <w:sz w:val="18"/>
          <w:szCs w:val="18"/>
          <w:color w:val="auto"/>
        </w:rPr>
      </w:pPr>
    </w:p>
    <w:p>
      <w:pPr>
        <w:ind w:left="1300" w:right="440" w:hanging="442"/>
        <w:spacing w:after="0" w:line="275" w:lineRule="auto"/>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negotiating favorable terms in any collaboration, licensing or other arrangements that may be necessary or desirable to develop, manufacture or commercialize our product candidates;</w:t>
      </w:r>
    </w:p>
    <w:p>
      <w:pPr>
        <w:spacing w:after="0" w:line="37" w:lineRule="exact"/>
        <w:rPr>
          <w:rFonts w:ascii="Times New Roman" w:cs="Times New Roman" w:eastAsia="Times New Roman" w:hAnsi="Times New Roman"/>
          <w:sz w:val="18"/>
          <w:szCs w:val="18"/>
          <w:color w:val="auto"/>
        </w:rPr>
      </w:pPr>
    </w:p>
    <w:p>
      <w:pPr>
        <w:ind w:left="1300" w:right="280" w:hanging="442"/>
        <w:spacing w:after="0" w:line="275" w:lineRule="auto"/>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coverage and adequate reimbursement by hospitals, government and third-party payors for product candidates that we develop;</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hiring and retaining qualified personnel.</w:t>
      </w:r>
    </w:p>
    <w:p>
      <w:pPr>
        <w:spacing w:after="0" w:line="224" w:lineRule="exact"/>
        <w:rPr>
          <w:sz w:val="20"/>
          <w:szCs w:val="20"/>
          <w:color w:val="auto"/>
        </w:rPr>
      </w:pPr>
    </w:p>
    <w:p>
      <w:pPr>
        <w:ind w:right="40" w:firstLine="576"/>
        <w:spacing w:after="0" w:line="248" w:lineRule="auto"/>
        <w:rPr>
          <w:sz w:val="20"/>
          <w:szCs w:val="20"/>
          <w:color w:val="auto"/>
        </w:rPr>
      </w:pPr>
      <w:r>
        <w:rPr>
          <w:rFonts w:ascii="Arial" w:cs="Arial" w:eastAsia="Arial" w:hAnsi="Arial"/>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spacing w:after="0" w:line="170" w:lineRule="exact"/>
        <w:rPr>
          <w:sz w:val="20"/>
          <w:szCs w:val="20"/>
          <w:color w:val="auto"/>
        </w:rPr>
      </w:pPr>
    </w:p>
    <w:p>
      <w:pPr>
        <w:ind w:right="160" w:firstLine="576"/>
        <w:spacing w:after="0" w:line="248" w:lineRule="auto"/>
        <w:rPr>
          <w:sz w:val="20"/>
          <w:szCs w:val="20"/>
          <w:color w:val="auto"/>
        </w:rPr>
      </w:pPr>
      <w:r>
        <w:rPr>
          <w:rFonts w:ascii="Arial" w:cs="Arial" w:eastAsia="Arial" w:hAnsi="Arial"/>
          <w:sz w:val="18"/>
          <w:szCs w:val="18"/>
          <w:color w:val="auto"/>
        </w:rPr>
        <w:t>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Changes in the manufacturing process or facilities will require further comparability analysis and approval by the FDA before implementation, which could delay our clinical trials and product candidate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68" w:right="399" w:bottom="1440" w:gutter="0" w:footer="0" w:header="0"/>
        </w:sectPr>
      </w:pPr>
    </w:p>
    <w:bookmarkStart w:id="19" w:name="page20"/>
    <w:bookmarkEnd w:id="19"/>
    <w:p>
      <w:pPr>
        <w:ind w:right="500"/>
        <w:spacing w:after="0" w:line="276" w:lineRule="auto"/>
        <w:rPr>
          <w:sz w:val="20"/>
          <w:szCs w:val="20"/>
          <w:color w:val="auto"/>
        </w:rPr>
      </w:pPr>
      <w:r>
        <w:rPr>
          <w:rFonts w:ascii="Arial" w:cs="Arial" w:eastAsia="Arial" w:hAnsi="Arial"/>
          <w:sz w:val="18"/>
          <w:szCs w:val="18"/>
          <w:color w:val="auto"/>
        </w:rPr>
        <w:t>development, and could require additional clinical trials, including bridging studies, to demonstrate consistent and continued safety and efficacy.</w:t>
      </w:r>
    </w:p>
    <w:p>
      <w:pPr>
        <w:spacing w:after="0" w:line="145"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We have not previously submitted a new drug application, or NDA, to the FDA or similar approval filings to a comparable foreign regulatory authority, for any product candidate. An NDA or other relevant regulatory filing must include extensive nonclinical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spacing w:after="0" w:line="288"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Our development of ATH-</w:t>
      </w:r>
      <w:r>
        <w:rPr>
          <w:rFonts w:ascii="Arial" w:cs="Arial" w:eastAsia="Arial" w:hAnsi="Arial"/>
          <w:sz w:val="18"/>
          <w:szCs w:val="18"/>
          <w:color w:val="auto"/>
        </w:rPr>
        <w:t>1017</w:t>
      </w:r>
      <w:r>
        <w:rPr>
          <w:rFonts w:ascii="Arial" w:cs="Arial" w:eastAsia="Arial" w:hAnsi="Arial"/>
          <w:sz w:val="18"/>
          <w:szCs w:val="18"/>
          <w:b w:val="1"/>
          <w:bCs w:val="1"/>
          <w:i w:val="1"/>
          <w:iCs w:val="1"/>
          <w:color w:val="auto"/>
        </w:rPr>
        <w:t xml:space="preserve"> may never lead to a marketable product.</w:t>
      </w:r>
    </w:p>
    <w:p>
      <w:pPr>
        <w:spacing w:after="0" w:line="252" w:lineRule="exact"/>
        <w:rPr>
          <w:sz w:val="20"/>
          <w:szCs w:val="20"/>
          <w:color w:val="auto"/>
        </w:rPr>
      </w:pPr>
    </w:p>
    <w:p>
      <w:pPr>
        <w:ind w:right="200" w:firstLine="569"/>
        <w:spacing w:after="0" w:line="248" w:lineRule="auto"/>
        <w:rPr>
          <w:sz w:val="20"/>
          <w:szCs w:val="20"/>
          <w:color w:val="auto"/>
        </w:rPr>
      </w:pPr>
      <w:r>
        <w:rPr>
          <w:rFonts w:ascii="Arial" w:cs="Arial" w:eastAsia="Arial" w:hAnsi="Arial"/>
          <w:sz w:val="18"/>
          <w:szCs w:val="18"/>
          <w:color w:val="auto"/>
        </w:rPr>
        <w:t>We are developing ATH-1017 as a small molecule aimed at restoring neuronal health. We have not received regulatory approval for ATH-1017 and cannot be certain that our approach will lead to the development of an approvable or marketable product, alone or in combination with other therapies. We may not succeed in demonstrating safety and efficacy of ATH-1017 in our LIFT-AD trial or in other clinical trials.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Advancing ATH-1017 as a small molecule aimed at restoring neuronal health creates significant challenges for us, including:</w:t>
      </w:r>
    </w:p>
    <w:p>
      <w:pPr>
        <w:spacing w:after="0" w:line="104" w:lineRule="exact"/>
        <w:rPr>
          <w:sz w:val="20"/>
          <w:szCs w:val="20"/>
          <w:color w:val="auto"/>
        </w:rPr>
      </w:pPr>
    </w:p>
    <w:p>
      <w:pPr>
        <w:ind w:left="1300" w:hanging="442"/>
        <w:spacing w:after="0"/>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marketing approval;</w:t>
      </w:r>
    </w:p>
    <w:p>
      <w:pPr>
        <w:spacing w:after="0" w:line="116" w:lineRule="exact"/>
        <w:rPr>
          <w:rFonts w:ascii="Times New Roman" w:cs="Times New Roman" w:eastAsia="Times New Roman" w:hAnsi="Times New Roman"/>
          <w:sz w:val="18"/>
          <w:szCs w:val="18"/>
          <w:color w:val="auto"/>
        </w:rPr>
      </w:pPr>
    </w:p>
    <w:p>
      <w:pPr>
        <w:ind w:left="1300" w:right="260" w:hanging="442"/>
        <w:spacing w:after="0" w:line="255" w:lineRule="auto"/>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if ATH-1017 is approved, educating medical personnel regarding the potential efficacy and safety benefits, as well as the challenges, of incorporating ATH-1017 into existing treatment regimens, including in combination with other treatments for AD; and</w:t>
      </w:r>
    </w:p>
    <w:p>
      <w:pPr>
        <w:spacing w:after="0" w:line="5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the sales and marketing capabilities upon obtaining any marketing approvals to gain market acceptance.</w:t>
      </w:r>
    </w:p>
    <w:p>
      <w:pPr>
        <w:spacing w:after="0" w:line="332" w:lineRule="exact"/>
        <w:rPr>
          <w:sz w:val="20"/>
          <w:szCs w:val="20"/>
          <w:color w:val="auto"/>
        </w:rPr>
      </w:pPr>
    </w:p>
    <w:p>
      <w:pPr>
        <w:ind w:right="220" w:firstLine="569"/>
        <w:spacing w:after="0" w:line="247" w:lineRule="auto"/>
        <w:rPr>
          <w:sz w:val="20"/>
          <w:szCs w:val="20"/>
          <w:color w:val="auto"/>
        </w:rPr>
      </w:pPr>
      <w:r>
        <w:rPr>
          <w:rFonts w:ascii="Arial" w:cs="Arial" w:eastAsia="Arial" w:hAnsi="Arial"/>
          <w:sz w:val="18"/>
          <w:szCs w:val="18"/>
          <w:b w:val="1"/>
          <w:bCs w:val="1"/>
          <w:i w:val="1"/>
          <w:iCs w:val="1"/>
          <w:color w:val="auto"/>
        </w:rPr>
        <w:t>Our approach to targeting brain growth factors through the use of small molecules is based on a novel therapeutic approach, which exposes us to unforeseen risks. We have limited data from our Phase 1a and 1b clinical trials, including only 11 patients with mild to moderate AD, and we cannot be certain that future trials will yield similar data. In addition, our use of EEG methods to gather data requires placement of electrodes on a subject’s scalp and, if not properly placed, we may be unable to obtain the data sought or data obtained may be unreliable.</w:t>
      </w:r>
    </w:p>
    <w:p>
      <w:pPr>
        <w:spacing w:after="0" w:line="55"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We have discovered and are developing a platform of small molecule product candidates from which we have selected our lead product candidate, ATH-1017, which is under development to treat Alzheimer’s disease, or AD, and other central nervous system, or CNS, disorders. Our product candidates target a brain growth factor which is expected to increase synaptic density, recovery in the network and information transmission in the brain, which we believe could ultimately result in improvement in cognition and clinical symptoms. The therapeutic promise of brain growth factors in neurodegenerative disorders had been hampered in earlier therapies by the lack of efficient and non-invasive delivery to the brain. Our small molecule product candidates are designed to penetrate the blood brain barrier and enhance the activity of a brain growth factor, but we cannot be certain that our clinical trials will provide sufficient evidence that our design approach results in the intended therapeutic effect.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0" w:name="page21"/>
    <w:bookmarkEnd w:id="20"/>
    <w:p>
      <w:pPr>
        <w:ind w:firstLine="576"/>
        <w:spacing w:after="0" w:line="237" w:lineRule="auto"/>
        <w:rPr>
          <w:sz w:val="20"/>
          <w:szCs w:val="20"/>
          <w:color w:val="auto"/>
        </w:rPr>
      </w:pPr>
      <w:r>
        <w:rPr>
          <w:rFonts w:ascii="Arial" w:cs="Arial" w:eastAsia="Arial" w:hAnsi="Arial"/>
          <w:sz w:val="18"/>
          <w:szCs w:val="18"/>
          <w:color w:val="auto"/>
        </w:rPr>
        <w:t>Based on the results of our nonclinical and clinical studies to date, we believe ATH-1017 has the potential to rapidly improve cognition and durably restore the lives of patients suffering from AD. However, these ideas and this approach are novel, and we currently have limited data based on our Phase 1a and 1b clinical trials, which enrolled 88 subjects, including only 11 patients with mild to moderate AD, of whom seven patients were treated with ATH-1017 and the other four patients were randomized to the control. Data from our Phase 1a and 1b clinical trials, while promising, were obtained from a relatively small number of subjects and a single clinical site and we cannot be certain that future trials involving a larger number of subjects and clinical sites will yield similar data. Additionally, in our Phase 1a and 1b clinical trials, we used electroencephalogram, or EEG, methods to gather data that we believe provide valuable insight into cognitive processing of the subjects evaluated. These EEG methods require the placement of electrodes on a subject’s scalp and, if these electrodes are not properly placed, we may be unable to obtain the data sought or the data obtained may be compromised and unreliable. In our Phase 1a and 1b clinical trials, data from certain subjects were not obtained due to problems encountered with the placement of the EEG electrodes and other technical issues, such as subject movement. While we believe the lack of data from these subjects did not impact the reliability or interpretation of the remaining data from these trials, we may in the future face similar issues with EEG methods, which could compromise future clinical trial results. We may ultimately discover that ATH-1017, or any of our other small molecules, do not possess certain properties required for therapeutic effectiveness. We have no long-term evidence regarding the efficacy, safety and tolerability of ATH-1017 or other small molecules in our product platform. We may spend substantial funds attempting to develop these product candidates and never succeed in doing so.</w:t>
      </w:r>
    </w:p>
    <w:p>
      <w:pPr>
        <w:spacing w:after="0" w:line="294" w:lineRule="exact"/>
        <w:rPr>
          <w:sz w:val="20"/>
          <w:szCs w:val="20"/>
          <w:color w:val="auto"/>
        </w:rPr>
      </w:pPr>
    </w:p>
    <w:p>
      <w:pPr>
        <w:ind w:right="920" w:firstLine="576"/>
        <w:spacing w:after="0" w:line="285" w:lineRule="auto"/>
        <w:rPr>
          <w:sz w:val="20"/>
          <w:szCs w:val="20"/>
          <w:color w:val="auto"/>
        </w:rPr>
      </w:pPr>
      <w:r>
        <w:rPr>
          <w:rFonts w:ascii="Arial" w:cs="Arial" w:eastAsia="Arial" w:hAnsi="Arial"/>
          <w:sz w:val="18"/>
          <w:szCs w:val="18"/>
          <w:b w:val="1"/>
          <w:bCs w:val="1"/>
          <w:i w:val="1"/>
          <w:iCs w:val="1"/>
          <w:color w:val="auto"/>
        </w:rPr>
        <w:t>We have concentrated our research and development efforts on the treatment of CNS and peripheral degenerative disorders, a field that has seen very limited success in product development.</w:t>
      </w:r>
    </w:p>
    <w:p>
      <w:pPr>
        <w:spacing w:after="0" w:line="21" w:lineRule="exact"/>
        <w:rPr>
          <w:sz w:val="20"/>
          <w:szCs w:val="20"/>
          <w:color w:val="auto"/>
        </w:rPr>
      </w:pPr>
    </w:p>
    <w:p>
      <w:pPr>
        <w:ind w:right="40" w:firstLine="576"/>
        <w:spacing w:after="0" w:line="239" w:lineRule="auto"/>
        <w:rPr>
          <w:sz w:val="20"/>
          <w:szCs w:val="20"/>
          <w:color w:val="auto"/>
        </w:rPr>
      </w:pPr>
      <w:r>
        <w:rPr>
          <w:rFonts w:ascii="Arial" w:cs="Arial" w:eastAsia="Arial" w:hAnsi="Arial"/>
          <w:sz w:val="18"/>
          <w:szCs w:val="18"/>
          <w:color w:val="auto"/>
        </w:rPr>
        <w:t>We have focused our research and development efforts on addressing CNS and peripheral degenerative disorders. Collectively, efforts by pharmaceutical companies in the field of CNS and peripheral degenerative disorders have seen very limited successes in product development. The development of CNS therapies presents unique challenges, including an imperfect understanding of the biology, the presence of the blood brain barrier, or BBB, that can 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few effective therapeutic options available for patients with AD and other CNS or peripheral disorders. Our future success is highly dependent on the successful development of our technology and our product candidates for treating CNS and peripheral disorders. Developing and, if approved, commercializing our product candidates for treatment of CNS and peripheral disorders subjects us to a number of challenges, including ensuring that we have selected the optimal doses, executing an appropriate clinical trial to test for efficacy and obtaining regulatory approval from the FDA and other regulatory authorities.</w:t>
      </w:r>
    </w:p>
    <w:p>
      <w:pPr>
        <w:spacing w:after="0" w:line="284" w:lineRule="exact"/>
        <w:rPr>
          <w:sz w:val="20"/>
          <w:szCs w:val="20"/>
          <w:color w:val="auto"/>
        </w:rPr>
      </w:pPr>
    </w:p>
    <w:p>
      <w:pPr>
        <w:jc w:val="both"/>
        <w:ind w:right="280" w:firstLine="576"/>
        <w:spacing w:after="0" w:line="251"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early, smaller-scale studies and clinical trials with a single or few clinical trial sites may not be predictive of eventual safety or effectiveness in large-scale pivotal clinical trials across multiple clinical trial sites. We may encounter substantial delays in clinical trials, or may not be able to conduct or complete clinical trials on the expected timelines, if at all.</w:t>
      </w:r>
    </w:p>
    <w:p>
      <w:pPr>
        <w:spacing w:after="0" w:line="52" w:lineRule="exact"/>
        <w:rPr>
          <w:sz w:val="20"/>
          <w:szCs w:val="20"/>
          <w:color w:val="auto"/>
        </w:rPr>
      </w:pPr>
    </w:p>
    <w:p>
      <w:pPr>
        <w:ind w:right="60" w:firstLine="576"/>
        <w:spacing w:after="0" w:line="255" w:lineRule="auto"/>
        <w:rPr>
          <w:sz w:val="20"/>
          <w:szCs w:val="20"/>
          <w:color w:val="auto"/>
        </w:rPr>
      </w:pPr>
      <w:r>
        <w:rPr>
          <w:rFonts w:ascii="Arial" w:cs="Arial" w:eastAsia="Arial" w:hAnsi="Arial"/>
          <w:sz w:val="18"/>
          <w:szCs w:val="18"/>
          <w:color w:val="auto"/>
        </w:rPr>
        <w:t>Our lead product candidate, ATH-1017, is in clinical development for the potential treatment of AD and Parkinson’s disease dementia, or PDD. Our remaining product candidates, including ATH-1018 and ATH-1019, are in nonclinical development. It is impossible to predict when or if any of our product candidates will prove to be effective and safe in humans or will receive regulatory approval.</w:t>
      </w:r>
    </w:p>
    <w:p>
      <w:pPr>
        <w:spacing w:after="0" w:line="164"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Before obtaining regulatory approvals for the commercial sale of our product candidates, we must demonstrate through lengthy, complex and expensive nonclinical studies and clinical trials that our product candidates are both safe and effective for each target indication. Nonclinical and clinical testing is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spacing w:after="0" w:line="236" w:lineRule="auto"/>
        <w:rPr>
          <w:sz w:val="20"/>
          <w:szCs w:val="20"/>
          <w:color w:val="auto"/>
        </w:rPr>
      </w:pPr>
      <w:r>
        <w:rPr>
          <w:rFonts w:ascii="Arial" w:cs="Arial" w:eastAsia="Arial" w:hAnsi="Arial"/>
          <w:sz w:val="18"/>
          <w:szCs w:val="18"/>
          <w:color w:val="auto"/>
        </w:rPr>
        <w:t>expensive and can take many years to complete, and its outcome is inherently uncertain. Failure can occur at any time during the nonclinical study and clinical trial processes, and, because our product candidates are in an early stage of development, there is a high risk of failure and we may never succeed in developing marketable products. The results of nonclinical studies and early clinical trials of our product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Likewise, early, smaller-scale studies and clinical trials with a single or few clinical trial sites may not be predictive of eventual safety or effectiveness in large-scale pivotal clinical trials across multiple clinical trial sites. Even if data from a pivotal clinical trial are positive, regulators may not agree that such data are sufficient for approval and may require that we conduct additional clinical trials, which could materially delay our anticipated development timelines, require additional funding for such additional clinical trials, and adversely impact our business. For example, LIFT-AD is a trial that we initiated in September 2020, which may provide pivotal data in support of registration. In November 2020, we initiated ACT-AD, a P300 Phase 2 clinical trial, to better understand the overall effects of ATH-1017 on working memory processing speed and cognitive measures, with topline results expected by early 2022. These data will help support strategic decisions around any additional pivotal trials that we may initiate in parallel to the LIFT-AD trial if the results from the ACT-AD P300 Phase 2 clinical trial do not meet our expectations. However, even if we receive positive data in our ACT-AD P300 Phase 2 clinical trial and LIFT-AD, we cannot be certain that the FDA or other regulators will find such data sufficient for approval of ATH-1017. Our ability to achieve regulatory approval for ATH-1017 is further complicated by the nature of AD, which historically has been a challenging indication for drug development. A number of companies in the biopharmaceutical industry have suffered significant setbacks in advanced clinical trials due to lack of efficacy or unacceptable safety issues, notwithstanding promising results in earlier trials. Most product candidates that commence nonclinical studies and clinical trials are never approved as products.</w:t>
      </w:r>
    </w:p>
    <w:p>
      <w:pPr>
        <w:spacing w:after="0" w:line="192"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In some instances, there can be significant variability in safety or efficacy results between different nonclinical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Results of our clinical trials could reveal a high and unacceptable severity and prevalence of side effects. In such an event, our clinical trials could be suspended or terminated and the FDA or comparable foreign regulatory authorities could order us to cease further development of or deny approval of our product candidates for any or all targeted indications. Drug-related side effects could also affect patient recruitment or the ability of enrolled patients to complete the clinical trial or result in potential product liability claims. Any of these occurrences may harm our business, financial condition and prospects significantly.</w:t>
      </w:r>
    </w:p>
    <w:p>
      <w:pPr>
        <w:spacing w:after="0" w:line="180"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Additionally, some of the clinical trials we conduct in the future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22" w:name="page23"/>
    <w:bookmarkEnd w:id="22"/>
    <w:p>
      <w:pPr>
        <w:ind w:right="200" w:firstLine="576"/>
        <w:spacing w:after="0" w:line="248" w:lineRule="auto"/>
        <w:rPr>
          <w:sz w:val="20"/>
          <w:szCs w:val="20"/>
          <w:color w:val="auto"/>
        </w:rPr>
      </w:pPr>
      <w:r>
        <w:rPr>
          <w:rFonts w:ascii="Arial" w:cs="Arial" w:eastAsia="Arial" w:hAnsi="Arial"/>
          <w:sz w:val="18"/>
          <w:szCs w:val="18"/>
          <w:color w:val="auto"/>
        </w:rPr>
        <w:t>We could also encounter delays if a clinical trial is suspended or terminated by us, by the institutional review boards, or IRBs, of the institutions in which such clinical trials are being conducted, by a data safety monitoring board for such clinical trial or by the FDA or comparable foreign regulatory authorities. Clinical trials can be delayed or terminated for a variety of reasons, including delays or failures related to:</w:t>
      </w:r>
    </w:p>
    <w:p>
      <w:pPr>
        <w:spacing w:after="0" w:line="62" w:lineRule="exact"/>
        <w:rPr>
          <w:sz w:val="20"/>
          <w:szCs w:val="20"/>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disagreeing as to the design or implementation of our clinical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disagreeing with our ATH platform development strategy;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governmental regulations or administrative actions;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our ability to commence a clinical trial;</w:t>
      </w:r>
    </w:p>
    <w:p>
      <w:pPr>
        <w:spacing w:after="0" w:line="116" w:lineRule="exact"/>
        <w:rPr>
          <w:rFonts w:ascii="Times New Roman" w:cs="Times New Roman" w:eastAsia="Times New Roman" w:hAnsi="Times New Roman"/>
          <w:sz w:val="18"/>
          <w:szCs w:val="18"/>
          <w:color w:val="auto"/>
        </w:rPr>
      </w:pPr>
    </w:p>
    <w:p>
      <w:pPr>
        <w:ind w:left="1300" w:right="100" w:hanging="442"/>
        <w:spacing w:after="0" w:line="275" w:lineRule="auto"/>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IRB approval at each clinical trial site;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recruiting an adequate number of suitable patients to participate in a clinical trial;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patients required for clinical trials of our product candidates may be larger than we anticipate;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having subjects complete a clinical trial or return for post-treatment follow-up;</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 sites deviating from clinical trial protocol or dropping out of a clinical trial;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demonstrate a benefit from using a product candidate;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subject safety concerns that arise during the course of a clinical trial;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adding a sufficient number of clinical trial sites; or</w:t>
      </w:r>
    </w:p>
    <w:p>
      <w:pPr>
        <w:spacing w:after="0" w:line="116" w:lineRule="exact"/>
        <w:rPr>
          <w:rFonts w:ascii="Times New Roman" w:cs="Times New Roman" w:eastAsia="Times New Roman" w:hAnsi="Times New Roman"/>
          <w:sz w:val="18"/>
          <w:szCs w:val="18"/>
          <w:color w:val="auto"/>
        </w:rPr>
      </w:pPr>
    </w:p>
    <w:p>
      <w:pPr>
        <w:ind w:left="1300" w:right="740" w:hanging="442"/>
        <w:spacing w:after="0" w:line="275" w:lineRule="auto"/>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sufficient product supply of product candidate for use in nonclinical studies or clinical trials from third-party suppliers.</w:t>
      </w:r>
    </w:p>
    <w:p>
      <w:pPr>
        <w:spacing w:after="0" w:line="146" w:lineRule="exact"/>
        <w:rPr>
          <w:sz w:val="20"/>
          <w:szCs w:val="20"/>
          <w:color w:val="auto"/>
        </w:rPr>
      </w:pPr>
    </w:p>
    <w:p>
      <w:pPr>
        <w:jc w:val="both"/>
        <w:ind w:firstLine="576"/>
        <w:spacing w:after="0" w:line="248" w:lineRule="auto"/>
        <w:rPr>
          <w:sz w:val="20"/>
          <w:szCs w:val="20"/>
          <w:color w:val="auto"/>
        </w:rPr>
      </w:pPr>
      <w:r>
        <w:rPr>
          <w:rFonts w:ascii="Arial" w:cs="Arial" w:eastAsia="Arial" w:hAnsi="Arial"/>
          <w:sz w:val="18"/>
          <w:szCs w:val="18"/>
          <w:color w:val="auto"/>
        </w:rPr>
        <w:t>Further, conducting clinical trials in foreign countries, as we intend to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70"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3" w:name="page24"/>
    <w:bookmarkEnd w:id="23"/>
    <w:p>
      <w:pPr>
        <w:ind w:right="40" w:firstLine="576"/>
        <w:spacing w:after="0" w:line="255" w:lineRule="auto"/>
        <w:rPr>
          <w:sz w:val="20"/>
          <w:szCs w:val="20"/>
          <w:color w:val="auto"/>
        </w:rPr>
      </w:pPr>
      <w:r>
        <w:rPr>
          <w:rFonts w:ascii="Arial" w:cs="Arial" w:eastAsia="Arial" w:hAnsi="Arial"/>
          <w:sz w:val="18"/>
          <w:szCs w:val="18"/>
          <w:color w:val="auto"/>
        </w:rPr>
        <w:t>If the results of our current and future clinical trials are inconclusive with respect to the efficacy of our product candidates, if we do not meet the clinical endpoints with statistical and clinically meaningful significance, or if there are safety concerns associated with our product candidates, we may:</w:t>
      </w:r>
    </w:p>
    <w:p>
      <w:pPr>
        <w:spacing w:after="0" w:line="56" w:lineRule="exact"/>
        <w:rPr>
          <w:sz w:val="20"/>
          <w:szCs w:val="20"/>
          <w:color w:val="auto"/>
        </w:rPr>
      </w:pPr>
    </w:p>
    <w:p>
      <w:pPr>
        <w:ind w:left="1300" w:hanging="442"/>
        <w:spacing w:after="0"/>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incur unplanned costs;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be delayed in or prevented from obtaining marketing approval for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6" w:lineRule="exact"/>
        <w:rPr>
          <w:rFonts w:ascii="Times New Roman" w:cs="Times New Roman" w:eastAsia="Times New Roman" w:hAnsi="Times New Roman"/>
          <w:sz w:val="18"/>
          <w:szCs w:val="18"/>
          <w:color w:val="auto"/>
        </w:rPr>
      </w:pPr>
    </w:p>
    <w:p>
      <w:pPr>
        <w:ind w:left="1300" w:right="540" w:hanging="442"/>
        <w:spacing w:after="0" w:line="275" w:lineRule="auto"/>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be subject to changes in the way the product is administered;</w:t>
      </w:r>
    </w:p>
    <w:p>
      <w:pPr>
        <w:spacing w:after="0" w:line="116" w:lineRule="exact"/>
        <w:rPr>
          <w:rFonts w:ascii="Times New Roman" w:cs="Times New Roman" w:eastAsia="Times New Roman" w:hAnsi="Times New Roman"/>
          <w:sz w:val="18"/>
          <w:szCs w:val="18"/>
          <w:color w:val="auto"/>
        </w:rPr>
      </w:pPr>
    </w:p>
    <w:p>
      <w:pPr>
        <w:ind w:left="1300" w:right="800" w:hanging="442"/>
        <w:spacing w:after="0" w:line="275" w:lineRule="auto"/>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37" w:lineRule="exact"/>
        <w:rPr>
          <w:rFonts w:ascii="Times New Roman" w:cs="Times New Roman" w:eastAsia="Times New Roman" w:hAnsi="Times New Roman"/>
          <w:sz w:val="18"/>
          <w:szCs w:val="18"/>
          <w:color w:val="auto"/>
        </w:rPr>
      </w:pPr>
    </w:p>
    <w:p>
      <w:pPr>
        <w:ind w:left="1300" w:right="340" w:hanging="442"/>
        <w:spacing w:after="0" w:line="275" w:lineRule="auto"/>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have regulatory authorities withdraw their approval of the product or impose restrictions on its distribution in the form of a modified risk evaluation and mitigation strategy, or REMS;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be sued; or</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experience damage to our reputation.</w:t>
      </w:r>
    </w:p>
    <w:p>
      <w:pPr>
        <w:spacing w:after="0" w:line="332" w:lineRule="exact"/>
        <w:rPr>
          <w:sz w:val="20"/>
          <w:szCs w:val="20"/>
          <w:color w:val="auto"/>
        </w:rPr>
      </w:pPr>
    </w:p>
    <w:p>
      <w:pPr>
        <w:ind w:right="140" w:firstLine="576"/>
        <w:spacing w:after="0" w:line="260" w:lineRule="auto"/>
        <w:rPr>
          <w:sz w:val="20"/>
          <w:szCs w:val="20"/>
          <w:color w:val="auto"/>
        </w:rPr>
      </w:pPr>
      <w:r>
        <w:rPr>
          <w:rFonts w:ascii="Arial" w:cs="Arial" w:eastAsia="Arial" w:hAnsi="Arial"/>
          <w:sz w:val="18"/>
          <w:szCs w:val="18"/>
          <w:b w:val="1"/>
          <w:bCs w:val="1"/>
          <w:i w:val="1"/>
          <w:iCs w:val="1"/>
          <w:color w:val="auto"/>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43"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80"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From time to time, we may also disclose interim data from our nonclinical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172"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Additionally, we rely on data received from clinical trials, whether preliminary or final, to inform decisions on future clinical trials, including trial design, trial size, and whether or not to initiate additional clinical trials. For example, in November 2020, we initiated ACT-AD, a P300 Phase 2 clinical trial, to better understand the overall effects of ATH-1017 on working memory processing speed and cognitive measures, with topline results expected by early 2022. These data will help support strategic decisions around any additional pivotal trials that we may initiate in parallel to the LIFT-AD trial if the results from the ACT-AD P300 Phase 2 clinical trial do not meet our expectations. The topline results of this ACT-AD P300 Phase 2 clinical trial will be based on a preliminary analysis of then-available data, and a more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4" w:name="page25"/>
    <w:bookmarkEnd w:id="24"/>
    <w:p>
      <w:pPr>
        <w:ind w:right="40"/>
        <w:spacing w:after="0" w:line="276" w:lineRule="auto"/>
        <w:rPr>
          <w:sz w:val="20"/>
          <w:szCs w:val="20"/>
          <w:color w:val="auto"/>
        </w:rPr>
      </w:pPr>
      <w:r>
        <w:rPr>
          <w:rFonts w:ascii="Arial" w:cs="Arial" w:eastAsia="Arial" w:hAnsi="Arial"/>
          <w:sz w:val="18"/>
          <w:szCs w:val="18"/>
          <w:color w:val="auto"/>
        </w:rPr>
        <w:t>comprehensive and full review of the data may result in different conclusions, which could have a negative impact on our decisions regarding any additional trials for ATH-1017.</w:t>
      </w:r>
    </w:p>
    <w:p>
      <w:pPr>
        <w:spacing w:after="0" w:line="145"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88" w:lineRule="exact"/>
        <w:rPr>
          <w:sz w:val="20"/>
          <w:szCs w:val="20"/>
          <w:color w:val="auto"/>
        </w:rPr>
      </w:pPr>
    </w:p>
    <w:p>
      <w:pPr>
        <w:ind w:right="940" w:firstLine="576"/>
        <w:spacing w:after="0" w:line="28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retention of patients in clinical trials, our regulatory submissions or receipt of necessary marketing approvals could be delayed or prevented.</w:t>
      </w:r>
    </w:p>
    <w:p>
      <w:pPr>
        <w:spacing w:after="0" w:line="21" w:lineRule="exact"/>
        <w:rPr>
          <w:sz w:val="20"/>
          <w:szCs w:val="20"/>
          <w:color w:val="auto"/>
        </w:rPr>
      </w:pPr>
    </w:p>
    <w:p>
      <w:pPr>
        <w:ind w:right="80" w:firstLine="576"/>
        <w:spacing w:after="0" w:line="241"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recruit and enroll a sufficient number of eligible patients to participate in these clinical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Patient enrollment may also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If we are unable to locate a sufficient number of such patients, our clinical trial and development plans could be delayed.</w:t>
      </w:r>
    </w:p>
    <w:p>
      <w:pPr>
        <w:spacing w:after="0" w:line="179" w:lineRule="exact"/>
        <w:rPr>
          <w:sz w:val="20"/>
          <w:szCs w:val="20"/>
          <w:color w:val="auto"/>
        </w:rPr>
      </w:pPr>
    </w:p>
    <w:p>
      <w:pPr>
        <w:ind w:right="180" w:firstLine="576"/>
        <w:spacing w:after="0" w:line="241" w:lineRule="auto"/>
        <w:rPr>
          <w:sz w:val="20"/>
          <w:szCs w:val="20"/>
          <w:color w:val="auto"/>
        </w:rPr>
      </w:pPr>
      <w:r>
        <w:rPr>
          <w:rFonts w:ascii="Arial" w:cs="Arial" w:eastAsia="Arial" w:hAnsi="Arial"/>
          <w:sz w:val="18"/>
          <w:szCs w:val="18"/>
          <w:color w:val="auto"/>
        </w:rPr>
        <w:t>For example, we intend to enroll approximately 240 to 300 AD subjects with mild-to-moderate AD in LIFT-AD and 60 to 75 AD subjects with mild-to-moderate AD in our ACT-AD P300 Phase 2 clinical trial. If we are delayed or unsuccessful in enrolling the desired number of subjects in these trials, whether as a result of competing clinical trials, overly stringent eligibility requirements, or the ongoing impact of COVID-19 on both clinical trial sites and potential AD subjects, our clinical trial results could be delayed, the costs of our clinical trials could materially increase, and the overall development timeline for ATH-1017 could be negatively impacted. Even if we are successful in enrolling the targeted number of subjects in these trials, the FDA and other regulators may request additional clinical trials with larger numbers of subjects as a condition to any regulatory approval.</w:t>
      </w:r>
    </w:p>
    <w:p>
      <w:pPr>
        <w:spacing w:after="0" w:line="179" w:lineRule="exact"/>
        <w:rPr>
          <w:sz w:val="20"/>
          <w:szCs w:val="20"/>
          <w:color w:val="auto"/>
        </w:rPr>
      </w:pPr>
    </w:p>
    <w:p>
      <w:pPr>
        <w:ind w:right="80" w:firstLine="576"/>
        <w:spacing w:after="0" w:line="241" w:lineRule="auto"/>
        <w:rPr>
          <w:sz w:val="20"/>
          <w:szCs w:val="20"/>
          <w:color w:val="auto"/>
        </w:rPr>
      </w:pPr>
      <w:r>
        <w:rPr>
          <w:rFonts w:ascii="Arial" w:cs="Arial" w:eastAsia="Arial" w:hAnsi="Arial"/>
          <w:sz w:val="18"/>
          <w:szCs w:val="18"/>
          <w:color w:val="auto"/>
        </w:rPr>
        <w:t>Enrollment of patients in our clinical trials may be delayed or limited as our clinical trial sites limit their onsite staff or temporarily close as a result of the COVID-19 pandemic. In addition, patients may not be able to visit clinical trial sites for data collection purposes due to limitations on travel and physical distancing imposed or recommended by federal or state governments or patients’ reluctance to visit the clinical trial sites during the pandemic. The drop-out rates in our clinical trials may be increased during the pandemic. Clinical trial patients who become infected with the COVID-19 virus may complicate the clinical trial data, procedures, and analysis. These factors resulting from the COVID-19 pandemic could delay the anticipated readouts from our clinical trials and our regulatory submissions, and increase the costs associated of the clinical trials.</w:t>
      </w:r>
    </w:p>
    <w:p>
      <w:pPr>
        <w:spacing w:after="0" w:line="179"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p>
      <w:pPr>
        <w:jc w:val="both"/>
        <w:ind w:right="140" w:firstLine="576"/>
        <w:spacing w:after="0" w:line="260"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43"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color w:val="auto"/>
        </w:rPr>
        <w:t>The biotechnology and pharmaceutical industries utilize rapidly advancing technologies and are characterized by intense competition. While we believe that our scientific knowledge, platform technology and development expertise provide us with competitive advantages, we face competitive pressures from both large and small pharmaceutical companies, emerging biotechnology companies, as well as academic, government and private research institutions. Many of our competitors have access to greater financial resources, market presence, expertise in development, preclinical and clinical testing, manufacturing, commercialization, regulatory approval process, and/or marketing and sales than we do. Our competitors may compete with us in patient recruitment, clinical research organization, and operational resources. As a result, our competitors may discover, develop, license or commercialize products before or more successfully than we do.</w:t>
      </w:r>
    </w:p>
    <w:p>
      <w:pPr>
        <w:spacing w:after="0" w:line="179"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Product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Our competitors may obtain patent protection or other intellectual property rights that limit our ability to develop or commercialize our product candidates. The availability of reimbursement from government and other third-party payors will also significantly affect the pricing and competitiveness of our products.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the section of this prospectus titled “Business—Competition.”</w:t>
      </w:r>
    </w:p>
    <w:p>
      <w:pPr>
        <w:spacing w:after="0" w:line="288" w:lineRule="exact"/>
        <w:rPr>
          <w:sz w:val="20"/>
          <w:szCs w:val="20"/>
          <w:color w:val="auto"/>
        </w:rPr>
      </w:pPr>
    </w:p>
    <w:p>
      <w:pPr>
        <w:ind w:right="20" w:firstLine="576"/>
        <w:spacing w:after="0" w:line="285"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21"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84"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We may develop product candidates in combination with other therapies, which exposes us to additional risks.</w:t>
      </w:r>
    </w:p>
    <w:p>
      <w:pPr>
        <w:spacing w:after="0" w:line="104"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We may develop product candidates in combination with one or more other approved or unapproved therapies.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26" w:name="page27"/>
    <w:bookmarkEnd w:id="26"/>
    <w:p>
      <w:pPr>
        <w:ind w:firstLine="576"/>
        <w:spacing w:after="0"/>
        <w:rPr>
          <w:sz w:val="20"/>
          <w:szCs w:val="20"/>
          <w:color w:val="auto"/>
        </w:rPr>
      </w:pPr>
      <w:r>
        <w:rPr>
          <w:rFonts w:ascii="Arial" w:cs="Arial" w:eastAsia="Arial" w:hAnsi="Arial"/>
          <w:sz w:val="18"/>
          <w:szCs w:val="18"/>
          <w:color w:val="auto"/>
        </w:rPr>
        <w:t>We also may choose to evaluate product candidates in combination with one or more therapies that have not yet been approved for marketing by the FDA or comparable foreign regulatory authorities. We will not be able to market and sell any product candidate we develop in combination with an unapproved therapy for a combination indication if that unapproved therapy does not ultimately obtain marketing approval either alone or in combination with our product. In addition, unapproved therapies face the same risks described with respect to our product candidates currently in development and clinical trials, including the potential for serious adverse effects, delay in their clinical trials and lack of FDA approval. If the FDA or comparable foreign regulatory authorities do not approve these other drugs or revoke their approval of, or if safety, efficacy, quality, manufacturing or supply issues arise with, the drugs we choose to evaluate in combination with our product candidate we develop, we may be unable to obtain approval of or market such combination therapy.</w:t>
      </w:r>
    </w:p>
    <w:p>
      <w:pPr>
        <w:spacing w:after="0" w:line="288" w:lineRule="exact"/>
        <w:rPr>
          <w:sz w:val="20"/>
          <w:szCs w:val="20"/>
          <w:color w:val="auto"/>
        </w:rPr>
      </w:pPr>
    </w:p>
    <w:p>
      <w:pPr>
        <w:ind w:right="80" w:firstLine="576"/>
        <w:spacing w:after="0" w:line="285" w:lineRule="auto"/>
        <w:rPr>
          <w:sz w:val="20"/>
          <w:szCs w:val="20"/>
          <w:color w:val="auto"/>
        </w:rPr>
      </w:pPr>
      <w:r>
        <w:rPr>
          <w:rFonts w:ascii="Arial" w:cs="Arial" w:eastAsia="Arial" w:hAnsi="Arial"/>
          <w:sz w:val="18"/>
          <w:szCs w:val="18"/>
          <w:b w:val="1"/>
          <w:bCs w:val="1"/>
          <w:i w:val="1"/>
          <w:iCs w:val="1"/>
          <w:color w:val="auto"/>
        </w:rPr>
        <w:t>Our long-term prospects depend in part upon discovering, developing and commercializing additional product candidates, which may fail in development or suffer delays that adversely affect their commercial viability.</w:t>
      </w:r>
    </w:p>
    <w:p>
      <w:pPr>
        <w:spacing w:after="0" w:line="21"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Our future operating results are dependent on our ability to successfully discover, develop, obtain regulatory approval for and commercialize product candidates beyond those we currently have in clinical and nonclinical development. A product candidate can unexpectedly fail at any stage of nonclinical and clinical development. The historical failure rate for product candidates is high due to risks relating to safety, efficacy, clinical execution, changing standards of medical care and other unpredictable variables. The results from nonclinical testing or early clinical trials of a product candidate may not be predictive of the results that will be obtained in later stage clinical trials of the product candidate.</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success of other future product candidates we may develop will depend on many factors, including the following:</w:t>
      </w:r>
    </w:p>
    <w:p>
      <w:pPr>
        <w:spacing w:after="0" w:line="104" w:lineRule="exact"/>
        <w:rPr>
          <w:sz w:val="20"/>
          <w:szCs w:val="20"/>
          <w:color w:val="auto"/>
        </w:rPr>
      </w:pPr>
    </w:p>
    <w:p>
      <w:pPr>
        <w:ind w:left="1300" w:hanging="442"/>
        <w:spacing w:after="0"/>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regulatory permission to initiate clinical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contracting with the necessary parties to conduct clinical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enrollment of patients in, and the completion of, clinical trials on a timely basis;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timely manufacture of sufficient quantities of the product candidate for use in clinical trials;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adverse events in the clinical trials.</w:t>
      </w:r>
    </w:p>
    <w:p>
      <w:pPr>
        <w:spacing w:after="0" w:line="224" w:lineRule="exact"/>
        <w:rPr>
          <w:sz w:val="20"/>
          <w:szCs w:val="20"/>
          <w:color w:val="auto"/>
        </w:rPr>
      </w:pPr>
    </w:p>
    <w:p>
      <w:pPr>
        <w:ind w:right="160" w:firstLine="576"/>
        <w:spacing w:after="0" w:line="248" w:lineRule="auto"/>
        <w:rPr>
          <w:sz w:val="20"/>
          <w:szCs w:val="20"/>
          <w:color w:val="auto"/>
        </w:rPr>
      </w:pPr>
      <w:r>
        <w:rPr>
          <w:rFonts w:ascii="Arial" w:cs="Arial" w:eastAsia="Arial" w:hAnsi="Arial"/>
          <w:sz w:val="18"/>
          <w:szCs w:val="18"/>
          <w:color w:val="auto"/>
        </w:rPr>
        <w:t>Even if we successfully advance any other future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future product candidates.</w:t>
      </w:r>
    </w:p>
    <w:p>
      <w:pPr>
        <w:spacing w:after="0" w:line="278" w:lineRule="exact"/>
        <w:rPr>
          <w:sz w:val="20"/>
          <w:szCs w:val="20"/>
          <w:color w:val="auto"/>
        </w:rPr>
      </w:pPr>
    </w:p>
    <w:p>
      <w:pPr>
        <w:ind w:right="200" w:firstLine="576"/>
        <w:spacing w:after="0" w:line="260" w:lineRule="auto"/>
        <w:rPr>
          <w:sz w:val="20"/>
          <w:szCs w:val="20"/>
          <w:color w:val="auto"/>
        </w:rPr>
      </w:pPr>
      <w:r>
        <w:rPr>
          <w:rFonts w:ascii="Arial" w:cs="Arial" w:eastAsia="Arial" w:hAnsi="Arial"/>
          <w:sz w:val="18"/>
          <w:szCs w:val="18"/>
          <w:b w:val="1"/>
          <w:bCs w:val="1"/>
          <w:i w:val="1"/>
          <w:iCs w:val="1"/>
          <w:color w:val="auto"/>
        </w:rPr>
        <w:t>We conduct certain research and development operations through our Australian wholly owned subsidiary. If we lose our ability to operate in Australia, or if our subsidiary is unable to receive the research and development tax credit allowed by Australian regulations, our business and results of operations could suffer.</w:t>
      </w:r>
    </w:p>
    <w:p>
      <w:pPr>
        <w:spacing w:after="0" w:line="43"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In July 2020, we formed a wholly owned Australian subsidiary to conduct various preclinical and clinical activities for our product and development candidates in Australia. Due to the geographical distance and lack of employees currently in Australia, as well as our lack of experience operating in Australia, we may not be able to efficiently or successfully monitor, develop and commercialize our lead products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27" w:name="page28"/>
    <w:bookmarkEnd w:id="27"/>
    <w:p>
      <w:pPr>
        <w:ind w:firstLine="576"/>
        <w:spacing w:after="0" w:line="248" w:lineRule="auto"/>
        <w:rPr>
          <w:sz w:val="20"/>
          <w:szCs w:val="20"/>
          <w:color w:val="auto"/>
        </w:rPr>
      </w:pPr>
      <w:r>
        <w:rPr>
          <w:rFonts w:ascii="Arial" w:cs="Arial" w:eastAsia="Arial" w:hAnsi="Arial"/>
          <w:sz w:val="18"/>
          <w:szCs w:val="18"/>
          <w:color w:val="auto"/>
        </w:rPr>
        <w:t>In addition, current Australian tax regulations provide for a refundable research and development tax credit equal to 43.5% of qualified expenditures. If we lose our ability to operate our subsidiary in Australia, or if we are ineligible or unable to receive the research and development tax credit, or the Australian government significantly reduces or eliminates the tax credit, our business and results of operation may be adversely affected.</w:t>
      </w:r>
    </w:p>
    <w:p>
      <w:pPr>
        <w:spacing w:after="0" w:line="27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Risks Relating to COVID-19 and Other Health Epidemics</w:t>
      </w:r>
    </w:p>
    <w:p>
      <w:pPr>
        <w:spacing w:after="0" w:line="106" w:lineRule="exact"/>
        <w:rPr>
          <w:sz w:val="20"/>
          <w:szCs w:val="20"/>
          <w:color w:val="auto"/>
        </w:rPr>
      </w:pPr>
    </w:p>
    <w:p>
      <w:pPr>
        <w:ind w:right="240" w:firstLine="576"/>
        <w:spacing w:after="0" w:line="285" w:lineRule="auto"/>
        <w:rPr>
          <w:sz w:val="20"/>
          <w:szCs w:val="20"/>
          <w:color w:val="auto"/>
        </w:rPr>
      </w:pPr>
      <w:r>
        <w:rPr>
          <w:rFonts w:ascii="Arial" w:cs="Arial" w:eastAsia="Arial" w:hAnsi="Arial"/>
          <w:sz w:val="18"/>
          <w:szCs w:val="18"/>
          <w:b w:val="1"/>
          <w:bCs w:val="1"/>
          <w:i w:val="1"/>
          <w:iCs w:val="1"/>
          <w:color w:val="auto"/>
        </w:rPr>
        <w:t>The outbreak of the novel coronavirus disease, COVID-19, could adversely impact our business, including our nonclinical studies and clinical trials.</w:t>
      </w:r>
    </w:p>
    <w:p>
      <w:pPr>
        <w:spacing w:after="0" w:line="21" w:lineRule="exact"/>
        <w:rPr>
          <w:sz w:val="20"/>
          <w:szCs w:val="20"/>
          <w:color w:val="auto"/>
        </w:rPr>
      </w:pPr>
    </w:p>
    <w:p>
      <w:pPr>
        <w:ind w:right="60" w:firstLine="576"/>
        <w:spacing w:after="0" w:line="239" w:lineRule="auto"/>
        <w:rPr>
          <w:sz w:val="20"/>
          <w:szCs w:val="20"/>
          <w:color w:val="auto"/>
        </w:rPr>
      </w:pPr>
      <w:r>
        <w:rPr>
          <w:rFonts w:ascii="Arial" w:cs="Arial" w:eastAsia="Arial" w:hAnsi="Arial"/>
          <w:sz w:val="18"/>
          <w:szCs w:val="18"/>
          <w:color w:val="auto"/>
        </w:rPr>
        <w:t>The world is in the midst of a pandemic. A novel strain of the coronavirus disease, COVID-19, has spread to a number of countries, including the United States.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closed our executive offices with our administrative employees continuing their work outside of our offices and limited the number of staff in any given research and development laboratory. In addition, we have a number of clinical trial sites in the state of California which, due to state and local shelter-in-place orders, are not able to enroll patients at this time. If these restrictions are not lifted in the near-term, it could impact the overall enrollment rate for our ongoing trials. While the extent of the impact of the COVID-19 pandemic on our business and financial results is uncertain, a continued and prolonged public health crisis such as the COVID-19 pandemic could have a material negative impact on our business, financial condition and operating results.</w:t>
      </w:r>
    </w:p>
    <w:p>
      <w:pPr>
        <w:spacing w:after="0" w:line="176" w:lineRule="exact"/>
        <w:rPr>
          <w:sz w:val="20"/>
          <w:szCs w:val="20"/>
          <w:color w:val="auto"/>
        </w:rPr>
      </w:pPr>
    </w:p>
    <w:p>
      <w:pPr>
        <w:ind w:right="240" w:firstLine="576"/>
        <w:spacing w:after="0" w:line="276" w:lineRule="auto"/>
        <w:rPr>
          <w:sz w:val="20"/>
          <w:szCs w:val="20"/>
          <w:color w:val="auto"/>
        </w:rPr>
      </w:pPr>
      <w:r>
        <w:rPr>
          <w:rFonts w:ascii="Arial" w:cs="Arial" w:eastAsia="Arial" w:hAnsi="Arial"/>
          <w:sz w:val="18"/>
          <w:szCs w:val="18"/>
          <w:color w:val="auto"/>
        </w:rPr>
        <w:t>As a result of the COVID-19 pandemic, we may experience disruptions that could severely impact our business, nonclinical studies and clinical trials, including:</w:t>
      </w:r>
    </w:p>
    <w:p>
      <w:pPr>
        <w:spacing w:after="0" w:line="37" w:lineRule="exact"/>
        <w:rPr>
          <w:sz w:val="20"/>
          <w:szCs w:val="20"/>
          <w:color w:val="auto"/>
        </w:rPr>
      </w:pPr>
    </w:p>
    <w:p>
      <w:pPr>
        <w:jc w:val="both"/>
        <w:ind w:left="1300" w:right="260" w:hanging="442"/>
        <w:spacing w:after="0" w:line="255" w:lineRule="auto"/>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delays or difficulties in enrolling and retaining patients in our clinical trials, particularly elderly subjects, who are at a higher risk of severe illness or death from COVID-19, which can be further complicated by the presence of comorbidities that are often present in AD subjects;</w:t>
      </w:r>
    </w:p>
    <w:p>
      <w:pPr>
        <w:spacing w:after="0" w:line="54" w:lineRule="exact"/>
        <w:rPr>
          <w:rFonts w:ascii="Times New Roman" w:cs="Times New Roman" w:eastAsia="Times New Roman" w:hAnsi="Times New Roman"/>
          <w:sz w:val="18"/>
          <w:szCs w:val="18"/>
          <w:color w:val="auto"/>
        </w:rPr>
      </w:pPr>
    </w:p>
    <w:p>
      <w:pPr>
        <w:ind w:left="1300" w:right="600" w:hanging="442"/>
        <w:spacing w:after="0" w:line="275" w:lineRule="auto"/>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interpreting data from our clinical trials due to the possible effects of COVID-19 on cognition of the subjects enrolled in our clinical trials that contract COVID-19;</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6" w:lineRule="exact"/>
        <w:rPr>
          <w:rFonts w:ascii="Times New Roman" w:cs="Times New Roman" w:eastAsia="Times New Roman" w:hAnsi="Times New Roman"/>
          <w:sz w:val="18"/>
          <w:szCs w:val="18"/>
          <w:color w:val="auto"/>
        </w:rPr>
      </w:pPr>
    </w:p>
    <w:p>
      <w:pPr>
        <w:ind w:left="1300" w:right="180" w:hanging="442"/>
        <w:spacing w:after="0" w:line="275" w:lineRule="auto"/>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37" w:lineRule="exact"/>
        <w:rPr>
          <w:rFonts w:ascii="Times New Roman" w:cs="Times New Roman" w:eastAsia="Times New Roman" w:hAnsi="Times New Roman"/>
          <w:sz w:val="18"/>
          <w:szCs w:val="18"/>
          <w:color w:val="auto"/>
        </w:rPr>
      </w:pPr>
    </w:p>
    <w:p>
      <w:pPr>
        <w:ind w:left="1300" w:right="20" w:hanging="442"/>
        <w:spacing w:after="0" w:line="248" w:lineRule="auto"/>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61" w:lineRule="exact"/>
        <w:rPr>
          <w:rFonts w:ascii="Times New Roman" w:cs="Times New Roman" w:eastAsia="Times New Roman" w:hAnsi="Times New Roman"/>
          <w:sz w:val="18"/>
          <w:szCs w:val="18"/>
          <w:color w:val="auto"/>
        </w:rPr>
      </w:pPr>
    </w:p>
    <w:p>
      <w:pPr>
        <w:ind w:left="1300" w:right="360" w:hanging="442"/>
        <w:spacing w:after="0" w:line="275" w:lineRule="auto"/>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37" w:lineRule="exact"/>
        <w:rPr>
          <w:rFonts w:ascii="Times New Roman" w:cs="Times New Roman" w:eastAsia="Times New Roman" w:hAnsi="Times New Roman"/>
          <w:sz w:val="18"/>
          <w:szCs w:val="18"/>
          <w:color w:val="auto"/>
        </w:rPr>
      </w:pPr>
    </w:p>
    <w:p>
      <w:pPr>
        <w:ind w:left="1300" w:right="120" w:hanging="442"/>
        <w:spacing w:after="0" w:line="275" w:lineRule="auto"/>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interruptions in nonclinical studies due to restricted or limited operations at our laboratory facility;</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8" w:name="page29"/>
    <w:bookmarkEnd w:id="28"/>
    <w:p>
      <w:pPr>
        <w:jc w:val="both"/>
        <w:ind w:left="1300" w:right="380" w:hanging="442"/>
        <w:spacing w:after="0" w:line="255" w:lineRule="auto"/>
        <w:tabs>
          <w:tab w:leader="none" w:pos="13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on employee resources that would otherwise be focused on the conduct of our nonclinical studies and clinical trials, including because of sickness of employees or their families or the desire of employees to avoid contact with large groups of people;</w:t>
      </w:r>
    </w:p>
    <w:p>
      <w:pPr>
        <w:spacing w:after="0" w:line="54" w:lineRule="exact"/>
        <w:rPr>
          <w:rFonts w:ascii="Times New Roman" w:cs="Times New Roman" w:eastAsia="Times New Roman" w:hAnsi="Times New Roman"/>
          <w:sz w:val="18"/>
          <w:szCs w:val="18"/>
          <w:color w:val="auto"/>
        </w:rPr>
      </w:pPr>
    </w:p>
    <w:p>
      <w:pPr>
        <w:ind w:left="1300" w:right="180" w:hanging="442"/>
        <w:spacing w:after="0" w:line="275" w:lineRule="auto"/>
        <w:tabs>
          <w:tab w:leader="none" w:pos="13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interruptions, difficulties or delays arising in our existing operations and company culture as a result of all of our employees working remotely, including those hired during the COVID-19 pandemic;</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or delays to our sourced discovery and clinical activities; and</w:t>
      </w:r>
    </w:p>
    <w:p>
      <w:pPr>
        <w:spacing w:after="0" w:line="116" w:lineRule="exact"/>
        <w:rPr>
          <w:rFonts w:ascii="Times New Roman" w:cs="Times New Roman" w:eastAsia="Times New Roman" w:hAnsi="Times New Roman"/>
          <w:sz w:val="18"/>
          <w:szCs w:val="18"/>
          <w:color w:val="auto"/>
        </w:rPr>
      </w:pPr>
    </w:p>
    <w:p>
      <w:pPr>
        <w:ind w:left="1300" w:right="200" w:hanging="442"/>
        <w:spacing w:after="0" w:line="275" w:lineRule="auto"/>
        <w:tabs>
          <w:tab w:leader="none" w:pos="13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clinical site procedures and requirements as well as regulatory requirements for conducting clinical trials during the pandemic.</w:t>
      </w:r>
    </w:p>
    <w:p>
      <w:pPr>
        <w:spacing w:after="0" w:line="146"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We may be required to develop and implement additional clinical trial policies and procedures designed to help protect subjects from the COVID-19 virus. For example, in March 2020, the FDA issued a guidance, which the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clinical trial, and any disruption of the clinical trial as a result of the COVID-19 pandemic; a list of all subjects affected by the COVID-19-pandemic related study disruption by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study, alternative procedures used to collect critical safety and/or efficacy data) on the safety and efficacy results reported for the clinical trial. In June 2020, FDA also issued a guidance on good manufacturing practice considerations for responding to COVID-19 infection in employees in drug products manufacturing, including recommendations for manufacturing controls to prevent contamination of drugs.</w:t>
      </w:r>
    </w:p>
    <w:p>
      <w:pPr>
        <w:spacing w:after="0" w:line="176"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The COVID-19 pandemic continues to develop rapidly, with the status of operations and government restrictions evolving weekly. The extent to which the outbreak impacts our business, nonclinical studies and clinical trials will depend on future developments, which are highly uncertain and cannot be predicted with confidence, such as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172"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The trading prices for shares of other biopharmaceutical companies have been highly volatile as a result of the COVID-19 pandemic and the trading prices for shares of our common stock could also experience high volatility. As a result, we may face difficulties raising capital through sales of our common stock or such sales may be on unfavorable terms. In addition, a recession, depression or other sustained adverse market event resulting from the spread of COVID-19 could materially and adversely affect our business and the value of our common stock.</w:t>
      </w:r>
    </w:p>
    <w:p>
      <w:pPr>
        <w:spacing w:after="0" w:line="172"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The ultimate impact of the COVID-19 pandemic on our business operations is highly uncertain and subject to change and will depend on future developments, which cannot be accurately predicted, including the duration of the pandemic, the ultimate geographic spread of the disease, additional or modified government actions, new information that will emerge concerning the severity and impact of COVID-19 and the actions taken to contain COVID-19 or address its impact in the short and long term, among others. We do not yet know the full extent of potential delays or impacts on our business, our clinical trials, our research programs, healthcare systems or the global economy. We will continue to monitor the situation closely.</w:t>
      </w:r>
    </w:p>
    <w:p>
      <w:pPr>
        <w:spacing w:after="0" w:line="174" w:lineRule="exact"/>
        <w:rPr>
          <w:sz w:val="20"/>
          <w:szCs w:val="20"/>
          <w:color w:val="auto"/>
        </w:rPr>
      </w:pPr>
    </w:p>
    <w:p>
      <w:pPr>
        <w:jc w:val="both"/>
        <w:ind w:right="60" w:firstLine="576"/>
        <w:spacing w:after="0" w:line="245" w:lineRule="auto"/>
        <w:rPr>
          <w:sz w:val="20"/>
          <w:szCs w:val="20"/>
          <w:color w:val="auto"/>
        </w:rPr>
      </w:pPr>
      <w:r>
        <w:rPr>
          <w:rFonts w:ascii="Arial" w:cs="Arial" w:eastAsia="Arial" w:hAnsi="Arial"/>
          <w:sz w:val="18"/>
          <w:szCs w:val="18"/>
          <w:color w:val="auto"/>
        </w:rPr>
        <w:t>In addition, our business could be significantly adversely affected by other business disruptions to us or our third-party providers that could seriously harm our potential future revenue and financial condition and increase our costs and expenses. Our operations, and those of our CROs, commercial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29" w:name="page30"/>
    <w:bookmarkEnd w:id="29"/>
    <w:p>
      <w:pPr>
        <w:spacing w:after="0" w:line="248" w:lineRule="auto"/>
        <w:rPr>
          <w:sz w:val="20"/>
          <w:szCs w:val="20"/>
          <w:color w:val="auto"/>
        </w:rPr>
      </w:pPr>
      <w:r>
        <w:rPr>
          <w:rFonts w:ascii="Arial" w:cs="Arial" w:eastAsia="Arial" w:hAnsi="Arial"/>
          <w:sz w:val="18"/>
          <w:szCs w:val="18"/>
          <w:color w:val="auto"/>
        </w:rPr>
        <w:t>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27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Risks Relating to Our Financial Position and Capital Needs</w:t>
      </w:r>
    </w:p>
    <w:p>
      <w:pPr>
        <w:spacing w:after="0" w:line="106" w:lineRule="exact"/>
        <w:rPr>
          <w:sz w:val="20"/>
          <w:szCs w:val="20"/>
          <w:color w:val="auto"/>
        </w:rPr>
      </w:pPr>
    </w:p>
    <w:p>
      <w:pPr>
        <w:ind w:right="260" w:firstLine="576"/>
        <w:spacing w:after="0" w:line="285"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significant losses for the foreseeable future.</w:t>
      </w:r>
    </w:p>
    <w:p>
      <w:pPr>
        <w:spacing w:after="0" w:line="21"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We have not generated any revenue from product sales and our product candidates will require substantial additional investment before they may provide us with any revenue. We had net losses of $5.2 million and $ 12.3 million for the year ended December 31, 2019 and the nine months ended September 30, 2020, respectively, and an accumulated deficit of $33.3 million as of September 30, 2020.</w:t>
      </w:r>
    </w:p>
    <w:p>
      <w:pPr>
        <w:spacing w:after="0" w:line="164" w:lineRule="exact"/>
        <w:rPr>
          <w:sz w:val="20"/>
          <w:szCs w:val="20"/>
          <w:color w:val="auto"/>
        </w:rPr>
      </w:pPr>
    </w:p>
    <w:p>
      <w:pPr>
        <w:ind w:right="320" w:firstLine="576"/>
        <w:spacing w:after="0" w:line="255" w:lineRule="auto"/>
        <w:rPr>
          <w:sz w:val="20"/>
          <w:szCs w:val="20"/>
          <w:color w:val="auto"/>
        </w:rPr>
      </w:pPr>
      <w:r>
        <w:rPr>
          <w:rFonts w:ascii="Arial" w:cs="Arial" w:eastAsia="Arial" w:hAnsi="Arial"/>
          <w:sz w:val="18"/>
          <w:szCs w:val="18"/>
          <w:color w:val="auto"/>
        </w:rPr>
        <w:t>We have devoted most of our financial resources to research and development, including our clinical and nonclinical development activities. To date, we have financed our operations primarily with proceeds from the sale and issuance of common stock, convertible preferred stock and convertible notes, and to a lesser extent from grant income and stock option exercises.</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expect to incur significant expenses and increasing operating losses for the foreseeable future as we:</w:t>
      </w:r>
    </w:p>
    <w:p>
      <w:pPr>
        <w:spacing w:after="0" w:line="104" w:lineRule="exact"/>
        <w:rPr>
          <w:sz w:val="20"/>
          <w:szCs w:val="20"/>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continue our research and nonclinical and clinical development of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expand the scope of our clinical studies for our current and prospective product candidates;</w:t>
      </w:r>
    </w:p>
    <w:p>
      <w:pPr>
        <w:spacing w:after="0" w:line="116" w:lineRule="exact"/>
        <w:rPr>
          <w:rFonts w:ascii="Times New Roman" w:cs="Times New Roman" w:eastAsia="Times New Roman" w:hAnsi="Times New Roman"/>
          <w:sz w:val="18"/>
          <w:szCs w:val="18"/>
          <w:color w:val="auto"/>
        </w:rPr>
      </w:pPr>
    </w:p>
    <w:p>
      <w:pPr>
        <w:ind w:left="1300" w:right="260" w:hanging="442"/>
        <w:spacing w:after="0" w:line="275" w:lineRule="auto"/>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initiate additional nonclinical, clinical or other studies for our product candidates, including any pivotal trials with respect to ATH-1017 for the treatment of mild-to-moderate AD in addition to LIFT-AD;</w:t>
      </w:r>
    </w:p>
    <w:p>
      <w:pPr>
        <w:spacing w:after="0" w:line="37" w:lineRule="exact"/>
        <w:rPr>
          <w:rFonts w:ascii="Times New Roman" w:cs="Times New Roman" w:eastAsia="Times New Roman" w:hAnsi="Times New Roman"/>
          <w:sz w:val="18"/>
          <w:szCs w:val="18"/>
          <w:color w:val="auto"/>
        </w:rPr>
      </w:pPr>
    </w:p>
    <w:p>
      <w:pPr>
        <w:ind w:left="1300" w:right="360" w:hanging="442"/>
        <w:spacing w:after="0" w:line="275" w:lineRule="auto"/>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change or add additional manufacturers or suppliers and manufacture drug supply and drug product for clinical trials and commercialization;</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and marketing approvals for any of our product candidates that successfully complete clinical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attract, hire and retain additional personnel;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operate as a public company;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relocate to our new facility and build out lab space;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seek to identify and validate additional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acquire or in-license other product candidates and technologies;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make milestone or other payments under our in-license or other agreements;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maintain, protect and expand our intellectual property portfolio;</w:t>
      </w:r>
    </w:p>
    <w:p>
      <w:pPr>
        <w:spacing w:after="0" w:line="116" w:lineRule="exact"/>
        <w:rPr>
          <w:rFonts w:ascii="Times New Roman" w:cs="Times New Roman" w:eastAsia="Times New Roman" w:hAnsi="Times New Roman"/>
          <w:sz w:val="18"/>
          <w:szCs w:val="18"/>
          <w:color w:val="auto"/>
        </w:rPr>
      </w:pPr>
    </w:p>
    <w:p>
      <w:pPr>
        <w:ind w:left="1300" w:right="40" w:hanging="442"/>
        <w:spacing w:after="0" w:line="275" w:lineRule="auto"/>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sales, marketing and distribution infrastructure to commercialize any products for which we may obtain marketing approval;</w:t>
      </w:r>
    </w:p>
    <w:p>
      <w:pPr>
        <w:spacing w:after="0" w:line="37"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create additional infrastructure to support our operations and our product development and planned future commercialization efforts; and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experience any delays or encounter issues with any of the above.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0" w:name="page31"/>
    <w:bookmarkEnd w:id="30"/>
    <w:p>
      <w:pPr>
        <w:ind w:right="80" w:firstLine="576"/>
        <w:spacing w:after="0" w:line="248" w:lineRule="auto"/>
        <w:rPr>
          <w:sz w:val="20"/>
          <w:szCs w:val="20"/>
          <w:color w:val="auto"/>
        </w:rPr>
      </w:pPr>
      <w:r>
        <w:rPr>
          <w:rFonts w:ascii="Arial" w:cs="Arial" w:eastAsia="Arial" w:hAnsi="Arial"/>
          <w:sz w:val="18"/>
          <w:szCs w:val="18"/>
          <w:color w:val="auto"/>
        </w:rPr>
        <w:t>Our expenses could increase beyond expectations for a variety of reasons, including if we are required by the FDA, the European Medicines Agency, or EMA, or other regulatory agencies, domestic or foreign, to perform clinical and other studies in addition to those that we currently anticipate. Our prior losses, combined with expected future losses, have had and will continue to have an adverse effect on our stockholders’ equity.</w:t>
      </w:r>
    </w:p>
    <w:p>
      <w:pPr>
        <w:spacing w:after="0" w:line="278" w:lineRule="exact"/>
        <w:rPr>
          <w:sz w:val="20"/>
          <w:szCs w:val="20"/>
          <w:color w:val="auto"/>
        </w:rPr>
      </w:pPr>
    </w:p>
    <w:p>
      <w:pPr>
        <w:ind w:right="180" w:firstLine="576"/>
        <w:spacing w:after="0" w:line="260" w:lineRule="auto"/>
        <w:rPr>
          <w:sz w:val="20"/>
          <w:szCs w:val="20"/>
          <w:color w:val="auto"/>
        </w:rPr>
      </w:pPr>
      <w:r>
        <w:rPr>
          <w:rFonts w:ascii="Arial" w:cs="Arial" w:eastAsia="Arial" w:hAnsi="Arial"/>
          <w:sz w:val="18"/>
          <w:szCs w:val="18"/>
          <w:b w:val="1"/>
          <w:bCs w:val="1"/>
          <w:i w:val="1"/>
          <w:iCs w:val="1"/>
          <w:color w:val="auto"/>
        </w:rPr>
        <w:t>We will require substantial additional funding to finance our operations, complete the development and commercialization of ATH-1017, and evaluate other and future product candidates. If we are unable to raise this funding when needed, we may be forced to delay, reduce, or eliminate our product development programs or other operations.</w:t>
      </w:r>
    </w:p>
    <w:p>
      <w:pPr>
        <w:spacing w:after="0" w:line="43"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Since our inception, we have used substantial amounts of cash to fund our operations, and we expect our expenses to increase substantially in the foreseeable future in connection with our ongoing activities, particularly as we continue the research and development of, initiate clinical trials of, and seek marketing approval for, ATH-1017. Developing ATH-1017 and conducting clinical trials for the treatment of AD, PDD, and any other indications that we may pursue in the future will require substantial amounts of capital. In addition, if we obtain marketing approval for ATH-1017 or any future product candidates, we expect to incur significant commercialization expenses related to sales, marketing, manufacturing, and distribution. Furthermore, we expect to continue to incur additional costs associated with operating as a public company.</w:t>
      </w:r>
    </w:p>
    <w:p>
      <w:pPr>
        <w:spacing w:after="0" w:line="179" w:lineRule="exact"/>
        <w:rPr>
          <w:sz w:val="20"/>
          <w:szCs w:val="20"/>
          <w:color w:val="auto"/>
        </w:rPr>
      </w:pPr>
    </w:p>
    <w:p>
      <w:pPr>
        <w:ind w:right="120" w:firstLine="576"/>
        <w:spacing w:after="0" w:line="243" w:lineRule="auto"/>
        <w:rPr>
          <w:sz w:val="20"/>
          <w:szCs w:val="20"/>
          <w:color w:val="auto"/>
        </w:rPr>
      </w:pPr>
      <w:r>
        <w:rPr>
          <w:rFonts w:ascii="Arial" w:cs="Arial" w:eastAsia="Arial" w:hAnsi="Arial"/>
          <w:sz w:val="18"/>
          <w:szCs w:val="18"/>
          <w:color w:val="auto"/>
        </w:rPr>
        <w:t>Accordingly, we will need to obtain substantial additional funding in connection with our continuing operations. As of September 30, 2020, we had cash, cash equivalents, and investments of $259.9 million. Based upon our current operating plan, we estimate that our existing cash, cash equivalents, and investments will be sufficient to fund our operating expenses and capital expenditure requirements at least through 2022. However,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174" w:lineRule="exact"/>
        <w:rPr>
          <w:sz w:val="20"/>
          <w:szCs w:val="20"/>
          <w:color w:val="auto"/>
        </w:rPr>
      </w:pPr>
    </w:p>
    <w:p>
      <w:pPr>
        <w:ind w:right="600" w:firstLine="576"/>
        <w:spacing w:after="0" w:line="276" w:lineRule="auto"/>
        <w:rPr>
          <w:sz w:val="20"/>
          <w:szCs w:val="20"/>
          <w:color w:val="auto"/>
        </w:rPr>
      </w:pPr>
      <w:r>
        <w:rPr>
          <w:rFonts w:ascii="Arial" w:cs="Arial" w:eastAsia="Arial" w:hAnsi="Arial"/>
          <w:sz w:val="18"/>
          <w:szCs w:val="18"/>
          <w:color w:val="auto"/>
        </w:rPr>
        <w:t>The amount and timing of our future funding requirements depends on many factors, some of which are outside of our control, including but not limited to:</w:t>
      </w:r>
    </w:p>
    <w:p>
      <w:pPr>
        <w:spacing w:after="0" w:line="37" w:lineRule="exact"/>
        <w:rPr>
          <w:sz w:val="20"/>
          <w:szCs w:val="20"/>
          <w:color w:val="auto"/>
        </w:rPr>
      </w:pPr>
    </w:p>
    <w:p>
      <w:pPr>
        <w:ind w:left="1300" w:right="620" w:hanging="442"/>
        <w:spacing w:after="0" w:line="275" w:lineRule="auto"/>
        <w:tabs>
          <w:tab w:leader="none" w:pos="13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progress, costs, clinical trial design, results of and timing of our LIFT-AD trial and other clinical trials of ATH-1017, including for potential additional indications that we are pursuing beyond AD, such as PDD;</w:t>
      </w:r>
    </w:p>
    <w:p>
      <w:pPr>
        <w:spacing w:after="0" w:line="37"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FDA and EMA to accept our LIFT-AD trial, as well as data from our completed and planned clinical and nonclinical studies and other work, as the basis for review and approval of ATH-1017 for AD;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outcome, costs and timing of seeking and obtaining FDA, EMA and any other regulatory approvals;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and characteristics of product candidates that we pursue;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manufacture sufficient quantities of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our need to expand our research and development activities;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securing and establishing commercialization and manufacturing capabilities;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acquiring, licensing or investing in businesses, product candidates and technologies;</w:t>
      </w:r>
    </w:p>
    <w:p>
      <w:pPr>
        <w:spacing w:after="0" w:line="116" w:lineRule="exact"/>
        <w:rPr>
          <w:rFonts w:ascii="Times New Roman" w:cs="Times New Roman" w:eastAsia="Times New Roman" w:hAnsi="Times New Roman"/>
          <w:sz w:val="18"/>
          <w:szCs w:val="18"/>
          <w:color w:val="auto"/>
        </w:rPr>
      </w:pPr>
    </w:p>
    <w:p>
      <w:pPr>
        <w:ind w:left="1300" w:right="80" w:hanging="442"/>
        <w:spacing w:after="0" w:line="275" w:lineRule="auto"/>
        <w:tabs>
          <w:tab w:leader="none" w:pos="13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1" w:name="page32"/>
    <w:bookmarkEnd w:id="31"/>
    <w:p>
      <w:pPr>
        <w:ind w:left="1300"/>
        <w:spacing w:after="0" w:line="276" w:lineRule="auto"/>
        <w:rPr>
          <w:sz w:val="20"/>
          <w:szCs w:val="20"/>
          <w:color w:val="auto"/>
        </w:rPr>
      </w:pPr>
      <w:r>
        <w:rPr>
          <w:rFonts w:ascii="Arial" w:cs="Arial" w:eastAsia="Arial" w:hAnsi="Arial"/>
          <w:sz w:val="18"/>
          <w:szCs w:val="18"/>
          <w:color w:val="auto"/>
        </w:rPr>
        <w:t>may receive, in connection with the licensing, filing, prosecution, defense and enforcement of any patents or other intellectual property rights;</w:t>
      </w:r>
    </w:p>
    <w:p>
      <w:pPr>
        <w:spacing w:after="0" w:line="37" w:lineRule="exact"/>
        <w:rPr>
          <w:sz w:val="20"/>
          <w:szCs w:val="20"/>
          <w:color w:val="auto"/>
        </w:rPr>
      </w:pPr>
    </w:p>
    <w:p>
      <w:pPr>
        <w:ind w:left="1300" w:hanging="442"/>
        <w:spacing w:after="0"/>
        <w:tabs>
          <w:tab w:leader="none" w:pos="13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our need and ability to retain management and hire scientific, clinical and other personnel;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competing drugs and product candidates and other market developments;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our need to implement additional internal systems and infrastructure, including financial and reporting systems; and</w:t>
      </w:r>
    </w:p>
    <w:p>
      <w:pPr>
        <w:spacing w:after="0" w:line="116" w:lineRule="exact"/>
        <w:rPr>
          <w:rFonts w:ascii="Times New Roman" w:cs="Times New Roman" w:eastAsia="Times New Roman" w:hAnsi="Times New Roman"/>
          <w:sz w:val="18"/>
          <w:szCs w:val="18"/>
          <w:color w:val="auto"/>
        </w:rPr>
      </w:pPr>
    </w:p>
    <w:p>
      <w:pPr>
        <w:ind w:left="1300" w:right="360" w:hanging="442"/>
        <w:spacing w:after="0" w:line="275" w:lineRule="auto"/>
        <w:tabs>
          <w:tab w:leader="none" w:pos="13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economic and other terms, timing of and success of any collaboration, licensing or other arrangements into which we may enter in the future.</w:t>
      </w:r>
    </w:p>
    <w:p>
      <w:pPr>
        <w:spacing w:after="0" w:line="146" w:lineRule="exact"/>
        <w:rPr>
          <w:sz w:val="20"/>
          <w:szCs w:val="20"/>
          <w:color w:val="auto"/>
        </w:rPr>
      </w:pPr>
    </w:p>
    <w:p>
      <w:pPr>
        <w:ind w:right="100" w:firstLine="576"/>
        <w:spacing w:after="0" w:line="245" w:lineRule="auto"/>
        <w:rPr>
          <w:sz w:val="20"/>
          <w:szCs w:val="20"/>
          <w:color w:val="auto"/>
        </w:rPr>
      </w:pPr>
      <w:r>
        <w:rPr>
          <w:rFonts w:ascii="Arial" w:cs="Arial" w:eastAsia="Arial" w:hAnsi="Arial"/>
          <w:sz w:val="18"/>
          <w:szCs w:val="18"/>
          <w:color w:val="auto"/>
        </w:rPr>
        <w:t>Additional funding may not be available to us on acceptable terms or at all. Any such funding may result in dilution to stockholders, imposition of debt covenants and repayment obligations, or other restrictions that may affect our business. If we are unable to obtain funding on a timely basis, we may be required to significantly curtail one or more of our research or development programs. We also could be required to seek funds through arrangements with collaborative partners or otherwise that may require us to relinquish rights to some of our technologies or product candidates or otherwise agree to terms unfavorable to us.</w:t>
      </w:r>
    </w:p>
    <w:p>
      <w:pPr>
        <w:spacing w:after="0" w:line="28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04"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As of December 31, 2019, we had federal net operating loss carryforwards, or NOLs, to offset future taxable income of approximately $9.4 million and federal tax credit carryforwards of approximately $1.0 million. The federal NOLs generated during and after fiscal 2018 totaling $9.2 million are carried forward indefinitely, while all others, if not utilized, will expire in various years beginning in 2025. A lack of future taxable income would adversely affect our ability to utilize these NOLs. In addition, under Section 382 of the Code, a corporation that undergoes an “ownership change” is subject to limitations on its ability to utilize its NOLs to offset future taxable income. We may have already experienced one or more ownership changes. Depending on the timing of any future utilization of our NOLs and tax credit carryforwards, we may be limited as to the amount that can be utilized each year as a result of such previous ownership changes. However, we do not believe such limitations will cause our NOL and tax credit carryforwards to expire unutilized. In addition, future changes in our stock ownership as well as other changes that may be outside of our control, could result in additional ownership changes under Section 382 of the Code. Our NOLs may also be impaired under similar provisions of state law or limited pursuant to provisions of the Tax Cuts and Jobs Act amendments to the Code, as modified by the Coronavirus Aid, Relief, and Economic Security Act. We have recorded a full valuation allowance related to our NOLs and other deferred tax assets due to the uncertainty of the ultimate realization of the future benefits of those assets.</w:t>
      </w:r>
    </w:p>
    <w:p>
      <w:pPr>
        <w:spacing w:after="0" w:line="28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Risks Relating to Regulatory Approval and Other Legal Compliance Matters</w:t>
      </w:r>
    </w:p>
    <w:p>
      <w:pPr>
        <w:spacing w:after="0" w:line="106" w:lineRule="exact"/>
        <w:rPr>
          <w:sz w:val="20"/>
          <w:szCs w:val="20"/>
          <w:color w:val="auto"/>
        </w:rPr>
      </w:pPr>
    </w:p>
    <w:p>
      <w:pPr>
        <w:ind w:right="480" w:firstLine="576"/>
        <w:spacing w:after="0" w:line="251" w:lineRule="auto"/>
        <w:rPr>
          <w:sz w:val="20"/>
          <w:szCs w:val="20"/>
          <w:color w:val="auto"/>
        </w:rPr>
      </w:pPr>
      <w:r>
        <w:rPr>
          <w:rFonts w:ascii="Arial" w:cs="Arial" w:eastAsia="Arial" w:hAnsi="Arial"/>
          <w:sz w:val="18"/>
          <w:szCs w:val="18"/>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52" w:lineRule="exact"/>
        <w:rPr>
          <w:sz w:val="20"/>
          <w:szCs w:val="20"/>
          <w:color w:val="auto"/>
        </w:rPr>
      </w:pPr>
    </w:p>
    <w:p>
      <w:pPr>
        <w:ind w:right="320" w:firstLine="576"/>
        <w:spacing w:after="0" w:line="248"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marketing approval.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32" w:name="page33"/>
    <w:bookmarkEnd w:id="32"/>
    <w:p>
      <w:pPr>
        <w:ind w:right="100" w:firstLine="576"/>
        <w:spacing w:after="0" w:line="238" w:lineRule="auto"/>
        <w:rPr>
          <w:sz w:val="20"/>
          <w:szCs w:val="20"/>
          <w:color w:val="auto"/>
        </w:rPr>
      </w:pPr>
      <w:r>
        <w:rPr>
          <w:rFonts w:ascii="Arial" w:cs="Arial" w:eastAsia="Arial" w:hAnsi="Arial"/>
          <w:sz w:val="18"/>
          <w:szCs w:val="18"/>
          <w:color w:val="auto"/>
        </w:rPr>
        <w:t>Obtaining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Further, securing regulatory approval also requires the submission of information about the drug manufacturing process to, and inspection of manufacturing facilities by, the relevant regulatory authority. Regulatory authorities have substantial discretion in the approval process and may refuse to accept any application or may decide that our data are insufficient for approval and require additional nonclinical, clinical or other data. Even if we eventually complete clinical testing and receive approval for our product candidates, the FDA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the following:</w:t>
      </w:r>
    </w:p>
    <w:p>
      <w:pPr>
        <w:spacing w:after="0" w:line="104" w:lineRule="exact"/>
        <w:rPr>
          <w:sz w:val="20"/>
          <w:szCs w:val="20"/>
          <w:color w:val="auto"/>
        </w:rPr>
      </w:pPr>
    </w:p>
    <w:p>
      <w:pPr>
        <w:ind w:left="1300" w:right="280" w:hanging="442"/>
        <w:spacing w:after="0" w:line="275" w:lineRule="auto"/>
        <w:tabs>
          <w:tab w:leader="none" w:pos="13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other comparable foreign regulatory authorities may disagree with the design, implementation or results of our clinical trials;</w:t>
      </w:r>
    </w:p>
    <w:p>
      <w:pPr>
        <w:spacing w:after="0" w:line="37" w:lineRule="exact"/>
        <w:rPr>
          <w:rFonts w:ascii="Times New Roman" w:cs="Times New Roman" w:eastAsia="Times New Roman" w:hAnsi="Times New Roman"/>
          <w:sz w:val="18"/>
          <w:szCs w:val="18"/>
          <w:color w:val="auto"/>
        </w:rPr>
      </w:pPr>
    </w:p>
    <w:p>
      <w:pPr>
        <w:ind w:left="1300" w:right="460" w:hanging="442"/>
        <w:spacing w:after="0" w:line="255" w:lineRule="auto"/>
        <w:tabs>
          <w:tab w:leader="none" w:pos="13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other comparable foreign regulatory authorities may determine that our product candidates are not safe and effective or have undesirable or unintended side effects, toxicities or other characteristics that preclude our obtaining marketing approval or prevent or limit commercial use;</w:t>
      </w:r>
    </w:p>
    <w:p>
      <w:pPr>
        <w:spacing w:after="0" w:line="54" w:lineRule="exact"/>
        <w:rPr>
          <w:rFonts w:ascii="Times New Roman" w:cs="Times New Roman" w:eastAsia="Times New Roman" w:hAnsi="Times New Roman"/>
          <w:sz w:val="18"/>
          <w:szCs w:val="18"/>
          <w:color w:val="auto"/>
        </w:rPr>
      </w:pPr>
    </w:p>
    <w:p>
      <w:pPr>
        <w:ind w:left="1300" w:right="200" w:hanging="442"/>
        <w:spacing w:after="0" w:line="275" w:lineRule="auto"/>
        <w:tabs>
          <w:tab w:leader="none" w:pos="13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37" w:lineRule="exact"/>
        <w:rPr>
          <w:rFonts w:ascii="Times New Roman" w:cs="Times New Roman" w:eastAsia="Times New Roman" w:hAnsi="Times New Roman"/>
          <w:sz w:val="18"/>
          <w:szCs w:val="18"/>
          <w:color w:val="auto"/>
        </w:rPr>
      </w:pPr>
    </w:p>
    <w:p>
      <w:pPr>
        <w:ind w:left="1300" w:right="460" w:hanging="442"/>
        <w:spacing w:after="0" w:line="275" w:lineRule="auto"/>
        <w:tabs>
          <w:tab w:leader="none" w:pos="13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other comparable foreign regulatory authorities may disagree with our interpretation of data from nonclinical studies or clinical trials;</w:t>
      </w:r>
    </w:p>
    <w:p>
      <w:pPr>
        <w:spacing w:after="0" w:line="37" w:lineRule="exact"/>
        <w:rPr>
          <w:rFonts w:ascii="Times New Roman" w:cs="Times New Roman" w:eastAsia="Times New Roman" w:hAnsi="Times New Roman"/>
          <w:sz w:val="18"/>
          <w:szCs w:val="18"/>
          <w:color w:val="auto"/>
        </w:rPr>
      </w:pPr>
    </w:p>
    <w:p>
      <w:pPr>
        <w:ind w:left="1300" w:right="60" w:hanging="442"/>
        <w:spacing w:after="0" w:line="275" w:lineRule="auto"/>
        <w:tabs>
          <w:tab w:leader="none" w:pos="13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demonstrate to the FDA or other comparable foreign regulatory authorities that our product candidate’s risk-benefit ratio for its proposed indication is acceptable;</w:t>
      </w:r>
    </w:p>
    <w:p>
      <w:pPr>
        <w:spacing w:after="0" w:line="37" w:lineRule="exact"/>
        <w:rPr>
          <w:rFonts w:ascii="Times New Roman" w:cs="Times New Roman" w:eastAsia="Times New Roman" w:hAnsi="Times New Roman"/>
          <w:sz w:val="18"/>
          <w:szCs w:val="18"/>
          <w:color w:val="auto"/>
        </w:rPr>
      </w:pPr>
    </w:p>
    <w:p>
      <w:pPr>
        <w:ind w:left="1300" w:hanging="442"/>
        <w:spacing w:after="0" w:line="305" w:lineRule="auto"/>
        <w:tabs>
          <w:tab w:leader="none" w:pos="130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the FDA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15" w:lineRule="exact"/>
        <w:rPr>
          <w:rFonts w:ascii="Times New Roman" w:cs="Times New Roman" w:eastAsia="Times New Roman" w:hAnsi="Times New Roman"/>
          <w:sz w:val="17"/>
          <w:szCs w:val="17"/>
          <w:color w:val="auto"/>
        </w:rPr>
      </w:pPr>
    </w:p>
    <w:p>
      <w:pPr>
        <w:ind w:left="1300" w:right="40" w:hanging="442"/>
        <w:spacing w:after="0" w:line="275" w:lineRule="auto"/>
        <w:tabs>
          <w:tab w:leader="none" w:pos="13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policies or regulations of the FDA or other comparable foreign regulatory authorities may significantly change in a manner rendering our clinical data insufficient for approval.</w:t>
      </w:r>
    </w:p>
    <w:p>
      <w:pPr>
        <w:spacing w:after="0" w:line="146" w:lineRule="exact"/>
        <w:rPr>
          <w:sz w:val="20"/>
          <w:szCs w:val="20"/>
          <w:color w:val="auto"/>
        </w:rPr>
      </w:pPr>
    </w:p>
    <w:p>
      <w:pPr>
        <w:ind w:right="240" w:firstLine="576"/>
        <w:spacing w:after="0"/>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even if we obtain approval of our product candidates, regulatory authorities may approve any of our product candidates for fewer or more limited indications than we request, may impose significant limitations in the form of narrow indications, warnings, or a risk evaluation and mitigation strategy, or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3" w:name="page34"/>
    <w:bookmarkEnd w:id="33"/>
    <w:p>
      <w:pPr>
        <w:ind w:right="140" w:firstLine="576"/>
        <w:spacing w:after="0" w:line="248"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product candidates, which would significantly harm our business, results of operations and prospects.</w:t>
      </w:r>
    </w:p>
    <w:p>
      <w:pPr>
        <w:spacing w:after="0" w:line="278" w:lineRule="exact"/>
        <w:rPr>
          <w:sz w:val="20"/>
          <w:szCs w:val="20"/>
          <w:color w:val="auto"/>
        </w:rPr>
      </w:pPr>
    </w:p>
    <w:p>
      <w:pPr>
        <w:ind w:right="140" w:firstLine="576"/>
        <w:spacing w:after="0" w:line="251" w:lineRule="auto"/>
        <w:rPr>
          <w:sz w:val="20"/>
          <w:szCs w:val="20"/>
          <w:color w:val="auto"/>
        </w:rPr>
      </w:pPr>
      <w:r>
        <w:rPr>
          <w:rFonts w:ascii="Arial" w:cs="Arial" w:eastAsia="Arial" w:hAnsi="Arial"/>
          <w:sz w:val="18"/>
          <w:szCs w:val="18"/>
          <w:b w:val="1"/>
          <w:bCs w:val="1"/>
          <w:i w:val="1"/>
          <w:iCs w:val="1"/>
          <w:color w:val="auto"/>
        </w:rPr>
        <w:t>Our current or future product candidates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52" w:lineRule="exact"/>
        <w:rPr>
          <w:sz w:val="20"/>
          <w:szCs w:val="20"/>
          <w:color w:val="auto"/>
        </w:rPr>
      </w:pPr>
    </w:p>
    <w:p>
      <w:pPr>
        <w:ind w:right="160" w:firstLine="576"/>
        <w:spacing w:after="0" w:line="241" w:lineRule="auto"/>
        <w:rPr>
          <w:sz w:val="20"/>
          <w:szCs w:val="20"/>
          <w:color w:val="auto"/>
        </w:rPr>
      </w:pPr>
      <w:r>
        <w:rPr>
          <w:rFonts w:ascii="Arial" w:cs="Arial" w:eastAsia="Arial" w:hAnsi="Arial"/>
          <w:sz w:val="18"/>
          <w:szCs w:val="18"/>
          <w:color w:val="auto"/>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clinical trial or result in potential product liability claims. Any of these occurrences may harm our business, financial condition and prospects significantly.</w:t>
      </w:r>
    </w:p>
    <w:p>
      <w:pPr>
        <w:spacing w:after="0" w:line="179"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If our product candidates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clinical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179"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Patients in our clinical trials may in the future suffer significant adverse events or other side effects not observed in our nonclinical studies or previous clinical trials. Some of our product candidates may be used as chronic therapies or be used in populations for which safety concerns may be particularly scrutinized by regulatory agencies. In addition, if our product candidates are used in combination with other therapies, our product candidates may exacerbate adverse events associated with the therapy. Patients treated with our product candidates may also be undergoing separate treatments which can cause side effects or adverse events that are unrelated to our product candidate, but may still impact the success of our clinical trials. The inclusion of elderly patients in our clinical trials may result in deaths or other adverse medical events due to other therapies or medications that such patients may be using. If significant adverse events or other side effects are observed in any of our current or future clinical trials, we may have difficulty recruiting patients to the clinical trials, patients may drop out of our clinical trials, or we may be required to abandon the clinical trials or our development efforts of that product candidate altogether. We, the FDA other comparable regulatory authorities or an IRB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clinical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w:t>
      </w:r>
    </w:p>
    <w:p>
      <w:pPr>
        <w:spacing w:after="0" w:line="188" w:lineRule="exact"/>
        <w:rPr>
          <w:sz w:val="20"/>
          <w:szCs w:val="20"/>
          <w:color w:val="auto"/>
        </w:rPr>
      </w:pPr>
    </w:p>
    <w:p>
      <w:pPr>
        <w:ind w:right="80" w:firstLine="576"/>
        <w:spacing w:after="0" w:line="255" w:lineRule="auto"/>
        <w:rPr>
          <w:sz w:val="20"/>
          <w:szCs w:val="20"/>
          <w:color w:val="auto"/>
        </w:rPr>
      </w:pPr>
      <w:r>
        <w:rPr>
          <w:rFonts w:ascii="Arial" w:cs="Arial" w:eastAsia="Arial" w:hAnsi="Arial"/>
          <w:sz w:val="18"/>
          <w:szCs w:val="18"/>
          <w:color w:val="auto"/>
        </w:rPr>
        <w:t>Further, if any of our product candidates obtains marketing approval, toxicities associated with such product candidates and not seen during clinical testing may also develop after such approval and lead to a requirement to conduct additional clinical safety trials, additional contraindications, warnings and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4" w:name="page35"/>
    <w:bookmarkEnd w:id="34"/>
    <w:p>
      <w:pPr>
        <w:jc w:val="both"/>
        <w:ind w:right="80"/>
        <w:spacing w:after="0" w:line="255" w:lineRule="auto"/>
        <w:rPr>
          <w:sz w:val="20"/>
          <w:szCs w:val="20"/>
          <w:color w:val="auto"/>
        </w:rPr>
      </w:pPr>
      <w:r>
        <w:rPr>
          <w:rFonts w:ascii="Arial" w:cs="Arial" w:eastAsia="Arial" w:hAnsi="Arial"/>
          <w:sz w:val="18"/>
          <w:szCs w:val="18"/>
          <w:color w:val="auto"/>
        </w:rPr>
        <w:t>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nonclinical studies or early-stage clinical trials.</w:t>
      </w:r>
    </w:p>
    <w:p>
      <w:pPr>
        <w:spacing w:after="0" w:line="272" w:lineRule="exact"/>
        <w:rPr>
          <w:sz w:val="20"/>
          <w:szCs w:val="20"/>
          <w:color w:val="auto"/>
        </w:rPr>
      </w:pPr>
    </w:p>
    <w:p>
      <w:pPr>
        <w:ind w:right="160" w:firstLine="576"/>
        <w:spacing w:after="0" w:line="285"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21"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76"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282" w:lineRule="exact"/>
        <w:rPr>
          <w:sz w:val="20"/>
          <w:szCs w:val="20"/>
          <w:color w:val="auto"/>
        </w:rPr>
      </w:pPr>
    </w:p>
    <w:p>
      <w:pPr>
        <w:ind w:right="160" w:firstLine="576"/>
        <w:spacing w:after="0" w:line="260" w:lineRule="auto"/>
        <w:rPr>
          <w:sz w:val="20"/>
          <w:szCs w:val="20"/>
          <w:color w:val="auto"/>
        </w:rPr>
      </w:pPr>
      <w:r>
        <w:rPr>
          <w:rFonts w:ascii="Arial" w:cs="Arial" w:eastAsia="Arial" w:hAnsi="Arial"/>
          <w:sz w:val="18"/>
          <w:szCs w:val="18"/>
          <w:b w:val="1"/>
          <w:bCs w:val="1"/>
          <w:i w:val="1"/>
          <w:iCs w:val="1"/>
          <w:color w:val="auto"/>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43" w:lineRule="exact"/>
        <w:rPr>
          <w:sz w:val="20"/>
          <w:szCs w:val="20"/>
          <w:color w:val="auto"/>
        </w:rPr>
      </w:pPr>
    </w:p>
    <w:p>
      <w:pPr>
        <w:ind w:right="80" w:firstLine="576"/>
        <w:spacing w:after="0" w:line="239" w:lineRule="auto"/>
        <w:rPr>
          <w:sz w:val="20"/>
          <w:szCs w:val="20"/>
          <w:color w:val="auto"/>
        </w:rPr>
      </w:pPr>
      <w:r>
        <w:rPr>
          <w:rFonts w:ascii="Arial" w:cs="Arial" w:eastAsia="Arial" w:hAnsi="Arial"/>
          <w:sz w:val="18"/>
          <w:szCs w:val="18"/>
          <w:color w:val="auto"/>
        </w:rPr>
        <w:t>Any regulatory approvals that we receive for our product candidates will require surveillance to monitor the safety and efficacy of the product candidate.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current good manufacturing practice, or cGMP regulations, good laboratory practice, or GLP, regulations and good clinical practice, or GCP regulations, for any clinical trials that we conduct post-approval. Later discovery of previously unknown problems with our product candidates, including adverse events of unanticipated severity or frequency, or with our third-</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party manufacturers or manufacturing processes, or failure to comply with regulatory requirements, may result in, among other things:</w:t>
      </w:r>
    </w:p>
    <w:p>
      <w:pPr>
        <w:spacing w:after="0" w:line="104" w:lineRule="exact"/>
        <w:rPr>
          <w:sz w:val="20"/>
          <w:szCs w:val="20"/>
          <w:color w:val="auto"/>
        </w:rPr>
      </w:pPr>
    </w:p>
    <w:p>
      <w:pPr>
        <w:ind w:left="1300" w:right="520" w:hanging="442"/>
        <w:spacing w:after="0" w:line="275" w:lineRule="auto"/>
        <w:tabs>
          <w:tab w:leader="none" w:pos="13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37" w:lineRule="exact"/>
        <w:rPr>
          <w:rFonts w:ascii="Times New Roman" w:cs="Times New Roman" w:eastAsia="Times New Roman" w:hAnsi="Times New Roman"/>
          <w:sz w:val="18"/>
          <w:szCs w:val="18"/>
          <w:color w:val="auto"/>
        </w:rPr>
      </w:pPr>
    </w:p>
    <w:p>
      <w:pPr>
        <w:ind w:left="1300" w:right="100" w:hanging="442"/>
        <w:spacing w:after="0" w:line="275" w:lineRule="auto"/>
        <w:tabs>
          <w:tab w:leader="none" w:pos="13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spacing w:after="0" w:line="37" w:lineRule="exact"/>
        <w:rPr>
          <w:rFonts w:ascii="Times New Roman" w:cs="Times New Roman" w:eastAsia="Times New Roman" w:hAnsi="Times New Roman"/>
          <w:sz w:val="18"/>
          <w:szCs w:val="18"/>
          <w:color w:val="auto"/>
        </w:rPr>
      </w:pPr>
    </w:p>
    <w:p>
      <w:pPr>
        <w:ind w:left="1300" w:right="320" w:hanging="442"/>
        <w:spacing w:after="0" w:line="275" w:lineRule="auto"/>
        <w:tabs>
          <w:tab w:leader="none" w:pos="13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imposition of a REMS, which may include distribution or use restrictions;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fines, warning letters or holds on clinical trials;</w:t>
      </w:r>
    </w:p>
    <w:p>
      <w:pPr>
        <w:spacing w:after="0" w:line="116" w:lineRule="exact"/>
        <w:rPr>
          <w:rFonts w:ascii="Times New Roman" w:cs="Times New Roman" w:eastAsia="Times New Roman" w:hAnsi="Times New Roman"/>
          <w:sz w:val="18"/>
          <w:szCs w:val="18"/>
          <w:color w:val="auto"/>
        </w:rPr>
      </w:pPr>
    </w:p>
    <w:p>
      <w:pPr>
        <w:ind w:left="1300" w:right="280" w:hanging="442"/>
        <w:spacing w:after="0" w:line="275" w:lineRule="auto"/>
        <w:tabs>
          <w:tab w:leader="none" w:pos="13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24" w:lineRule="exact"/>
        <w:rPr>
          <w:sz w:val="20"/>
          <w:szCs w:val="20"/>
          <w:color w:val="auto"/>
        </w:rPr>
      </w:pPr>
    </w:p>
    <w:p>
      <w:pPr>
        <w:ind w:right="240" w:firstLine="576"/>
        <w:spacing w:after="0" w:line="245"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2"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74"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For example, certain policies of the current U.S. administration may impact our business and industry. Namely, the current U.S.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actions, including the Executive Orders, will be implemented, and the extent to which they will impact the FDA’s ability to exercise its regulatory authority. If these executive actions</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68" w:right="399" w:bottom="1440" w:gutter="0" w:footer="0" w:header="0"/>
        </w:sectPr>
      </w:pPr>
    </w:p>
    <w:bookmarkStart w:id="36" w:name="page37"/>
    <w:bookmarkEnd w:id="36"/>
    <w:p>
      <w:pPr>
        <w:ind w:right="760"/>
        <w:spacing w:after="0" w:line="276" w:lineRule="auto"/>
        <w:rPr>
          <w:sz w:val="20"/>
          <w:szCs w:val="20"/>
          <w:color w:val="auto"/>
        </w:rPr>
      </w:pPr>
      <w:r>
        <w:rPr>
          <w:rFonts w:ascii="Arial" w:cs="Arial" w:eastAsia="Arial" w:hAnsi="Arial"/>
          <w:sz w:val="18"/>
          <w:szCs w:val="18"/>
          <w:color w:val="auto"/>
        </w:rPr>
        <w:t>impose constraints on FDA’s ability to engage in oversight and implementation activities in the normal course, our business may be negatively impacted.</w:t>
      </w:r>
    </w:p>
    <w:p>
      <w:pPr>
        <w:spacing w:after="0" w:line="253" w:lineRule="exact"/>
        <w:rPr>
          <w:sz w:val="20"/>
          <w:szCs w:val="20"/>
          <w:color w:val="auto"/>
        </w:rPr>
      </w:pPr>
    </w:p>
    <w:p>
      <w:pPr>
        <w:ind w:right="60" w:firstLine="576"/>
        <w:spacing w:after="0" w:line="247" w:lineRule="auto"/>
        <w:rPr>
          <w:sz w:val="20"/>
          <w:szCs w:val="20"/>
          <w:color w:val="auto"/>
        </w:rPr>
      </w:pPr>
      <w:r>
        <w:rPr>
          <w:rFonts w:ascii="Arial" w:cs="Arial" w:eastAsia="Arial" w:hAnsi="Arial"/>
          <w:sz w:val="18"/>
          <w:szCs w:val="18"/>
          <w:b w:val="1"/>
          <w:bCs w:val="1"/>
          <w:i w:val="1"/>
          <w:iCs w:val="1"/>
          <w:color w:val="auto"/>
        </w:rPr>
        <w:t>Disruptions at the FDA, the Securities and Exchange Commission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55"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spacing w:after="0" w:line="174"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and products through April 2020. On March 18, 2020, the FDA announced its intention to temporarily postpone routine surveillance inspections of domestic manufacturing facilities and provided guidance regarding the conduct of clinical trials. In May 2020, FDA announced that it will continue to postpone domestic and foreign routine surveillance inspections due to COVID-19. While the FDA indicated that it will consider alternative methods for inspections and could exercise discretion on a case-by-case basis to approve products based on a desk review,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spacing w:after="0" w:line="288" w:lineRule="exact"/>
        <w:rPr>
          <w:sz w:val="20"/>
          <w:szCs w:val="20"/>
          <w:color w:val="auto"/>
        </w:rPr>
      </w:pPr>
    </w:p>
    <w:p>
      <w:pPr>
        <w:ind w:right="200" w:firstLine="576"/>
        <w:spacing w:after="0" w:line="244" w:lineRule="auto"/>
        <w:rPr>
          <w:sz w:val="20"/>
          <w:szCs w:val="20"/>
          <w:color w:val="auto"/>
        </w:rPr>
      </w:pPr>
      <w:r>
        <w:rPr>
          <w:rFonts w:ascii="Arial" w:cs="Arial" w:eastAsia="Arial" w:hAnsi="Arial"/>
          <w:sz w:val="18"/>
          <w:szCs w:val="18"/>
          <w:b w:val="1"/>
          <w:bCs w:val="1"/>
          <w:i w:val="1"/>
          <w:iCs w:val="1"/>
          <w:color w:val="auto"/>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60"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We may in the future seek an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37" w:name="page38"/>
    <w:bookmarkEnd w:id="37"/>
    <w:p>
      <w:pPr>
        <w:spacing w:after="0" w:line="245" w:lineRule="auto"/>
        <w:rPr>
          <w:sz w:val="20"/>
          <w:szCs w:val="20"/>
          <w:color w:val="auto"/>
        </w:rPr>
      </w:pPr>
      <w:r>
        <w:rPr>
          <w:rFonts w:ascii="Arial" w:cs="Arial" w:eastAsia="Arial" w:hAnsi="Arial"/>
          <w:sz w:val="18"/>
          <w:szCs w:val="18"/>
          <w:color w:val="auto"/>
        </w:rPr>
        <w:t>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172"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291" w:lineRule="exact"/>
        <w:rPr>
          <w:sz w:val="20"/>
          <w:szCs w:val="20"/>
          <w:color w:val="auto"/>
        </w:rPr>
      </w:pPr>
    </w:p>
    <w:p>
      <w:pPr>
        <w:ind w:firstLine="576"/>
        <w:spacing w:after="0" w:line="285" w:lineRule="auto"/>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 Healthcare legislative measures aimed at reducing healthcare costs may have a material adverse effect on our business and results of operations.</w:t>
      </w:r>
    </w:p>
    <w:p>
      <w:pPr>
        <w:spacing w:after="0" w:line="21" w:lineRule="exact"/>
        <w:rPr>
          <w:sz w:val="20"/>
          <w:szCs w:val="20"/>
          <w:color w:val="auto"/>
        </w:rPr>
      </w:pPr>
    </w:p>
    <w:p>
      <w:pPr>
        <w:ind w:right="460" w:firstLine="576"/>
        <w:spacing w:after="0" w:line="248"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w:t>
      </w:r>
    </w:p>
    <w:p>
      <w:pPr>
        <w:spacing w:after="0" w:line="62" w:lineRule="exact"/>
        <w:rPr>
          <w:sz w:val="20"/>
          <w:szCs w:val="20"/>
          <w:color w:val="auto"/>
        </w:rPr>
      </w:pPr>
    </w:p>
    <w:p>
      <w:pPr>
        <w:ind w:left="1300" w:hanging="442"/>
        <w:spacing w:after="0"/>
        <w:tabs>
          <w:tab w:leader="none" w:pos="13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changes to our manufacturing arrangements;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additions or modifications to product labeling;</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recall or discontinuation of our products; or</w:t>
      </w:r>
    </w:p>
    <w:p>
      <w:pPr>
        <w:spacing w:after="0" w:line="116" w:lineRule="exact"/>
        <w:rPr>
          <w:rFonts w:ascii="Times New Roman" w:cs="Times New Roman" w:eastAsia="Times New Roman" w:hAnsi="Times New Roman"/>
          <w:sz w:val="18"/>
          <w:szCs w:val="18"/>
          <w:color w:val="auto"/>
        </w:rPr>
      </w:pPr>
    </w:p>
    <w:p>
      <w:pPr>
        <w:ind w:left="1300" w:right="180" w:hanging="442"/>
        <w:spacing w:after="0" w:line="275" w:lineRule="auto"/>
        <w:tabs>
          <w:tab w:leader="none" w:pos="13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 record-keeping requirements. If any such changes were to be imposed, they could adversely affect the operation of our business.</w:t>
      </w:r>
    </w:p>
    <w:p>
      <w:pPr>
        <w:spacing w:after="0" w:line="146"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of 2010, or collectively, ACA, was passed, which substantially changed the way healthcare is financed by both governmental and private insurers, and significantly impacted the U.S. pharmaceutical industry. The ACA contained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Medicaid Drug Rebate Program requires pharmaceutical manufacturers to enter into and have in effect a national rebate agreement with the U.S. Department of Health and Human Services Secretary, or HHS Secretary, as a condition for states to receive federal matching funds for the manufacturer’s outpatient drugs furnished to Medicaid patients. The ACA made several changes to the Medicaid Drug Rebate Program, including increasing the minimum Medicaid rebates owed by manufacturers under the Medicaid Drug Rebate Program, extending the rebate program</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to individuals enrolled in Medicaid managed care organizations. The ACA also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In December 2020, the U.S. Centers for Medicare &amp; Medicaid Services (CMS) issued a final rule implementing significant manufacturer price reporting changes under the Medicaid Drug Rebate Program, including regulations that affect manufacturer-sponsored patient assistance programs subject to pharmacy benefit manager accumulator programs and Best Price reporting related to certain value-based purchasing arrangements.</w:t>
      </w:r>
    </w:p>
    <w:p>
      <w:pPr>
        <w:spacing w:after="0" w:line="180"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Members of the U.S. Congress and the Trump administration have expressed an intent to pass legislation or adopt executive orders to fundamentally change or repeal parts of the ACA. While Congress has not passed repeal legislation to date, the Tax Cuts and Jobs Act, or TCJA, repealed, effective January 1, 2019, the tax-based shared responsibility payment imposed by the ACA on certain individuals who fail to maintain qualifying health coverage for all or part of a year that is commonly referred to as the “individual mandate.” On December 14, 2018, a federal district court in Texas ruled the individual mandate is a critical and inseverable feature of the ACA, and therefore, because it was repealed as part of the TCJA, the remaining provisions of the ACA are invalid as well. The Trump Administration and CMS have both stated that the ruling will have no immediate effect, and on December 18, 2019, the Fifth Circuit U.S. Court of Appeals held that the individual mandate is unconstitutional, and remanded the case to the lower court to reconsider its earlier invalidation of the full ACA. On March 2, 2020, the United States Supreme Court granted the petitions for writs of certiorari to review this case, and held oral arguments in November 2020, although it is uncertain when a decision will be made or how the United States Supreme Court will rule. It is unclear how such litigation and other efforts to repeal and replace the ACA will be affected by the results of the U.S. general election in November 2020 and how such efforts will impact the ACA and our business. Litigation and legislation over the ACA are likely to continue, with unpredictable and uncertain results. We will continue to evaluate the effect that the ACA and its possible repeal and replacement has on our business. Complying with any new legislation or reversing changes implemented under the ACA could be time-intensive and expensive, resulting in a material adverse effect on our business.</w:t>
      </w:r>
    </w:p>
    <w:p>
      <w:pPr>
        <w:spacing w:after="0" w:line="188"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color w:val="auto"/>
        </w:rPr>
        <w:t>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Affordable Care Act. The Trump administration has concluded that cost-sharing reduction, or CSR, payments to insurance companies required under the ACA have not received necessary appropriations from Congress and announced that it will discontinue these payments immediately until those appropriations are made. The loss of the CSR payments is expected to increase premiums on certain policies issued by qualified health plans under the ACA. Several state Attorneys General filed suit to stop the administration from terminating the subsidies, but their request for a restraining order was denied by a federal judge in California on October 25, 2017. Further, on June 14, 2018, the U.S. Court of Appeals for the Federal Circuit ruled that the federal government was not required to pay to third-party payors more than $12 billion in ACA risk corridor payments that they argued were owed to them. This was appealed to the U.S. Supreme Court, who reversed the Federal Circuit’s decision on April 27, 2020, and ruled that the government must make risk corridor payments.</w:t>
      </w:r>
    </w:p>
    <w:p>
      <w:pPr>
        <w:spacing w:after="0" w:line="221" w:lineRule="exact"/>
        <w:rPr>
          <w:sz w:val="20"/>
          <w:szCs w:val="20"/>
          <w:color w:val="auto"/>
        </w:rPr>
      </w:pPr>
    </w:p>
    <w:p>
      <w:pPr>
        <w:ind w:right="160" w:firstLine="589"/>
        <w:spacing w:after="0" w:line="245" w:lineRule="auto"/>
        <w:rPr>
          <w:sz w:val="20"/>
          <w:szCs w:val="20"/>
          <w:color w:val="auto"/>
        </w:rPr>
      </w:pPr>
      <w:r>
        <w:rPr>
          <w:rFonts w:ascii="Arial" w:cs="Arial" w:eastAsia="Arial" w:hAnsi="Arial"/>
          <w:sz w:val="18"/>
          <w:szCs w:val="18"/>
          <w:color w:val="auto"/>
        </w:rPr>
        <w:t>Moreover, on January 22, 2018, President Trump signed a continuing resolution on appropriations for fiscal year 2018 that delayed the implementation of certain ACA-mandated fees, including the so called “Cadillac” tax on certain high cost employer-sponsored insurance plans, the annual fee imposed on certain health insurance providers based on market share, and the medical device excise tax on non-exempt medical devices; however on December 20, 2019, President Trump signed into law the Further Consolidated Appropriations Act (H.R. 1865), which repealed the Cadillac tax, the health insurance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9" w:name="page40"/>
    <w:bookmarkEnd w:id="39"/>
    <w:p>
      <w:pPr>
        <w:spacing w:after="0" w:line="238" w:lineRule="auto"/>
        <w:rPr>
          <w:sz w:val="20"/>
          <w:szCs w:val="20"/>
          <w:color w:val="auto"/>
        </w:rPr>
      </w:pPr>
      <w:r>
        <w:rPr>
          <w:rFonts w:ascii="Arial" w:cs="Arial" w:eastAsia="Arial" w:hAnsi="Arial"/>
          <w:sz w:val="18"/>
          <w:szCs w:val="18"/>
          <w:color w:val="auto"/>
        </w:rPr>
        <w:t>provider tax, and the medical device excise tax. It is impossible to determine whether similar taxes could be instated in the future. 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to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or ATRA, among other things, reduced Medicare payments to several providers, including hospitals, and increased the statute of limitations period for the government to recover overpayments to providers from three to five years. Other legislative changes include aggregate reductions to Medicare payments to providers of up to 2% per fiscal year pursuant to the Budget Control Act of 2011, which began in 2013 and will remain in effect through 2030 with the exception of a temporary suspension implemented under various COVID-19 relief legislation from May 1, 2020 through March 31, 2021, unless additional Congressional action is taken.</w:t>
      </w:r>
    </w:p>
    <w:p>
      <w:pPr>
        <w:spacing w:after="0" w:line="207" w:lineRule="exact"/>
        <w:rPr>
          <w:sz w:val="20"/>
          <w:szCs w:val="20"/>
          <w:color w:val="auto"/>
        </w:rPr>
      </w:pPr>
    </w:p>
    <w:p>
      <w:pPr>
        <w:ind w:firstLine="589"/>
        <w:spacing w:after="0" w:line="237" w:lineRule="auto"/>
        <w:rPr>
          <w:sz w:val="20"/>
          <w:szCs w:val="20"/>
          <w:color w:val="auto"/>
        </w:rPr>
      </w:pPr>
      <w:r>
        <w:rPr>
          <w:rFonts w:ascii="Arial" w:cs="Arial" w:eastAsia="Arial" w:hAnsi="Arial"/>
          <w:sz w:val="18"/>
          <w:szCs w:val="18"/>
          <w:color w:val="auto"/>
        </w:rPr>
        <w:t>In addition, other legislative changes have been proposed and adopted since the ACA was enacted. 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for fiscal year 2021 includes allowance to support legislative proposals seeking to reduce drug prices, increase competition, lower out-of-pocket drug costs for patients, and increase patient access to lower-cost generic and biosimilar drugs. Additionally,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On July 24, 2020 and September 13, 2020, the Trump administration announced several executive orders related to prescription drug pricing that seek to implement several of the administration's proposals. The FDA also released a final rule in September 2020 providing guidance for states to build and submit importation plans for drugs from Canada. Further, in November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It is unclear to what extent the results of the U.S. general election in November 2020 and these new regulations will affect these policies and what the effects will be on our business.</w:t>
      </w:r>
    </w:p>
    <w:p>
      <w:pPr>
        <w:spacing w:after="0" w:line="182"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16" w:right="379" w:bottom="1440" w:gutter="0" w:footer="0" w:header="0"/>
        </w:sectPr>
      </w:pPr>
    </w:p>
    <w:bookmarkStart w:id="40" w:name="page41"/>
    <w:bookmarkEnd w:id="40"/>
    <w:p>
      <w:pPr>
        <w:ind w:right="60" w:firstLine="576"/>
        <w:spacing w:after="0" w:line="248"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70"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64" w:lineRule="exact"/>
        <w:rPr>
          <w:sz w:val="20"/>
          <w:szCs w:val="20"/>
          <w:color w:val="auto"/>
        </w:rPr>
      </w:pPr>
    </w:p>
    <w:p>
      <w:pPr>
        <w:ind w:left="1300" w:hanging="442"/>
        <w:spacing w:after="0"/>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demand for our product candidates, if we obtain regulatory approval;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set a price that we believe is fair for our products;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coverage and reimbursement approval for a product;</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and achieve or maintain profitability;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taxes that we are required to pay;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capital.</w:t>
      </w:r>
    </w:p>
    <w:p>
      <w:pPr>
        <w:spacing w:after="0" w:line="224" w:lineRule="exact"/>
        <w:rPr>
          <w:sz w:val="20"/>
          <w:szCs w:val="20"/>
          <w:color w:val="auto"/>
        </w:rPr>
      </w:pPr>
    </w:p>
    <w:p>
      <w:pPr>
        <w:ind w:right="400" w:firstLine="576"/>
        <w:spacing w:after="0" w:line="276"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145"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and in additional downward pressure on the price that we receive for any approved product. Further, it is possible that additional governmental action is taken to address the COVID-19 pandemic.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Legislative and regulatory proposals have been made to expand post-approval requirements and restrict sales and promotional activities for biotechnology products. We cannot be sure to what extent the trajectory of these legislative and regulatory proposals will be affected by the results of the U.S. general election in November 2020, whether additional legislative changes will be enacted,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84" w:lineRule="exact"/>
        <w:rPr>
          <w:sz w:val="20"/>
          <w:szCs w:val="20"/>
          <w:color w:val="auto"/>
        </w:rPr>
      </w:pPr>
    </w:p>
    <w:p>
      <w:pPr>
        <w:ind w:right="160" w:firstLine="576"/>
        <w:spacing w:after="0" w:line="247"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55"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The laws that may affect our ability to operate include, but are not limited to:</w:t>
      </w:r>
    </w:p>
    <w:p>
      <w:pPr>
        <w:spacing w:after="0" w:line="104" w:lineRule="exact"/>
        <w:rPr>
          <w:sz w:val="20"/>
          <w:szCs w:val="20"/>
          <w:color w:val="auto"/>
        </w:rPr>
      </w:pPr>
    </w:p>
    <w:p>
      <w:pPr>
        <w:ind w:left="720" w:right="40" w:hanging="442"/>
        <w:spacing w:after="0" w:line="238" w:lineRule="auto"/>
        <w:tabs>
          <w:tab w:leader="none" w:pos="7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False Claims Act, or FCA. There are a number of statutory exceptions and regulatory safe harbors protecting some common activities from prosecution, but the exceptions and safe harbors are drawn narrowly and require strict compliance in order to offer protection.</w:t>
      </w:r>
    </w:p>
    <w:p>
      <w:pPr>
        <w:spacing w:after="0" w:line="74" w:lineRule="exact"/>
        <w:rPr>
          <w:rFonts w:ascii="Times New Roman" w:cs="Times New Roman" w:eastAsia="Times New Roman" w:hAnsi="Times New Roman"/>
          <w:sz w:val="18"/>
          <w:szCs w:val="18"/>
          <w:color w:val="auto"/>
        </w:rPr>
      </w:pPr>
    </w:p>
    <w:p>
      <w:pPr>
        <w:ind w:left="720" w:right="60" w:hanging="442"/>
        <w:spacing w:after="0" w:line="238" w:lineRule="auto"/>
        <w:tabs>
          <w:tab w:leader="none" w:pos="7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federal civil and criminal false claims laws, including the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w:t>
      </w:r>
    </w:p>
    <w:p>
      <w:pPr>
        <w:spacing w:after="0" w:line="76" w:lineRule="exact"/>
        <w:rPr>
          <w:rFonts w:ascii="Times New Roman" w:cs="Times New Roman" w:eastAsia="Times New Roman" w:hAnsi="Times New Roman"/>
          <w:sz w:val="18"/>
          <w:szCs w:val="18"/>
          <w:color w:val="auto"/>
        </w:rPr>
      </w:pPr>
    </w:p>
    <w:p>
      <w:pPr>
        <w:ind w:left="720" w:hanging="442"/>
        <w:spacing w:after="0"/>
        <w:tabs>
          <w:tab w:leader="none" w:pos="7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71" w:lineRule="exact"/>
        <w:rPr>
          <w:rFonts w:ascii="Times New Roman" w:cs="Times New Roman" w:eastAsia="Times New Roman" w:hAnsi="Times New Roman"/>
          <w:sz w:val="18"/>
          <w:szCs w:val="18"/>
          <w:color w:val="auto"/>
        </w:rPr>
      </w:pPr>
    </w:p>
    <w:p>
      <w:pPr>
        <w:ind w:left="720" w:right="20" w:hanging="442"/>
        <w:spacing w:after="0"/>
        <w:tabs>
          <w:tab w:leader="none" w:pos="7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7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80010</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60"/>
          </w:cols>
          <w:pgMar w:left="900" w:top="616" w:right="339" w:bottom="1440" w:gutter="0" w:footer="0" w:header="0"/>
        </w:sectPr>
      </w:pPr>
    </w:p>
    <w:bookmarkStart w:id="42" w:name="page43"/>
    <w:bookmarkEnd w:id="42"/>
    <w:p>
      <w:pPr>
        <w:ind w:left="1300" w:hanging="442"/>
        <w:spacing w:after="0" w:line="241" w:lineRule="auto"/>
        <w:tabs>
          <w:tab w:leader="none" w:pos="13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Effective January 1, 2022, these reporting obligations will extend to include payments and transfers of value made during the previous year to certain non-physician providers such as physician assistants and nurse practitioners.</w:t>
      </w:r>
    </w:p>
    <w:p>
      <w:pPr>
        <w:spacing w:after="0" w:line="69" w:lineRule="exact"/>
        <w:rPr>
          <w:rFonts w:ascii="Times New Roman" w:cs="Times New Roman" w:eastAsia="Times New Roman" w:hAnsi="Times New Roman"/>
          <w:sz w:val="18"/>
          <w:szCs w:val="18"/>
          <w:color w:val="auto"/>
        </w:rPr>
      </w:pPr>
    </w:p>
    <w:p>
      <w:pPr>
        <w:ind w:left="1300" w:right="360" w:hanging="442"/>
        <w:spacing w:after="0" w:line="275" w:lineRule="auto"/>
        <w:tabs>
          <w:tab w:leader="none" w:pos="13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37" w:lineRule="exact"/>
        <w:rPr>
          <w:rFonts w:ascii="Times New Roman" w:cs="Times New Roman" w:eastAsia="Times New Roman" w:hAnsi="Times New Roman"/>
          <w:sz w:val="18"/>
          <w:szCs w:val="18"/>
          <w:color w:val="auto"/>
        </w:rPr>
      </w:pPr>
    </w:p>
    <w:p>
      <w:pPr>
        <w:ind w:left="1300" w:hanging="442"/>
        <w:spacing w:after="0" w:line="238" w:lineRule="auto"/>
        <w:tabs>
          <w:tab w:leader="none" w:pos="13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182" w:lineRule="exact"/>
        <w:rPr>
          <w:sz w:val="20"/>
          <w:szCs w:val="20"/>
          <w:color w:val="auto"/>
        </w:rPr>
      </w:pPr>
    </w:p>
    <w:p>
      <w:pPr>
        <w:ind w:right="100" w:firstLine="576"/>
        <w:spacing w:after="0"/>
        <w:rPr>
          <w:sz w:val="20"/>
          <w:szCs w:val="20"/>
          <w:color w:val="auto"/>
        </w:rPr>
      </w:pPr>
      <w:r>
        <w:rPr>
          <w:rFonts w:ascii="Arial" w:cs="Arial" w:eastAsia="Arial" w:hAnsi="Arial"/>
          <w:sz w:val="18"/>
          <w:szCs w:val="18"/>
          <w:color w:val="auto"/>
        </w:rPr>
        <w:t>Because of the breadth of these laws and the narrowness of available statutory exceptions and regulatory safe harbors, it is possible that some of our business activities, including our advisory board arrangements with physicians, some of whom receive stock or stock options as compensation for services provided, and any sales and marketing activities after a product candidate has been approved for marketing in the United States, could be subject to legal challenge and enforcement actions. If our operations are found to be in violation of any of the federal and state laws described above or any other governmental regulations that apply to us, we may be subject to significant civil, criminal, and administrative penalties, including, without limitation, damages, fines, imprisonment, exclusion from participation in government healthcare programs,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284" w:lineRule="exact"/>
        <w:rPr>
          <w:sz w:val="20"/>
          <w:szCs w:val="20"/>
          <w:color w:val="auto"/>
        </w:rPr>
      </w:pPr>
    </w:p>
    <w:p>
      <w:pPr>
        <w:ind w:right="200" w:firstLine="576"/>
        <w:spacing w:after="0" w:line="260"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43"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88" w:lineRule="exact"/>
        <w:rPr>
          <w:sz w:val="20"/>
          <w:szCs w:val="20"/>
          <w:color w:val="auto"/>
        </w:rPr>
      </w:pPr>
    </w:p>
    <w:p>
      <w:pPr>
        <w:ind w:right="760" w:firstLine="576"/>
        <w:spacing w:after="0" w:line="285"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21" w:lineRule="exact"/>
        <w:rPr>
          <w:sz w:val="20"/>
          <w:szCs w:val="20"/>
          <w:color w:val="auto"/>
        </w:rPr>
      </w:pPr>
    </w:p>
    <w:p>
      <w:pPr>
        <w:jc w:val="both"/>
        <w:ind w:right="80" w:firstLine="576"/>
        <w:spacing w:after="0" w:line="243"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1" w:lineRule="exact"/>
        <w:rPr>
          <w:sz w:val="20"/>
          <w:szCs w:val="20"/>
          <w:color w:val="auto"/>
        </w:rPr>
      </w:pPr>
    </w:p>
    <w:p>
      <w:pPr>
        <w:ind w:right="520" w:firstLine="576"/>
        <w:spacing w:after="0" w:line="255"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72" w:lineRule="exact"/>
        <w:rPr>
          <w:sz w:val="20"/>
          <w:szCs w:val="20"/>
          <w:color w:val="auto"/>
        </w:rPr>
      </w:pPr>
    </w:p>
    <w:p>
      <w:pPr>
        <w:ind w:right="80" w:firstLine="576"/>
        <w:spacing w:after="0" w:line="285"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21"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44" w:name="page45"/>
    <w:bookmarkEnd w:id="44"/>
    <w:p>
      <w:pPr>
        <w:ind w:left="580"/>
        <w:spacing w:after="0"/>
        <w:rPr>
          <w:sz w:val="20"/>
          <w:szCs w:val="20"/>
          <w:color w:val="auto"/>
        </w:rPr>
      </w:pPr>
      <w:r>
        <w:rPr>
          <w:rFonts w:ascii="Arial" w:cs="Arial" w:eastAsia="Arial" w:hAnsi="Arial"/>
          <w:sz w:val="18"/>
          <w:szCs w:val="18"/>
          <w:b w:val="1"/>
          <w:bCs w:val="1"/>
          <w:color w:val="auto"/>
        </w:rPr>
        <w:t>Risks Relating to Our Reliance on Third Parties</w:t>
      </w:r>
    </w:p>
    <w:p>
      <w:pPr>
        <w:spacing w:after="0" w:line="106" w:lineRule="exact"/>
        <w:rPr>
          <w:sz w:val="20"/>
          <w:szCs w:val="20"/>
          <w:color w:val="auto"/>
        </w:rPr>
      </w:pPr>
    </w:p>
    <w:p>
      <w:pPr>
        <w:ind w:firstLine="576"/>
        <w:spacing w:after="0" w:line="260" w:lineRule="auto"/>
        <w:rPr>
          <w:sz w:val="20"/>
          <w:szCs w:val="20"/>
          <w:color w:val="auto"/>
        </w:rPr>
      </w:pPr>
      <w:r>
        <w:rPr>
          <w:rFonts w:ascii="Arial" w:cs="Arial" w:eastAsia="Arial" w:hAnsi="Arial"/>
          <w:sz w:val="18"/>
          <w:szCs w:val="18"/>
          <w:b w:val="1"/>
          <w:bCs w:val="1"/>
          <w:i w:val="1"/>
          <w:iCs w:val="1"/>
          <w:color w:val="auto"/>
        </w:rPr>
        <w:t>We plan to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43" w:lineRule="exact"/>
        <w:rPr>
          <w:sz w:val="20"/>
          <w:szCs w:val="20"/>
          <w:color w:val="auto"/>
        </w:rPr>
      </w:pPr>
    </w:p>
    <w:p>
      <w:pPr>
        <w:ind w:right="420" w:firstLine="576"/>
        <w:spacing w:after="0" w:line="276" w:lineRule="auto"/>
        <w:rPr>
          <w:sz w:val="20"/>
          <w:szCs w:val="20"/>
          <w:color w:val="auto"/>
        </w:rPr>
      </w:pPr>
      <w:r>
        <w:rPr>
          <w:rFonts w:ascii="Arial" w:cs="Arial" w:eastAsia="Arial" w:hAnsi="Arial"/>
          <w:sz w:val="18"/>
          <w:szCs w:val="18"/>
          <w:color w:val="auto"/>
        </w:rPr>
        <w:t>We plan to utilize and depend upon independent investigators and collaborators, such as medical institutions, CROs, CMOs, and strategic partners to conduct and support our nonclinical studies and clinical trials under agreements with us.</w:t>
      </w:r>
    </w:p>
    <w:p>
      <w:pPr>
        <w:spacing w:after="0" w:line="145"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We expect to have to negotiate budgets and contracts with CROs, clinical trial sites and CMOs and we may not be able to do so on favorable terms, which may result in delays to our development timelines and increased costs. We will rely heavily on these third parties over the course of our nonclinical studies and clinical trials, and we control only certain aspects of their activities. As a result, we will have less direct 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product candidates in clinical development. Regulatory authorities enforce these GCPs through periodic inspections of clinical trial sponsors, principal investigators and clinical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84" w:lineRule="exact"/>
        <w:rPr>
          <w:sz w:val="20"/>
          <w:szCs w:val="20"/>
          <w:color w:val="auto"/>
        </w:rPr>
      </w:pPr>
    </w:p>
    <w:p>
      <w:pPr>
        <w:ind w:right="20" w:firstLine="576"/>
        <w:spacing w:after="0" w:line="239" w:lineRule="auto"/>
        <w:rPr>
          <w:sz w:val="20"/>
          <w:szCs w:val="20"/>
          <w:color w:val="auto"/>
        </w:rPr>
      </w:pPr>
      <w:r>
        <w:rPr>
          <w:rFonts w:ascii="Arial" w:cs="Arial" w:eastAsia="Arial" w:hAnsi="Arial"/>
          <w:sz w:val="18"/>
          <w:szCs w:val="18"/>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product candidates.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180" w:lineRule="exact"/>
        <w:rPr>
          <w:sz w:val="20"/>
          <w:szCs w:val="20"/>
          <w:color w:val="auto"/>
        </w:rPr>
      </w:pPr>
    </w:p>
    <w:p>
      <w:pPr>
        <w:ind w:right="180" w:firstLine="576"/>
        <w:spacing w:after="0" w:line="255" w:lineRule="auto"/>
        <w:rPr>
          <w:sz w:val="20"/>
          <w:szCs w:val="20"/>
          <w:color w:val="auto"/>
        </w:rPr>
      </w:pPr>
      <w:r>
        <w:rPr>
          <w:rFonts w:ascii="Arial" w:cs="Arial" w:eastAsia="Arial" w:hAnsi="Arial"/>
          <w:sz w:val="18"/>
          <w:szCs w:val="18"/>
          <w:color w:val="auto"/>
        </w:rPr>
        <w:t>Switching or adding third parties to conduct our nonclinical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272" w:lineRule="exact"/>
        <w:rPr>
          <w:sz w:val="20"/>
          <w:szCs w:val="20"/>
          <w:color w:val="auto"/>
        </w:rPr>
      </w:pPr>
    </w:p>
    <w:p>
      <w:pPr>
        <w:ind w:right="260" w:firstLine="576"/>
        <w:spacing w:after="0" w:line="285"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for nonclinical studies and our clinical trials, and expect to continue to do so for additional clinical trials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45" w:name="page46"/>
    <w:bookmarkEnd w:id="45"/>
    <w:p>
      <w:pPr>
        <w:ind w:right="220"/>
        <w:spacing w:after="0" w:line="260" w:lineRule="auto"/>
        <w:rPr>
          <w:sz w:val="20"/>
          <w:szCs w:val="20"/>
          <w:color w:val="auto"/>
        </w:rPr>
      </w:pPr>
      <w:r>
        <w:rPr>
          <w:rFonts w:ascii="Arial" w:cs="Arial" w:eastAsia="Arial" w:hAnsi="Arial"/>
          <w:sz w:val="18"/>
          <w:szCs w:val="18"/>
          <w:b w:val="1"/>
          <w:bCs w:val="1"/>
          <w:i w:val="1"/>
          <w:iCs w:val="1"/>
          <w:color w:val="auto"/>
        </w:rPr>
        <w:t>ultimately for commercialization.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43"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nonclinical studies and clinical trials under the guidance of members of our organization. We do not have long-term supply agreements. Furthermore, the raw materials for our product candidates are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our products and product candidates will depend on the severity and duration of the spread of the virus, and the actions undertaken to contain COVID-19 or treat its effects. 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75" w:lineRule="exact"/>
        <w:rPr>
          <w:sz w:val="20"/>
          <w:szCs w:val="20"/>
          <w:color w:val="auto"/>
        </w:rPr>
      </w:pPr>
    </w:p>
    <w:p>
      <w:pPr>
        <w:ind w:left="1300" w:right="140" w:hanging="442"/>
        <w:spacing w:after="0" w:line="255" w:lineRule="auto"/>
        <w:tabs>
          <w:tab w:leader="none" w:pos="13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5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116" w:lineRule="exact"/>
        <w:rPr>
          <w:rFonts w:ascii="Times New Roman" w:cs="Times New Roman" w:eastAsia="Times New Roman" w:hAnsi="Times New Roman"/>
          <w:sz w:val="18"/>
          <w:szCs w:val="18"/>
          <w:color w:val="auto"/>
        </w:rPr>
      </w:pPr>
    </w:p>
    <w:p>
      <w:pPr>
        <w:ind w:left="1300" w:right="640" w:hanging="442"/>
        <w:spacing w:after="0" w:line="275" w:lineRule="auto"/>
        <w:tabs>
          <w:tab w:leader="none" w:pos="13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termination or nonrenewal of arrangements or agreements by our third-party contractors at a time that is costly or inconvenient for us;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breach by the third-party contractors of our agreements with them;</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116" w:lineRule="exact"/>
        <w:rPr>
          <w:rFonts w:ascii="Times New Roman" w:cs="Times New Roman" w:eastAsia="Times New Roman" w:hAnsi="Times New Roman"/>
          <w:sz w:val="18"/>
          <w:szCs w:val="18"/>
          <w:color w:val="auto"/>
        </w:rPr>
      </w:pPr>
    </w:p>
    <w:p>
      <w:pPr>
        <w:ind w:left="1300" w:right="140" w:hanging="442"/>
        <w:spacing w:after="0" w:line="275" w:lineRule="auto"/>
        <w:tabs>
          <w:tab w:leader="none" w:pos="13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37" w:lineRule="exact"/>
        <w:rPr>
          <w:rFonts w:ascii="Times New Roman" w:cs="Times New Roman" w:eastAsia="Times New Roman" w:hAnsi="Times New Roman"/>
          <w:sz w:val="18"/>
          <w:szCs w:val="18"/>
          <w:color w:val="auto"/>
        </w:rPr>
      </w:pPr>
    </w:p>
    <w:p>
      <w:pPr>
        <w:ind w:left="1300" w:right="40" w:hanging="442"/>
        <w:spacing w:after="0" w:line="275" w:lineRule="auto"/>
        <w:tabs>
          <w:tab w:leader="none" w:pos="13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misappropriation of our proprietary information, including our trade secrets and know-how.</w:t>
      </w:r>
    </w:p>
    <w:p>
      <w:pPr>
        <w:spacing w:after="0" w:line="224"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46" w:name="page47"/>
    <w:bookmarkEnd w:id="46"/>
    <w:p>
      <w:pPr>
        <w:ind w:right="60"/>
        <w:spacing w:after="0"/>
        <w:rPr>
          <w:sz w:val="20"/>
          <w:szCs w:val="20"/>
          <w:color w:val="auto"/>
        </w:rPr>
      </w:pPr>
      <w:r>
        <w:rPr>
          <w:rFonts w:ascii="Arial" w:cs="Arial" w:eastAsia="Arial" w:hAnsi="Arial"/>
          <w:sz w:val="18"/>
          <w:szCs w:val="18"/>
          <w:color w:val="auto"/>
        </w:rPr>
        <w:t>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 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spacing w:after="0" w:line="288" w:lineRule="exact"/>
        <w:rPr>
          <w:sz w:val="20"/>
          <w:szCs w:val="20"/>
          <w:color w:val="auto"/>
        </w:rPr>
      </w:pPr>
    </w:p>
    <w:p>
      <w:pPr>
        <w:jc w:val="both"/>
        <w:ind w:right="80" w:firstLine="576"/>
        <w:spacing w:after="0" w:line="260" w:lineRule="auto"/>
        <w:rPr>
          <w:sz w:val="20"/>
          <w:szCs w:val="20"/>
          <w:color w:val="auto"/>
        </w:rPr>
      </w:pPr>
      <w:r>
        <w:rPr>
          <w:rFonts w:ascii="Arial" w:cs="Arial" w:eastAsia="Arial" w:hAnsi="Arial"/>
          <w:sz w:val="18"/>
          <w:szCs w:val="18"/>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p>
    <w:p>
      <w:pPr>
        <w:spacing w:after="0" w:line="43"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291" w:lineRule="exact"/>
        <w:rPr>
          <w:sz w:val="20"/>
          <w:szCs w:val="20"/>
          <w:color w:val="auto"/>
        </w:rPr>
      </w:pPr>
    </w:p>
    <w:p>
      <w:pPr>
        <w:ind w:right="160" w:firstLine="576"/>
        <w:spacing w:after="0" w:line="285" w:lineRule="auto"/>
        <w:rPr>
          <w:sz w:val="20"/>
          <w:szCs w:val="20"/>
          <w:color w:val="auto"/>
        </w:rPr>
      </w:pPr>
      <w:r>
        <w:rPr>
          <w:rFonts w:ascii="Arial" w:cs="Arial" w:eastAsia="Arial" w:hAnsi="Arial"/>
          <w:sz w:val="18"/>
          <w:szCs w:val="18"/>
          <w:b w:val="1"/>
          <w:bCs w:val="1"/>
          <w:i w:val="1"/>
          <w:iCs w:val="1"/>
          <w:color w:val="auto"/>
        </w:rPr>
        <w:t>If our third-party manufacturers use hazardous materials in a manner that causes injury or violates applicable law, we may be liable for damages.</w:t>
      </w:r>
    </w:p>
    <w:p>
      <w:pPr>
        <w:spacing w:after="0" w:line="21"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288" w:lineRule="exact"/>
        <w:rPr>
          <w:sz w:val="20"/>
          <w:szCs w:val="20"/>
          <w:color w:val="auto"/>
        </w:rPr>
      </w:pPr>
    </w:p>
    <w:p>
      <w:pPr>
        <w:ind w:right="140" w:firstLine="576"/>
        <w:spacing w:after="0" w:line="260" w:lineRule="auto"/>
        <w:rPr>
          <w:sz w:val="20"/>
          <w:szCs w:val="20"/>
          <w:color w:val="auto"/>
        </w:rPr>
      </w:pPr>
      <w:r>
        <w:rPr>
          <w:rFonts w:ascii="Arial" w:cs="Arial" w:eastAsia="Arial" w:hAnsi="Arial"/>
          <w:sz w:val="18"/>
          <w:szCs w:val="18"/>
          <w:b w:val="1"/>
          <w:bCs w:val="1"/>
          <w:i w:val="1"/>
          <w:iCs w:val="1"/>
          <w:color w:val="auto"/>
        </w:rPr>
        <w:t>We may use strategic collaborations, licensing arrangements or partnerships to accelerate the development and maximize the commercial potential of our programs, and we may not realize the benefits of such collaborations, arrangements or partnerships.</w:t>
      </w:r>
    </w:p>
    <w:p>
      <w:pPr>
        <w:spacing w:after="0" w:line="43" w:lineRule="exact"/>
        <w:rPr>
          <w:sz w:val="20"/>
          <w:szCs w:val="20"/>
          <w:color w:val="auto"/>
        </w:rPr>
      </w:pPr>
    </w:p>
    <w:p>
      <w:pPr>
        <w:ind w:right="20" w:firstLine="576"/>
        <w:spacing w:after="0" w:line="276" w:lineRule="auto"/>
        <w:rPr>
          <w:sz w:val="20"/>
          <w:szCs w:val="20"/>
          <w:color w:val="auto"/>
        </w:rPr>
      </w:pPr>
      <w:r>
        <w:rPr>
          <w:rFonts w:ascii="Arial" w:cs="Arial" w:eastAsia="Arial" w:hAnsi="Arial"/>
          <w:sz w:val="18"/>
          <w:szCs w:val="18"/>
          <w:color w:val="auto"/>
        </w:rPr>
        <w:t>We own worldwide rights to ATH-1017 as well as our pipeline of small molecule candidates. Where appropriate, we may use strategic collaborations, licensing arrangements or partnerships to accelerate</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47" w:name="page48"/>
    <w:bookmarkEnd w:id="47"/>
    <w:p>
      <w:pPr>
        <w:ind w:right="240"/>
        <w:spacing w:after="0" w:line="255" w:lineRule="auto"/>
        <w:rPr>
          <w:sz w:val="20"/>
          <w:szCs w:val="20"/>
          <w:color w:val="auto"/>
        </w:rPr>
      </w:pPr>
      <w:r>
        <w:rPr>
          <w:rFonts w:ascii="Arial" w:cs="Arial" w:eastAsia="Arial" w:hAnsi="Arial"/>
          <w:sz w:val="18"/>
          <w:szCs w:val="18"/>
          <w:color w:val="auto"/>
        </w:rPr>
        <w:t>the development and maximize the commercial potential of our programs. Any of these relationships may require us to incur non-recurring and other charges, increase our near and long-term expenditures, issue securities that dilute our existing stockholders or disrupt our management and business.</w:t>
      </w:r>
    </w:p>
    <w:p>
      <w:pPr>
        <w:spacing w:after="0" w:line="164"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w:t>
      </w:r>
    </w:p>
    <w:p>
      <w:pPr>
        <w:spacing w:after="0" w:line="170"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9" w:lineRule="exact"/>
        <w:rPr>
          <w:sz w:val="20"/>
          <w:szCs w:val="20"/>
          <w:color w:val="auto"/>
        </w:rPr>
      </w:pPr>
    </w:p>
    <w:p>
      <w:pPr>
        <w:ind w:firstLine="576"/>
        <w:spacing w:after="0" w:line="276" w:lineRule="auto"/>
        <w:rPr>
          <w:sz w:val="20"/>
          <w:szCs w:val="20"/>
          <w:color w:val="auto"/>
        </w:rPr>
      </w:pPr>
      <w:r>
        <w:rPr>
          <w:rFonts w:ascii="Arial" w:cs="Arial" w:eastAsia="Arial" w:hAnsi="Arial"/>
          <w:sz w:val="18"/>
          <w:szCs w:val="18"/>
          <w:color w:val="auto"/>
        </w:rPr>
        <w:t>Even if we are successful in entering into collaborations involving our product candidates, these relationships are subject to numerous risks, which may include the following:</w:t>
      </w:r>
    </w:p>
    <w:p>
      <w:pPr>
        <w:spacing w:after="0" w:line="37" w:lineRule="exact"/>
        <w:rPr>
          <w:sz w:val="20"/>
          <w:szCs w:val="20"/>
          <w:color w:val="auto"/>
        </w:rPr>
      </w:pPr>
    </w:p>
    <w:p>
      <w:pPr>
        <w:ind w:left="1300" w:hanging="442"/>
        <w:spacing w:after="0"/>
        <w:tabs>
          <w:tab w:leader="none" w:pos="13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w:t>
      </w:r>
    </w:p>
    <w:p>
      <w:pPr>
        <w:spacing w:after="0" w:line="116" w:lineRule="exact"/>
        <w:rPr>
          <w:rFonts w:ascii="Times New Roman" w:cs="Times New Roman" w:eastAsia="Times New Roman" w:hAnsi="Times New Roman"/>
          <w:sz w:val="18"/>
          <w:szCs w:val="18"/>
          <w:color w:val="auto"/>
        </w:rPr>
      </w:pPr>
    </w:p>
    <w:p>
      <w:pPr>
        <w:ind w:left="1300" w:right="140" w:hanging="442"/>
        <w:spacing w:after="0" w:line="248" w:lineRule="auto"/>
        <w:tabs>
          <w:tab w:leader="none" w:pos="13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61" w:lineRule="exact"/>
        <w:rPr>
          <w:rFonts w:ascii="Times New Roman" w:cs="Times New Roman" w:eastAsia="Times New Roman" w:hAnsi="Times New Roman"/>
          <w:sz w:val="18"/>
          <w:szCs w:val="18"/>
          <w:color w:val="auto"/>
        </w:rPr>
      </w:pPr>
    </w:p>
    <w:p>
      <w:pPr>
        <w:ind w:left="1300" w:right="320" w:hanging="442"/>
        <w:spacing w:after="0" w:line="305" w:lineRule="auto"/>
        <w:tabs>
          <w:tab w:leader="none" w:pos="130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5" w:lineRule="exact"/>
        <w:rPr>
          <w:rFonts w:ascii="Times New Roman" w:cs="Times New Roman" w:eastAsia="Times New Roman" w:hAnsi="Times New Roman"/>
          <w:sz w:val="17"/>
          <w:szCs w:val="17"/>
          <w:color w:val="auto"/>
        </w:rPr>
      </w:pPr>
    </w:p>
    <w:p>
      <w:pPr>
        <w:ind w:left="1300" w:right="120" w:hanging="442"/>
        <w:spacing w:after="0" w:line="275" w:lineRule="auto"/>
        <w:tabs>
          <w:tab w:leader="none" w:pos="13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w:t>
      </w:r>
    </w:p>
    <w:p>
      <w:pPr>
        <w:spacing w:after="0" w:line="37" w:lineRule="exact"/>
        <w:rPr>
          <w:rFonts w:ascii="Times New Roman" w:cs="Times New Roman" w:eastAsia="Times New Roman" w:hAnsi="Times New Roman"/>
          <w:sz w:val="18"/>
          <w:szCs w:val="18"/>
          <w:color w:val="auto"/>
        </w:rPr>
      </w:pPr>
    </w:p>
    <w:p>
      <w:pPr>
        <w:ind w:left="1300" w:right="400" w:hanging="442"/>
        <w:spacing w:after="0" w:line="275" w:lineRule="auto"/>
        <w:tabs>
          <w:tab w:leader="none" w:pos="13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37" w:lineRule="exact"/>
        <w:rPr>
          <w:rFonts w:ascii="Times New Roman" w:cs="Times New Roman" w:eastAsia="Times New Roman" w:hAnsi="Times New Roman"/>
          <w:sz w:val="18"/>
          <w:szCs w:val="18"/>
          <w:color w:val="auto"/>
        </w:rPr>
      </w:pPr>
    </w:p>
    <w:p>
      <w:pPr>
        <w:ind w:left="1300" w:right="480" w:hanging="442"/>
        <w:spacing w:after="0" w:line="255" w:lineRule="auto"/>
        <w:tabs>
          <w:tab w:leader="none" w:pos="13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54" w:lineRule="exact"/>
        <w:rPr>
          <w:rFonts w:ascii="Times New Roman" w:cs="Times New Roman" w:eastAsia="Times New Roman" w:hAnsi="Times New Roman"/>
          <w:sz w:val="18"/>
          <w:szCs w:val="18"/>
          <w:color w:val="auto"/>
        </w:rPr>
      </w:pPr>
    </w:p>
    <w:p>
      <w:pPr>
        <w:ind w:left="1300" w:right="60" w:hanging="442"/>
        <w:spacing w:after="0" w:line="255" w:lineRule="auto"/>
        <w:tabs>
          <w:tab w:leader="none" w:pos="13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54"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and</w:t>
      </w:r>
    </w:p>
    <w:p>
      <w:pPr>
        <w:spacing w:after="0" w:line="37" w:lineRule="exact"/>
        <w:rPr>
          <w:rFonts w:ascii="Times New Roman" w:cs="Times New Roman" w:eastAsia="Times New Roman" w:hAnsi="Times New Roman"/>
          <w:sz w:val="18"/>
          <w:szCs w:val="18"/>
          <w:color w:val="auto"/>
        </w:rPr>
      </w:pPr>
    </w:p>
    <w:p>
      <w:pPr>
        <w:ind w:left="1300" w:right="300" w:hanging="442"/>
        <w:spacing w:after="0" w:line="275" w:lineRule="auto"/>
        <w:tabs>
          <w:tab w:leader="none" w:pos="13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48" w:name="page49"/>
    <w:bookmarkEnd w:id="48"/>
    <w:p>
      <w:pPr>
        <w:ind w:firstLine="576"/>
        <w:spacing w:after="0" w:line="241" w:lineRule="auto"/>
        <w:rPr>
          <w:sz w:val="20"/>
          <w:szCs w:val="20"/>
          <w:color w:val="auto"/>
        </w:rPr>
      </w:pPr>
      <w:r>
        <w:rPr>
          <w:rFonts w:ascii="Arial" w:cs="Arial" w:eastAsia="Arial" w:hAnsi="Arial"/>
          <w:sz w:val="18"/>
          <w:szCs w:val="18"/>
          <w:color w:val="auto"/>
        </w:rPr>
        <w:t>As a result, if we enter into additional strategic collaborations, licensing arrangements or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collaboration, licensing arrangement or partnership, we will achieve the revenue or specific net income that justifies such transaction. Any delays in entering into new strategic collaborations, licensing arrangements or partnerships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287" w:lineRule="exact"/>
        <w:rPr>
          <w:sz w:val="20"/>
          <w:szCs w:val="20"/>
          <w:color w:val="auto"/>
        </w:rPr>
      </w:pPr>
    </w:p>
    <w:p>
      <w:pPr>
        <w:ind w:right="840" w:firstLine="576"/>
        <w:spacing w:after="0" w:line="285"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21"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56" w:lineRule="exact"/>
        <w:rPr>
          <w:sz w:val="20"/>
          <w:szCs w:val="20"/>
          <w:color w:val="auto"/>
        </w:rPr>
      </w:pPr>
    </w:p>
    <w:p>
      <w:pPr>
        <w:ind w:left="1300" w:hanging="442"/>
        <w:spacing w:after="0"/>
        <w:tabs>
          <w:tab w:leader="none" w:pos="13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operating expenses and cash requirements;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assumption of additional indebtedness or contingent liabilities;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our equity securities;</w:t>
      </w:r>
    </w:p>
    <w:p>
      <w:pPr>
        <w:spacing w:after="0" w:line="116" w:lineRule="exact"/>
        <w:rPr>
          <w:rFonts w:ascii="Times New Roman" w:cs="Times New Roman" w:eastAsia="Times New Roman" w:hAnsi="Times New Roman"/>
          <w:sz w:val="18"/>
          <w:szCs w:val="18"/>
          <w:color w:val="auto"/>
        </w:rPr>
      </w:pPr>
    </w:p>
    <w:p>
      <w:pPr>
        <w:ind w:left="1300" w:right="260" w:hanging="442"/>
        <w:spacing w:after="0" w:line="275" w:lineRule="auto"/>
        <w:tabs>
          <w:tab w:leader="none" w:pos="13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37" w:lineRule="exact"/>
        <w:rPr>
          <w:rFonts w:ascii="Times New Roman" w:cs="Times New Roman" w:eastAsia="Times New Roman" w:hAnsi="Times New Roman"/>
          <w:sz w:val="18"/>
          <w:szCs w:val="18"/>
          <w:color w:val="auto"/>
        </w:rPr>
      </w:pPr>
    </w:p>
    <w:p>
      <w:pPr>
        <w:ind w:left="1300" w:right="40" w:hanging="442"/>
        <w:spacing w:after="0" w:line="275" w:lineRule="auto"/>
        <w:tabs>
          <w:tab w:leader="none" w:pos="13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diversion of our management’s attention from our existing programs and initiatives in pursuing such a strategic merger or acquisition;</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6" w:lineRule="exact"/>
        <w:rPr>
          <w:rFonts w:ascii="Times New Roman" w:cs="Times New Roman" w:eastAsia="Times New Roman" w:hAnsi="Times New Roman"/>
          <w:sz w:val="18"/>
          <w:szCs w:val="18"/>
          <w:color w:val="auto"/>
        </w:rPr>
      </w:pPr>
    </w:p>
    <w:p>
      <w:pPr>
        <w:ind w:left="1300" w:right="240" w:hanging="442"/>
        <w:spacing w:after="0" w:line="275" w:lineRule="auto"/>
        <w:tabs>
          <w:tab w:leader="none" w:pos="13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37" w:lineRule="exact"/>
        <w:rPr>
          <w:rFonts w:ascii="Times New Roman" w:cs="Times New Roman" w:eastAsia="Times New Roman" w:hAnsi="Times New Roman"/>
          <w:sz w:val="18"/>
          <w:szCs w:val="18"/>
          <w:color w:val="auto"/>
        </w:rPr>
      </w:pPr>
    </w:p>
    <w:p>
      <w:pPr>
        <w:ind w:left="1300" w:right="240" w:hanging="442"/>
        <w:spacing w:after="0" w:line="275" w:lineRule="auto"/>
        <w:tabs>
          <w:tab w:leader="none" w:pos="13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46" w:lineRule="exact"/>
        <w:rPr>
          <w:sz w:val="20"/>
          <w:szCs w:val="20"/>
          <w:color w:val="auto"/>
        </w:rPr>
      </w:pPr>
    </w:p>
    <w:p>
      <w:pPr>
        <w:ind w:right="260" w:firstLine="576"/>
        <w:spacing w:after="0" w:line="276" w:lineRule="auto"/>
        <w:rPr>
          <w:sz w:val="20"/>
          <w:szCs w:val="20"/>
          <w:color w:val="auto"/>
        </w:rPr>
      </w:pPr>
      <w:r>
        <w:rPr>
          <w:rFonts w:ascii="Arial" w:cs="Arial" w:eastAsia="Arial" w:hAnsi="Arial"/>
          <w:sz w:val="18"/>
          <w:szCs w:val="18"/>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25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Risks Relating to Our Ability to Commercialize our Product</w:t>
      </w:r>
    </w:p>
    <w:p>
      <w:pPr>
        <w:spacing w:after="0" w:line="106" w:lineRule="exact"/>
        <w:rPr>
          <w:sz w:val="20"/>
          <w:szCs w:val="20"/>
          <w:color w:val="auto"/>
        </w:rPr>
      </w:pPr>
    </w:p>
    <w:p>
      <w:pPr>
        <w:ind w:right="660" w:firstLine="589"/>
        <w:spacing w:after="0" w:line="285" w:lineRule="auto"/>
        <w:rPr>
          <w:sz w:val="20"/>
          <w:szCs w:val="20"/>
          <w:color w:val="auto"/>
        </w:rPr>
      </w:pPr>
      <w:r>
        <w:rPr>
          <w:rFonts w:ascii="Arial" w:cs="Arial" w:eastAsia="Arial" w:hAnsi="Arial"/>
          <w:sz w:val="18"/>
          <w:szCs w:val="18"/>
          <w:b w:val="1"/>
          <w:bCs w:val="1"/>
          <w:i w:val="1"/>
          <w:iCs w:val="1"/>
          <w:color w:val="auto"/>
        </w:rPr>
        <w:t>Even if approved, our product candidates may not achieve adequate market acceptance among physicians, patients, healthcare payors and others in the medical community necessary for commercial success.</w:t>
      </w:r>
    </w:p>
    <w:p>
      <w:pPr>
        <w:spacing w:after="0" w:line="21" w:lineRule="exact"/>
        <w:rPr>
          <w:sz w:val="20"/>
          <w:szCs w:val="20"/>
          <w:color w:val="auto"/>
        </w:rPr>
      </w:pPr>
    </w:p>
    <w:p>
      <w:pPr>
        <w:ind w:right="560" w:firstLine="576"/>
        <w:spacing w:after="0" w:line="255"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56" w:lineRule="exact"/>
        <w:rPr>
          <w:sz w:val="20"/>
          <w:szCs w:val="20"/>
          <w:color w:val="auto"/>
        </w:rPr>
      </w:pPr>
    </w:p>
    <w:p>
      <w:pPr>
        <w:ind w:left="1300" w:hanging="442"/>
        <w:spacing w:after="0"/>
        <w:tabs>
          <w:tab w:leader="none" w:pos="13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efficacy and safety profile as demonstrated in clinical trials compared to alternative treatments;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49" w:name="page50"/>
    <w:bookmarkEnd w:id="49"/>
    <w:p>
      <w:pPr>
        <w:ind w:left="1300" w:hanging="442"/>
        <w:spacing w:after="0"/>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clinical indications for which the product candidate is approved;</w:t>
      </w:r>
    </w:p>
    <w:p>
      <w:pPr>
        <w:spacing w:after="0" w:line="116" w:lineRule="exact"/>
        <w:rPr>
          <w:rFonts w:ascii="Times New Roman" w:cs="Times New Roman" w:eastAsia="Times New Roman" w:hAnsi="Times New Roman"/>
          <w:sz w:val="18"/>
          <w:szCs w:val="18"/>
          <w:color w:val="auto"/>
        </w:rPr>
      </w:pPr>
    </w:p>
    <w:p>
      <w:pPr>
        <w:ind w:left="1300" w:right="40" w:hanging="442"/>
        <w:spacing w:after="0" w:line="275" w:lineRule="auto"/>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use of our product candidates, such as boxed warnings or contraindications in labeling, or a REMS, if any, which may not be required of alternative treatments and competitor products;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treatment in relation to alternative treatments;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pricing and the availability of coverage and adequate reimbursement by third-party payors, including government authorities;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the approved product candidate for use as a combination therapy;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relative convenience and ease of administration;</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sales and marketing efforts;</w:t>
      </w:r>
    </w:p>
    <w:p>
      <w:pPr>
        <w:spacing w:after="0" w:line="116" w:lineRule="exact"/>
        <w:rPr>
          <w:rFonts w:ascii="Times New Roman" w:cs="Times New Roman" w:eastAsia="Times New Roman" w:hAnsi="Times New Roman"/>
          <w:sz w:val="18"/>
          <w:szCs w:val="18"/>
          <w:color w:val="auto"/>
        </w:rPr>
      </w:pPr>
    </w:p>
    <w:p>
      <w:pPr>
        <w:ind w:left="1300" w:right="320" w:hanging="442"/>
        <w:spacing w:after="0" w:line="275" w:lineRule="auto"/>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unfavorable publicity relating to our products or product candidates or similar approved products or product candidates in development by third parties; and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of other new therapies for the same indications.</w:t>
      </w:r>
    </w:p>
    <w:p>
      <w:pPr>
        <w:spacing w:after="0" w:line="224" w:lineRule="exact"/>
        <w:rPr>
          <w:sz w:val="20"/>
          <w:szCs w:val="20"/>
          <w:color w:val="auto"/>
        </w:rPr>
      </w:pPr>
    </w:p>
    <w:p>
      <w:pPr>
        <w:ind w:right="100" w:firstLine="576"/>
        <w:spacing w:after="0" w:line="255" w:lineRule="auto"/>
        <w:rPr>
          <w:sz w:val="20"/>
          <w:szCs w:val="20"/>
          <w:color w:val="auto"/>
        </w:rPr>
      </w:pPr>
      <w:r>
        <w:rPr>
          <w:rFonts w:ascii="Arial" w:cs="Arial" w:eastAsia="Arial" w:hAnsi="Arial"/>
          <w:sz w:val="18"/>
          <w:szCs w:val="18"/>
          <w:color w:val="auto"/>
        </w:rPr>
        <w:t>If any of our product candidates is approved but does not achieve an adequate level of acceptance by physicians, hospitals, healthcare payors and patients, we may not generate or derive sufficient revenue from that product candidate and our financial results could be negatively impacted.</w:t>
      </w:r>
    </w:p>
    <w:p>
      <w:pPr>
        <w:spacing w:after="0" w:line="272" w:lineRule="exact"/>
        <w:rPr>
          <w:sz w:val="20"/>
          <w:szCs w:val="20"/>
          <w:color w:val="auto"/>
        </w:rPr>
      </w:pPr>
    </w:p>
    <w:p>
      <w:pPr>
        <w:ind w:right="100" w:firstLine="576"/>
        <w:spacing w:after="0" w:line="285"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21" w:lineRule="exact"/>
        <w:rPr>
          <w:sz w:val="20"/>
          <w:szCs w:val="20"/>
          <w:color w:val="auto"/>
        </w:rPr>
      </w:pPr>
    </w:p>
    <w:p>
      <w:pPr>
        <w:ind w:right="360" w:firstLine="576"/>
        <w:spacing w:after="0" w:line="248" w:lineRule="auto"/>
        <w:rPr>
          <w:sz w:val="20"/>
          <w:szCs w:val="20"/>
          <w:color w:val="auto"/>
        </w:rPr>
      </w:pPr>
      <w:r>
        <w:rPr>
          <w:rFonts w:ascii="Arial" w:cs="Arial" w:eastAsia="Arial" w:hAnsi="Arial"/>
          <w:sz w:val="18"/>
          <w:szCs w:val="18"/>
          <w:color w:val="auto"/>
        </w:rPr>
        <w:t>We have never commercialized a product candidate. We may license certain rights with respect to our product candidates to collaborators, and, if so, we will rely on the assistance and guidance of those collaborators. For product candidates for which we retain commercialization rights and marketing approval, we will have to develop our own sales, marketing and supply organization or outsource these activities to a third party.</w:t>
      </w:r>
    </w:p>
    <w:p>
      <w:pPr>
        <w:spacing w:after="0" w:line="170" w:lineRule="exact"/>
        <w:rPr>
          <w:sz w:val="20"/>
          <w:szCs w:val="20"/>
          <w:color w:val="auto"/>
        </w:rPr>
      </w:pPr>
    </w:p>
    <w:p>
      <w:pPr>
        <w:ind w:right="100" w:firstLine="576"/>
        <w:spacing w:after="0"/>
        <w:rPr>
          <w:sz w:val="20"/>
          <w:szCs w:val="20"/>
          <w:color w:val="auto"/>
        </w:rPr>
      </w:pPr>
      <w:r>
        <w:rPr>
          <w:rFonts w:ascii="Arial" w:cs="Arial" w:eastAsia="Arial" w:hAnsi="Arial"/>
          <w:sz w:val="18"/>
          <w:szCs w:val="18"/>
          <w:color w:val="auto"/>
        </w:rPr>
        <w:t>Factors that may affect our ability to commercialize our product candidates, if approved, on our own include recruiting and retaining adequate numbers of effective sales and marketing personnel, developing adequate educational and marketing programs to increase public acceptance of our approved product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288" w:lineRule="exact"/>
        <w:rPr>
          <w:sz w:val="20"/>
          <w:szCs w:val="20"/>
          <w:color w:val="auto"/>
        </w:rPr>
      </w:pPr>
    </w:p>
    <w:p>
      <w:pPr>
        <w:ind w:right="800" w:firstLine="576"/>
        <w:spacing w:after="0" w:line="285" w:lineRule="auto"/>
        <w:rPr>
          <w:sz w:val="20"/>
          <w:szCs w:val="20"/>
          <w:color w:val="auto"/>
        </w:rPr>
      </w:pPr>
      <w:r>
        <w:rPr>
          <w:rFonts w:ascii="Arial" w:cs="Arial" w:eastAsia="Arial" w:hAnsi="Arial"/>
          <w:sz w:val="18"/>
          <w:szCs w:val="18"/>
          <w:b w:val="1"/>
          <w:bCs w:val="1"/>
          <w:i w:val="1"/>
          <w:iCs w:val="1"/>
          <w:color w:val="auto"/>
        </w:rPr>
        <w:t>If the market opportunity for any product candidate that we develop is smaller than we believe, our revenue may be adversely affected and our business may suffer.</w:t>
      </w:r>
    </w:p>
    <w:p>
      <w:pPr>
        <w:spacing w:after="0" w:line="21" w:lineRule="exact"/>
        <w:rPr>
          <w:sz w:val="20"/>
          <w:szCs w:val="20"/>
          <w:color w:val="auto"/>
        </w:rPr>
      </w:pPr>
    </w:p>
    <w:p>
      <w:pPr>
        <w:jc w:val="both"/>
        <w:ind w:firstLine="576"/>
        <w:spacing w:after="0" w:line="248" w:lineRule="auto"/>
        <w:rPr>
          <w:sz w:val="20"/>
          <w:szCs w:val="20"/>
          <w:color w:val="auto"/>
        </w:rPr>
      </w:pPr>
      <w:r>
        <w:rPr>
          <w:rFonts w:ascii="Arial" w:cs="Arial" w:eastAsia="Arial" w:hAnsi="Arial"/>
          <w:sz w:val="18"/>
          <w:szCs w:val="18"/>
          <w:color w:val="auto"/>
        </w:rPr>
        <w:t>We intend to initially focus our product candidate development on treatments for various CNS and peripheral disorder indications. The addressable patient populations that may benefit from treatment with our product candidates, if approved, are based on our estimates. These estimates, which have been derived from a variety of sources, including scientific literature, surveys of clinics, patient foundations and market research, may prove to be incorrect. Further, new studies may change the estimated incidence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50" w:name="page51"/>
    <w:bookmarkEnd w:id="50"/>
    <w:p>
      <w:pPr>
        <w:ind w:right="140"/>
        <w:spacing w:after="0"/>
        <w:rPr>
          <w:sz w:val="20"/>
          <w:szCs w:val="20"/>
          <w:color w:val="auto"/>
        </w:rPr>
      </w:pPr>
      <w:r>
        <w:rPr>
          <w:rFonts w:ascii="Arial" w:cs="Arial" w:eastAsia="Arial" w:hAnsi="Arial"/>
          <w:sz w:val="18"/>
          <w:szCs w:val="18"/>
          <w:color w:val="auto"/>
        </w:rPr>
        <w:t>prevalence of these CNS and peripheral disorders. Any regulatory approval of our product candidates would be limited to the therapeutic indications examined in our clinical trials and as determined by the FDA, which would not permit us to market our products for any other therapeutic indications not expressly approved by the FDA. Additionally, the potentially addressable patient population for our product candidates may not ultimately be amenable to treatment with our product candidates. Even if we receive regulatory approval for any of our product candidates, such approval could be conditioned upon label restrictions that materially limit the addressable patient population.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spacing w:after="0" w:line="288" w:lineRule="exact"/>
        <w:rPr>
          <w:sz w:val="20"/>
          <w:szCs w:val="20"/>
          <w:color w:val="auto"/>
        </w:rPr>
      </w:pPr>
    </w:p>
    <w:p>
      <w:pPr>
        <w:ind w:right="880" w:firstLine="576"/>
        <w:spacing w:after="0" w:line="285"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21"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We face an inherent risk of product liability as a result of the planned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72" w:lineRule="exact"/>
        <w:rPr>
          <w:sz w:val="20"/>
          <w:szCs w:val="20"/>
          <w:color w:val="auto"/>
        </w:rPr>
      </w:pPr>
    </w:p>
    <w:p>
      <w:pPr>
        <w:ind w:left="1300" w:hanging="442"/>
        <w:spacing w:after="0"/>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decreased demand for our product candidates or products that we may develop;</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injury to our reputation;</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withdrawal of clinical trial participants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initiation of investigations by regulators;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costs to defend the related litigation;</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diversion of management’s time and our resources;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 monetary awards to clinical trial participants or patients;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loss of revenue;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exhaustion of any available insurance and our capital resources;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to commercialize any product candidate;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 decline in our share price.</w:t>
      </w:r>
    </w:p>
    <w:p>
      <w:pPr>
        <w:spacing w:after="0" w:line="224" w:lineRule="exact"/>
        <w:rPr>
          <w:sz w:val="20"/>
          <w:szCs w:val="20"/>
          <w:color w:val="auto"/>
        </w:rPr>
      </w:pPr>
    </w:p>
    <w:p>
      <w:pPr>
        <w:ind w:right="80" w:firstLine="576"/>
        <w:spacing w:after="0" w:line="241" w:lineRule="auto"/>
        <w:rPr>
          <w:sz w:val="20"/>
          <w:szCs w:val="20"/>
          <w:color w:val="auto"/>
        </w:rPr>
      </w:pPr>
      <w:r>
        <w:rPr>
          <w:rFonts w:ascii="Arial" w:cs="Arial" w:eastAsia="Arial" w:hAnsi="Arial"/>
          <w:sz w:val="18"/>
          <w:szCs w:val="18"/>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51" w:name="page52"/>
    <w:bookmarkEnd w:id="51"/>
    <w:p>
      <w:pPr>
        <w:ind w:right="40" w:firstLine="576"/>
        <w:spacing w:after="0" w:line="251"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Our product candidates may become subject to unfavorable pricing regulations, third-party coverage and reimbursement practices, or healthcare reform initiatives, which would harm our business. Failure to obtain or maintain adequate coverage and reimbursement for new or current products could limit our ability to market those products and decrease our ability to generate revenue.</w:t>
      </w:r>
    </w:p>
    <w:p>
      <w:pPr>
        <w:spacing w:after="0" w:line="52"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17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spacing w:after="0" w:line="80" w:lineRule="exact"/>
        <w:rPr>
          <w:sz w:val="20"/>
          <w:szCs w:val="20"/>
          <w:color w:val="auto"/>
        </w:rPr>
      </w:pPr>
    </w:p>
    <w:p>
      <w:pPr>
        <w:ind w:left="1300" w:hanging="442"/>
        <w:spacing w:after="0"/>
        <w:tabs>
          <w:tab w:leader="none" w:pos="13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 covered benefit under its health plan;</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safe, effective and medically necessary;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appropriate for the specific patient;</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cost-effective;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neither experimental nor investigational.</w:t>
      </w:r>
    </w:p>
    <w:p>
      <w:pPr>
        <w:spacing w:after="0" w:line="224" w:lineRule="exact"/>
        <w:rPr>
          <w:sz w:val="20"/>
          <w:szCs w:val="20"/>
          <w:color w:val="auto"/>
        </w:rPr>
      </w:pPr>
    </w:p>
    <w:p>
      <w:pPr>
        <w:ind w:right="160" w:firstLine="576"/>
        <w:spacing w:after="0" w:line="243"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52" w:name="page53"/>
    <w:bookmarkEnd w:id="52"/>
    <w:p>
      <w:pPr>
        <w:ind w:right="240"/>
        <w:spacing w:after="0" w:line="276" w:lineRule="auto"/>
        <w:rPr>
          <w:sz w:val="20"/>
          <w:szCs w:val="20"/>
          <w:color w:val="auto"/>
        </w:rPr>
      </w:pPr>
      <w:r>
        <w:rPr>
          <w:rFonts w:ascii="Arial" w:cs="Arial" w:eastAsia="Arial" w:hAnsi="Arial"/>
          <w:sz w:val="18"/>
          <w:szCs w:val="18"/>
          <w:color w:val="auto"/>
        </w:rPr>
        <w:t>product candidates. Accordingly, in markets outside the United States, the reimbursement for products may be reduced compared with the United States and may be insufficient to generate commercially reasonable revenue and profits.</w:t>
      </w:r>
    </w:p>
    <w:p>
      <w:pPr>
        <w:spacing w:after="0" w:line="145"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spacing w:after="0" w:line="184"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operating results, our ability to raise capital needed to commercialize products and our overall financial condition.</w:t>
      </w:r>
    </w:p>
    <w:p>
      <w:pPr>
        <w:spacing w:after="0" w:line="172"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84" w:lineRule="exact"/>
        <w:rPr>
          <w:sz w:val="20"/>
          <w:szCs w:val="20"/>
          <w:color w:val="auto"/>
        </w:rPr>
      </w:pPr>
    </w:p>
    <w:p>
      <w:pPr>
        <w:ind w:right="520" w:firstLine="576"/>
        <w:spacing w:after="0" w:line="285" w:lineRule="auto"/>
        <w:rPr>
          <w:sz w:val="20"/>
          <w:szCs w:val="20"/>
          <w:color w:val="auto"/>
        </w:rPr>
      </w:pPr>
      <w:r>
        <w:rPr>
          <w:rFonts w:ascii="Arial" w:cs="Arial" w:eastAsia="Arial" w:hAnsi="Arial"/>
          <w:sz w:val="18"/>
          <w:szCs w:val="18"/>
          <w:b w:val="1"/>
          <w:bCs w:val="1"/>
          <w:i w:val="1"/>
          <w:iCs w:val="1"/>
          <w:color w:val="auto"/>
        </w:rPr>
        <w:t>A variety of risks associated with marketing our product candidates internationally may materially adversely affect our business.</w:t>
      </w:r>
    </w:p>
    <w:p>
      <w:pPr>
        <w:spacing w:after="0" w:line="21" w:lineRule="exact"/>
        <w:rPr>
          <w:sz w:val="20"/>
          <w:szCs w:val="20"/>
          <w:color w:val="auto"/>
        </w:rPr>
      </w:pPr>
    </w:p>
    <w:p>
      <w:pPr>
        <w:ind w:right="320" w:firstLine="576"/>
        <w:spacing w:after="0" w:line="276" w:lineRule="auto"/>
        <w:rPr>
          <w:sz w:val="20"/>
          <w:szCs w:val="20"/>
          <w:color w:val="auto"/>
        </w:rPr>
      </w:pPr>
      <w:r>
        <w:rPr>
          <w:rFonts w:ascii="Arial" w:cs="Arial" w:eastAsia="Arial" w:hAnsi="Arial"/>
          <w:sz w:val="18"/>
          <w:szCs w:val="18"/>
          <w:color w:val="auto"/>
        </w:rPr>
        <w:t>We plan to eventually seek regulatory approval of our product candidates outside of the United States and, accordingly, we expect that we will be subject to additional risks related to operating in foreign countries if we obtain the necessary approvals, including:</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3" w:name="page54"/>
    <w:bookmarkEnd w:id="53"/>
    <w:p>
      <w:pPr>
        <w:ind w:left="1300" w:right="80" w:hanging="442"/>
        <w:spacing w:after="0" w:line="275" w:lineRule="auto"/>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differing regulatory requirements in foreign countries, such as the lack of pathways for accelerated drug approval, may result in foreign regulatory approvals taking longer and being more costly than obtaining approval in the United States;</w:t>
      </w:r>
    </w:p>
    <w:p>
      <w:pPr>
        <w:spacing w:after="0" w:line="37"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foreign regulatory authorities may disagree with the design, implementation or results of our clinical trials or our interpretation of data from nonclinical studies or clinical trials;</w:t>
      </w:r>
    </w:p>
    <w:p>
      <w:pPr>
        <w:spacing w:after="0" w:line="37" w:lineRule="exact"/>
        <w:rPr>
          <w:rFonts w:ascii="Times New Roman" w:cs="Times New Roman" w:eastAsia="Times New Roman" w:hAnsi="Times New Roman"/>
          <w:sz w:val="18"/>
          <w:szCs w:val="18"/>
          <w:color w:val="auto"/>
        </w:rPr>
      </w:pPr>
    </w:p>
    <w:p>
      <w:pPr>
        <w:ind w:left="1300" w:right="220" w:hanging="442"/>
        <w:spacing w:after="0" w:line="275" w:lineRule="auto"/>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approval policies or regulations of foreign regulatory authorities may significantly change in a manner rendering our clinical data insufficient for approval;</w:t>
      </w:r>
    </w:p>
    <w:p>
      <w:pPr>
        <w:spacing w:after="0" w:line="37" w:lineRule="exact"/>
        <w:rPr>
          <w:rFonts w:ascii="Times New Roman" w:cs="Times New Roman" w:eastAsia="Times New Roman" w:hAnsi="Times New Roman"/>
          <w:sz w:val="18"/>
          <w:szCs w:val="18"/>
          <w:color w:val="auto"/>
        </w:rPr>
      </w:pPr>
    </w:p>
    <w:p>
      <w:pPr>
        <w:ind w:left="1300" w:right="520" w:hanging="442"/>
        <w:spacing w:after="0" w:line="275" w:lineRule="auto"/>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impact of the COVID-19 pandemic on our ability to produce our product candidates and conduct clinical trials in foreign countries;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legal requirements applicable to privacy, data protection, information security and other matters;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foreign taxes, including withholding of payroll taxes;</w:t>
      </w:r>
    </w:p>
    <w:p>
      <w:pPr>
        <w:spacing w:after="0" w:line="116"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staffing and managing foreign operations;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complexities associated with managing multiple payor reimbursement regimes and government payors in foreign countries;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116" w:lineRule="exact"/>
        <w:rPr>
          <w:rFonts w:ascii="Times New Roman" w:cs="Times New Roman" w:eastAsia="Times New Roman" w:hAnsi="Times New Roman"/>
          <w:sz w:val="18"/>
          <w:szCs w:val="18"/>
          <w:color w:val="auto"/>
        </w:rPr>
      </w:pPr>
    </w:p>
    <w:p>
      <w:pPr>
        <w:ind w:left="1300" w:right="120" w:hanging="442"/>
        <w:spacing w:after="0" w:line="275" w:lineRule="auto"/>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4" w:lineRule="exact"/>
        <w:rPr>
          <w:sz w:val="20"/>
          <w:szCs w:val="20"/>
          <w:color w:val="auto"/>
        </w:rPr>
      </w:pPr>
    </w:p>
    <w:p>
      <w:pPr>
        <w:ind w:right="760" w:firstLine="576"/>
        <w:spacing w:after="0" w:line="276" w:lineRule="auto"/>
        <w:rPr>
          <w:sz w:val="20"/>
          <w:szCs w:val="20"/>
          <w:color w:val="auto"/>
        </w:rPr>
      </w:pPr>
      <w:r>
        <w:rPr>
          <w:rFonts w:ascii="Arial" w:cs="Arial" w:eastAsia="Arial" w:hAnsi="Arial"/>
          <w:sz w:val="18"/>
          <w:szCs w:val="18"/>
          <w:color w:val="auto"/>
        </w:rPr>
        <w:t>These and other risks associated with international operations may materially adversely affect our ability to attain or maintain profitable operations.</w:t>
      </w:r>
    </w:p>
    <w:p>
      <w:pPr>
        <w:spacing w:after="0" w:line="25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104" w:lineRule="exact"/>
        <w:rPr>
          <w:sz w:val="20"/>
          <w:szCs w:val="20"/>
          <w:color w:val="auto"/>
        </w:rPr>
      </w:pPr>
    </w:p>
    <w:p>
      <w:pPr>
        <w:ind w:right="240" w:firstLine="576"/>
        <w:spacing w:after="0" w:line="248" w:lineRule="auto"/>
        <w:rPr>
          <w:sz w:val="20"/>
          <w:szCs w:val="20"/>
          <w:color w:val="auto"/>
        </w:rPr>
      </w:pPr>
      <w:r>
        <w:rPr>
          <w:rFonts w:ascii="Arial" w:cs="Arial" w:eastAsia="Arial" w:hAnsi="Arial"/>
          <w:sz w:val="18"/>
          <w:szCs w:val="18"/>
          <w:color w:val="auto"/>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may also seek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to protect our proprietary position by acquiring or in-licensing relevant issued patents or pending applications from third parties.</w:t>
      </w:r>
    </w:p>
    <w:p>
      <w:pPr>
        <w:spacing w:after="0" w:line="212" w:lineRule="exact"/>
        <w:rPr>
          <w:sz w:val="20"/>
          <w:szCs w:val="20"/>
          <w:color w:val="auto"/>
        </w:rPr>
      </w:pPr>
    </w:p>
    <w:p>
      <w:pPr>
        <w:ind w:right="240" w:firstLine="576"/>
        <w:spacing w:after="0" w:line="245"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any future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172" w:lineRule="exact"/>
        <w:rPr>
          <w:sz w:val="20"/>
          <w:szCs w:val="20"/>
          <w:color w:val="auto"/>
        </w:rPr>
      </w:pPr>
    </w:p>
    <w:p>
      <w:pPr>
        <w:ind w:right="260" w:firstLine="576"/>
        <w:spacing w:after="0" w:line="245"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Thus, the degree of future protection for our and any future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candidates could have a material adverse effect on our financial condition and results of operations.</w:t>
      </w:r>
    </w:p>
    <w:p>
      <w:pPr>
        <w:spacing w:after="0" w:line="172" w:lineRule="exact"/>
        <w:rPr>
          <w:sz w:val="20"/>
          <w:szCs w:val="20"/>
          <w:color w:val="auto"/>
        </w:rPr>
      </w:pPr>
    </w:p>
    <w:p>
      <w:pPr>
        <w:ind w:right="180" w:firstLine="576"/>
        <w:spacing w:after="0" w:line="243" w:lineRule="auto"/>
        <w:rPr>
          <w:sz w:val="20"/>
          <w:szCs w:val="20"/>
          <w:color w:val="auto"/>
        </w:rPr>
      </w:pPr>
      <w:r>
        <w:rPr>
          <w:rFonts w:ascii="Arial" w:cs="Arial" w:eastAsia="Arial" w:hAnsi="Arial"/>
          <w:sz w:val="18"/>
          <w:szCs w:val="18"/>
          <w:color w:val="auto"/>
        </w:rPr>
        <w:t>Our patent portfolio consists of eight owned or in-licensed U.S. issued patents, two owned or in-licensed U.S. pending patent applications, 13 owned or in-licensed patents issued in jurisdictions outside of the United States, and eight owned or in-licensed pending patent applications in jurisdictions outside of the United States. However, we cannot be certain that the claims in our U.S. pending patent applications, corresponding international patent applications, or those of any future licensors, will be considered patentable by the United States Patent and Trademark Office, or USPTO, courts in the United States or by the patent offices and courts in foreign countries, nor can we be certain that the claims in our owned or in-licensed patents will not be found invalid or unenforceable if challenged.</w:t>
      </w:r>
    </w:p>
    <w:p>
      <w:pPr>
        <w:spacing w:after="0" w:line="174" w:lineRule="exact"/>
        <w:rPr>
          <w:sz w:val="20"/>
          <w:szCs w:val="20"/>
          <w:color w:val="auto"/>
        </w:rPr>
      </w:pPr>
    </w:p>
    <w:p>
      <w:pPr>
        <w:ind w:right="220" w:firstLine="576"/>
        <w:spacing w:after="0" w:line="255"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56" w:lineRule="exact"/>
        <w:rPr>
          <w:sz w:val="20"/>
          <w:szCs w:val="20"/>
          <w:color w:val="auto"/>
        </w:rPr>
      </w:pPr>
    </w:p>
    <w:p>
      <w:pPr>
        <w:ind w:left="1300" w:right="560" w:hanging="442"/>
        <w:spacing w:after="0" w:line="248" w:lineRule="auto"/>
        <w:tabs>
          <w:tab w:leader="none" w:pos="13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patent applications may not result in any patents being issued;</w:t>
      </w:r>
    </w:p>
    <w:p>
      <w:pPr>
        <w:spacing w:after="0" w:line="116" w:lineRule="exact"/>
        <w:rPr>
          <w:rFonts w:ascii="Times New Roman" w:cs="Times New Roman" w:eastAsia="Times New Roman" w:hAnsi="Times New Roman"/>
          <w:sz w:val="18"/>
          <w:szCs w:val="18"/>
          <w:color w:val="auto"/>
        </w:rPr>
      </w:pPr>
    </w:p>
    <w:p>
      <w:pPr>
        <w:ind w:left="1300" w:right="220" w:hanging="442"/>
        <w:spacing w:after="0" w:line="275" w:lineRule="auto"/>
        <w:tabs>
          <w:tab w:leader="none" w:pos="13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37" w:lineRule="exact"/>
        <w:rPr>
          <w:rFonts w:ascii="Times New Roman" w:cs="Times New Roman" w:eastAsia="Times New Roman" w:hAnsi="Times New Roman"/>
          <w:sz w:val="18"/>
          <w:szCs w:val="18"/>
          <w:color w:val="auto"/>
        </w:rPr>
      </w:pPr>
    </w:p>
    <w:p>
      <w:pPr>
        <w:ind w:left="1300" w:right="180" w:hanging="442"/>
        <w:spacing w:after="0" w:line="255" w:lineRule="auto"/>
        <w:tabs>
          <w:tab w:leader="none" w:pos="13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54" w:lineRule="exact"/>
        <w:rPr>
          <w:rFonts w:ascii="Times New Roman" w:cs="Times New Roman" w:eastAsia="Times New Roman" w:hAnsi="Times New Roman"/>
          <w:sz w:val="18"/>
          <w:szCs w:val="18"/>
          <w:color w:val="auto"/>
        </w:rPr>
      </w:pPr>
    </w:p>
    <w:p>
      <w:pPr>
        <w:ind w:left="1300" w:hanging="442"/>
        <w:spacing w:after="0" w:line="255" w:lineRule="auto"/>
        <w:tabs>
          <w:tab w:leader="none" w:pos="13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54" w:lineRule="exact"/>
        <w:rPr>
          <w:rFonts w:ascii="Times New Roman" w:cs="Times New Roman" w:eastAsia="Times New Roman" w:hAnsi="Times New Roman"/>
          <w:sz w:val="18"/>
          <w:szCs w:val="18"/>
          <w:color w:val="auto"/>
        </w:rPr>
      </w:pPr>
    </w:p>
    <w:p>
      <w:pPr>
        <w:ind w:left="1300" w:right="200" w:hanging="442"/>
        <w:spacing w:after="0" w:line="275" w:lineRule="auto"/>
        <w:tabs>
          <w:tab w:leader="none" w:pos="13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46"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The patent prosecution process is also expensive and time-consuming, and we and any future licensors may not be able to file and prosecute all necessary or desirable patent applications at a reasonable cost or in a timely manner or in all jurisdictions where protection may be commercially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55" w:name="page56"/>
    <w:bookmarkEnd w:id="55"/>
    <w:p>
      <w:pPr>
        <w:ind w:right="500"/>
        <w:spacing w:after="0" w:line="276" w:lineRule="auto"/>
        <w:rPr>
          <w:sz w:val="20"/>
          <w:szCs w:val="20"/>
          <w:color w:val="auto"/>
        </w:rPr>
      </w:pPr>
      <w:r>
        <w:rPr>
          <w:rFonts w:ascii="Arial" w:cs="Arial" w:eastAsia="Arial" w:hAnsi="Arial"/>
          <w:sz w:val="18"/>
          <w:szCs w:val="18"/>
          <w:color w:val="auto"/>
        </w:rPr>
        <w:t>advantageous. It is also possible that we or any future licensors will fail to identify patentable aspects of our research and development output before it is too late to obtain patent protection.</w:t>
      </w:r>
    </w:p>
    <w:p>
      <w:pPr>
        <w:spacing w:after="0" w:line="145" w:lineRule="exact"/>
        <w:rPr>
          <w:sz w:val="20"/>
          <w:szCs w:val="20"/>
          <w:color w:val="auto"/>
        </w:rPr>
      </w:pPr>
    </w:p>
    <w:p>
      <w:pPr>
        <w:ind w:right="80" w:firstLine="576"/>
        <w:spacing w:after="0" w:line="248"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170" w:lineRule="exact"/>
        <w:rPr>
          <w:sz w:val="20"/>
          <w:szCs w:val="20"/>
          <w:color w:val="auto"/>
        </w:rPr>
      </w:pPr>
    </w:p>
    <w:p>
      <w:pPr>
        <w:ind w:right="200" w:firstLine="576"/>
        <w:spacing w:after="0" w:line="255"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272" w:lineRule="exact"/>
        <w:rPr>
          <w:sz w:val="20"/>
          <w:szCs w:val="20"/>
          <w:color w:val="auto"/>
        </w:rPr>
      </w:pPr>
    </w:p>
    <w:p>
      <w:pPr>
        <w:ind w:right="40" w:firstLine="576"/>
        <w:spacing w:after="0" w:line="285"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21" w:lineRule="exact"/>
        <w:rPr>
          <w:sz w:val="20"/>
          <w:szCs w:val="20"/>
          <w:color w:val="auto"/>
        </w:rPr>
      </w:pPr>
    </w:p>
    <w:p>
      <w:pPr>
        <w:ind w:right="120" w:firstLine="576"/>
        <w:spacing w:after="0" w:line="268" w:lineRule="auto"/>
        <w:rPr>
          <w:sz w:val="20"/>
          <w:szCs w:val="20"/>
          <w:color w:val="auto"/>
        </w:rPr>
      </w:pPr>
      <w:r>
        <w:rPr>
          <w:rFonts w:ascii="Arial" w:cs="Arial" w:eastAsia="Arial" w:hAnsi="Arial"/>
          <w:sz w:val="17"/>
          <w:szCs w:val="17"/>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any future licensors may not result in patents being issued which protect our product candidates or which effectively prevent others from commercializing competitive product candidates.</w:t>
      </w:r>
    </w:p>
    <w:p>
      <w:pPr>
        <w:spacing w:after="0" w:line="153"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any future licensors by developing similar or alternative technologies or products in a non-infringing manner which could materially adversely affect our business, financial condition, results of operations and prospects.</w:t>
      </w:r>
    </w:p>
    <w:p>
      <w:pPr>
        <w:spacing w:after="0" w:line="180"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 xml:space="preserve">The issuance of a patent is not conclusive as to its inventorship, scope, validity, or enforceability, and our patents or the patents of any future licensors may be challenged in the courts or patent offices in the United States and abroad. We may be subject to a third-party pre-issuance submission of prior art to the USPTO, or become involved in opposition, derivation, revocation, reexamination, post-grant review, or PGR,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IPR, or other similar proceedings challenging our patent rights. An adverse determination in any such submission, proceeding or litigation could reduce the scope of, or invalidate or render unenforceable, our patent rights, allow third parties to commercialize our product candidates and compete directly with us, without payment to us, or result in our inability to manufacture or commercialize products without infringing third-party patent rights. Moreover, our patents or the patents of any future licensors may become subject to post-grant challenge proceedings, such as oppositions in a foreign patent office, that challenge our claim of priority of invention or other features of patentability with respect to our patents and patent applications and those of any future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any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6" w:name="page57"/>
    <w:bookmarkEnd w:id="56"/>
    <w:p>
      <w:pPr>
        <w:ind w:right="460"/>
        <w:spacing w:after="0" w:line="276" w:lineRule="auto"/>
        <w:rPr>
          <w:sz w:val="20"/>
          <w:szCs w:val="20"/>
          <w:color w:val="auto"/>
        </w:rPr>
      </w:pPr>
      <w:r>
        <w:rPr>
          <w:rFonts w:ascii="Arial" w:cs="Arial" w:eastAsia="Arial" w:hAnsi="Arial"/>
          <w:sz w:val="18"/>
          <w:szCs w:val="18"/>
          <w:color w:val="auto"/>
        </w:rPr>
        <w:t>future licensors is threatened, regardless of the outcome, it could dissuade companies from collaborating with us to license, develop, or commercialize current or future product candidates.</w:t>
      </w:r>
    </w:p>
    <w:p>
      <w:pPr>
        <w:spacing w:after="0" w:line="253"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04" w:lineRule="exact"/>
        <w:rPr>
          <w:sz w:val="20"/>
          <w:szCs w:val="20"/>
          <w:color w:val="auto"/>
        </w:rPr>
      </w:pPr>
    </w:p>
    <w:p>
      <w:pPr>
        <w:ind w:right="540" w:firstLine="576"/>
        <w:spacing w:after="0" w:line="27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37" w:lineRule="exact"/>
        <w:rPr>
          <w:sz w:val="20"/>
          <w:szCs w:val="20"/>
          <w:color w:val="auto"/>
        </w:rPr>
      </w:pPr>
    </w:p>
    <w:p>
      <w:pPr>
        <w:ind w:left="1300" w:right="200" w:hanging="442"/>
        <w:spacing w:after="0" w:line="275" w:lineRule="auto"/>
        <w:tabs>
          <w:tab w:leader="none" w:pos="13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be able to develop products that are similar to our product candidates but that are not covered by the claims of the patents that we own or license;</w:t>
      </w:r>
    </w:p>
    <w:p>
      <w:pPr>
        <w:spacing w:after="0" w:line="37" w:lineRule="exact"/>
        <w:rPr>
          <w:rFonts w:ascii="Times New Roman" w:cs="Times New Roman" w:eastAsia="Times New Roman" w:hAnsi="Times New Roman"/>
          <w:sz w:val="18"/>
          <w:szCs w:val="18"/>
          <w:color w:val="auto"/>
        </w:rPr>
      </w:pPr>
    </w:p>
    <w:p>
      <w:pPr>
        <w:ind w:left="1300" w:right="600" w:hanging="442"/>
        <w:spacing w:after="0" w:line="275" w:lineRule="auto"/>
        <w:tabs>
          <w:tab w:leader="none" w:pos="13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we or any future licensors or collaborators might not have been the first to make the inventions covered by the issued patents or patent application that we own or license;</w:t>
      </w:r>
    </w:p>
    <w:p>
      <w:pPr>
        <w:spacing w:after="0" w:line="37" w:lineRule="exact"/>
        <w:rPr>
          <w:rFonts w:ascii="Times New Roman" w:cs="Times New Roman" w:eastAsia="Times New Roman" w:hAnsi="Times New Roman"/>
          <w:sz w:val="18"/>
          <w:szCs w:val="18"/>
          <w:color w:val="auto"/>
        </w:rPr>
      </w:pPr>
    </w:p>
    <w:p>
      <w:pPr>
        <w:ind w:left="1300" w:right="380" w:hanging="442"/>
        <w:spacing w:after="0" w:line="275" w:lineRule="auto"/>
        <w:tabs>
          <w:tab w:leader="none" w:pos="13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we or any future licensors or collaborators might not have been the first to file patent applications covering certain of our inventions;</w:t>
      </w:r>
    </w:p>
    <w:p>
      <w:pPr>
        <w:spacing w:after="0" w:line="37" w:lineRule="exact"/>
        <w:rPr>
          <w:rFonts w:ascii="Times New Roman" w:cs="Times New Roman" w:eastAsia="Times New Roman" w:hAnsi="Times New Roman"/>
          <w:sz w:val="18"/>
          <w:szCs w:val="18"/>
          <w:color w:val="auto"/>
        </w:rPr>
      </w:pPr>
    </w:p>
    <w:p>
      <w:pPr>
        <w:ind w:left="1300" w:right="160" w:hanging="442"/>
        <w:spacing w:after="0" w:line="275" w:lineRule="auto"/>
        <w:tabs>
          <w:tab w:leader="none" w:pos="13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it is possible that the pending patent applications we own or license will not lead to issued patents;</w:t>
      </w:r>
    </w:p>
    <w:p>
      <w:pPr>
        <w:spacing w:after="0" w:line="116" w:lineRule="exact"/>
        <w:rPr>
          <w:rFonts w:ascii="Times New Roman" w:cs="Times New Roman" w:eastAsia="Times New Roman" w:hAnsi="Times New Roman"/>
          <w:sz w:val="18"/>
          <w:szCs w:val="18"/>
          <w:color w:val="auto"/>
        </w:rPr>
      </w:pPr>
    </w:p>
    <w:p>
      <w:pPr>
        <w:ind w:left="1300" w:right="900" w:hanging="442"/>
        <w:spacing w:after="0" w:line="275" w:lineRule="auto"/>
        <w:tabs>
          <w:tab w:leader="none" w:pos="13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issued patents that we own or license may be held invalid or unenforceable, as a result of legal challenges by our competitors;</w:t>
      </w:r>
    </w:p>
    <w:p>
      <w:pPr>
        <w:spacing w:after="0" w:line="37" w:lineRule="exact"/>
        <w:rPr>
          <w:rFonts w:ascii="Times New Roman" w:cs="Times New Roman" w:eastAsia="Times New Roman" w:hAnsi="Times New Roman"/>
          <w:sz w:val="18"/>
          <w:szCs w:val="18"/>
          <w:color w:val="auto"/>
        </w:rPr>
      </w:pPr>
    </w:p>
    <w:p>
      <w:pPr>
        <w:ind w:left="1300" w:hanging="442"/>
        <w:spacing w:after="0" w:line="305" w:lineRule="auto"/>
        <w:tabs>
          <w:tab w:leader="none" w:pos="130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5" w:lineRule="exact"/>
        <w:rPr>
          <w:rFonts w:ascii="Times New Roman" w:cs="Times New Roman" w:eastAsia="Times New Roman" w:hAnsi="Times New Roman"/>
          <w:sz w:val="17"/>
          <w:szCs w:val="17"/>
          <w:color w:val="auto"/>
        </w:rPr>
      </w:pPr>
    </w:p>
    <w:p>
      <w:pPr>
        <w:ind w:left="1300" w:hanging="442"/>
        <w:spacing w:after="0"/>
        <w:tabs>
          <w:tab w:leader="none" w:pos="13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develop additional proprietary technologies that are patentable;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patents of others may have an adverse effect on our business; and</w:t>
      </w:r>
    </w:p>
    <w:p>
      <w:pPr>
        <w:spacing w:after="0" w:line="116" w:lineRule="exact"/>
        <w:rPr>
          <w:rFonts w:ascii="Times New Roman" w:cs="Times New Roman" w:eastAsia="Times New Roman" w:hAnsi="Times New Roman"/>
          <w:sz w:val="18"/>
          <w:szCs w:val="18"/>
          <w:color w:val="auto"/>
        </w:rPr>
      </w:pPr>
    </w:p>
    <w:p>
      <w:pPr>
        <w:ind w:left="1300" w:right="1060" w:hanging="442"/>
        <w:spacing w:after="0" w:line="275" w:lineRule="auto"/>
        <w:tabs>
          <w:tab w:leader="none" w:pos="13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4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320" w:lineRule="exact"/>
        <w:rPr>
          <w:sz w:val="20"/>
          <w:szCs w:val="20"/>
          <w:color w:val="auto"/>
        </w:rPr>
      </w:pPr>
    </w:p>
    <w:p>
      <w:pPr>
        <w:jc w:val="both"/>
        <w:ind w:right="40" w:firstLine="576"/>
        <w:spacing w:after="0" w:line="260"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43" w:lineRule="exact"/>
        <w:rPr>
          <w:sz w:val="20"/>
          <w:szCs w:val="20"/>
          <w:color w:val="auto"/>
        </w:rPr>
      </w:pPr>
    </w:p>
    <w:p>
      <w:pPr>
        <w:ind w:right="100" w:firstLine="576"/>
        <w:spacing w:after="0" w:line="239" w:lineRule="auto"/>
        <w:rPr>
          <w:sz w:val="20"/>
          <w:szCs w:val="20"/>
          <w:color w:val="auto"/>
        </w:rPr>
      </w:pPr>
      <w:r>
        <w:rPr>
          <w:rFonts w:ascii="Arial" w:cs="Arial" w:eastAsia="Arial" w:hAnsi="Arial"/>
          <w:sz w:val="18"/>
          <w:szCs w:val="18"/>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57" w:name="page58"/>
    <w:bookmarkEnd w:id="57"/>
    <w:p>
      <w:pPr>
        <w:ind w:right="20" w:firstLine="576"/>
        <w:spacing w:after="0" w:line="238" w:lineRule="auto"/>
        <w:rPr>
          <w:sz w:val="20"/>
          <w:szCs w:val="20"/>
          <w:color w:val="auto"/>
        </w:rPr>
      </w:pPr>
      <w:r>
        <w:rPr>
          <w:rFonts w:ascii="Arial" w:cs="Arial" w:eastAsia="Arial" w:hAnsi="Arial"/>
          <w:sz w:val="18"/>
          <w:szCs w:val="18"/>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75" w:lineRule="exact"/>
        <w:rPr>
          <w:sz w:val="20"/>
          <w:szCs w:val="20"/>
          <w:color w:val="auto"/>
        </w:rPr>
      </w:pPr>
    </w:p>
    <w:p>
      <w:pPr>
        <w:ind w:left="1300" w:hanging="442"/>
        <w:spacing w:after="0"/>
        <w:tabs>
          <w:tab w:leader="none" w:pos="13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result in costly litigation that may cause negative publicity;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divert the time and attention of our technical personnel and management;</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cause development delays;</w:t>
      </w:r>
    </w:p>
    <w:p>
      <w:pPr>
        <w:spacing w:after="0" w:line="116" w:lineRule="exact"/>
        <w:rPr>
          <w:rFonts w:ascii="Times New Roman" w:cs="Times New Roman" w:eastAsia="Times New Roman" w:hAnsi="Times New Roman"/>
          <w:sz w:val="18"/>
          <w:szCs w:val="18"/>
          <w:color w:val="auto"/>
        </w:rPr>
      </w:pPr>
    </w:p>
    <w:p>
      <w:pPr>
        <w:ind w:left="1300" w:right="280" w:hanging="442"/>
        <w:spacing w:after="0" w:line="275" w:lineRule="auto"/>
        <w:tabs>
          <w:tab w:leader="none" w:pos="13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prevent us from commercializing any of our product candidates until the asserted patent expires or is held finally invalid or not infringed in a court of law;</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subject us to significant liability to third parties; or</w:t>
      </w:r>
    </w:p>
    <w:p>
      <w:pPr>
        <w:spacing w:after="0" w:line="116" w:lineRule="exact"/>
        <w:rPr>
          <w:rFonts w:ascii="Times New Roman" w:cs="Times New Roman" w:eastAsia="Times New Roman" w:hAnsi="Times New Roman"/>
          <w:sz w:val="18"/>
          <w:szCs w:val="18"/>
          <w:color w:val="auto"/>
        </w:rPr>
      </w:pPr>
    </w:p>
    <w:p>
      <w:pPr>
        <w:ind w:left="1300" w:right="100" w:hanging="442"/>
        <w:spacing w:after="0" w:line="275" w:lineRule="auto"/>
        <w:tabs>
          <w:tab w:leader="none" w:pos="13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46"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Although no third party has asserted a claim of patent infringement against us as of the date of this prospectus, others may hold proprietary rights that could prevent our product candidates from being marketed.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product candidates, our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177" w:lineRule="exact"/>
        <w:rPr>
          <w:sz w:val="20"/>
          <w:szCs w:val="20"/>
          <w:color w:val="auto"/>
        </w:rPr>
      </w:pPr>
    </w:p>
    <w:p>
      <w:pPr>
        <w:ind w:right="40" w:firstLine="576"/>
        <w:spacing w:after="0" w:line="248" w:lineRule="auto"/>
        <w:rPr>
          <w:sz w:val="20"/>
          <w:szCs w:val="20"/>
          <w:color w:val="auto"/>
        </w:rPr>
      </w:pPr>
      <w:r>
        <w:rPr>
          <w:rFonts w:ascii="Arial" w:cs="Arial" w:eastAsia="Arial" w:hAnsi="Arial"/>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8" w:name="page59"/>
    <w:bookmarkEnd w:id="58"/>
    <w:p>
      <w:pPr>
        <w:ind w:right="740"/>
        <w:spacing w:after="0" w:line="276" w:lineRule="auto"/>
        <w:rPr>
          <w:sz w:val="20"/>
          <w:szCs w:val="20"/>
          <w:color w:val="auto"/>
        </w:rPr>
      </w:pPr>
      <w:r>
        <w:rPr>
          <w:rFonts w:ascii="Arial" w:cs="Arial" w:eastAsia="Arial" w:hAnsi="Arial"/>
          <w:sz w:val="18"/>
          <w:szCs w:val="18"/>
          <w:color w:val="auto"/>
        </w:rPr>
        <w:t>material adverse effect on our ability to raise additional funds or otherwise have a material adverse effect on our business, results of operations, financial condition and prospects.</w:t>
      </w:r>
    </w:p>
    <w:p>
      <w:pPr>
        <w:spacing w:after="0" w:line="253" w:lineRule="exact"/>
        <w:rPr>
          <w:sz w:val="20"/>
          <w:szCs w:val="20"/>
          <w:color w:val="auto"/>
        </w:rPr>
      </w:pPr>
    </w:p>
    <w:p>
      <w:pPr>
        <w:ind w:right="460" w:firstLine="576"/>
        <w:spacing w:after="0" w:line="285"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our product candidates through acquisitions and in-licenses.</w:t>
      </w:r>
    </w:p>
    <w:p>
      <w:pPr>
        <w:spacing w:after="0" w:line="21" w:lineRule="exact"/>
        <w:rPr>
          <w:sz w:val="20"/>
          <w:szCs w:val="20"/>
          <w:color w:val="auto"/>
        </w:rPr>
      </w:pPr>
    </w:p>
    <w:p>
      <w:pPr>
        <w:ind w:right="360" w:firstLine="576"/>
        <w:spacing w:after="0" w:line="262" w:lineRule="auto"/>
        <w:rPr>
          <w:sz w:val="20"/>
          <w:szCs w:val="20"/>
          <w:color w:val="auto"/>
        </w:rPr>
      </w:pPr>
      <w:r>
        <w:rPr>
          <w:rFonts w:ascii="Arial" w:cs="Arial" w:eastAsia="Arial" w:hAnsi="Arial"/>
          <w:sz w:val="17"/>
          <w:szCs w:val="17"/>
          <w:color w:val="auto"/>
        </w:rPr>
        <w:t>Because our development programs may in the future require the use of proprietary rights held by third parties, the growth of our business may depend in part on our ability to acquire, in-license, or use these third-party proprietary rights. We may be unable to acquire</w:t>
      </w:r>
    </w:p>
    <w:p>
      <w:pPr>
        <w:ind w:right="20"/>
        <w:spacing w:after="0" w:line="236" w:lineRule="auto"/>
        <w:rPr>
          <w:sz w:val="20"/>
          <w:szCs w:val="20"/>
          <w:color w:val="auto"/>
        </w:rPr>
      </w:pPr>
      <w:r>
        <w:rPr>
          <w:rFonts w:ascii="Arial" w:cs="Arial" w:eastAsia="Arial" w:hAnsi="Arial"/>
          <w:sz w:val="18"/>
          <w:szCs w:val="18"/>
          <w:color w:val="auto"/>
        </w:rPr>
        <w:t>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92" w:lineRule="exact"/>
        <w:rPr>
          <w:sz w:val="20"/>
          <w:szCs w:val="20"/>
          <w:color w:val="auto"/>
        </w:rPr>
      </w:pPr>
    </w:p>
    <w:p>
      <w:pPr>
        <w:ind w:right="20" w:firstLine="576"/>
        <w:spacing w:after="0" w:line="260"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any future licensors’ patents, which could be expensive, time consuming and unsuccessful. Further, our issued patents or any future licensors’ patents could be found invalid or unenforceable if challenged in court.</w:t>
      </w:r>
    </w:p>
    <w:p>
      <w:pPr>
        <w:spacing w:after="0" w:line="43"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or the patent of any future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176"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any future licensors’ patents in such a way that they no longer cover our technology or platform,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spacing w:after="0" w:line="176" w:lineRule="exact"/>
        <w:rPr>
          <w:sz w:val="20"/>
          <w:szCs w:val="20"/>
          <w:color w:val="auto"/>
        </w:rPr>
      </w:pPr>
    </w:p>
    <w:p>
      <w:pPr>
        <w:ind w:right="220" w:firstLine="576"/>
        <w:spacing w:after="0" w:line="276" w:lineRule="auto"/>
        <w:rPr>
          <w:sz w:val="20"/>
          <w:szCs w:val="20"/>
          <w:color w:val="auto"/>
        </w:rPr>
      </w:pPr>
      <w:r>
        <w:rPr>
          <w:rFonts w:ascii="Arial" w:cs="Arial" w:eastAsia="Arial" w:hAnsi="Arial"/>
          <w:sz w:val="18"/>
          <w:szCs w:val="18"/>
          <w:color w:val="auto"/>
        </w:rPr>
        <w:t>The outcome following legal assertions of invalidity and/or unenforceability is unpredictable, and prior art could render our patent or any future licensors’ patent invalid. There is no assurance that all</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9" w:name="page60"/>
    <w:bookmarkEnd w:id="59"/>
    <w:p>
      <w:pPr>
        <w:ind w:right="260"/>
        <w:spacing w:after="0" w:line="248" w:lineRule="auto"/>
        <w:rPr>
          <w:sz w:val="20"/>
          <w:szCs w:val="20"/>
          <w:color w:val="auto"/>
        </w:rPr>
      </w:pPr>
      <w:r>
        <w:rPr>
          <w:rFonts w:ascii="Arial" w:cs="Arial" w:eastAsia="Arial" w:hAnsi="Arial"/>
          <w:sz w:val="18"/>
          <w:szCs w:val="18"/>
          <w:color w:val="auto"/>
        </w:rPr>
        <w:t>potentially relevant prior art relating to our patent and patent applications or the patent and patent applications of any future licensors has been found. There is also no assurance that there is not prior art of which we are aware, but which we do not believe affects the validity or enforceability of a claim in our patent and patent applications or the patent and patent applications of any future licensors, which may, nonetheless, ultimately be found to affect the validity or enforceability of a claim.</w:t>
      </w:r>
    </w:p>
    <w:p>
      <w:pPr>
        <w:spacing w:after="0" w:line="170"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or the patent and patent applications of any future licensors is threatened, it could dissuade companies from collaborating with us to license, develop or commercialize current or future product candidates. Such a loss of patent protection would have a material adverse impact on our business.</w:t>
      </w:r>
    </w:p>
    <w:p>
      <w:pPr>
        <w:spacing w:after="0" w:line="172"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76"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72" w:lineRule="exact"/>
        <w:rPr>
          <w:sz w:val="20"/>
          <w:szCs w:val="20"/>
          <w:color w:val="auto"/>
        </w:rPr>
      </w:pPr>
    </w:p>
    <w:p>
      <w:pPr>
        <w:ind w:right="400" w:firstLine="576"/>
        <w:spacing w:after="0" w:line="276" w:lineRule="auto"/>
        <w:rPr>
          <w:sz w:val="20"/>
          <w:szCs w:val="20"/>
          <w:color w:val="auto"/>
        </w:rPr>
      </w:pPr>
      <w:r>
        <w:rPr>
          <w:rFonts w:ascii="Arial" w:cs="Arial" w:eastAsia="Arial" w:hAnsi="Arial"/>
          <w:sz w:val="18"/>
          <w:szCs w:val="18"/>
          <w:color w:val="auto"/>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253" w:lineRule="exact"/>
        <w:rPr>
          <w:sz w:val="20"/>
          <w:szCs w:val="20"/>
          <w:color w:val="auto"/>
        </w:rPr>
      </w:pPr>
    </w:p>
    <w:p>
      <w:pPr>
        <w:ind w:right="280" w:firstLine="576"/>
        <w:spacing w:after="0" w:line="285"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21"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280" w:lineRule="exact"/>
        <w:rPr>
          <w:sz w:val="20"/>
          <w:szCs w:val="20"/>
          <w:color w:val="auto"/>
        </w:rPr>
      </w:pPr>
    </w:p>
    <w:p>
      <w:pPr>
        <w:ind w:right="180" w:firstLine="576"/>
        <w:spacing w:after="0" w:line="285"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21" w:lineRule="exact"/>
        <w:rPr>
          <w:sz w:val="20"/>
          <w:szCs w:val="20"/>
          <w:color w:val="auto"/>
        </w:rPr>
      </w:pPr>
    </w:p>
    <w:p>
      <w:pPr>
        <w:ind w:right="40" w:firstLine="576"/>
        <w:spacing w:after="0" w:line="255" w:lineRule="auto"/>
        <w:rPr>
          <w:sz w:val="20"/>
          <w:szCs w:val="20"/>
          <w:color w:val="auto"/>
        </w:rPr>
      </w:pPr>
      <w:r>
        <w:rPr>
          <w:rFonts w:ascii="Arial" w:cs="Arial" w:eastAsia="Arial" w:hAnsi="Arial"/>
          <w:sz w:val="18"/>
          <w:szCs w:val="18"/>
          <w:color w:val="auto"/>
        </w:rPr>
        <w:t>Derivation proceedings provoked by third parties or brought by us or declared by the USPTO may be necessary to determine the priority of inventions with respect to our patents or patent applications or those of any future licensors. An unfavorable outcome could require us to cease using the related technology or to attempt to license rights to it from the prevailing party. Our business could be harmed if</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60" w:name="page61"/>
    <w:bookmarkEnd w:id="60"/>
    <w:p>
      <w:pPr>
        <w:spacing w:after="0" w:line="245" w:lineRule="auto"/>
        <w:rPr>
          <w:sz w:val="20"/>
          <w:szCs w:val="20"/>
          <w:color w:val="auto"/>
        </w:rPr>
      </w:pPr>
      <w:r>
        <w:rPr>
          <w:rFonts w:ascii="Arial" w:cs="Arial" w:eastAsia="Arial" w:hAnsi="Arial"/>
          <w:sz w:val="18"/>
          <w:szCs w:val="18"/>
          <w:color w:val="auto"/>
        </w:rPr>
        <w:t>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280" w:lineRule="exact"/>
        <w:rPr>
          <w:sz w:val="20"/>
          <w:szCs w:val="20"/>
          <w:color w:val="auto"/>
        </w:rPr>
      </w:pPr>
    </w:p>
    <w:p>
      <w:pPr>
        <w:jc w:val="center"/>
        <w:spacing w:after="0" w:line="285"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or those of any future licensors and the enforcement or defense of our issued patents or those of any future licensors.</w:t>
      </w:r>
    </w:p>
    <w:p>
      <w:pPr>
        <w:spacing w:after="0" w:line="21"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any future licensors are the first to either (1) file any patent application related to our product candidates or (2) invent any of the inventions claimed in the patents or patent applications.</w:t>
      </w:r>
    </w:p>
    <w:p>
      <w:pPr>
        <w:spacing w:after="0" w:line="183"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72"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any future licensors and the enforcement or defense of our issued patents or those of any future licensors, all of which could have a material adverse effect on our business, financial condition, results of operations and prospects.</w:t>
      </w:r>
    </w:p>
    <w:p>
      <w:pPr>
        <w:spacing w:after="0" w:line="288" w:lineRule="exact"/>
        <w:rPr>
          <w:sz w:val="20"/>
          <w:szCs w:val="20"/>
          <w:color w:val="auto"/>
        </w:rPr>
      </w:pPr>
    </w:p>
    <w:p>
      <w:pPr>
        <w:ind w:right="120" w:firstLine="576"/>
        <w:spacing w:after="0" w:line="285"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21"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61" w:name="page62"/>
    <w:bookmarkEnd w:id="61"/>
    <w:p>
      <w:pPr>
        <w:spacing w:after="0" w:line="276" w:lineRule="auto"/>
        <w:rPr>
          <w:sz w:val="20"/>
          <w:szCs w:val="20"/>
          <w:color w:val="auto"/>
        </w:rPr>
      </w:pPr>
      <w:r>
        <w:rPr>
          <w:rFonts w:ascii="Arial" w:cs="Arial" w:eastAsia="Arial" w:hAnsi="Arial"/>
          <w:sz w:val="18"/>
          <w:szCs w:val="18"/>
          <w:color w:val="auto"/>
        </w:rPr>
        <w:t>the breadth of claims that may be allowed or enforced in our patents or in third-party patents. In addition, Congress or other foreign legislative bodies may pass patent reform legislation that is unfavorable to us.</w:t>
      </w:r>
    </w:p>
    <w:p>
      <w:pPr>
        <w:spacing w:after="0" w:line="145" w:lineRule="exact"/>
        <w:rPr>
          <w:sz w:val="20"/>
          <w:szCs w:val="20"/>
          <w:color w:val="auto"/>
        </w:rPr>
      </w:pPr>
    </w:p>
    <w:p>
      <w:pPr>
        <w:ind w:right="140" w:firstLine="576"/>
        <w:spacing w:after="0" w:line="243" w:lineRule="auto"/>
        <w:rPr>
          <w:sz w:val="20"/>
          <w:szCs w:val="20"/>
          <w:color w:val="auto"/>
        </w:rPr>
      </w:pPr>
      <w:r>
        <w:rPr>
          <w:rFonts w:ascii="Arial" w:cs="Arial" w:eastAsia="Arial" w:hAnsi="Arial"/>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28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04"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28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w:t>
      </w:r>
    </w:p>
    <w:p>
      <w:pPr>
        <w:spacing w:after="0" w:line="82"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8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04"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color w:val="auto"/>
        </w:rPr>
        <w:t>Depending upon the timing, duration and specifics of FDA marketing approval of our product candidates, one or more of our U.S. patents or those of any future licensors may be eligible for limited patent term restoration under the Drug Price Competition and Patent Term Restoration Act of 1984, or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62" w:name="page63"/>
    <w:bookmarkEnd w:id="62"/>
    <w:p>
      <w:pPr>
        <w:ind w:right="300"/>
        <w:spacing w:after="0" w:line="276" w:lineRule="auto"/>
        <w:rPr>
          <w:sz w:val="20"/>
          <w:szCs w:val="20"/>
          <w:color w:val="auto"/>
        </w:rPr>
      </w:pPr>
      <w:r>
        <w:rPr>
          <w:rFonts w:ascii="Arial" w:cs="Arial" w:eastAsia="Arial" w:hAnsi="Arial"/>
          <w:sz w:val="18"/>
          <w:szCs w:val="18"/>
          <w:color w:val="auto"/>
        </w:rPr>
        <w:t>development and clinical trials by referencing our clinical and nonclinical data and launch their product earlier than might otherwise be the case.</w:t>
      </w:r>
    </w:p>
    <w:p>
      <w:pPr>
        <w:spacing w:after="0" w:line="253"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We will not be able to protect our intellectual property rights throughout the world.</w:t>
      </w:r>
    </w:p>
    <w:p>
      <w:pPr>
        <w:spacing w:after="0" w:line="104"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We own or in-license eight U.S. issued patents and own two U.S. pending patent applications, as well as 13 in-licensed patents issued in jurisdictions outside of the United States, one in-licensed pending patent application in jurisdictions outside of the United States, and seven owned patent applications pending in jurisdictions outside of the United States. However, 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any future licensors, or other intellectual property rights may not be effective or sufficient to prevent them from competing.</w:t>
      </w:r>
    </w:p>
    <w:p>
      <w:pPr>
        <w:spacing w:after="0" w:line="176"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any future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any future licensors at risk of being invalidated or interpreted narrowly and our patent applications or the patent applications of any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6" w:lineRule="exact"/>
        <w:rPr>
          <w:sz w:val="20"/>
          <w:szCs w:val="20"/>
          <w:color w:val="auto"/>
        </w:rPr>
      </w:pPr>
    </w:p>
    <w:p>
      <w:pPr>
        <w:ind w:right="120" w:firstLine="576"/>
        <w:spacing w:after="0" w:line="245"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80" w:lineRule="exact"/>
        <w:rPr>
          <w:sz w:val="20"/>
          <w:szCs w:val="20"/>
          <w:color w:val="auto"/>
        </w:rPr>
      </w:pPr>
    </w:p>
    <w:p>
      <w:pPr>
        <w:ind w:right="240" w:firstLine="576"/>
        <w:spacing w:after="0" w:line="260"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43"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the USPTO and various foreign patent offices at various points over the lifetime of our patents and/or applications and those of any future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63" w:name="page64"/>
    <w:bookmarkEnd w:id="63"/>
    <w:p>
      <w:pPr>
        <w:ind w:right="100"/>
        <w:spacing w:after="0" w:line="276" w:lineRule="auto"/>
        <w:rPr>
          <w:sz w:val="20"/>
          <w:szCs w:val="20"/>
          <w:color w:val="auto"/>
        </w:rPr>
      </w:pPr>
      <w:r>
        <w:rPr>
          <w:rFonts w:ascii="Arial" w:cs="Arial" w:eastAsia="Arial" w:hAnsi="Arial"/>
          <w:sz w:val="18"/>
          <w:szCs w:val="18"/>
          <w:color w:val="auto"/>
        </w:rPr>
        <w:t>in abandonment or lapse of the patent or patent application, resulting in partial or complete loss of patent rights in the relevant jurisdiction. If such an event were to occur, it could have a material adverse effect on our business.</w:t>
      </w:r>
    </w:p>
    <w:p>
      <w:pPr>
        <w:spacing w:after="0" w:line="253" w:lineRule="exact"/>
        <w:rPr>
          <w:sz w:val="20"/>
          <w:szCs w:val="20"/>
          <w:color w:val="auto"/>
        </w:rPr>
      </w:pPr>
    </w:p>
    <w:p>
      <w:pPr>
        <w:ind w:right="180" w:firstLine="576"/>
        <w:spacing w:after="0" w:line="285"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21" w:lineRule="exact"/>
        <w:rPr>
          <w:sz w:val="20"/>
          <w:szCs w:val="20"/>
          <w:color w:val="auto"/>
        </w:rPr>
      </w:pPr>
    </w:p>
    <w:p>
      <w:pPr>
        <w:ind w:right="20" w:firstLine="576"/>
        <w:spacing w:after="0" w:line="239" w:lineRule="auto"/>
        <w:rPr>
          <w:sz w:val="20"/>
          <w:szCs w:val="20"/>
          <w:color w:val="auto"/>
        </w:rPr>
      </w:pPr>
      <w:r>
        <w:rPr>
          <w:rFonts w:ascii="Arial" w:cs="Arial" w:eastAsia="Arial" w:hAnsi="Arial"/>
          <w:sz w:val="18"/>
          <w:szCs w:val="18"/>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288"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04" w:lineRule="exact"/>
        <w:rPr>
          <w:sz w:val="20"/>
          <w:szCs w:val="20"/>
          <w:color w:val="auto"/>
        </w:rPr>
      </w:pPr>
    </w:p>
    <w:p>
      <w:pPr>
        <w:ind w:right="220" w:firstLine="576"/>
        <w:spacing w:after="0"/>
        <w:rPr>
          <w:sz w:val="20"/>
          <w:szCs w:val="20"/>
          <w:color w:val="auto"/>
        </w:rPr>
      </w:pPr>
      <w:r>
        <w:rPr>
          <w:rFonts w:ascii="Arial" w:cs="Arial" w:eastAsia="Arial" w:hAnsi="Arial"/>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80" w:lineRule="exact"/>
        <w:rPr>
          <w:sz w:val="20"/>
          <w:szCs w:val="20"/>
          <w:color w:val="auto"/>
        </w:rPr>
      </w:pPr>
    </w:p>
    <w:p>
      <w:pPr>
        <w:ind w:right="160" w:firstLine="576"/>
        <w:spacing w:after="0" w:line="243" w:lineRule="auto"/>
        <w:rPr>
          <w:sz w:val="20"/>
          <w:szCs w:val="20"/>
          <w:color w:val="auto"/>
        </w:rPr>
      </w:pPr>
      <w:r>
        <w:rPr>
          <w:rFonts w:ascii="Arial" w:cs="Arial" w:eastAsia="Arial" w:hAnsi="Arial"/>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82" w:lineRule="exact"/>
        <w:rPr>
          <w:sz w:val="20"/>
          <w:szCs w:val="20"/>
          <w:color w:val="auto"/>
        </w:rPr>
      </w:pPr>
    </w:p>
    <w:p>
      <w:pPr>
        <w:ind w:right="180" w:firstLine="576"/>
        <w:spacing w:after="0" w:line="285" w:lineRule="auto"/>
        <w:rPr>
          <w:sz w:val="20"/>
          <w:szCs w:val="20"/>
          <w:color w:val="auto"/>
        </w:rPr>
      </w:pPr>
      <w:r>
        <w:rPr>
          <w:rFonts w:ascii="Arial" w:cs="Arial" w:eastAsia="Arial" w:hAnsi="Arial"/>
          <w:sz w:val="18"/>
          <w:szCs w:val="18"/>
          <w:b w:val="1"/>
          <w:bCs w:val="1"/>
          <w:i w:val="1"/>
          <w:iCs w:val="1"/>
          <w:color w:val="auto"/>
        </w:rPr>
        <w:t>We may be subject to claims that we or our employees have wrongfully used or disclosed alleged confidential information or trade secrets.</w:t>
      </w:r>
    </w:p>
    <w:p>
      <w:pPr>
        <w:spacing w:after="0" w:line="21"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64" w:name="page65"/>
    <w:bookmarkEnd w:id="64"/>
    <w:p>
      <w:pPr>
        <w:ind w:right="80"/>
        <w:spacing w:after="0" w:line="248" w:lineRule="auto"/>
        <w:rPr>
          <w:sz w:val="20"/>
          <w:szCs w:val="20"/>
          <w:color w:val="auto"/>
        </w:rPr>
      </w:pPr>
      <w:r>
        <w:rPr>
          <w:rFonts w:ascii="Arial" w:cs="Arial" w:eastAsia="Arial" w:hAnsi="Arial"/>
          <w:sz w:val="18"/>
          <w:szCs w:val="18"/>
          <w:color w:val="auto"/>
        </w:rPr>
        <w:t>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170" w:lineRule="exact"/>
        <w:rPr>
          <w:sz w:val="20"/>
          <w:szCs w:val="20"/>
          <w:color w:val="auto"/>
        </w:rPr>
      </w:pPr>
    </w:p>
    <w:p>
      <w:pPr>
        <w:ind w:right="120" w:firstLine="576"/>
        <w:spacing w:after="0" w:line="245"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operating results, financial condition and prospects.</w:t>
      </w:r>
    </w:p>
    <w:p>
      <w:pPr>
        <w:spacing w:after="0" w:line="280" w:lineRule="exact"/>
        <w:rPr>
          <w:sz w:val="20"/>
          <w:szCs w:val="20"/>
          <w:color w:val="auto"/>
        </w:rPr>
      </w:pPr>
    </w:p>
    <w:p>
      <w:pPr>
        <w:ind w:firstLine="576"/>
        <w:spacing w:after="0" w:line="285"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21" w:lineRule="exact"/>
        <w:rPr>
          <w:sz w:val="20"/>
          <w:szCs w:val="20"/>
          <w:color w:val="auto"/>
        </w:rPr>
      </w:pPr>
    </w:p>
    <w:p>
      <w:pPr>
        <w:ind w:right="120" w:firstLine="576"/>
        <w:spacing w:after="0"/>
        <w:rPr>
          <w:sz w:val="20"/>
          <w:szCs w:val="20"/>
          <w:color w:val="auto"/>
        </w:rPr>
      </w:pPr>
      <w:r>
        <w:rPr>
          <w:rFonts w:ascii="Arial" w:cs="Arial" w:eastAsia="Arial" w:hAnsi="Arial"/>
          <w:sz w:val="18"/>
          <w:szCs w:val="18"/>
          <w:color w:val="auto"/>
        </w:rPr>
        <w:t>As is common in the biopharmaceutical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88" w:lineRule="exact"/>
        <w:rPr>
          <w:sz w:val="20"/>
          <w:szCs w:val="20"/>
          <w:color w:val="auto"/>
        </w:rPr>
      </w:pPr>
    </w:p>
    <w:p>
      <w:pPr>
        <w:ind w:right="240" w:firstLine="576"/>
        <w:spacing w:after="0" w:line="285"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candidates may be subject, in part, to the terms and conditions of licenses granted to us by others.</w:t>
      </w:r>
    </w:p>
    <w:p>
      <w:pPr>
        <w:spacing w:after="0" w:line="21" w:lineRule="exact"/>
        <w:rPr>
          <w:sz w:val="20"/>
          <w:szCs w:val="20"/>
          <w:color w:val="auto"/>
        </w:rPr>
      </w:pPr>
    </w:p>
    <w:p>
      <w:pPr>
        <w:ind w:right="100" w:firstLine="576"/>
        <w:spacing w:after="0" w:line="248" w:lineRule="auto"/>
        <w:rPr>
          <w:sz w:val="20"/>
          <w:szCs w:val="20"/>
          <w:color w:val="auto"/>
        </w:rPr>
      </w:pPr>
      <w:r>
        <w:rPr>
          <w:rFonts w:ascii="Arial" w:cs="Arial" w:eastAsia="Arial" w:hAnsi="Arial"/>
          <w:sz w:val="18"/>
          <w:szCs w:val="18"/>
          <w:color w:val="auto"/>
        </w:rPr>
        <w:t>We have entered into license agreements with third parties and we may enter into additional license agreements in the future with others to advance our research or allow commercialization of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170" w:lineRule="exact"/>
        <w:rPr>
          <w:sz w:val="20"/>
          <w:szCs w:val="20"/>
          <w:color w:val="auto"/>
        </w:rPr>
      </w:pPr>
    </w:p>
    <w:p>
      <w:pPr>
        <w:ind w:right="240" w:firstLine="576"/>
        <w:spacing w:after="0" w:line="241" w:lineRule="auto"/>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any of our future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179" w:lineRule="exact"/>
        <w:rPr>
          <w:sz w:val="20"/>
          <w:szCs w:val="20"/>
          <w:color w:val="auto"/>
        </w:rPr>
      </w:pPr>
    </w:p>
    <w:p>
      <w:pPr>
        <w:ind w:right="180" w:firstLine="576"/>
        <w:spacing w:after="0" w:line="245" w:lineRule="auto"/>
        <w:rPr>
          <w:sz w:val="20"/>
          <w:szCs w:val="20"/>
          <w:color w:val="auto"/>
        </w:rPr>
      </w:pPr>
      <w:r>
        <w:rPr>
          <w:rFonts w:ascii="Arial" w:cs="Arial" w:eastAsia="Arial" w:hAnsi="Arial"/>
          <w:sz w:val="18"/>
          <w:szCs w:val="18"/>
          <w:color w:val="auto"/>
        </w:rPr>
        <w:t>Our licensors and any future licensors may have relied on third party consultants or collaborators or on funds from third parties such that our licensors are not the sole and exclusive owners of the patents we in-license.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65" w:name="page66"/>
    <w:bookmarkEnd w:id="65"/>
    <w:p>
      <w:pPr>
        <w:ind w:firstLine="576"/>
        <w:spacing w:after="0"/>
        <w:rPr>
          <w:sz w:val="20"/>
          <w:szCs w:val="20"/>
          <w:color w:val="auto"/>
        </w:rPr>
      </w:pPr>
      <w:r>
        <w:rPr>
          <w:rFonts w:ascii="Arial" w:cs="Arial" w:eastAsia="Arial" w:hAnsi="Arial"/>
          <w:sz w:val="18"/>
          <w:szCs w:val="18"/>
          <w:color w:val="auto"/>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284" w:lineRule="exact"/>
        <w:rPr>
          <w:sz w:val="20"/>
          <w:szCs w:val="20"/>
          <w:color w:val="auto"/>
        </w:rPr>
      </w:pPr>
    </w:p>
    <w:p>
      <w:pPr>
        <w:ind w:right="160" w:firstLine="576"/>
        <w:spacing w:after="0" w:line="260"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43" w:lineRule="exact"/>
        <w:rPr>
          <w:sz w:val="20"/>
          <w:szCs w:val="20"/>
          <w:color w:val="auto"/>
        </w:rPr>
      </w:pPr>
    </w:p>
    <w:p>
      <w:pPr>
        <w:ind w:right="440" w:firstLine="576"/>
        <w:spacing w:after="0" w:line="276" w:lineRule="auto"/>
        <w:rPr>
          <w:sz w:val="20"/>
          <w:szCs w:val="20"/>
          <w:color w:val="auto"/>
        </w:rPr>
      </w:pPr>
      <w:r>
        <w:rPr>
          <w:rFonts w:ascii="Arial" w:cs="Arial" w:eastAsia="Arial" w:hAnsi="Arial"/>
          <w:sz w:val="18"/>
          <w:szCs w:val="18"/>
          <w:color w:val="auto"/>
        </w:rPr>
        <w:t>Disputes may arise between us and our current or future licensors regarding intellectual property subject to a license agreement, including:</w:t>
      </w:r>
    </w:p>
    <w:p>
      <w:pPr>
        <w:spacing w:after="0" w:line="37" w:lineRule="exact"/>
        <w:rPr>
          <w:sz w:val="20"/>
          <w:szCs w:val="20"/>
          <w:color w:val="auto"/>
        </w:rPr>
      </w:pPr>
    </w:p>
    <w:p>
      <w:pPr>
        <w:ind w:left="1300" w:hanging="442"/>
        <w:spacing w:after="0"/>
        <w:tabs>
          <w:tab w:leader="none" w:pos="13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6" w:lineRule="exact"/>
        <w:rPr>
          <w:rFonts w:ascii="Times New Roman" w:cs="Times New Roman" w:eastAsia="Times New Roman" w:hAnsi="Times New Roman"/>
          <w:sz w:val="18"/>
          <w:szCs w:val="18"/>
          <w:color w:val="auto"/>
        </w:rPr>
      </w:pPr>
    </w:p>
    <w:p>
      <w:pPr>
        <w:ind w:left="1300" w:right="460" w:hanging="442"/>
        <w:spacing w:after="0" w:line="275" w:lineRule="auto"/>
        <w:tabs>
          <w:tab w:leader="none" w:pos="13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our right to sublicense patents and other rights to third parties;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our right to transfer or assign the license;</w:t>
      </w:r>
    </w:p>
    <w:p>
      <w:pPr>
        <w:spacing w:after="0" w:line="116" w:lineRule="exact"/>
        <w:rPr>
          <w:rFonts w:ascii="Times New Roman" w:cs="Times New Roman" w:eastAsia="Times New Roman" w:hAnsi="Times New Roman"/>
          <w:sz w:val="18"/>
          <w:szCs w:val="18"/>
          <w:color w:val="auto"/>
        </w:rPr>
      </w:pPr>
    </w:p>
    <w:p>
      <w:pPr>
        <w:ind w:left="1300" w:right="80" w:hanging="442"/>
        <w:spacing w:after="0" w:line="275" w:lineRule="auto"/>
        <w:tabs>
          <w:tab w:leader="none" w:pos="13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the priority of invention of patented technology.</w:t>
      </w:r>
    </w:p>
    <w:p>
      <w:pPr>
        <w:spacing w:after="0" w:line="224" w:lineRule="exact"/>
        <w:rPr>
          <w:sz w:val="20"/>
          <w:szCs w:val="20"/>
          <w:color w:val="auto"/>
        </w:rPr>
      </w:pPr>
    </w:p>
    <w:p>
      <w:pPr>
        <w:ind w:right="100" w:firstLine="576"/>
        <w:spacing w:after="0"/>
        <w:rPr>
          <w:sz w:val="20"/>
          <w:szCs w:val="20"/>
          <w:color w:val="auto"/>
        </w:rPr>
      </w:pPr>
      <w:r>
        <w:rPr>
          <w:rFonts w:ascii="Arial" w:cs="Arial" w:eastAsia="Arial" w:hAnsi="Arial"/>
          <w:sz w:val="18"/>
          <w:szCs w:val="18"/>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80"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6" w:name="page67"/>
    <w:bookmarkEnd w:id="66"/>
    <w:p>
      <w:pPr>
        <w:ind w:left="58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104"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While we normally seek to obtain the right to control prosecution, maintenance and enforcement of the patents relating to our product candidates, there may be times when the filing and prosecution activities for patents relating to our product candidates are controlled by licensors or collaboration partners. If a licensor or collaboration partner fails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284"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w:t>
      </w:r>
    </w:p>
    <w:p>
      <w:pPr>
        <w:spacing w:after="0" w:line="18" w:lineRule="exact"/>
        <w:rPr>
          <w:sz w:val="20"/>
          <w:szCs w:val="20"/>
          <w:color w:val="auto"/>
        </w:rPr>
      </w:pPr>
    </w:p>
    <w:p>
      <w:pPr>
        <w:spacing w:after="0" w:line="260" w:lineRule="auto"/>
        <w:rPr>
          <w:sz w:val="20"/>
          <w:szCs w:val="20"/>
          <w:color w:val="auto"/>
        </w:rPr>
      </w:pPr>
      <w:r>
        <w:rPr>
          <w:rFonts w:ascii="Arial" w:cs="Arial" w:eastAsia="Arial" w:hAnsi="Arial"/>
          <w:sz w:val="18"/>
          <w:szCs w:val="18"/>
          <w:b w:val="1"/>
          <w:bCs w:val="1"/>
          <w:i w:val="1"/>
          <w:iCs w:val="1"/>
          <w:color w:val="auto"/>
        </w:rPr>
        <w:t>as “march-in” rights, certain reporting requirements and a preference for U.S.-based companies. Compliance with such regulations may limit our exclusive rights and limit our ability to contract with non-U.S. manufacturers.</w:t>
      </w:r>
    </w:p>
    <w:p>
      <w:pPr>
        <w:spacing w:after="0" w:line="43"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28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Risks Relating to Cybersecurity</w:t>
      </w:r>
    </w:p>
    <w:p>
      <w:pPr>
        <w:spacing w:after="0" w:line="106" w:lineRule="exact"/>
        <w:rPr>
          <w:sz w:val="20"/>
          <w:szCs w:val="20"/>
          <w:color w:val="auto"/>
        </w:rPr>
      </w:pPr>
    </w:p>
    <w:p>
      <w:pPr>
        <w:ind w:right="120" w:firstLine="576"/>
        <w:spacing w:after="0" w:line="260" w:lineRule="auto"/>
        <w:rPr>
          <w:sz w:val="20"/>
          <w:szCs w:val="20"/>
          <w:color w:val="auto"/>
        </w:rPr>
      </w:pPr>
      <w:r>
        <w:rPr>
          <w:rFonts w:ascii="Arial" w:cs="Arial" w:eastAsia="Arial" w:hAnsi="Arial"/>
          <w:sz w:val="18"/>
          <w:szCs w:val="18"/>
          <w:b w:val="1"/>
          <w:bCs w:val="1"/>
          <w:i w:val="1"/>
          <w:iCs w:val="1"/>
          <w:color w:val="auto"/>
        </w:rPr>
        <w:t>We are dependent on networks, infrastructure and data, which exposes us to data security risks, including security failures or breaches of our systems or those used by our CROs or other contractors or consultants. We are dependent upon our own or third-party information technology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7" w:name="page68"/>
    <w:bookmarkEnd w:id="67"/>
    <w:p>
      <w:pPr>
        <w:ind w:right="420"/>
        <w:spacing w:after="0" w:line="285" w:lineRule="auto"/>
        <w:rPr>
          <w:sz w:val="20"/>
          <w:szCs w:val="20"/>
          <w:color w:val="auto"/>
        </w:rPr>
      </w:pPr>
      <w:r>
        <w:rPr>
          <w:rFonts w:ascii="Arial" w:cs="Arial" w:eastAsia="Arial" w:hAnsi="Arial"/>
          <w:sz w:val="18"/>
          <w:szCs w:val="18"/>
          <w:b w:val="1"/>
          <w:bCs w:val="1"/>
          <w:i w:val="1"/>
          <w:iCs w:val="1"/>
          <w:color w:val="auto"/>
        </w:rPr>
        <w:t>systems, infrastructure and data, including mobile technologies, to operate our business. The multitude and complexity of our computer systems may fail or suffer security breaches.</w:t>
      </w:r>
    </w:p>
    <w:p>
      <w:pPr>
        <w:spacing w:after="0" w:line="21"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may be vulnerable to damage from computer viruses and unauthorized access. Likewise, data privacy or security incidents or breaches by employees or others may pose a risk that sensitive data, including our intellectual property, trade secrets or personal information of our employees, patients, customers or other business partners may be exposed to unauthorized persons or to the public or may otherwise be misused. Cyberattacks are increasing in their frequency, sophistication and intensity. Cyberattacks could include the deployment of harmful malware, denial-of-service, social engineering and other means to affect service reliability and threaten data confidentiality, integrity and availability. Changes in how our employees work and access our systems during the current COVID-19 pandemic could lead to additional opportunities for bad actors to launch cyberattacks or for employees to cause inadvertent security risks or incidents. Our business partners face similar risks, and any security breach of their systems or that they otherwise suffer could adversely affect our security posture. A security breach or privacy violation that leads to loss of or unauthorized use, disclosure or modification of, or access to personal, sensitive or proprietary information, including personally identifiable information, protected health information, or other patient information, or that prevents access to patient information, as well as the perception that any of the foregoing has occurred, could harm our reputation, compel us to comply with federal and/or state breach notification laws and foreign law equivalents, subject us to mandatory corrective action, cause us to provide other notification or take other steps in response to such breach or violation, require us to verify the correctness of database contents and otherwise subject us to litigation, claims, investigations, penalties or other liability under laws and regulations that protect personal data, any of which could disrupt our business and/or result in increased costs or loss of revenue. The effects of a security breach or privacy violation could be further amplified during the current COVID-19 pandemic. Moreover, the prevalent use of mobile devices that access confidential information increases the risk of data security breaches, which could lead to the loss of confidential information, trade secrets or other intellectual property.</w:t>
      </w:r>
    </w:p>
    <w:p>
      <w:pPr>
        <w:spacing w:after="0" w:line="180" w:lineRule="exact"/>
        <w:rPr>
          <w:sz w:val="20"/>
          <w:szCs w:val="20"/>
          <w:color w:val="auto"/>
        </w:rPr>
      </w:pPr>
    </w:p>
    <w:p>
      <w:pPr>
        <w:ind w:firstLine="576"/>
        <w:spacing w:after="0" w:line="253" w:lineRule="auto"/>
        <w:rPr>
          <w:sz w:val="20"/>
          <w:szCs w:val="20"/>
          <w:color w:val="auto"/>
        </w:rPr>
      </w:pPr>
      <w:r>
        <w:rPr>
          <w:rFonts w:ascii="Arial" w:cs="Arial" w:eastAsia="Arial" w:hAnsi="Arial"/>
          <w:sz w:val="17"/>
          <w:szCs w:val="17"/>
          <w:color w:val="auto"/>
        </w:rPr>
        <w:t>Despite significant efforts to create security barriers to the above described threats, it is impossible for us to entirely mitigate these risks. We may be unable to anticipate or prevent techniques used to obtain unauthorized access or to compromise our systems because they change frequently and are generally not detected until after an incident has occurred. If a compromise or other security incident were to occur and cause interruptions in our operations, it could result in a material disruption of our development programs and our business operations. For example, the loss of clinical trial data from completed, ongoing or future clinical trials could result in delays in our regulatory approval efforts and significantly increase our costs to recover or reproduce the data. To the extent that any disruption or security breach were to result in a loss of, or damage to, our data or systems, or inappropriate use, disclosure or modification of confidential or proprietary information, we could incur liability and the further development and commercialization of our product candidates could be delayed. While we have invested, and continue to invest, in the protection of our data and information technology infrastructure, there can be no assurance that our efforts will prevent service interruptions, or prevent or identify vulnerabilities or breaches in our systems, that could adversely affect our business and operations and/or result in the loss of critical or sensitive information. Any such interruptions or breaches, or the perception any have occurred, could result in financial, legal, business or reputational harm to us. In addition, our liability insurance may not be sufficient in type or amount to cover us against claims related to security breaches, cyberattacks and other related privacy and security breaches or incidents.</w:t>
      </w:r>
    </w:p>
    <w:p>
      <w:pPr>
        <w:spacing w:after="0" w:line="278" w:lineRule="exact"/>
        <w:rPr>
          <w:sz w:val="20"/>
          <w:szCs w:val="20"/>
          <w:color w:val="auto"/>
        </w:rPr>
      </w:pPr>
    </w:p>
    <w:p>
      <w:pPr>
        <w:ind w:right="200" w:firstLine="576"/>
        <w:spacing w:after="0" w:line="285" w:lineRule="auto"/>
        <w:rPr>
          <w:sz w:val="20"/>
          <w:szCs w:val="20"/>
          <w:color w:val="auto"/>
        </w:rPr>
      </w:pPr>
      <w:r>
        <w:rPr>
          <w:rFonts w:ascii="Arial" w:cs="Arial" w:eastAsia="Arial" w:hAnsi="Arial"/>
          <w:sz w:val="18"/>
          <w:szCs w:val="18"/>
          <w:b w:val="1"/>
          <w:bCs w:val="1"/>
          <w:i w:val="1"/>
          <w:iCs w:val="1"/>
          <w:color w:val="auto"/>
        </w:rPr>
        <w:t>Data collection is governed by restrictive regulations governing the use, processing and cross-border transfer of personal information.</w:t>
      </w:r>
    </w:p>
    <w:p>
      <w:pPr>
        <w:spacing w:after="0" w:line="21" w:lineRule="exact"/>
        <w:rPr>
          <w:sz w:val="20"/>
          <w:szCs w:val="20"/>
          <w:color w:val="auto"/>
        </w:rPr>
      </w:pPr>
    </w:p>
    <w:p>
      <w:pPr>
        <w:ind w:right="460" w:firstLine="576"/>
        <w:spacing w:after="0" w:line="248" w:lineRule="auto"/>
        <w:rPr>
          <w:sz w:val="20"/>
          <w:szCs w:val="20"/>
          <w:color w:val="auto"/>
        </w:rPr>
      </w:pPr>
      <w:r>
        <w:rPr>
          <w:rFonts w:ascii="Arial" w:cs="Arial" w:eastAsia="Arial" w:hAnsi="Arial"/>
          <w:sz w:val="18"/>
          <w:szCs w:val="18"/>
          <w:color w:val="auto"/>
        </w:rPr>
        <w:t>If we decide to conduct clinical trials or continue to enroll patients in our future clinical trials, we may be subject to additional restrictions relating to privacy, data protection and data security. The collection, use, storage, disclosure, transfer, or other processing of personal data regarding individuals in the European Union, or EU, including personal health data, is subject to the EU General Data Protection Regulation, or GDPR. The GDPR is wide-ranging in scope and imposes numerous requirements 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68" w:name="page69"/>
    <w:bookmarkEnd w:id="68"/>
    <w:p>
      <w:pPr>
        <w:spacing w:after="0" w:line="237" w:lineRule="auto"/>
        <w:rPr>
          <w:sz w:val="20"/>
          <w:szCs w:val="20"/>
          <w:color w:val="auto"/>
        </w:rPr>
      </w:pPr>
      <w:r>
        <w:rPr>
          <w:rFonts w:ascii="Arial" w:cs="Arial" w:eastAsia="Arial" w:hAnsi="Arial"/>
          <w:sz w:val="18"/>
          <w:szCs w:val="18"/>
          <w:color w:val="auto"/>
        </w:rPr>
        <w:t>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Certain aspects of cross-border data transfers under the GDPR are uncertain as the result of legal proceedings in the EU, including a July 2020 decision by the Court of Justice for the European Union that invalidated the EU-U.S. Privacy Shield. This may increase the complexity of transferring personal data across borders and may require us to review and amend our mechanisms relating to cross-border data transfer.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78"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Further, the exit of the United Kingdom, or UK, from the EU, referred to as Brexit, has created uncertainty with regard to data protection regulation in the UK. Specifically, the UK exited the EU on January 1, 2020, subject to a transition period ending December 31, 2020. The UK has implemented legislation similar to the GDPR, referred to as the UK GDPR, which provides for fines of up to the greater of up to the greater of £17.5 million or 4% of global turnover. The relationship between the United Kingdom and the European Union in relation to certain aspects of data protection law remains unclear, however, including with respect to cross-border data transfers and the role of the UK Information Commissioner’s Office with respect to the EU, which exposes us to further compliance risk. We may incur liabilities, expenses, costs, and other operational losses under the UK GDPR, the GDPR and other privacy and data protection laws in the UK and the EU in connection with any measures we take to comply with them.</w:t>
      </w:r>
    </w:p>
    <w:p>
      <w:pPr>
        <w:spacing w:after="0" w:line="221" w:lineRule="exact"/>
        <w:rPr>
          <w:sz w:val="20"/>
          <w:szCs w:val="20"/>
          <w:color w:val="auto"/>
        </w:rPr>
      </w:pPr>
    </w:p>
    <w:p>
      <w:pPr>
        <w:ind w:right="100" w:firstLine="589"/>
        <w:spacing w:after="0" w:line="239" w:lineRule="auto"/>
        <w:rPr>
          <w:sz w:val="20"/>
          <w:szCs w:val="20"/>
          <w:color w:val="auto"/>
        </w:rPr>
      </w:pPr>
      <w:r>
        <w:rPr>
          <w:rFonts w:ascii="Arial" w:cs="Arial" w:eastAsia="Arial" w:hAnsi="Arial"/>
          <w:sz w:val="18"/>
          <w:szCs w:val="18"/>
          <w:color w:val="auto"/>
        </w:rPr>
        <w:t>In addition, California recently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commenced enforcement actions for violations on July 1, 2020. In November 2020, California passed the California Privacy Rights Act (CPRA), which amends and expands the CCPA. While most of the substantive provisions in CPRA will not take effect until 2023 and although the CCPA includes exemptions for certain clinical trial data, the law may increase our compliance costs and potential liability with respect to other personal information we may collect about California consumers. The CCPA and the CPRA, may impact our business activities and exemplifies the vulnerability of our business to the evolving regulatory environment related to personal data and protected health information.</w:t>
      </w:r>
    </w:p>
    <w:p>
      <w:pPr>
        <w:spacing w:after="0" w:line="176" w:lineRule="exact"/>
        <w:rPr>
          <w:sz w:val="20"/>
          <w:szCs w:val="20"/>
          <w:color w:val="auto"/>
        </w:rPr>
      </w:pPr>
    </w:p>
    <w:p>
      <w:pPr>
        <w:ind w:right="140" w:firstLine="576"/>
        <w:spacing w:after="0" w:line="243"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Any actual or alleged failure to comply with U.S. or international laws and regulations relating to privacy, data protection, and data security could result in governmental investigations, proceedings and enforcement actions (which could include civil or criminal penalties), private litigation or adverse publicity, harm to our reputation, and could negatively affect our operating results and business. Moreover, clinical trial subjects about whom we or our potential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69" w:name="page70"/>
    <w:bookmarkEnd w:id="69"/>
    <w:p>
      <w:pPr>
        <w:spacing w:after="0" w:line="245" w:lineRule="auto"/>
        <w:rPr>
          <w:sz w:val="20"/>
          <w:szCs w:val="20"/>
          <w:color w:val="auto"/>
        </w:rPr>
      </w:pPr>
      <w:r>
        <w:rPr>
          <w:rFonts w:ascii="Arial" w:cs="Arial" w:eastAsia="Arial" w:hAnsi="Arial"/>
          <w:sz w:val="18"/>
          <w:szCs w:val="18"/>
          <w:color w:val="auto"/>
        </w:rPr>
        <w:t>collaborators obtain information, as well as the providers who share this information with us, may contractually limit our ability to use and disclose the information or impose other obligations or restrictions in connection with our use, retention and other processing of information, and we may otherwise face contractual restrictions applicable to our use, retention, and other processing of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27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106" w:lineRule="exact"/>
        <w:rPr>
          <w:sz w:val="20"/>
          <w:szCs w:val="20"/>
          <w:color w:val="auto"/>
        </w:rPr>
      </w:pPr>
    </w:p>
    <w:p>
      <w:pPr>
        <w:ind w:firstLine="576"/>
        <w:spacing w:after="0" w:line="285" w:lineRule="auto"/>
        <w:rPr>
          <w:sz w:val="20"/>
          <w:szCs w:val="20"/>
          <w:color w:val="auto"/>
        </w:rPr>
      </w:pPr>
      <w:r>
        <w:rPr>
          <w:rFonts w:ascii="Arial" w:cs="Arial" w:eastAsia="Arial" w:hAnsi="Arial"/>
          <w:sz w:val="18"/>
          <w:szCs w:val="18"/>
          <w:b w:val="1"/>
          <w:bCs w:val="1"/>
          <w:i w:val="1"/>
          <w:iCs w:val="1"/>
          <w:color w:val="auto"/>
        </w:rPr>
        <w:t>We do not know whether an active market will develop for our common stock or will be sustained, and, as a result, it may be difficult for you to sell your shares of our common stock.</w:t>
      </w:r>
    </w:p>
    <w:p>
      <w:pPr>
        <w:spacing w:after="0" w:line="21"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If an active market for our common stock does not develop or is not sustained, it may be difficult for you to sell your shares of common stock at an attractive price or at all.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278" w:lineRule="exact"/>
        <w:rPr>
          <w:sz w:val="20"/>
          <w:szCs w:val="20"/>
          <w:color w:val="auto"/>
        </w:rPr>
      </w:pPr>
    </w:p>
    <w:p>
      <w:pPr>
        <w:ind w:right="280" w:firstLine="576"/>
        <w:spacing w:after="0" w:line="285" w:lineRule="auto"/>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 purchasing shares in this offering.</w:t>
      </w:r>
    </w:p>
    <w:p>
      <w:pPr>
        <w:spacing w:after="0" w:line="21" w:lineRule="exact"/>
        <w:rPr>
          <w:sz w:val="20"/>
          <w:szCs w:val="20"/>
          <w:color w:val="auto"/>
        </w:rPr>
      </w:pPr>
    </w:p>
    <w:p>
      <w:pPr>
        <w:ind w:right="220" w:firstLine="576"/>
        <w:spacing w:after="0" w:line="276" w:lineRule="auto"/>
        <w:rPr>
          <w:sz w:val="20"/>
          <w:szCs w:val="20"/>
          <w:color w:val="auto"/>
        </w:rPr>
      </w:pPr>
      <w:r>
        <w:rPr>
          <w:rFonts w:ascii="Arial" w:cs="Arial" w:eastAsia="Arial" w:hAnsi="Arial"/>
          <w:sz w:val="18"/>
          <w:szCs w:val="18"/>
          <w:color w:val="auto"/>
        </w:rPr>
        <w:t>The market price of our common stock may be volatile. As a result, you may not be able to sell your common stock at or above the price that you paid for such shares. Some of the factors that may cause the market price of our common stock to fluctuate include:</w:t>
      </w:r>
    </w:p>
    <w:p>
      <w:pPr>
        <w:spacing w:after="0" w:line="37" w:lineRule="exact"/>
        <w:rPr>
          <w:sz w:val="20"/>
          <w:szCs w:val="20"/>
          <w:color w:val="auto"/>
        </w:rPr>
      </w:pPr>
    </w:p>
    <w:p>
      <w:pPr>
        <w:ind w:left="1300" w:hanging="442"/>
        <w:spacing w:after="0"/>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nonclinical studies and clinical trials and, in particular, our LIFT-AD and ACT-AD P300 clinical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the ongoing COVID-19 pandemic on our business;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existing or new competitive products or technologies;</w:t>
      </w:r>
    </w:p>
    <w:p>
      <w:pPr>
        <w:spacing w:after="0" w:line="116" w:lineRule="exact"/>
        <w:rPr>
          <w:rFonts w:ascii="Times New Roman" w:cs="Times New Roman" w:eastAsia="Times New Roman" w:hAnsi="Times New Roman"/>
          <w:sz w:val="18"/>
          <w:szCs w:val="18"/>
          <w:color w:val="auto"/>
        </w:rPr>
      </w:pPr>
    </w:p>
    <w:p>
      <w:pPr>
        <w:ind w:left="1300" w:right="420" w:hanging="442"/>
        <w:spacing w:after="0" w:line="275" w:lineRule="auto"/>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results of clinical trials for our current product candidates and any future product candidates that we may develop;</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commencement or termination of collaborations for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failure or discontinuation of any of our product candidates;</w:t>
      </w:r>
    </w:p>
    <w:p>
      <w:pPr>
        <w:spacing w:after="0" w:line="116" w:lineRule="exact"/>
        <w:rPr>
          <w:rFonts w:ascii="Times New Roman" w:cs="Times New Roman" w:eastAsia="Times New Roman" w:hAnsi="Times New Roman"/>
          <w:sz w:val="18"/>
          <w:szCs w:val="18"/>
          <w:color w:val="auto"/>
        </w:rPr>
      </w:pPr>
    </w:p>
    <w:p>
      <w:pPr>
        <w:ind w:left="1300" w:right="1160" w:hanging="442"/>
        <w:spacing w:after="0" w:line="275" w:lineRule="auto"/>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nonclinical studies, clinical trials or regulatory approvals of product candidates of our competitors, or announcements about new research programs or product candidates of our competitors;</w:t>
      </w:r>
    </w:p>
    <w:p>
      <w:pPr>
        <w:spacing w:after="0" w:line="37" w:lineRule="exact"/>
        <w:rPr>
          <w:rFonts w:ascii="Times New Roman" w:cs="Times New Roman" w:eastAsia="Times New Roman" w:hAnsi="Times New Roman"/>
          <w:sz w:val="18"/>
          <w:szCs w:val="18"/>
          <w:color w:val="auto"/>
        </w:rPr>
      </w:pPr>
    </w:p>
    <w:p>
      <w:pPr>
        <w:ind w:left="1300" w:right="460" w:hanging="442"/>
        <w:spacing w:after="0" w:line="275" w:lineRule="auto"/>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investor reactions to other companies’ drug development results, including product failures or negative responses from regulatory authorities;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or legal developments in the United States and other countries;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the recruitment or departure of key personnel;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the commencement of litigation;</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expenses related to any of our research programs, product candidates that we may develop;</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70" w:name="page71"/>
    <w:bookmarkEnd w:id="70"/>
    <w:p>
      <w:pPr>
        <w:ind w:left="1300" w:right="240" w:hanging="442"/>
        <w:spacing w:after="0" w:line="275" w:lineRule="auto"/>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 or expectation of additional financing efforts;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sales of our common stock by us, our insiders, or other stockholders;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expiration of market standoff or lock-up agreements;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structure of healthcare payment systems;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market conditions in the pharmaceutical and biotechnology sectors;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industry, and market conditions;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other factors described in this “Risk Factors” section.</w:t>
      </w:r>
    </w:p>
    <w:p>
      <w:pPr>
        <w:spacing w:after="0" w:line="224" w:lineRule="exact"/>
        <w:rPr>
          <w:sz w:val="20"/>
          <w:szCs w:val="20"/>
          <w:color w:val="auto"/>
        </w:rPr>
      </w:pPr>
    </w:p>
    <w:p>
      <w:pPr>
        <w:ind w:right="120" w:firstLine="576"/>
        <w:spacing w:after="0" w:line="241" w:lineRule="auto"/>
        <w:rPr>
          <w:sz w:val="20"/>
          <w:szCs w:val="20"/>
          <w:color w:val="auto"/>
        </w:rPr>
      </w:pPr>
      <w:r>
        <w:rPr>
          <w:rFonts w:ascii="Arial" w:cs="Arial" w:eastAsia="Arial" w:hAnsi="Arial"/>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287" w:lineRule="exact"/>
        <w:rPr>
          <w:sz w:val="20"/>
          <w:szCs w:val="20"/>
          <w:color w:val="auto"/>
        </w:rPr>
      </w:pPr>
    </w:p>
    <w:p>
      <w:pPr>
        <w:ind w:right="200" w:firstLine="576"/>
        <w:spacing w:after="0" w:line="260" w:lineRule="auto"/>
        <w:rPr>
          <w:sz w:val="20"/>
          <w:szCs w:val="20"/>
          <w:color w:val="auto"/>
        </w:rPr>
      </w:pPr>
      <w:r>
        <w:rPr>
          <w:rFonts w:ascii="Arial" w:cs="Arial" w:eastAsia="Arial" w:hAnsi="Arial"/>
          <w:sz w:val="18"/>
          <w:szCs w:val="18"/>
          <w:b w:val="1"/>
          <w:bCs w:val="1"/>
          <w:i w:val="1"/>
          <w:iCs w:val="1"/>
          <w:color w:val="auto"/>
        </w:rPr>
        <w:t>A significant portion of our total outstanding shares is restricted from immediate resale but may be sold into the market in the near future, which could cause the market price of our common stock to decline significantly, even if our business is doing well.</w:t>
      </w:r>
    </w:p>
    <w:p>
      <w:pPr>
        <w:spacing w:after="0" w:line="43"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upon the expiration of the market standoff and lock-up agreements, the early release of these agreements or the perception in the market that the holders of a large number of shares of common stock intend to sell shares, could reduce the market price of our common stock. After this offering, 35,087,395 shares of our common stock will be outstanding, or 35,687,395 shares if the underwriters exercise their option to purchase additional shares in full, based on our shares outstanding as of September 30, 2020. Upon completion of this offering, based on the number of shares outstanding on September 30, 2020, 15,321,545 shares of our common stock, or approximately 43.7% of our outstanding shares, will be restricted from sale through March 17, 2021 as a result of lock-up agreements entered into in connection with our initial public offering, subject to applicable securities law restrictions. An additional 4,824,674 shares of common stock, or 13.8% of our outstanding shares, will be restricted from sale through the date that is 90 days following the date of this prospectus as a result of lock-up agreements entered into by us and all of our directors and officers and certain other stockholders in connection with this offering, subject to applicable securities law restrictions. The representatives of the underwriters may, in their sole discretion, release all or some portion of the shares subject to lock-up agreements at any time and for any reason. Shares issued upon the exercise of stock options outstanding under our equity incentive plans or pursuant to future awards granted under those plans will become available-for-sale in the public market to the extent permitted by the provisions of applicable vesting schedules, any applicable market standoff and lock-up agreements, and Rule 144 and Rule 701 under the Securities Act of 1933, as amended, or the Securities Act. See the section of this prospectus titled “Shares Eligible for Future Sale” for additional information.</w:t>
      </w:r>
    </w:p>
    <w:p>
      <w:pPr>
        <w:spacing w:after="0" w:line="186" w:lineRule="exact"/>
        <w:rPr>
          <w:sz w:val="20"/>
          <w:szCs w:val="20"/>
          <w:color w:val="auto"/>
        </w:rPr>
      </w:pPr>
    </w:p>
    <w:p>
      <w:pPr>
        <w:ind w:right="560" w:firstLine="576"/>
        <w:spacing w:after="0" w:line="276" w:lineRule="auto"/>
        <w:rPr>
          <w:sz w:val="20"/>
          <w:szCs w:val="20"/>
          <w:color w:val="auto"/>
        </w:rPr>
      </w:pPr>
      <w:r>
        <w:rPr>
          <w:rFonts w:ascii="Arial" w:cs="Arial" w:eastAsia="Arial" w:hAnsi="Arial"/>
          <w:sz w:val="18"/>
          <w:szCs w:val="18"/>
          <w:color w:val="auto"/>
        </w:rPr>
        <w:t>Moreover, upon completion of this offering, the holders of approximately 18,104,343 shares of our common stock are eligible to exercise certain rights, subject to various conditions and limitations, to</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1" w:name="page72"/>
    <w:bookmarkEnd w:id="71"/>
    <w:p>
      <w:pPr>
        <w:ind w:right="40"/>
        <w:spacing w:after="0" w:line="245" w:lineRule="auto"/>
        <w:rPr>
          <w:sz w:val="20"/>
          <w:szCs w:val="20"/>
          <w:color w:val="auto"/>
        </w:rPr>
      </w:pPr>
      <w:r>
        <w:rPr>
          <w:rFonts w:ascii="Arial" w:cs="Arial" w:eastAsia="Arial" w:hAnsi="Arial"/>
          <w:sz w:val="18"/>
          <w:szCs w:val="18"/>
          <w:color w:val="auto"/>
        </w:rPr>
        <w:t>require us to file registration statements covering their shares or to include their shares in registration statements that we may file for ourselves or other stockholders. We also register shares of common stock that we may issue under our equity compensation plans. Once we register these shares, they can be freely sold in the public market upon issuance and once vested, subject to volume limitations applicable to affiliates and the lock-up agreements described in the section of this prospectus titled “Underwriting.” If any of these additional shares are sold, or if it is perceived that they will be sold, in the public market, the market price of our common stock could decline.</w:t>
      </w:r>
    </w:p>
    <w:p>
      <w:pPr>
        <w:spacing w:after="0" w:line="280" w:lineRule="exact"/>
        <w:rPr>
          <w:sz w:val="20"/>
          <w:szCs w:val="20"/>
          <w:color w:val="auto"/>
        </w:rPr>
      </w:pPr>
    </w:p>
    <w:p>
      <w:pPr>
        <w:ind w:right="460" w:firstLine="576"/>
        <w:spacing w:after="0" w:line="285" w:lineRule="auto"/>
        <w:rPr>
          <w:sz w:val="20"/>
          <w:szCs w:val="20"/>
          <w:color w:val="auto"/>
        </w:rPr>
      </w:pPr>
      <w:r>
        <w:rPr>
          <w:rFonts w:ascii="Arial" w:cs="Arial" w:eastAsia="Arial" w:hAnsi="Arial"/>
          <w:sz w:val="18"/>
          <w:szCs w:val="18"/>
          <w:b w:val="1"/>
          <w:bCs w:val="1"/>
          <w:i w:val="1"/>
          <w:iCs w:val="1"/>
          <w:color w:val="auto"/>
        </w:rPr>
        <w:t>Insiders will continue to have substantial influence over us after this offering, which could limit your ability to affect the outcome of key transactions, including a change of control.</w:t>
      </w:r>
    </w:p>
    <w:p>
      <w:pPr>
        <w:spacing w:after="0" w:line="21" w:lineRule="exact"/>
        <w:rPr>
          <w:sz w:val="20"/>
          <w:szCs w:val="20"/>
          <w:color w:val="auto"/>
        </w:rPr>
      </w:pPr>
    </w:p>
    <w:p>
      <w:pPr>
        <w:ind w:right="100" w:firstLine="576"/>
        <w:spacing w:after="0" w:line="243" w:lineRule="auto"/>
        <w:rPr>
          <w:sz w:val="20"/>
          <w:szCs w:val="20"/>
          <w:color w:val="auto"/>
        </w:rPr>
      </w:pPr>
      <w:r>
        <w:rPr>
          <w:rFonts w:ascii="Arial" w:cs="Arial" w:eastAsia="Arial" w:hAnsi="Arial"/>
          <w:sz w:val="18"/>
          <w:szCs w:val="18"/>
          <w:color w:val="auto"/>
        </w:rPr>
        <w:t>After this offering, our directors, executive officers, holders of more than 5% of our outstanding common stock and their respective affiliates will beneficially own shares representing approximately 31.7% of our outstanding common stock, or 31.2% of our common stock if the underwriters exercise their option to purchase additional shares in full.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282" w:lineRule="exact"/>
        <w:rPr>
          <w:sz w:val="20"/>
          <w:szCs w:val="20"/>
          <w:color w:val="auto"/>
        </w:rPr>
      </w:pPr>
    </w:p>
    <w:p>
      <w:pPr>
        <w:ind w:firstLine="576"/>
        <w:spacing w:after="0" w:line="285"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21"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In this prospectus, we have not included all of the executive compensation-related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291" w:lineRule="exact"/>
        <w:rPr>
          <w:sz w:val="20"/>
          <w:szCs w:val="20"/>
          <w:color w:val="auto"/>
        </w:rPr>
      </w:pPr>
    </w:p>
    <w:p>
      <w:pPr>
        <w:ind w:right="500" w:firstLine="576"/>
        <w:spacing w:after="0" w:line="285" w:lineRule="auto"/>
        <w:rPr>
          <w:sz w:val="20"/>
          <w:szCs w:val="20"/>
          <w:color w:val="auto"/>
        </w:rPr>
      </w:pPr>
      <w:r>
        <w:rPr>
          <w:rFonts w:ascii="Arial" w:cs="Arial" w:eastAsia="Arial" w:hAnsi="Arial"/>
          <w:sz w:val="18"/>
          <w:szCs w:val="18"/>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21"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As a public company, we operate in an increasingly demanding regulatory environment, which requires us to comply with the Sarbanes-Oxley Act of 2002, or the Sarbanes-Oxley Act, the regulations of the Nasdaq Global Select Market, the rules and regulations of the Securities and Exchange Commission,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Commencing with our fiscal year ending December 31, 2021, we must perform system and process evaluation and testing of our internal controls over financial reporting to allow management to report on the effectiveness of our internal controls over financial reporting in our Form 10-K filing for that year, as required by Section 404 of the Sarbanes-Oxley Act. We have never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2" w:name="page73"/>
    <w:bookmarkEnd w:id="72"/>
    <w:p>
      <w:pPr>
        <w:ind w:right="200"/>
        <w:spacing w:after="0" w:line="276" w:lineRule="auto"/>
        <w:rPr>
          <w:sz w:val="20"/>
          <w:szCs w:val="20"/>
          <w:color w:val="auto"/>
        </w:rPr>
      </w:pPr>
      <w:r>
        <w:rPr>
          <w:rFonts w:ascii="Arial" w:cs="Arial" w:eastAsia="Arial" w:hAnsi="Arial"/>
          <w:sz w:val="18"/>
          <w:szCs w:val="18"/>
          <w:color w:val="auto"/>
        </w:rPr>
        <w:t>been required to test our internal controls within a specified period and, as a result, we may experience difficulty in meeting these reporting requirements in a timely manner.</w:t>
      </w:r>
    </w:p>
    <w:p>
      <w:pPr>
        <w:spacing w:after="0" w:line="145" w:lineRule="exact"/>
        <w:rPr>
          <w:sz w:val="20"/>
          <w:szCs w:val="20"/>
          <w:color w:val="auto"/>
        </w:rPr>
      </w:pPr>
    </w:p>
    <w:p>
      <w:pPr>
        <w:ind w:right="20" w:firstLine="576"/>
        <w:spacing w:after="0" w:line="239" w:lineRule="auto"/>
        <w:rPr>
          <w:sz w:val="20"/>
          <w:szCs w:val="20"/>
          <w:color w:val="auto"/>
        </w:rPr>
      </w:pPr>
      <w:r>
        <w:rPr>
          <w:rFonts w:ascii="Arial" w:cs="Arial" w:eastAsia="Arial" w:hAnsi="Arial"/>
          <w:sz w:val="18"/>
          <w:szCs w:val="18"/>
          <w:color w:val="auto"/>
        </w:rPr>
        <w:t>We anticipate that the process of building our accounting and financial functions and infrastructure will require significant additional professional fees, internal costs and management efforts. We expect that we will need to implement a new internal system to combine and streamline the management of our financial, accounting, human resources and other functions. However, such a system would likely require us to complete many processes and procedures for the effective use of the system or to run our business using the system, which may result in substantial costs.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76"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spacing w:after="0" w:line="278" w:lineRule="exact"/>
        <w:rPr>
          <w:sz w:val="20"/>
          <w:szCs w:val="20"/>
          <w:color w:val="auto"/>
        </w:rPr>
      </w:pPr>
    </w:p>
    <w:p>
      <w:pPr>
        <w:ind w:right="320" w:firstLine="576"/>
        <w:spacing w:after="0" w:line="285" w:lineRule="auto"/>
        <w:rPr>
          <w:sz w:val="20"/>
          <w:szCs w:val="20"/>
          <w:color w:val="auto"/>
        </w:rPr>
      </w:pPr>
      <w:r>
        <w:rPr>
          <w:rFonts w:ascii="Arial" w:cs="Arial" w:eastAsia="Arial" w:hAnsi="Arial"/>
          <w:sz w:val="18"/>
          <w:szCs w:val="18"/>
          <w:b w:val="1"/>
          <w:bCs w:val="1"/>
          <w:i w:val="1"/>
          <w:iCs w:val="1"/>
          <w:color w:val="auto"/>
        </w:rPr>
        <w:t>We have broad discretion in the use of the net proceeds from our initial public offering and this offering and may not use them effectively.</w:t>
      </w:r>
    </w:p>
    <w:p>
      <w:pPr>
        <w:spacing w:after="0" w:line="21" w:lineRule="exact"/>
        <w:rPr>
          <w:sz w:val="20"/>
          <w:szCs w:val="20"/>
          <w:color w:val="auto"/>
        </w:rPr>
      </w:pPr>
    </w:p>
    <w:p>
      <w:pPr>
        <w:ind w:right="40" w:firstLine="576"/>
        <w:spacing w:after="0" w:line="241" w:lineRule="auto"/>
        <w:rPr>
          <w:sz w:val="20"/>
          <w:szCs w:val="20"/>
          <w:color w:val="auto"/>
        </w:rPr>
      </w:pPr>
      <w:r>
        <w:rPr>
          <w:rFonts w:ascii="Arial" w:cs="Arial" w:eastAsia="Arial" w:hAnsi="Arial"/>
          <w:sz w:val="18"/>
          <w:szCs w:val="18"/>
          <w:color w:val="auto"/>
        </w:rPr>
        <w:t>We cannot specify with certainty the particular uses of the net proceeds we will receive from this offering. We have broad discretion in the application of the net proceeds received in our initial public offering and will have broad discretion in the application of the net proceeds received in this offering, including for any of the purposes described in the section of this prospectus titled “Use of Proceeds.” We may spend a portion or all of the net proceeds from our initial public offering and this offering in ways that our stockholders may not desire or that may not yield a favorable return. Any failure by us to apply these funds effectively could harm our business, financial condition, results of operations and prospects. Pending their use, we may invest the net proceeds from our initial public offering and this offering in a manner that does not produce income or that loses value.</w:t>
      </w:r>
    </w:p>
    <w:p>
      <w:pPr>
        <w:spacing w:after="0" w:line="287" w:lineRule="exact"/>
        <w:rPr>
          <w:sz w:val="20"/>
          <w:szCs w:val="20"/>
          <w:color w:val="auto"/>
        </w:rPr>
      </w:pPr>
    </w:p>
    <w:p>
      <w:pPr>
        <w:ind w:right="120" w:firstLine="576"/>
        <w:spacing w:after="0" w:line="285"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or Washington law could make an acquisition of us difficult, limit attempts by our stockholders to replace or remove our current management and limit our stock price.</w:t>
      </w:r>
    </w:p>
    <w:p>
      <w:pPr>
        <w:spacing w:after="0" w:line="21"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the certificate of incorporation and bylaws:</w:t>
      </w:r>
    </w:p>
    <w:p>
      <w:pPr>
        <w:spacing w:after="0" w:line="62" w:lineRule="exact"/>
        <w:rPr>
          <w:sz w:val="20"/>
          <w:szCs w:val="20"/>
          <w:color w:val="auto"/>
        </w:rPr>
      </w:pPr>
    </w:p>
    <w:p>
      <w:pPr>
        <w:ind w:left="1300" w:hanging="442"/>
        <w:spacing w:after="0" w:line="275" w:lineRule="auto"/>
        <w:tabs>
          <w:tab w:leader="none" w:pos="13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permit the board of directors to issue up to 100,000,000 shares of preferred stock, with any rights, preferences and privileges as they may designate;</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73" w:name="page74"/>
    <w:bookmarkEnd w:id="73"/>
    <w:p>
      <w:pPr>
        <w:ind w:left="1300" w:right="220" w:hanging="442"/>
        <w:spacing w:after="0" w:line="275" w:lineRule="auto"/>
        <w:tabs>
          <w:tab w:leader="none" w:pos="13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all vacancies, including newly-created directorships, may, except as otherwise required by law, be filled by the affirmative vote of a majority of directors then in office, even if less than a quorum;</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divide the board of directors into three classes;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a director may only be removed from the board of directors by the stockholders for cause;</w:t>
      </w:r>
    </w:p>
    <w:p>
      <w:pPr>
        <w:spacing w:after="0" w:line="116" w:lineRule="exact"/>
        <w:rPr>
          <w:rFonts w:ascii="Times New Roman" w:cs="Times New Roman" w:eastAsia="Times New Roman" w:hAnsi="Times New Roman"/>
          <w:sz w:val="18"/>
          <w:szCs w:val="18"/>
          <w:color w:val="auto"/>
        </w:rPr>
      </w:pPr>
    </w:p>
    <w:p>
      <w:pPr>
        <w:ind w:left="1300" w:right="680" w:hanging="442"/>
        <w:spacing w:after="0" w:line="275" w:lineRule="auto"/>
        <w:tabs>
          <w:tab w:leader="none" w:pos="13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may not be taken by written consent;</w:t>
      </w:r>
    </w:p>
    <w:p>
      <w:pPr>
        <w:spacing w:after="0" w:line="37" w:lineRule="exact"/>
        <w:rPr>
          <w:rFonts w:ascii="Times New Roman" w:cs="Times New Roman" w:eastAsia="Times New Roman" w:hAnsi="Times New Roman"/>
          <w:sz w:val="18"/>
          <w:szCs w:val="18"/>
          <w:color w:val="auto"/>
        </w:rPr>
      </w:pPr>
    </w:p>
    <w:p>
      <w:pPr>
        <w:ind w:left="1300" w:right="540" w:hanging="442"/>
        <w:spacing w:after="0" w:line="255" w:lineRule="auto"/>
        <w:tabs>
          <w:tab w:leader="none" w:pos="13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spacing w:after="0" w:line="54"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prevent cumulative voting rights (therefore allowing the holders of a plurality of the shares of common stock entitled to vote in any election of directors to elect all of the directors standing for election, if they should so choose);</w:t>
      </w:r>
    </w:p>
    <w:p>
      <w:pPr>
        <w:spacing w:after="0" w:line="37"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special meetings of our stockholders may be called only by the chairman of the board, our chief executive officer or by the board of directors; and</w:t>
      </w:r>
    </w:p>
    <w:p>
      <w:pPr>
        <w:spacing w:after="0" w:line="37" w:lineRule="exact"/>
        <w:rPr>
          <w:rFonts w:ascii="Times New Roman" w:cs="Times New Roman" w:eastAsia="Times New Roman" w:hAnsi="Times New Roman"/>
          <w:sz w:val="18"/>
          <w:szCs w:val="18"/>
          <w:color w:val="auto"/>
        </w:rPr>
      </w:pPr>
    </w:p>
    <w:p>
      <w:pPr>
        <w:jc w:val="both"/>
        <w:ind w:left="1300" w:right="60" w:hanging="442"/>
        <w:spacing w:after="0" w:line="255" w:lineRule="auto"/>
        <w:tabs>
          <w:tab w:leader="none" w:pos="13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stockholders are permitted to amend the bylaws only upon receiving at least two-thirds of the total votes entitled to be cast by holders of all outstanding shares then entitled to vote generally in the election of directors, voting together as a single class.</w:t>
      </w:r>
    </w:p>
    <w:p>
      <w:pPr>
        <w:spacing w:after="0" w:line="163" w:lineRule="exact"/>
        <w:rPr>
          <w:sz w:val="20"/>
          <w:szCs w:val="20"/>
          <w:color w:val="auto"/>
        </w:rPr>
      </w:pPr>
    </w:p>
    <w:p>
      <w:pPr>
        <w:ind w:right="40" w:firstLine="576"/>
        <w:spacing w:after="0" w:line="241"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Likewise, because our principal executive offices are located in Washington, the anti-takeover provisions of the Washington Business Corporation Act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spacing w:after="0" w:line="287" w:lineRule="exact"/>
        <w:rPr>
          <w:sz w:val="20"/>
          <w:szCs w:val="20"/>
          <w:color w:val="auto"/>
        </w:rPr>
      </w:pPr>
    </w:p>
    <w:p>
      <w:pPr>
        <w:ind w:right="20" w:firstLine="576"/>
        <w:spacing w:after="0" w:line="260" w:lineRule="auto"/>
        <w:rPr>
          <w:sz w:val="20"/>
          <w:szCs w:val="20"/>
          <w:color w:val="auto"/>
        </w:rPr>
      </w:pPr>
      <w:r>
        <w:rPr>
          <w:rFonts w:ascii="Arial" w:cs="Arial" w:eastAsia="Arial" w:hAnsi="Arial"/>
          <w:sz w:val="18"/>
          <w:szCs w:val="18"/>
          <w:b w:val="1"/>
          <w:bCs w:val="1"/>
          <w:i w:val="1"/>
          <w:iCs w:val="1"/>
          <w:color w:val="auto"/>
        </w:rPr>
        <w:t>Our bylaws provide that the Court of Chancery of the State of Delaware and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p>
    <w:p>
      <w:pPr>
        <w:spacing w:after="0" w:line="43"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Our bylaws provide that the Court of Chancery of the State of Delaware will be the exclusive forum for any derivative action or proceeding brought on our behalf; any action asserting a breach of fiduciary duty; any action asserting a claim against us arising under the Delaware General Corporation Law, our certificate of incorporation or our bylaws; any action to interpret, apply, enforce or determine the validity of our certificate of incorporation or our bylaws; and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spacing w:after="0" w:line="174" w:lineRule="exact"/>
        <w:rPr>
          <w:sz w:val="20"/>
          <w:szCs w:val="20"/>
          <w:color w:val="auto"/>
        </w:rPr>
      </w:pPr>
    </w:p>
    <w:p>
      <w:pPr>
        <w:ind w:right="120" w:firstLine="576"/>
        <w:spacing w:after="0" w:line="245" w:lineRule="auto"/>
        <w:rPr>
          <w:sz w:val="20"/>
          <w:szCs w:val="20"/>
          <w:color w:val="auto"/>
        </w:rPr>
      </w:pPr>
      <w:r>
        <w:rPr>
          <w:rFonts w:ascii="Arial" w:cs="Arial" w:eastAsia="Arial" w:hAnsi="Arial"/>
          <w:sz w:val="18"/>
          <w:szCs w:val="18"/>
          <w:color w:val="auto"/>
        </w:rPr>
        <w:t>Our bylaws further provide that the federal district courts of the United States will be the exclusive forum for resolving any complaint asserting a cause of action arising under the Securities Act. The enforceability of similar exclusive federal forum provisions in other companies’ organizational documents has been challenged in legal proceedings, and while the Delaware Supreme Court has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74" w:name="page75"/>
    <w:bookmarkEnd w:id="74"/>
    <w:p>
      <w:pPr>
        <w:ind w:right="60" w:firstLine="576"/>
        <w:spacing w:after="0" w:line="245"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either exclusive forum provision in our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spacing w:after="0" w:line="27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General Risk Factors</w:t>
      </w:r>
    </w:p>
    <w:p>
      <w:pPr>
        <w:spacing w:after="0" w:line="106" w:lineRule="exact"/>
        <w:rPr>
          <w:sz w:val="20"/>
          <w:szCs w:val="20"/>
          <w:color w:val="auto"/>
        </w:rPr>
      </w:pPr>
    </w:p>
    <w:p>
      <w:pPr>
        <w:ind w:right="200" w:firstLine="576"/>
        <w:spacing w:after="0" w:line="285" w:lineRule="auto"/>
        <w:rPr>
          <w:sz w:val="20"/>
          <w:szCs w:val="20"/>
          <w:color w:val="auto"/>
        </w:rPr>
      </w:pPr>
      <w:r>
        <w:rPr>
          <w:rFonts w:ascii="Arial" w:cs="Arial" w:eastAsia="Arial" w:hAnsi="Arial"/>
          <w:sz w:val="18"/>
          <w:szCs w:val="18"/>
          <w:b w:val="1"/>
          <w:bCs w:val="1"/>
          <w:i w:val="1"/>
          <w:iCs w:val="1"/>
          <w:color w:val="auto"/>
        </w:rPr>
        <w:t>Our advisors and consultants are classified as independent contractors, and we can face consequences if it is determined that they are misclassified as such.</w:t>
      </w:r>
    </w:p>
    <w:p>
      <w:pPr>
        <w:spacing w:after="0" w:line="21"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There is often uncertainty in the application of worker classification laws, and consequently there is risk to us that our independent contractors could be deemed to be misclassified under applicable law. The tests governing whether a service provider is an independent contractor or an employee are typically highly fact sensitive and can vary by governing law. Laws and regulations that govern the status and misclassification of independent contractors are also subject to divergent interpretations by various authorities, which can create uncertainty and unpredictability.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or settlement. Such an allegation, claim, adverse determination, including but not limited to with respect to advisors and consultants that provide services to us could also harm our brand and reputation, which could adversely impact our business.</w:t>
      </w:r>
    </w:p>
    <w:p>
      <w:pPr>
        <w:spacing w:after="0" w:line="285" w:lineRule="exact"/>
        <w:rPr>
          <w:sz w:val="20"/>
          <w:szCs w:val="20"/>
          <w:color w:val="auto"/>
        </w:rPr>
      </w:pPr>
    </w:p>
    <w:p>
      <w:pPr>
        <w:ind w:right="300" w:firstLine="576"/>
        <w:spacing w:after="0" w:line="285"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21" w:lineRule="exact"/>
        <w:rPr>
          <w:sz w:val="20"/>
          <w:szCs w:val="20"/>
          <w:color w:val="auto"/>
        </w:rPr>
      </w:pPr>
    </w:p>
    <w:p>
      <w:pPr>
        <w:ind w:right="120" w:firstLine="576"/>
        <w:spacing w:after="0" w:line="245"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80" w:lineRule="exact"/>
        <w:rPr>
          <w:sz w:val="20"/>
          <w:szCs w:val="20"/>
          <w:color w:val="auto"/>
        </w:rPr>
      </w:pPr>
    </w:p>
    <w:p>
      <w:pPr>
        <w:ind w:right="760" w:firstLine="576"/>
        <w:spacing w:after="0" w:line="285"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21" w:lineRule="exact"/>
        <w:rPr>
          <w:sz w:val="20"/>
          <w:szCs w:val="20"/>
          <w:color w:val="auto"/>
        </w:rPr>
      </w:pPr>
    </w:p>
    <w:p>
      <w:pPr>
        <w:ind w:right="120" w:firstLine="576"/>
        <w:spacing w:after="0" w:line="241"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becoming, and our efforts to comply with the requirements of being, a public company, and our management and other personnel will need to devote a substantial amount of time towards maintaining compliance with these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5" w:name="page76"/>
    <w:bookmarkEnd w:id="75"/>
    <w:p>
      <w:pPr>
        <w:ind w:right="40"/>
        <w:spacing w:after="0"/>
        <w:rPr>
          <w:sz w:val="20"/>
          <w:szCs w:val="20"/>
          <w:color w:val="auto"/>
        </w:rPr>
      </w:pPr>
      <w:r>
        <w:rPr>
          <w:rFonts w:ascii="Arial" w:cs="Arial" w:eastAsia="Arial" w:hAnsi="Arial"/>
          <w:sz w:val="18"/>
          <w:szCs w:val="18"/>
          <w:color w:val="auto"/>
        </w:rPr>
        <w:t>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88" w:lineRule="exact"/>
        <w:rPr>
          <w:sz w:val="20"/>
          <w:szCs w:val="20"/>
          <w:color w:val="auto"/>
        </w:rPr>
      </w:pPr>
    </w:p>
    <w:p>
      <w:pPr>
        <w:ind w:right="240" w:firstLine="576"/>
        <w:spacing w:after="0" w:line="285" w:lineRule="auto"/>
        <w:rPr>
          <w:sz w:val="20"/>
          <w:szCs w:val="20"/>
          <w:color w:val="auto"/>
        </w:rPr>
      </w:pPr>
      <w:r>
        <w:rPr>
          <w:rFonts w:ascii="Arial" w:cs="Arial" w:eastAsia="Arial" w:hAnsi="Arial"/>
          <w:sz w:val="18"/>
          <w:szCs w:val="18"/>
          <w:b w:val="1"/>
          <w:bCs w:val="1"/>
          <w:i w:val="1"/>
          <w:iCs w:val="1"/>
          <w:color w:val="auto"/>
        </w:rPr>
        <w:t>If we are unable to maintain effective internal controls, our business, financial position and results of operations could be adversely affected.</w:t>
      </w:r>
    </w:p>
    <w:p>
      <w:pPr>
        <w:spacing w:after="0" w:line="21" w:lineRule="exact"/>
        <w:rPr>
          <w:sz w:val="20"/>
          <w:szCs w:val="20"/>
          <w:color w:val="auto"/>
        </w:rPr>
      </w:pPr>
    </w:p>
    <w:p>
      <w:pPr>
        <w:jc w:val="both"/>
        <w:ind w:right="180" w:firstLine="576"/>
        <w:spacing w:after="0" w:line="255" w:lineRule="auto"/>
        <w:rPr>
          <w:sz w:val="20"/>
          <w:szCs w:val="20"/>
          <w:color w:val="auto"/>
        </w:rPr>
      </w:pPr>
      <w:r>
        <w:rPr>
          <w:rFonts w:ascii="Arial" w:cs="Arial" w:eastAsia="Arial" w:hAnsi="Arial"/>
          <w:sz w:val="18"/>
          <w:szCs w:val="18"/>
          <w:color w:val="auto"/>
        </w:rPr>
        <w:t>As a public company, we are subject to reporting and other obligations under the Securities Exchange Act of 1934, as amended, or the Exchange Act, including the requirements of SOX Section 404, which require annual management assessments of the effectiveness of our internal control over financial reporting.</w:t>
      </w:r>
    </w:p>
    <w:p>
      <w:pPr>
        <w:spacing w:after="0" w:line="164"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of 2002. These reporting and other obligations place significant demands on our management and administrative and operational resources, including accounting resources.</w:t>
      </w:r>
    </w:p>
    <w:p>
      <w:pPr>
        <w:spacing w:after="0" w:line="172"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4"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This prospectus contains forward-looking statements within the meaning of the Private Securities Litigation Reform Act of 1995 that are based on our management’s beliefs and assumptions and on information currently available to our management. Some of the statements in the sections of this prospectus titled “Prospectus Summary,” “Risk Factors,” “Management’s Discussion and Analysis of Financial Condition and Results of Operations” and “Business” and elsewhere in this prospectus contain forward-looking statements. In some cases, you can identify forward- looking statements by the following words: “anticipate,” “believe,” “continue,” “could,” “estimate,” “expect,” “intend,” “may,” “ongoing,” “plan,” “potential,” “predict,” “project,” “should,” “target”, “will,” “would” or the negative of these terms or other comparable terminology, although not all forward-looking statements contain these words.</w:t>
      </w:r>
    </w:p>
    <w:p>
      <w:pPr>
        <w:spacing w:after="0" w:line="179" w:lineRule="exact"/>
        <w:rPr>
          <w:sz w:val="20"/>
          <w:szCs w:val="20"/>
          <w:color w:val="auto"/>
        </w:rPr>
      </w:pPr>
    </w:p>
    <w:p>
      <w:pPr>
        <w:ind w:right="120" w:firstLine="576"/>
        <w:spacing w:after="0" w:line="245" w:lineRule="auto"/>
        <w:rPr>
          <w:sz w:val="20"/>
          <w:szCs w:val="20"/>
          <w:color w:val="auto"/>
        </w:rPr>
      </w:pPr>
      <w:r>
        <w:rPr>
          <w:rFonts w:ascii="Arial" w:cs="Arial" w:eastAsia="Arial" w:hAnsi="Arial"/>
          <w:sz w:val="18"/>
          <w:szCs w:val="18"/>
          <w:color w:val="auto"/>
        </w:rPr>
        <w:t>These statements involve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prospectus, we caution you that these statements are based on a combination of facts and factors currently known by us and our projections of the future, about which we cannot be certain. Forward-looking statements in this prospectus include, but are not limited to, statements about:</w:t>
      </w:r>
    </w:p>
    <w:p>
      <w:pPr>
        <w:spacing w:after="0" w:line="64" w:lineRule="exact"/>
        <w:rPr>
          <w:sz w:val="20"/>
          <w:szCs w:val="20"/>
          <w:color w:val="auto"/>
        </w:rPr>
      </w:pPr>
    </w:p>
    <w:p>
      <w:pPr>
        <w:ind w:left="1300" w:hanging="442"/>
        <w:spacing w:after="0"/>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our financial performance;</w:t>
      </w:r>
    </w:p>
    <w:p>
      <w:pPr>
        <w:spacing w:after="0" w:line="224" w:lineRule="exact"/>
        <w:rPr>
          <w:rFonts w:ascii="Times New Roman" w:cs="Times New Roman" w:eastAsia="Times New Roman" w:hAnsi="Times New Roman"/>
          <w:sz w:val="18"/>
          <w:szCs w:val="18"/>
          <w:color w:val="auto"/>
        </w:rPr>
      </w:pPr>
    </w:p>
    <w:p>
      <w:pPr>
        <w:ind w:left="1300" w:right="440" w:hanging="442"/>
        <w:spacing w:after="0" w:line="275" w:lineRule="auto"/>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our existing cash, cash equivalents and investments to fund our future operating expenses and capital expenditure requirements;</w:t>
      </w:r>
    </w:p>
    <w:p>
      <w:pPr>
        <w:spacing w:after="0" w:line="145" w:lineRule="exact"/>
        <w:rPr>
          <w:rFonts w:ascii="Times New Roman" w:cs="Times New Roman" w:eastAsia="Times New Roman" w:hAnsi="Times New Roman"/>
          <w:sz w:val="18"/>
          <w:szCs w:val="18"/>
          <w:color w:val="auto"/>
        </w:rPr>
      </w:pPr>
    </w:p>
    <w:p>
      <w:pPr>
        <w:ind w:left="1300" w:right="600" w:hanging="442"/>
        <w:spacing w:after="0" w:line="275" w:lineRule="auto"/>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funding for our operations, including funding necessary to develop and commercialize our product candidates;</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of our nonclinical studies and clinical trials to demonstrate safety and efficacy of our product candidates;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cost and timing of our development activities, nonclinical studies and clinical trials;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the rate and degree of market acceptance of our product candidates;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or likelihood of regulatory filings and approvals;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focus of our future clinical trials, and the reporting of data from those trials;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relating to commercializing our product candidates, if approved;</w:t>
      </w:r>
    </w:p>
    <w:p>
      <w:pPr>
        <w:spacing w:after="0" w:line="224" w:lineRule="exact"/>
        <w:rPr>
          <w:rFonts w:ascii="Times New Roman" w:cs="Times New Roman" w:eastAsia="Times New Roman" w:hAnsi="Times New Roman"/>
          <w:sz w:val="18"/>
          <w:szCs w:val="18"/>
          <w:color w:val="auto"/>
        </w:rPr>
      </w:pPr>
    </w:p>
    <w:p>
      <w:pPr>
        <w:ind w:left="1300" w:right="60" w:hanging="442"/>
        <w:spacing w:after="0" w:line="275" w:lineRule="auto"/>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and ability to establish sales, marketing and distribution infrastructure to commercialize any product candidates for which we obtain approval;</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key managerial, scientific and clinical personnel;</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the pricing and reimbursement of our product candidates, if approved;</w:t>
      </w:r>
    </w:p>
    <w:p>
      <w:pPr>
        <w:spacing w:after="0" w:line="224" w:lineRule="exact"/>
        <w:rPr>
          <w:rFonts w:ascii="Times New Roman" w:cs="Times New Roman" w:eastAsia="Times New Roman" w:hAnsi="Times New Roman"/>
          <w:sz w:val="18"/>
          <w:szCs w:val="18"/>
          <w:color w:val="auto"/>
        </w:rPr>
      </w:pPr>
    </w:p>
    <w:p>
      <w:pPr>
        <w:ind w:left="1300" w:right="600" w:hanging="442"/>
        <w:spacing w:after="0" w:line="275" w:lineRule="auto"/>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third parties to conduct clinical trials of our product candidates, and for the manufacture of our product candidates for nonclinical studies and clinical trials;</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expand our product candidates into additional indications and patient populations;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competing therapies that are or may become available;</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77" w:name="page78"/>
    <w:bookmarkEnd w:id="77"/>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beneficial characteristics, safety and efficacy of our product candidates;</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in the United States and other jurisdictions;</w:t>
      </w:r>
    </w:p>
    <w:p>
      <w:pPr>
        <w:spacing w:after="0" w:line="224" w:lineRule="exact"/>
        <w:rPr>
          <w:rFonts w:ascii="Times New Roman" w:cs="Times New Roman" w:eastAsia="Times New Roman" w:hAnsi="Times New Roman"/>
          <w:sz w:val="18"/>
          <w:szCs w:val="18"/>
          <w:color w:val="auto"/>
        </w:rPr>
      </w:pPr>
    </w:p>
    <w:p>
      <w:pPr>
        <w:ind w:left="1300" w:right="220" w:hanging="442"/>
        <w:spacing w:after="0" w:line="275" w:lineRule="auto"/>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and maintain regulatory approval of our product candidates in the United States and other jurisdictions, and any related restrictions, limitations and/or warnings in the label of any approved product candidate;</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future agreements with third parties in connection with the commercialization of our product candidates;</w:t>
      </w:r>
    </w:p>
    <w:p>
      <w:pPr>
        <w:spacing w:after="0" w:line="224"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relating to the further development and manufacturing of our product candidates, including additional indications for which we may pursue regulatory approval;</w:t>
      </w:r>
    </w:p>
    <w:p>
      <w:pPr>
        <w:spacing w:after="0" w:line="145" w:lineRule="exact"/>
        <w:rPr>
          <w:rFonts w:ascii="Times New Roman" w:cs="Times New Roman" w:eastAsia="Times New Roman" w:hAnsi="Times New Roman"/>
          <w:sz w:val="18"/>
          <w:szCs w:val="18"/>
          <w:color w:val="auto"/>
        </w:rPr>
      </w:pPr>
    </w:p>
    <w:p>
      <w:pPr>
        <w:ind w:left="1300" w:right="520" w:hanging="442"/>
        <w:spacing w:after="0" w:line="275" w:lineRule="auto"/>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and ability to obtain or protect intellectual property rights, including extensions of existing patent terms where available;</w:t>
      </w:r>
    </w:p>
    <w:p>
      <w:pPr>
        <w:spacing w:after="0" w:line="145" w:lineRule="exact"/>
        <w:rPr>
          <w:rFonts w:ascii="Times New Roman" w:cs="Times New Roman" w:eastAsia="Times New Roman" w:hAnsi="Times New Roman"/>
          <w:sz w:val="18"/>
          <w:szCs w:val="18"/>
          <w:color w:val="auto"/>
        </w:rPr>
      </w:pPr>
    </w:p>
    <w:p>
      <w:pPr>
        <w:ind w:left="1300" w:right="140" w:hanging="442"/>
        <w:spacing w:after="0" w:line="275" w:lineRule="auto"/>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 and technology;</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the impact of the novel coronavirus disease, or COVID-19, pandemic on our business;</w:t>
      </w:r>
    </w:p>
    <w:p>
      <w:pPr>
        <w:spacing w:after="0" w:line="224" w:lineRule="exact"/>
        <w:rPr>
          <w:rFonts w:ascii="Times New Roman" w:cs="Times New Roman" w:eastAsia="Times New Roman" w:hAnsi="Times New Roman"/>
          <w:sz w:val="18"/>
          <w:szCs w:val="18"/>
          <w:color w:val="auto"/>
        </w:rPr>
      </w:pPr>
    </w:p>
    <w:p>
      <w:pPr>
        <w:ind w:left="1300" w:right="340" w:hanging="442"/>
        <w:spacing w:after="0" w:line="275" w:lineRule="auto"/>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size and growth potential of the markets for our product candidates, if approved for commercial use, and our ability to serve those markets;</w:t>
      </w:r>
    </w:p>
    <w:p>
      <w:pPr>
        <w:spacing w:after="0" w:line="145"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benefits of any strategic collaboration agreements we may enter into.</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our anticipated use of the proceeds from this offering;</w:t>
      </w:r>
    </w:p>
    <w:p>
      <w:pPr>
        <w:spacing w:after="0" w:line="22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332" w:lineRule="exact"/>
        <w:rPr>
          <w:sz w:val="20"/>
          <w:szCs w:val="20"/>
          <w:color w:val="auto"/>
        </w:rPr>
      </w:pPr>
    </w:p>
    <w:p>
      <w:pPr>
        <w:ind w:right="60" w:firstLine="576"/>
        <w:spacing w:after="0" w:line="239" w:lineRule="auto"/>
        <w:rPr>
          <w:sz w:val="20"/>
          <w:szCs w:val="20"/>
          <w:color w:val="auto"/>
        </w:rPr>
      </w:pPr>
      <w:r>
        <w:rPr>
          <w:rFonts w:ascii="Arial" w:cs="Arial" w:eastAsia="Arial" w:hAnsi="Arial"/>
          <w:sz w:val="18"/>
          <w:szCs w:val="18"/>
          <w:color w:val="auto"/>
        </w:rPr>
        <w:t>You should refer to the section of this prospectus titled “Risk Factors”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 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8" w:name="page79"/>
    <w:bookmarkEnd w:id="78"/>
    <w:p>
      <w:pPr>
        <w:jc w:val="center"/>
        <w:ind w:right="-39"/>
        <w:spacing w:after="0"/>
        <w:rPr>
          <w:sz w:val="20"/>
          <w:szCs w:val="20"/>
          <w:color w:val="auto"/>
        </w:rPr>
      </w:pPr>
      <w:r>
        <w:rPr>
          <w:rFonts w:ascii="Arial" w:cs="Arial" w:eastAsia="Arial" w:hAnsi="Arial"/>
          <w:sz w:val="18"/>
          <w:szCs w:val="18"/>
          <w:b w:val="1"/>
          <w:bCs w:val="1"/>
          <w:color w:val="auto"/>
        </w:rPr>
        <w:t>MARKET, INDUSTRY AND OTHER DATA</w:t>
      </w:r>
    </w:p>
    <w:p>
      <w:pPr>
        <w:spacing w:after="0" w:line="21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This prospectus contains estimates, projections and other information concerning market, industry and other data. We obtained this data from our own internal estimates and research and from academic and industry research, publications, surveys, and studies conducted by third parties, including governmental agencies. In some cases, we do not expressly refer to the sources from which these data are derived. These data involve a number of assumptions and limitations, are subject to risks and uncertainties, and are subject to change based on various factors, including those discussed in the section of this prospectus titled “Risk Factors” and elsewhere in this prospectus. These and other factors could cause results to differ materially from those expressed in the estimates made by the independent parties and by us. While we believe such information included in this prospectus is generally reliable, we have not independently verified any third-party information.</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79" w:name="page80"/>
    <w:bookmarkEnd w:id="79"/>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14" w:lineRule="exact"/>
        <w:rPr>
          <w:sz w:val="20"/>
          <w:szCs w:val="20"/>
          <w:color w:val="auto"/>
        </w:rPr>
      </w:pPr>
    </w:p>
    <w:p>
      <w:pPr>
        <w:jc w:val="both"/>
        <w:ind w:right="180" w:firstLine="576"/>
        <w:spacing w:after="0" w:line="255" w:lineRule="auto"/>
        <w:rPr>
          <w:sz w:val="20"/>
          <w:szCs w:val="20"/>
          <w:color w:val="auto"/>
        </w:rPr>
      </w:pPr>
      <w:r>
        <w:rPr>
          <w:rFonts w:ascii="Arial" w:cs="Arial" w:eastAsia="Arial" w:hAnsi="Arial"/>
          <w:sz w:val="18"/>
          <w:szCs w:val="18"/>
          <w:color w:val="auto"/>
        </w:rPr>
        <w:t>We estimate that the net proceeds from this offering will be approximately $84.1 million (or $ 96.8 million if the underwriters exercise their option to purchase additional shares in full), based upon the public offering price of $22.50 per share and after deducting underwriting discounts and commissions and offering expenses payable by us.</w:t>
      </w:r>
    </w:p>
    <w:p>
      <w:pPr>
        <w:spacing w:after="0" w:line="164" w:lineRule="exact"/>
        <w:rPr>
          <w:sz w:val="20"/>
          <w:szCs w:val="20"/>
          <w:color w:val="auto"/>
        </w:rPr>
      </w:pPr>
    </w:p>
    <w:p>
      <w:pPr>
        <w:ind w:right="60" w:firstLine="576"/>
        <w:spacing w:after="0" w:line="276"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and obtain additional capital to support our operations. We currently intend to use the net proceeds from this offering for the following purposes:</w:t>
      </w:r>
    </w:p>
    <w:p>
      <w:pPr>
        <w:spacing w:after="0" w:line="158" w:lineRule="exact"/>
        <w:rPr>
          <w:sz w:val="20"/>
          <w:szCs w:val="20"/>
          <w:color w:val="auto"/>
        </w:rPr>
      </w:pPr>
    </w:p>
    <w:p>
      <w:pPr>
        <w:jc w:val="both"/>
        <w:ind w:left="1300" w:right="60" w:hanging="442"/>
        <w:spacing w:after="0" w:line="255" w:lineRule="auto"/>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approximately $34 million to fund the continued clinical development of ATH-1017, including for our planned Phase 2 trial of ATH-1017 for the treatment of Parkinson’s disease dementia and for clinical pharmacology and safety studies to support the development of ATH-1017 for both mild-to-moderate Alzheimer’s disease and Parkinson’s disease dementia;</w:t>
      </w:r>
    </w:p>
    <w:p>
      <w:pPr>
        <w:spacing w:after="0" w:line="176" w:lineRule="exact"/>
        <w:rPr>
          <w:rFonts w:ascii="Times New Roman" w:cs="Times New Roman" w:eastAsia="Times New Roman" w:hAnsi="Times New Roman"/>
          <w:sz w:val="18"/>
          <w:szCs w:val="18"/>
          <w:color w:val="auto"/>
        </w:rPr>
      </w:pPr>
    </w:p>
    <w:p>
      <w:pPr>
        <w:ind w:left="1300" w:right="160" w:hanging="442"/>
        <w:spacing w:after="0" w:line="275" w:lineRule="auto"/>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approximately $48 million to fund our IND-enabling studies and early-stage clinical development of ATH-1019 or ATH-1020 for the treatment of neuropsychiatric indications; and</w:t>
      </w:r>
    </w:p>
    <w:p>
      <w:pPr>
        <w:spacing w:after="0" w:line="145" w:lineRule="exact"/>
        <w:rPr>
          <w:rFonts w:ascii="Times New Roman" w:cs="Times New Roman" w:eastAsia="Times New Roman" w:hAnsi="Times New Roman"/>
          <w:sz w:val="18"/>
          <w:szCs w:val="18"/>
          <w:color w:val="auto"/>
        </w:rPr>
      </w:pPr>
    </w:p>
    <w:p>
      <w:pPr>
        <w:ind w:left="1300" w:right="180" w:hanging="442"/>
        <w:spacing w:after="0" w:line="275" w:lineRule="auto"/>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the remainder for our other research and development activities, as well as for working capital and other general corporate purposes.</w:t>
      </w:r>
    </w:p>
    <w:p>
      <w:pPr>
        <w:spacing w:after="0" w:line="146" w:lineRule="exact"/>
        <w:rPr>
          <w:sz w:val="20"/>
          <w:szCs w:val="20"/>
          <w:color w:val="auto"/>
        </w:rPr>
      </w:pPr>
    </w:p>
    <w:p>
      <w:pPr>
        <w:jc w:val="both"/>
        <w:ind w:right="20" w:firstLine="576"/>
        <w:spacing w:after="0" w:line="255" w:lineRule="auto"/>
        <w:rPr>
          <w:sz w:val="20"/>
          <w:szCs w:val="20"/>
          <w:color w:val="auto"/>
        </w:rPr>
      </w:pPr>
      <w:r>
        <w:rPr>
          <w:rFonts w:ascii="Arial" w:cs="Arial" w:eastAsia="Arial" w:hAnsi="Arial"/>
          <w:sz w:val="18"/>
          <w:szCs w:val="18"/>
          <w:color w:val="auto"/>
        </w:rPr>
        <w:t>We currently intend to use our existing cash, cash equivalents and investments to fund the ongoing clinical development of ATH-1017 for the treatment of mild-to-moderate Alzheimer’s disease, including our ongoing LIFT-AD and ACT-AD clinical trials, and for working capital and other general corporate purposes.</w:t>
      </w:r>
    </w:p>
    <w:p>
      <w:pPr>
        <w:spacing w:after="0" w:line="16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This expected use of the net proceeds from this offering represents our intentions based on our current plans and business conditions, which could change in the future as our plans and business conditions evolve. Further, due to the uncertainties inherent in the small molecule development process, it is difficult to estimate with certainty the exact amounts of the net proceeds from this offering that may be used for the above purposes. We may also use a portion of our net proceeds to acquire or invest in complementary products, technologies, or businesses. However, we currently have no agreements or commitments to do so. As a result, our management will have broad discretion over the use of the net proceeds from this offering, and our investors will be relying on the judgment of our management regarding the application of the net proceeds of this offering. The amounts and timing of our expenditures will depend upon numerous factors including the results of our research and development efforts, the timing, number, scope and success of our nonclinical studies and clinical trials, and the timing and success of any regulatory submissions.</w:t>
      </w:r>
    </w:p>
    <w:p>
      <w:pPr>
        <w:spacing w:after="0" w:line="176" w:lineRule="exact"/>
        <w:rPr>
          <w:sz w:val="20"/>
          <w:szCs w:val="20"/>
          <w:color w:val="auto"/>
        </w:rPr>
      </w:pPr>
    </w:p>
    <w:p>
      <w:pPr>
        <w:ind w:right="60" w:firstLine="576"/>
        <w:spacing w:after="0" w:line="207" w:lineRule="exact"/>
        <w:rPr>
          <w:sz w:val="20"/>
          <w:szCs w:val="20"/>
          <w:color w:val="auto"/>
        </w:rPr>
      </w:pPr>
      <w:r>
        <w:rPr>
          <w:rFonts w:ascii="Arial" w:cs="Arial" w:eastAsia="Arial" w:hAnsi="Arial"/>
          <w:sz w:val="18"/>
          <w:szCs w:val="18"/>
          <w:color w:val="auto"/>
        </w:rPr>
        <w:t>Based upon our current operating plan, we estimate that our existing cash, cash equivalents and investments and the anticipated net proceeds from this offering, will be sufficient to fund our operating expenses and capital expenditure requirements at least through 2022. In particular, we expect that the net proceeds from this offering and our existing cash, cash equivalents and investments will fund us through receipt of topline data readouts for our LIFT-AD and ACT-AD trials of ATH-1017, each for the treatment of mild-to-moderate AD, through receipt of topline data for our planned Phase 2 trial of ATH-1017 for the treatment of Parkinson’s disease dementia, as well as IND-enabling studies and early-stage clinical development for ATH-1019 or ATH</w:t>
      </w:r>
      <w:r>
        <w:rPr>
          <w:rFonts w:ascii="MS PGothic" w:cs="MS PGothic" w:eastAsia="MS PGothic" w:hAnsi="MS PGothic"/>
          <w:sz w:val="18"/>
          <w:szCs w:val="18"/>
          <w:color w:val="auto"/>
        </w:rPr>
        <w:t>‑</w:t>
      </w:r>
      <w:r>
        <w:rPr>
          <w:rFonts w:ascii="Arial" w:cs="Arial" w:eastAsia="Arial" w:hAnsi="Arial"/>
          <w:sz w:val="18"/>
          <w:szCs w:val="18"/>
          <w:color w:val="auto"/>
        </w:rPr>
        <w:t xml:space="preserve"> 1020 for the treatment of neuropsychiatric indications. However, our existing cash, cash equivalents and investments and the expected net proceeds from this offering will not be sufficient for us to fund any of our product candidates through regulatory approval and commercialization, and we will need to raise substantial additional capital to complete the development and commercialization of our product candidates. The amounts and timing of our actual expenditures may vary significantly depending on numerous factors. For additional information regarding our potential</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4" w:right="379" w:bottom="1440" w:gutter="0" w:footer="0" w:header="0"/>
        </w:sectPr>
      </w:pPr>
    </w:p>
    <w:bookmarkStart w:id="80" w:name="page81"/>
    <w:bookmarkEnd w:id="80"/>
    <w:p>
      <w:pPr>
        <w:ind w:right="340"/>
        <w:spacing w:after="0" w:line="276" w:lineRule="auto"/>
        <w:rPr>
          <w:sz w:val="20"/>
          <w:szCs w:val="20"/>
          <w:color w:val="auto"/>
        </w:rPr>
      </w:pPr>
      <w:r>
        <w:rPr>
          <w:rFonts w:ascii="Arial" w:cs="Arial" w:eastAsia="Arial" w:hAnsi="Arial"/>
          <w:sz w:val="18"/>
          <w:szCs w:val="18"/>
          <w:color w:val="auto"/>
        </w:rPr>
        <w:t>capital requirements, including factors that could cause actual costs to vary from the estimates set forth above, see the section of this prospectus titled “Risk Factors.”</w:t>
      </w:r>
    </w:p>
    <w:p>
      <w:pPr>
        <w:spacing w:after="0" w:line="145"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As of the date of this prospectus, we intend to invest the net proceeds in short-term interest-bearing investment-grade securities, certificates of deposit or government securities. The goal with respect to the investment of these net proceeds is capital preservation and liquidity so that such funds are readily available to fund our operations.</w:t>
      </w:r>
    </w:p>
    <w:p>
      <w:pPr>
        <w:spacing w:after="0" w:line="16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20"/>
          </w:cols>
          <w:pgMar w:left="320" w:top="576" w:right="659" w:bottom="1440" w:gutter="0" w:footer="0" w:header="0"/>
        </w:sectPr>
      </w:pPr>
    </w:p>
    <w:bookmarkStart w:id="81" w:name="page82"/>
    <w:bookmarkEnd w:id="81"/>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1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 Our future ability to pay cash dividends on our capital stock may be limited by any future debt instruments or preferred securities.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58" w:right="37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cash, cash equivalents and investments and unaudited capitalization as of September 30, 2020:</w:t>
      </w:r>
    </w:p>
    <w:p>
      <w:pPr>
        <w:spacing w:after="0" w:line="104" w:lineRule="exact"/>
        <w:rPr>
          <w:sz w:val="20"/>
          <w:szCs w:val="20"/>
          <w:color w:val="auto"/>
        </w:rPr>
      </w:pPr>
    </w:p>
    <w:p>
      <w:pPr>
        <w:ind w:left="800" w:hanging="225"/>
        <w:spacing w:after="0"/>
        <w:tabs>
          <w:tab w:leader="none" w:pos="8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on an actual basis;</w:t>
      </w:r>
    </w:p>
    <w:p>
      <w:pPr>
        <w:spacing w:after="0" w:line="116" w:lineRule="exact"/>
        <w:rPr>
          <w:rFonts w:ascii="Times New Roman" w:cs="Times New Roman" w:eastAsia="Times New Roman" w:hAnsi="Times New Roman"/>
          <w:sz w:val="18"/>
          <w:szCs w:val="18"/>
          <w:color w:val="auto"/>
        </w:rPr>
      </w:pPr>
    </w:p>
    <w:p>
      <w:pPr>
        <w:ind w:left="800" w:right="300" w:hanging="225"/>
        <w:spacing w:after="0" w:line="255" w:lineRule="auto"/>
        <w:tabs>
          <w:tab w:leader="none" w:pos="8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on an as adjusted basis to reflect the sale and issuance by us of 4,000,000 shares of common stock in this offering at the public offering price of $22.50 per share, after deducting underwriting discounts and commissions and estimated offering expenses payable by us.</w:t>
      </w:r>
    </w:p>
    <w:p>
      <w:pPr>
        <w:spacing w:after="0" w:line="163" w:lineRule="exact"/>
        <w:rPr>
          <w:sz w:val="20"/>
          <w:szCs w:val="20"/>
          <w:color w:val="auto"/>
        </w:rPr>
      </w:pPr>
    </w:p>
    <w:p>
      <w:pPr>
        <w:jc w:val="both"/>
        <w:ind w:right="580" w:firstLine="576"/>
        <w:spacing w:after="0" w:line="255" w:lineRule="auto"/>
        <w:rPr>
          <w:sz w:val="20"/>
          <w:szCs w:val="20"/>
          <w:color w:val="auto"/>
        </w:rPr>
      </w:pPr>
      <w:r>
        <w:rPr>
          <w:rFonts w:ascii="Arial" w:cs="Arial" w:eastAsia="Arial" w:hAnsi="Arial"/>
          <w:sz w:val="18"/>
          <w:szCs w:val="18"/>
          <w:color w:val="auto"/>
        </w:rPr>
        <w:t>You should read the information in this table together with our financial statements and related notes included elsewhere in this prospectus, as well as the sections of this prospectus titled “Selected Financial Data” and “Management’s Discussion and Analysis of Financial Condition and Results of Operations.”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rPr>
              <w:t>As of September 30, 2020</w:t>
            </w:r>
          </w:p>
        </w:tc>
        <w:tc>
          <w:tcPr>
            <w:tcW w:w="0" w:type="dxa"/>
            <w:vAlign w:val="bottom"/>
          </w:tcPr>
          <w:p>
            <w:pPr>
              <w:spacing w:after="0"/>
              <w:rPr>
                <w:sz w:val="1"/>
                <w:szCs w:val="1"/>
                <w:color w:val="auto"/>
              </w:rPr>
            </w:pPr>
          </w:p>
        </w:tc>
      </w:tr>
      <w:tr>
        <w:trPr>
          <w:trHeight w:val="169"/>
        </w:trPr>
        <w:tc>
          <w:tcPr>
            <w:tcW w:w="770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520" w:type="dxa"/>
            <w:vAlign w:val="bottom"/>
            <w:tcBorders>
              <w:top w:val="single" w:sz="8" w:color="auto"/>
              <w:bottom w:val="single" w:sz="8" w:color="auto"/>
            </w:tcBorders>
            <w:gridSpan w:val="2"/>
          </w:tcPr>
          <w:p>
            <w:pPr>
              <w:jc w:val="right"/>
              <w:ind w:right="860"/>
              <w:spacing w:after="0"/>
              <w:rPr>
                <w:sz w:val="20"/>
                <w:szCs w:val="20"/>
                <w:color w:val="auto"/>
              </w:rPr>
            </w:pPr>
            <w:r>
              <w:rPr>
                <w:rFonts w:ascii="Arial" w:cs="Arial" w:eastAsia="Arial" w:hAnsi="Arial"/>
                <w:sz w:val="14"/>
                <w:szCs w:val="14"/>
                <w:b w:val="1"/>
                <w:bCs w:val="1"/>
                <w:color w:val="auto"/>
              </w:rPr>
              <w:t>Actual</w:t>
            </w:r>
          </w:p>
        </w:tc>
        <w:tc>
          <w:tcPr>
            <w:tcW w:w="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As Adjusted</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4"/>
          </w:tcPr>
          <w:p>
            <w:pPr>
              <w:jc w:val="center"/>
              <w:ind w:left="835"/>
              <w:spacing w:after="0" w:line="154" w:lineRule="exact"/>
              <w:rPr>
                <w:sz w:val="20"/>
                <w:szCs w:val="20"/>
                <w:color w:val="auto"/>
              </w:rPr>
            </w:pPr>
            <w:r>
              <w:rPr>
                <w:rFonts w:ascii="Arial" w:cs="Arial" w:eastAsia="Arial" w:hAnsi="Arial"/>
                <w:sz w:val="14"/>
                <w:szCs w:val="14"/>
                <w:b w:val="1"/>
                <w:bCs w:val="1"/>
                <w:color w:val="auto"/>
              </w:rPr>
              <w:t>(unaudited)</w:t>
            </w: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7700" w:type="dxa"/>
            <w:vAlign w:val="bottom"/>
          </w:tcPr>
          <w:p>
            <w:pPr>
              <w:spacing w:after="0"/>
              <w:rPr>
                <w:sz w:val="15"/>
                <w:szCs w:val="15"/>
                <w:color w:val="auto"/>
              </w:rPr>
            </w:pPr>
          </w:p>
        </w:tc>
        <w:tc>
          <w:tcPr>
            <w:tcW w:w="354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rPr>
              <w:t>(in thousands, except share and per share data)</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investments</w:t>
            </w:r>
          </w:p>
        </w:tc>
        <w:tc>
          <w:tcPr>
            <w:tcW w:w="340" w:type="dxa"/>
            <w:vAlign w:val="bottom"/>
            <w:shd w:val="clear" w:color="auto" w:fill="CFF0FC"/>
          </w:tcPr>
          <w:p>
            <w:pPr>
              <w:jc w:val="right"/>
              <w:ind w:right="155"/>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259,928</w:t>
            </w:r>
          </w:p>
        </w:tc>
        <w:tc>
          <w:tcPr>
            <w:tcW w:w="3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344,012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Grant liability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vMerge w:val="continue"/>
          </w:tcPr>
          <w:p>
            <w:pPr>
              <w:spacing w:after="0"/>
              <w:rPr>
                <w:sz w:val="17"/>
                <w:szCs w:val="17"/>
                <w:color w:val="auto"/>
              </w:rPr>
            </w:pPr>
          </w:p>
        </w:tc>
        <w:tc>
          <w:tcPr>
            <w:tcW w:w="340" w:type="dxa"/>
            <w:vAlign w:val="bottom"/>
          </w:tcPr>
          <w:p>
            <w:pPr>
              <w:jc w:val="right"/>
              <w:ind w:right="155"/>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1,500</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1,500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700" w:type="dxa"/>
            <w:vAlign w:val="bottom"/>
          </w:tcPr>
          <w:p>
            <w:pPr>
              <w:ind w:left="260"/>
              <w:spacing w:after="0" w:line="193" w:lineRule="exact"/>
              <w:rPr>
                <w:sz w:val="20"/>
                <w:szCs w:val="20"/>
                <w:color w:val="auto"/>
              </w:rPr>
            </w:pPr>
            <w:r>
              <w:rPr>
                <w:rFonts w:ascii="Arial" w:cs="Arial" w:eastAsia="Arial" w:hAnsi="Arial"/>
                <w:sz w:val="18"/>
                <w:szCs w:val="18"/>
                <w:color w:val="auto"/>
              </w:rPr>
              <w:t>Preferred stock, $0.0001 par value per share, 100,000,000</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400"/>
              <w:spacing w:after="0" w:line="202" w:lineRule="exact"/>
              <w:rPr>
                <w:sz w:val="20"/>
                <w:szCs w:val="20"/>
                <w:color w:val="auto"/>
              </w:rPr>
            </w:pPr>
            <w:r>
              <w:rPr>
                <w:rFonts w:ascii="Arial" w:cs="Arial" w:eastAsia="Arial" w:hAnsi="Arial"/>
                <w:sz w:val="18"/>
                <w:szCs w:val="18"/>
                <w:color w:val="auto"/>
              </w:rPr>
              <w:t>shares authorized and no shares issued and outstanding,</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700" w:type="dxa"/>
            <w:vAlign w:val="bottom"/>
          </w:tcPr>
          <w:p>
            <w:pPr>
              <w:ind w:left="400"/>
              <w:spacing w:after="0"/>
              <w:rPr>
                <w:sz w:val="20"/>
                <w:szCs w:val="20"/>
                <w:color w:val="auto"/>
              </w:rPr>
            </w:pPr>
            <w:r>
              <w:rPr>
                <w:rFonts w:ascii="Arial" w:cs="Arial" w:eastAsia="Arial" w:hAnsi="Arial"/>
                <w:sz w:val="18"/>
                <w:szCs w:val="18"/>
                <w:color w:val="auto"/>
              </w:rPr>
              <w:t>actual and as adjusted</w:t>
            </w:r>
          </w:p>
        </w:tc>
        <w:tc>
          <w:tcPr>
            <w:tcW w:w="34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3"/>
        </w:trPr>
        <w:tc>
          <w:tcPr>
            <w:tcW w:w="7700" w:type="dxa"/>
            <w:vAlign w:val="bottom"/>
            <w:shd w:val="clear" w:color="auto" w:fill="CFF0FC"/>
          </w:tcPr>
          <w:p>
            <w:pPr>
              <w:ind w:left="260"/>
              <w:spacing w:after="0" w:line="193" w:lineRule="exact"/>
              <w:rPr>
                <w:sz w:val="20"/>
                <w:szCs w:val="20"/>
                <w:color w:val="auto"/>
              </w:rPr>
            </w:pPr>
            <w:r>
              <w:rPr>
                <w:rFonts w:ascii="Arial" w:cs="Arial" w:eastAsia="Arial" w:hAnsi="Arial"/>
                <w:sz w:val="18"/>
                <w:szCs w:val="18"/>
                <w:color w:val="auto"/>
              </w:rPr>
              <w:t>Common stock, $0.0001 par value per share, 900,000,000</w:t>
            </w: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shares authorized, 31,087,395 shares issued and outstanding,</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actual; 900,000,000 shares authorized, 35,087,395 shares issued</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7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and outstanding, as adjusted</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292,800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376,884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(33,340)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(33,340)</w:t>
            </w:r>
          </w:p>
        </w:tc>
        <w:tc>
          <w:tcPr>
            <w:tcW w:w="0" w:type="dxa"/>
            <w:vAlign w:val="bottom"/>
          </w:tcPr>
          <w:p>
            <w:pPr>
              <w:spacing w:after="0"/>
              <w:rPr>
                <w:sz w:val="1"/>
                <w:szCs w:val="1"/>
                <w:color w:val="auto"/>
              </w:rPr>
            </w:pPr>
          </w:p>
        </w:tc>
      </w:tr>
      <w:tr>
        <w:trPr>
          <w:trHeight w:val="210"/>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259,470</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343,554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Pr>
          <w:p>
            <w:pPr>
              <w:ind w:left="260"/>
              <w:spacing w:after="0"/>
              <w:rPr>
                <w:sz w:val="20"/>
                <w:szCs w:val="20"/>
                <w:color w:val="auto"/>
              </w:rPr>
            </w:pPr>
            <w:r>
              <w:rPr>
                <w:rFonts w:ascii="Arial" w:cs="Arial" w:eastAsia="Arial" w:hAnsi="Arial"/>
                <w:sz w:val="18"/>
                <w:szCs w:val="18"/>
                <w:color w:val="auto"/>
              </w:rPr>
              <w:t>Total capitalization</w:t>
            </w: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260,970</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345,054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right="120" w:firstLine="576"/>
        <w:spacing w:after="0" w:line="276" w:lineRule="auto"/>
        <w:rPr>
          <w:sz w:val="20"/>
          <w:szCs w:val="20"/>
          <w:color w:val="auto"/>
        </w:rPr>
      </w:pPr>
      <w:r>
        <w:rPr>
          <w:rFonts w:ascii="Arial" w:cs="Arial" w:eastAsia="Arial" w:hAnsi="Arial"/>
          <w:sz w:val="18"/>
          <w:szCs w:val="18"/>
          <w:color w:val="auto"/>
        </w:rPr>
        <w:t>The number of shares of our common stock issued and outstanding as adjusted in the table above is based on 31,087,395 shares of common stock outstanding as of September 30, 2020, and excludes:</w:t>
      </w:r>
    </w:p>
    <w:p>
      <w:pPr>
        <w:spacing w:after="0" w:line="37" w:lineRule="exact"/>
        <w:rPr>
          <w:sz w:val="20"/>
          <w:szCs w:val="20"/>
          <w:color w:val="auto"/>
        </w:rPr>
      </w:pPr>
    </w:p>
    <w:p>
      <w:pPr>
        <w:ind w:left="1300" w:right="520" w:hanging="442"/>
        <w:spacing w:after="0" w:line="275" w:lineRule="auto"/>
        <w:tabs>
          <w:tab w:leader="none" w:pos="13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1,927,428 shares of common stock issuable upon the exercise of outstanding options as of September 30, 2020 with a weighted-average exercise price of $8.85 per share;</w:t>
      </w:r>
    </w:p>
    <w:p>
      <w:pPr>
        <w:spacing w:after="0" w:line="37" w:lineRule="exact"/>
        <w:rPr>
          <w:rFonts w:ascii="Times New Roman" w:cs="Times New Roman" w:eastAsia="Times New Roman" w:hAnsi="Times New Roman"/>
          <w:sz w:val="18"/>
          <w:szCs w:val="18"/>
          <w:color w:val="auto"/>
        </w:rPr>
      </w:pPr>
    </w:p>
    <w:p>
      <w:pPr>
        <w:ind w:left="1300" w:right="200" w:hanging="442"/>
        <w:spacing w:after="0" w:line="275" w:lineRule="auto"/>
        <w:tabs>
          <w:tab w:leader="none" w:pos="13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3,790,279 shares of common stock reserved for future issuance under our 2020 Equity Incentive Plan as of September 30, 2020, and any future automatic increase in shares reserved for issuance under such plan; and</w:t>
      </w:r>
    </w:p>
    <w:p>
      <w:pPr>
        <w:spacing w:after="0" w:line="37"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323,000 shares of common stock reserved for issuance under our 2020 Employee Stock Purchase Plan as of September 30, 2020, and any future automatic increase in shares reserved for issuance under such plan.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83" w:name="page84"/>
    <w:bookmarkEnd w:id="83"/>
    <w:p>
      <w:pPr>
        <w:jc w:val="center"/>
        <w:ind w:right="20"/>
        <w:spacing w:after="0"/>
        <w:rPr>
          <w:sz w:val="20"/>
          <w:szCs w:val="20"/>
          <w:color w:val="auto"/>
        </w:rPr>
      </w:pPr>
      <w:r>
        <w:rPr>
          <w:rFonts w:ascii="Arial" w:cs="Arial" w:eastAsia="Arial" w:hAnsi="Arial"/>
          <w:sz w:val="18"/>
          <w:szCs w:val="18"/>
          <w:b w:val="1"/>
          <w:bCs w:val="1"/>
          <w:color w:val="auto"/>
        </w:rPr>
        <w:t>DILUTION</w:t>
      </w:r>
    </w:p>
    <w:p>
      <w:pPr>
        <w:spacing w:after="0" w:line="214" w:lineRule="exact"/>
        <w:rPr>
          <w:sz w:val="20"/>
          <w:szCs w:val="20"/>
          <w:color w:val="auto"/>
        </w:rPr>
      </w:pPr>
    </w:p>
    <w:p>
      <w:pPr>
        <w:ind w:right="100" w:firstLine="576"/>
        <w:spacing w:after="0" w:line="255" w:lineRule="auto"/>
        <w:rPr>
          <w:sz w:val="20"/>
          <w:szCs w:val="20"/>
          <w:color w:val="auto"/>
        </w:rPr>
      </w:pPr>
      <w:r>
        <w:rPr>
          <w:rFonts w:ascii="Arial" w:cs="Arial" w:eastAsia="Arial" w:hAnsi="Arial"/>
          <w:sz w:val="18"/>
          <w:szCs w:val="18"/>
          <w:color w:val="auto"/>
        </w:rPr>
        <w:t>If you invest in our common stock you will experience immediate and substantial dilution in the net tangible book value of your shares of common stock. Dilution in net tangible book value represents the difference between the public offering price per share of our common stock and the as adjusted net tangible book value per share of our common stock.</w:t>
      </w:r>
    </w:p>
    <w:p>
      <w:pPr>
        <w:spacing w:after="0" w:line="164" w:lineRule="exact"/>
        <w:rPr>
          <w:sz w:val="20"/>
          <w:szCs w:val="20"/>
          <w:color w:val="auto"/>
        </w:rPr>
      </w:pPr>
    </w:p>
    <w:p>
      <w:pPr>
        <w:ind w:right="100" w:firstLine="576"/>
        <w:spacing w:after="0" w:line="255" w:lineRule="auto"/>
        <w:rPr>
          <w:sz w:val="20"/>
          <w:szCs w:val="20"/>
          <w:color w:val="auto"/>
        </w:rPr>
      </w:pPr>
      <w:r>
        <w:rPr>
          <w:rFonts w:ascii="Arial" w:cs="Arial" w:eastAsia="Arial" w:hAnsi="Arial"/>
          <w:sz w:val="18"/>
          <w:szCs w:val="18"/>
          <w:color w:val="auto"/>
        </w:rPr>
        <w:t>Historical net tangible book value represents our total tangible assets (total assets less deferred offering costs) less total liabilities. As of September 30, 2020, our historical net tangible book value was $259.5 million and our historical net tangible book value per share was $8.35.</w:t>
      </w:r>
    </w:p>
    <w:p>
      <w:pPr>
        <w:spacing w:after="0" w:line="164" w:lineRule="exact"/>
        <w:rPr>
          <w:sz w:val="20"/>
          <w:szCs w:val="20"/>
          <w:color w:val="auto"/>
        </w:rPr>
      </w:pPr>
    </w:p>
    <w:p>
      <w:pPr>
        <w:ind w:right="180" w:firstLine="576"/>
        <w:spacing w:after="0" w:line="245" w:lineRule="auto"/>
        <w:rPr>
          <w:sz w:val="20"/>
          <w:szCs w:val="20"/>
          <w:color w:val="auto"/>
        </w:rPr>
      </w:pPr>
      <w:r>
        <w:rPr>
          <w:rFonts w:ascii="Arial" w:cs="Arial" w:eastAsia="Arial" w:hAnsi="Arial"/>
          <w:sz w:val="18"/>
          <w:szCs w:val="18"/>
          <w:color w:val="auto"/>
        </w:rPr>
        <w:t>After giving effect to the sale and issuance of 4,000,000 shares of our common stock in this offering at the public offering price of $22.50 per share, after deducting underwriting discounts and commissions and estimated offering expenses payable by us, our as adjusted net tangible book value as of September 30, 2020 would have been $343.6 million, or $9.79 per share. This represents an immediate increase in net tangible book value of $1.44 per share to existing stockholders and an immediate dilution of the net tangible book value of $12.71 per share to new investors purchasing common stock in this offering.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00" w:type="dxa"/>
            <w:vAlign w:val="bottom"/>
          </w:tcPr>
          <w:p>
            <w:pPr>
              <w:ind w:left="580"/>
              <w:spacing w:after="0"/>
              <w:rPr>
                <w:sz w:val="20"/>
                <w:szCs w:val="20"/>
                <w:color w:val="auto"/>
              </w:rPr>
            </w:pPr>
            <w:r>
              <w:rPr>
                <w:rFonts w:ascii="Arial" w:cs="Arial" w:eastAsia="Arial" w:hAnsi="Arial"/>
                <w:sz w:val="18"/>
                <w:szCs w:val="18"/>
                <w:color w:val="auto"/>
              </w:rPr>
              <w:t>The following table illustrates this dilution on a per share basis to new investors:</w:t>
            </w: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98"/>
        </w:trPr>
        <w:tc>
          <w:tcPr>
            <w:tcW w:w="7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Public offering price per share</w:t>
            </w:r>
          </w:p>
        </w:tc>
        <w:tc>
          <w:tcPr>
            <w:tcW w:w="660" w:type="dxa"/>
            <w:vAlign w:val="bottom"/>
            <w:shd w:val="clear" w:color="auto" w:fill="CFF0FC"/>
          </w:tcPr>
          <w:p>
            <w:pPr>
              <w:spacing w:after="0"/>
              <w:rPr>
                <w:sz w:val="18"/>
                <w:szCs w:val="18"/>
                <w:color w:val="auto"/>
              </w:rPr>
            </w:pPr>
          </w:p>
        </w:tc>
        <w:tc>
          <w:tcPr>
            <w:tcW w:w="1800" w:type="dxa"/>
            <w:vAlign w:val="bottom"/>
            <w:gridSpan w:val="3"/>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w:t>
            </w:r>
          </w:p>
        </w:tc>
        <w:tc>
          <w:tcPr>
            <w:tcW w:w="120" w:type="dxa"/>
            <w:vAlign w:val="bottom"/>
            <w:shd w:val="clear" w:color="auto" w:fill="CFF0FC"/>
          </w:tcPr>
          <w:p>
            <w:pPr>
              <w:spacing w:after="0"/>
              <w:rPr>
                <w:sz w:val="18"/>
                <w:szCs w:val="18"/>
                <w:color w:val="auto"/>
              </w:rPr>
            </w:pPr>
          </w:p>
        </w:tc>
      </w:tr>
      <w:tr>
        <w:trPr>
          <w:trHeight w:val="193"/>
        </w:trPr>
        <w:tc>
          <w:tcPr>
            <w:tcW w:w="7700" w:type="dxa"/>
            <w:vAlign w:val="bottom"/>
          </w:tcPr>
          <w:p>
            <w:pPr>
              <w:ind w:left="140"/>
              <w:spacing w:after="0" w:line="193" w:lineRule="exact"/>
              <w:rPr>
                <w:sz w:val="20"/>
                <w:szCs w:val="20"/>
                <w:color w:val="auto"/>
              </w:rPr>
            </w:pPr>
            <w:r>
              <w:rPr>
                <w:rFonts w:ascii="Arial" w:cs="Arial" w:eastAsia="Arial" w:hAnsi="Arial"/>
                <w:sz w:val="18"/>
                <w:szCs w:val="18"/>
                <w:color w:val="auto"/>
              </w:rPr>
              <w:t>Historical net tangible book value per share as of</w:t>
            </w: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5"/>
        </w:trPr>
        <w:tc>
          <w:tcPr>
            <w:tcW w:w="7700" w:type="dxa"/>
            <w:vAlign w:val="bottom"/>
          </w:tcPr>
          <w:p>
            <w:pPr>
              <w:ind w:left="280"/>
              <w:spacing w:after="0"/>
              <w:rPr>
                <w:sz w:val="20"/>
                <w:szCs w:val="20"/>
                <w:color w:val="auto"/>
              </w:rPr>
            </w:pPr>
            <w:r>
              <w:rPr>
                <w:rFonts w:ascii="Arial" w:cs="Arial" w:eastAsia="Arial" w:hAnsi="Arial"/>
                <w:sz w:val="18"/>
                <w:szCs w:val="18"/>
                <w:color w:val="auto"/>
              </w:rPr>
              <w:t>September 30, 2020</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8.35</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93"/>
        </w:trPr>
        <w:tc>
          <w:tcPr>
            <w:tcW w:w="7700" w:type="dxa"/>
            <w:vAlign w:val="bottom"/>
            <w:shd w:val="clear" w:color="auto" w:fill="CFF0FC"/>
          </w:tcPr>
          <w:p>
            <w:pPr>
              <w:ind w:left="140"/>
              <w:spacing w:after="0" w:line="193" w:lineRule="exact"/>
              <w:rPr>
                <w:sz w:val="20"/>
                <w:szCs w:val="20"/>
                <w:color w:val="auto"/>
              </w:rPr>
            </w:pPr>
            <w:r>
              <w:rPr>
                <w:rFonts w:ascii="Arial" w:cs="Arial" w:eastAsia="Arial" w:hAnsi="Arial"/>
                <w:sz w:val="18"/>
                <w:szCs w:val="18"/>
                <w:color w:val="auto"/>
              </w:rPr>
              <w:t>Increase in net tangible book value per share attributable to new</w:t>
            </w:r>
          </w:p>
        </w:tc>
        <w:tc>
          <w:tcPr>
            <w:tcW w:w="6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25"/>
        </w:trPr>
        <w:tc>
          <w:tcPr>
            <w:tcW w:w="7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investors participating in the offering</w:t>
            </w:r>
          </w:p>
        </w:tc>
        <w:tc>
          <w:tcPr>
            <w:tcW w:w="6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0"/>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66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66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4" w:lineRule="exact"/>
        <w:rPr>
          <w:sz w:val="20"/>
          <w:szCs w:val="20"/>
          <w:color w:val="auto"/>
        </w:rPr>
      </w:pPr>
    </w:p>
    <w:p>
      <w:pPr>
        <w:ind w:right="320" w:firstLine="576"/>
        <w:spacing w:after="0" w:line="248" w:lineRule="auto"/>
        <w:rPr>
          <w:sz w:val="20"/>
          <w:szCs w:val="20"/>
          <w:color w:val="auto"/>
        </w:rPr>
      </w:pPr>
      <w:r>
        <w:rPr>
          <w:rFonts w:ascii="Arial" w:cs="Arial" w:eastAsia="Arial" w:hAnsi="Arial"/>
          <w:sz w:val="18"/>
          <w:szCs w:val="18"/>
          <w:color w:val="auto"/>
        </w:rPr>
        <w:t>If the underwriters exercise their option in full to purchase additional shares of common stock in this offering, the as adjusted net tangible book value per share after the offering would be $9.98 per share, the increase in the net tangible book value per share to existing stockholders would be $0.19 per share, and the as adjusted dilution to new investors purchasing common stock in this offering would be $12.52 per share.</w:t>
      </w:r>
    </w:p>
    <w:p>
      <w:pPr>
        <w:spacing w:after="0" w:line="170" w:lineRule="exact"/>
        <w:rPr>
          <w:sz w:val="20"/>
          <w:szCs w:val="20"/>
          <w:color w:val="auto"/>
        </w:rPr>
      </w:pPr>
    </w:p>
    <w:p>
      <w:pPr>
        <w:ind w:right="120" w:firstLine="576"/>
        <w:spacing w:after="0" w:line="248" w:lineRule="auto"/>
        <w:rPr>
          <w:sz w:val="20"/>
          <w:szCs w:val="20"/>
          <w:color w:val="auto"/>
        </w:rPr>
      </w:pPr>
      <w:r>
        <w:rPr>
          <w:rFonts w:ascii="Arial" w:cs="Arial" w:eastAsia="Arial" w:hAnsi="Arial"/>
          <w:sz w:val="18"/>
          <w:szCs w:val="18"/>
          <w:color w:val="auto"/>
        </w:rPr>
        <w:t>The following table summarizes, on an as adjusted basis as described above as of September 30, 2020, the differences between the number of shares of common stock purchased from us, the total consideration and the weighted-average price per share paid by existing stockholders and by investors participating in this offering at the public offering price of $22.50 per share, before deducting underwriting discounts and commissions and estimated offering expenses payable by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c>
          <w:tcPr>
            <w:tcW w:w="20" w:type="dxa"/>
            <w:vAlign w:val="bottom"/>
          </w:tcPr>
          <w:p>
            <w:pPr>
              <w:spacing w:after="0"/>
              <w:rPr>
                <w:sz w:val="14"/>
                <w:szCs w:val="14"/>
                <w:color w:val="auto"/>
              </w:rPr>
            </w:pPr>
          </w:p>
        </w:tc>
      </w:tr>
      <w:tr>
        <w:trPr>
          <w:trHeight w:val="162"/>
        </w:trPr>
        <w:tc>
          <w:tcPr>
            <w:tcW w:w="4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Average</w:t>
            </w:r>
          </w:p>
        </w:tc>
        <w:tc>
          <w:tcPr>
            <w:tcW w:w="20" w:type="dxa"/>
            <w:vAlign w:val="bottom"/>
          </w:tcPr>
          <w:p>
            <w:pPr>
              <w:spacing w:after="0"/>
              <w:rPr>
                <w:sz w:val="14"/>
                <w:szCs w:val="14"/>
                <w:color w:val="auto"/>
              </w:rPr>
            </w:pPr>
          </w:p>
        </w:tc>
      </w:tr>
      <w:tr>
        <w:trPr>
          <w:trHeight w:val="177"/>
        </w:trPr>
        <w:tc>
          <w:tcPr>
            <w:tcW w:w="4780" w:type="dxa"/>
            <w:vAlign w:val="bottom"/>
          </w:tcPr>
          <w:p>
            <w:pPr>
              <w:spacing w:after="0"/>
              <w:rPr>
                <w:sz w:val="15"/>
                <w:szCs w:val="15"/>
                <w:color w:val="auto"/>
              </w:rPr>
            </w:pPr>
          </w:p>
        </w:tc>
        <w:tc>
          <w:tcPr>
            <w:tcW w:w="278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Shares Purchased</w:t>
            </w:r>
          </w:p>
        </w:tc>
        <w:tc>
          <w:tcPr>
            <w:tcW w:w="2720" w:type="dxa"/>
            <w:vAlign w:val="bottom"/>
            <w:gridSpan w:val="5"/>
          </w:tcPr>
          <w:p>
            <w:pPr>
              <w:jc w:val="right"/>
              <w:ind w:right="810"/>
              <w:spacing w:after="0"/>
              <w:rPr>
                <w:sz w:val="20"/>
                <w:szCs w:val="20"/>
                <w:color w:val="auto"/>
              </w:rPr>
            </w:pPr>
            <w:r>
              <w:rPr>
                <w:rFonts w:ascii="Arial" w:cs="Arial" w:eastAsia="Arial" w:hAnsi="Arial"/>
                <w:sz w:val="14"/>
                <w:szCs w:val="14"/>
                <w:b w:val="1"/>
                <w:bCs w:val="1"/>
                <w:color w:val="auto"/>
              </w:rPr>
              <w:t>Total Consideration</w:t>
            </w: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Price</w:t>
            </w:r>
          </w:p>
        </w:tc>
        <w:tc>
          <w:tcPr>
            <w:tcW w:w="20" w:type="dxa"/>
            <w:vAlign w:val="bottom"/>
          </w:tcPr>
          <w:p>
            <w:pPr>
              <w:spacing w:after="0"/>
              <w:rPr>
                <w:sz w:val="15"/>
                <w:szCs w:val="15"/>
                <w:color w:val="auto"/>
              </w:rPr>
            </w:pPr>
          </w:p>
        </w:tc>
      </w:tr>
      <w:tr>
        <w:trPr>
          <w:trHeight w:val="169"/>
        </w:trPr>
        <w:tc>
          <w:tcPr>
            <w:tcW w:w="4780" w:type="dxa"/>
            <w:vAlign w:val="bottom"/>
            <w:tcBorders>
              <w:bottom w:val="single" w:sz="8" w:color="CFF0FC"/>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Number</w:t>
            </w:r>
          </w:p>
        </w:tc>
        <w:tc>
          <w:tcPr>
            <w:tcW w:w="220" w:type="dxa"/>
            <w:vAlign w:val="bottom"/>
            <w:tcBorders>
              <w:top w:val="single" w:sz="8" w:color="auto"/>
              <w:bottom w:val="single" w:sz="8" w:color="CFF0FC"/>
            </w:tcBorders>
            <w:gridSpan w:val="2"/>
          </w:tcPr>
          <w:p>
            <w:pPr>
              <w:spacing w:after="0"/>
              <w:rPr>
                <w:sz w:val="14"/>
                <w:szCs w:val="14"/>
                <w:color w:val="auto"/>
              </w:rPr>
            </w:pPr>
          </w:p>
        </w:tc>
        <w:tc>
          <w:tcPr>
            <w:tcW w:w="94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Percent</w:t>
            </w:r>
          </w:p>
        </w:tc>
        <w:tc>
          <w:tcPr>
            <w:tcW w:w="600" w:type="dxa"/>
            <w:vAlign w:val="bottom"/>
            <w:tcBorders>
              <w:bottom w:val="single" w:sz="8" w:color="CFF0FC"/>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top w:val="single" w:sz="8" w:color="auto"/>
              <w:bottom w:val="single" w:sz="8" w:color="CFF0FC"/>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Percent</w:t>
            </w:r>
          </w:p>
        </w:tc>
        <w:tc>
          <w:tcPr>
            <w:tcW w:w="2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Existing stockholders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31,087,395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88.6%</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$ 306,747,000</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77.3%</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New public investors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60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90,000,000</w:t>
            </w:r>
          </w:p>
        </w:tc>
        <w:tc>
          <w:tcPr>
            <w:tcW w:w="22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2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35,087,395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100.0%</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$ 396,747,000</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7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2"/>
        </w:trPr>
        <w:tc>
          <w:tcPr>
            <w:tcW w:w="47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47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58" w:right="319" w:bottom="1440" w:gutter="0" w:footer="0" w:header="0"/>
        </w:sectPr>
      </w:pPr>
    </w:p>
    <w:bookmarkStart w:id="84" w:name="page85"/>
    <w:bookmarkEnd w:id="84"/>
    <w:p>
      <w:pPr>
        <w:ind w:right="460" w:firstLine="576"/>
        <w:spacing w:after="0" w:line="276" w:lineRule="auto"/>
        <w:rPr>
          <w:sz w:val="20"/>
          <w:szCs w:val="20"/>
          <w:color w:val="auto"/>
        </w:rPr>
      </w:pPr>
      <w:r>
        <w:rPr>
          <w:rFonts w:ascii="Arial" w:cs="Arial" w:eastAsia="Arial" w:hAnsi="Arial"/>
          <w:sz w:val="18"/>
          <w:szCs w:val="18"/>
          <w:color w:val="auto"/>
        </w:rPr>
        <w:t>The foregoing tables and calculations (other than the historical net tangible book value calculation) are based on the 31,087,395 shares of common stock outstanding as of September 30, 2020, which excludes:</w:t>
      </w:r>
    </w:p>
    <w:p>
      <w:pPr>
        <w:spacing w:after="0" w:line="37" w:lineRule="exact"/>
        <w:rPr>
          <w:sz w:val="20"/>
          <w:szCs w:val="20"/>
          <w:color w:val="auto"/>
        </w:rPr>
      </w:pPr>
    </w:p>
    <w:p>
      <w:pPr>
        <w:ind w:left="1300" w:right="500" w:hanging="442"/>
        <w:spacing w:after="0" w:line="275" w:lineRule="auto"/>
        <w:tabs>
          <w:tab w:leader="none" w:pos="130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1,927,428 shares of common stock issuable upon the exercise of outstanding options as of September 30, 2020 with a weighted-average exercise price of $8.85 per share; and</w:t>
      </w:r>
    </w:p>
    <w:p>
      <w:pPr>
        <w:spacing w:after="0" w:line="37" w:lineRule="exact"/>
        <w:rPr>
          <w:rFonts w:ascii="Times New Roman" w:cs="Times New Roman" w:eastAsia="Times New Roman" w:hAnsi="Times New Roman"/>
          <w:sz w:val="18"/>
          <w:szCs w:val="18"/>
          <w:color w:val="auto"/>
        </w:rPr>
      </w:pPr>
    </w:p>
    <w:p>
      <w:pPr>
        <w:ind w:left="1300" w:right="180" w:hanging="442"/>
        <w:spacing w:after="0" w:line="275" w:lineRule="auto"/>
        <w:tabs>
          <w:tab w:leader="none" w:pos="130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3,790,279 shares of common stock reserved for future issuance under our 2020 Equity Incentive Plan as of September 30, 2020, and any future automatic increase in shares reserved for issuance under such plan; and</w:t>
      </w:r>
    </w:p>
    <w:p>
      <w:pPr>
        <w:spacing w:after="0" w:line="37"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323,000 shares of common stock reserved for issuance under our 2020 Employee Stock Purchase Plan as of September 30, 2020, and any future automatic increase in shares reserved for issuance under such plan.</w:t>
      </w:r>
    </w:p>
    <w:p>
      <w:pPr>
        <w:spacing w:after="0" w:line="146" w:lineRule="exact"/>
        <w:rPr>
          <w:sz w:val="20"/>
          <w:szCs w:val="20"/>
          <w:color w:val="auto"/>
        </w:rPr>
      </w:pPr>
    </w:p>
    <w:p>
      <w:pPr>
        <w:ind w:right="300" w:firstLine="576"/>
        <w:spacing w:after="0" w:line="276" w:lineRule="auto"/>
        <w:rPr>
          <w:sz w:val="20"/>
          <w:szCs w:val="20"/>
          <w:color w:val="auto"/>
        </w:rPr>
      </w:pPr>
      <w:r>
        <w:rPr>
          <w:rFonts w:ascii="Arial" w:cs="Arial" w:eastAsia="Arial" w:hAnsi="Arial"/>
          <w:sz w:val="18"/>
          <w:szCs w:val="18"/>
          <w:color w:val="auto"/>
        </w:rPr>
        <w:t>To the extent that any outstanding options are exercised, new options or other equity awards are issued under our equity incentive plans, or we issue additional shares in the future, there will be further dilution to new investors participating in this offering.</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00" w:right="35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tables set forth our selected financial data. The selected statements of operations data for the years ended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and 2019 and the selected balance sheet data as of December 31, 2018 and 2019 are derived from our audited financial</w:t>
      </w:r>
    </w:p>
    <w:p>
      <w:pPr>
        <w:spacing w:after="0" w:line="234" w:lineRule="auto"/>
        <w:rPr>
          <w:sz w:val="20"/>
          <w:szCs w:val="20"/>
          <w:color w:val="auto"/>
        </w:rPr>
      </w:pPr>
      <w:r>
        <w:rPr>
          <w:rFonts w:ascii="Arial" w:cs="Arial" w:eastAsia="Arial" w:hAnsi="Arial"/>
          <w:sz w:val="18"/>
          <w:szCs w:val="18"/>
          <w:color w:val="auto"/>
        </w:rPr>
        <w:t>statements included elsewhere in this prospectus. The selected statements of operations data for the nine months ended September 30,</w:t>
      </w:r>
    </w:p>
    <w:p>
      <w:pPr>
        <w:spacing w:after="0" w:line="235" w:lineRule="auto"/>
        <w:rPr>
          <w:sz w:val="20"/>
          <w:szCs w:val="20"/>
          <w:color w:val="auto"/>
        </w:rPr>
      </w:pPr>
      <w:r>
        <w:rPr>
          <w:rFonts w:ascii="Arial" w:cs="Arial" w:eastAsia="Arial" w:hAnsi="Arial"/>
          <w:sz w:val="18"/>
          <w:szCs w:val="18"/>
          <w:color w:val="auto"/>
        </w:rPr>
        <w:t>2019 and 2020 and the selected balance sheet data as of September 30, 2020 are derived from our unaudited interim condensed financial</w:t>
      </w:r>
    </w:p>
    <w:p>
      <w:pPr>
        <w:spacing w:after="0" w:line="235" w:lineRule="auto"/>
        <w:rPr>
          <w:sz w:val="20"/>
          <w:szCs w:val="20"/>
          <w:color w:val="auto"/>
        </w:rPr>
      </w:pPr>
      <w:r>
        <w:rPr>
          <w:rFonts w:ascii="Arial" w:cs="Arial" w:eastAsia="Arial" w:hAnsi="Arial"/>
          <w:sz w:val="18"/>
          <w:szCs w:val="18"/>
          <w:color w:val="auto"/>
        </w:rPr>
        <w:t>statements included elsewhere in this prospectus. Our unaudited interim condensed financial statements have been prepared on a basis</w:t>
      </w:r>
    </w:p>
    <w:p>
      <w:pPr>
        <w:spacing w:after="0" w:line="235" w:lineRule="auto"/>
        <w:rPr>
          <w:sz w:val="20"/>
          <w:szCs w:val="20"/>
          <w:color w:val="auto"/>
        </w:rPr>
      </w:pPr>
      <w:r>
        <w:rPr>
          <w:rFonts w:ascii="Arial" w:cs="Arial" w:eastAsia="Arial" w:hAnsi="Arial"/>
          <w:sz w:val="18"/>
          <w:szCs w:val="18"/>
          <w:color w:val="auto"/>
        </w:rPr>
        <w:t>similar to our audited financial statements and, in the opinion of management, reflect all adjustments, consisting solely of normal recurring</w:t>
      </w:r>
    </w:p>
    <w:p>
      <w:pPr>
        <w:spacing w:after="0" w:line="235" w:lineRule="auto"/>
        <w:rPr>
          <w:sz w:val="20"/>
          <w:szCs w:val="20"/>
          <w:color w:val="auto"/>
        </w:rPr>
      </w:pPr>
      <w:r>
        <w:rPr>
          <w:rFonts w:ascii="Arial" w:cs="Arial" w:eastAsia="Arial" w:hAnsi="Arial"/>
          <w:sz w:val="18"/>
          <w:szCs w:val="18"/>
          <w:color w:val="auto"/>
        </w:rPr>
        <w:t>adjustments, necessary for the fair presentation of the financial information in those statements. You should read this selected data together</w:t>
      </w:r>
    </w:p>
    <w:p>
      <w:pPr>
        <w:spacing w:after="0" w:line="234" w:lineRule="auto"/>
        <w:rPr>
          <w:sz w:val="20"/>
          <w:szCs w:val="20"/>
          <w:color w:val="auto"/>
        </w:rPr>
      </w:pPr>
      <w:r>
        <w:rPr>
          <w:rFonts w:ascii="Arial" w:cs="Arial" w:eastAsia="Arial" w:hAnsi="Arial"/>
          <w:sz w:val="18"/>
          <w:szCs w:val="18"/>
          <w:color w:val="auto"/>
        </w:rPr>
        <w:t>with our financial statements and related notes appearing elsewhere in this prospectus and the information in the section of this prospectus</w:t>
      </w:r>
    </w:p>
    <w:p>
      <w:pPr>
        <w:spacing w:after="0" w:line="235" w:lineRule="auto"/>
        <w:rPr>
          <w:sz w:val="20"/>
          <w:szCs w:val="20"/>
          <w:color w:val="auto"/>
        </w:rPr>
      </w:pPr>
      <w:r>
        <w:rPr>
          <w:rFonts w:ascii="Arial" w:cs="Arial" w:eastAsia="Arial" w:hAnsi="Arial"/>
          <w:sz w:val="18"/>
          <w:szCs w:val="18"/>
          <w:color w:val="auto"/>
        </w:rPr>
        <w:t>titled “Management’s Discussion and Analysis of Financial Condition and Results of Operations.” Our historical results are not necessarily</w:t>
      </w:r>
    </w:p>
    <w:p>
      <w:pPr>
        <w:spacing w:after="0" w:line="235" w:lineRule="auto"/>
        <w:rPr>
          <w:sz w:val="20"/>
          <w:szCs w:val="20"/>
          <w:color w:val="auto"/>
        </w:rPr>
      </w:pPr>
      <w:r>
        <w:rPr>
          <w:rFonts w:ascii="Arial" w:cs="Arial" w:eastAsia="Arial" w:hAnsi="Arial"/>
          <w:sz w:val="18"/>
          <w:szCs w:val="18"/>
          <w:color w:val="auto"/>
        </w:rPr>
        <w:t>indicative of our future results, and the results of operations for the nine months ended September 30, 2020 are not necessarily indicative of</w:t>
      </w:r>
    </w:p>
    <w:p>
      <w:pPr>
        <w:spacing w:after="0" w:line="235" w:lineRule="auto"/>
        <w:rPr>
          <w:sz w:val="20"/>
          <w:szCs w:val="20"/>
          <w:color w:val="auto"/>
        </w:rPr>
      </w:pPr>
      <w:r>
        <w:rPr>
          <w:rFonts w:ascii="Arial" w:cs="Arial" w:eastAsia="Arial" w:hAnsi="Arial"/>
          <w:sz w:val="18"/>
          <w:szCs w:val="18"/>
          <w:color w:val="auto"/>
        </w:rPr>
        <w:t>the results to be expected for the full year ending December 31, 2020 or any other period. The selected financial data in this section are not</w:t>
      </w:r>
    </w:p>
    <w:p>
      <w:pPr>
        <w:spacing w:after="0"/>
        <w:rPr>
          <w:sz w:val="20"/>
          <w:szCs w:val="20"/>
          <w:color w:val="auto"/>
        </w:rPr>
      </w:pPr>
      <w:r>
        <w:rPr>
          <w:rFonts w:ascii="Arial" w:cs="Arial" w:eastAsia="Arial" w:hAnsi="Arial"/>
          <w:sz w:val="18"/>
          <w:szCs w:val="18"/>
          <w:color w:val="auto"/>
        </w:rPr>
        <w:t>intended to replace our financial statements and the related notes included elsewhere in this prospectus.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7"/>
        </w:trPr>
        <w:tc>
          <w:tcPr>
            <w:tcW w:w="5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5"/>
                <w:szCs w:val="15"/>
                <w:color w:val="auto"/>
              </w:rPr>
            </w:pPr>
          </w:p>
        </w:tc>
        <w:tc>
          <w:tcPr>
            <w:tcW w:w="24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4"/>
          </w:tcPr>
          <w:p>
            <w:pPr>
              <w:jc w:val="center"/>
              <w:ind w:left="515"/>
              <w:spacing w:after="0"/>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60" w:type="dxa"/>
            <w:vAlign w:val="bottom"/>
            <w:gridSpan w:val="11"/>
          </w:tcPr>
          <w:p>
            <w:pPr>
              <w:jc w:val="right"/>
              <w:ind w:right="90"/>
              <w:spacing w:after="0"/>
              <w:rPr>
                <w:sz w:val="20"/>
                <w:szCs w:val="20"/>
                <w:color w:val="auto"/>
              </w:rPr>
            </w:pPr>
            <w:r>
              <w:rPr>
                <w:rFonts w:ascii="Arial" w:cs="Arial" w:eastAsia="Arial" w:hAnsi="Arial"/>
                <w:sz w:val="14"/>
                <w:szCs w:val="14"/>
                <w:b w:val="1"/>
                <w:bCs w:val="1"/>
                <w:color w:val="auto"/>
              </w:rPr>
              <w:t>(in thousands, except share and per share data)</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Operations Data:</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3,589</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3,135</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5,449</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(5,449)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(88)</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(5,097)</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(5,161)</w:t>
            </w:r>
          </w:p>
        </w:tc>
        <w:tc>
          <w:tcPr>
            <w:tcW w:w="24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(4,187)</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(12,253)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5820" w:type="dxa"/>
            <w:vAlign w:val="bottom"/>
            <w:shd w:val="clear" w:color="auto" w:fill="CFF0FC"/>
          </w:tcPr>
          <w:p>
            <w:pPr>
              <w:spacing w:after="0" w:line="174" w:lineRule="exact"/>
              <w:rPr>
                <w:sz w:val="20"/>
                <w:szCs w:val="20"/>
                <w:color w:val="auto"/>
              </w:rPr>
            </w:pPr>
            <w:r>
              <w:rPr>
                <w:rFonts w:ascii="Arial" w:cs="Arial" w:eastAsia="Arial" w:hAnsi="Arial"/>
                <w:sz w:val="18"/>
                <w:szCs w:val="18"/>
                <w:color w:val="auto"/>
              </w:rPr>
              <w:t>Unrealized gain on available-for-sale</w:t>
            </w: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8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securities</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820" w:type="dxa"/>
            <w:vAlign w:val="bottom"/>
          </w:tcPr>
          <w:p>
            <w:pPr>
              <w:spacing w:after="0" w:line="187" w:lineRule="exact"/>
              <w:rPr>
                <w:sz w:val="20"/>
                <w:szCs w:val="20"/>
                <w:color w:val="auto"/>
              </w:rPr>
            </w:pPr>
            <w:r>
              <w:rPr>
                <w:rFonts w:ascii="Arial" w:cs="Arial" w:eastAsia="Arial" w:hAnsi="Arial"/>
                <w:sz w:val="18"/>
                <w:szCs w:val="18"/>
                <w:color w:val="auto"/>
              </w:rPr>
              <w:t>Comprehensive loss attributable to common</w:t>
            </w: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5820" w:type="dxa"/>
            <w:vAlign w:val="bottom"/>
          </w:tcPr>
          <w:p>
            <w:pPr>
              <w:ind w:left="160"/>
              <w:spacing w:after="0"/>
              <w:rPr>
                <w:sz w:val="20"/>
                <w:szCs w:val="20"/>
                <w:color w:val="auto"/>
              </w:rPr>
            </w:pPr>
            <w:r>
              <w:rPr>
                <w:rFonts w:ascii="Arial" w:cs="Arial" w:eastAsia="Arial" w:hAnsi="Arial"/>
                <w:sz w:val="18"/>
                <w:szCs w:val="18"/>
                <w:color w:val="auto"/>
              </w:rPr>
              <w:t>stockholders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(5,097)</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(5,161)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(4,187)</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(12,246)</w:t>
            </w:r>
          </w:p>
        </w:tc>
        <w:tc>
          <w:tcPr>
            <w:tcW w:w="0" w:type="dxa"/>
            <w:vAlign w:val="bottom"/>
          </w:tcPr>
          <w:p>
            <w:pPr>
              <w:spacing w:after="0"/>
              <w:rPr>
                <w:sz w:val="1"/>
                <w:szCs w:val="1"/>
                <w:color w:val="auto"/>
              </w:rPr>
            </w:pPr>
          </w:p>
        </w:tc>
      </w:tr>
      <w:tr>
        <w:trPr>
          <w:trHeight w:val="173"/>
        </w:trPr>
        <w:tc>
          <w:tcPr>
            <w:tcW w:w="5820" w:type="dxa"/>
            <w:vAlign w:val="bottom"/>
            <w:tcBorders>
              <w:top w:val="single" w:sz="8" w:color="CFF0FC"/>
            </w:tcBorders>
            <w:shd w:val="clear" w:color="auto" w:fill="CFF0FC"/>
          </w:tcPr>
          <w:p>
            <w:pPr>
              <w:spacing w:after="0" w:line="173" w:lineRule="exact"/>
              <w:rPr>
                <w:sz w:val="20"/>
                <w:szCs w:val="20"/>
                <w:color w:val="auto"/>
              </w:rPr>
            </w:pPr>
            <w:r>
              <w:rPr>
                <w:rFonts w:ascii="Arial" w:cs="Arial" w:eastAsia="Arial" w:hAnsi="Arial"/>
                <w:sz w:val="18"/>
                <w:szCs w:val="18"/>
                <w:color w:val="auto"/>
              </w:rPr>
              <w:t>Net loss per share attributable to common</w:t>
            </w:r>
          </w:p>
        </w:tc>
        <w:tc>
          <w:tcPr>
            <w:tcW w:w="20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8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stockholders, basic and diluted</w:t>
            </w:r>
            <w:r>
              <w:rPr>
                <w:rFonts w:ascii="Arial" w:cs="Arial" w:eastAsia="Arial" w:hAnsi="Arial"/>
                <w:sz w:val="15"/>
                <w:szCs w:val="15"/>
                <w:color w:val="auto"/>
              </w:rPr>
              <w:t>(1)</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(1.47)</w:t>
            </w: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(1.18)</w:t>
            </w: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shares outstanding used in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820" w:type="dxa"/>
            <w:vAlign w:val="bottom"/>
          </w:tcPr>
          <w:p>
            <w:pPr>
              <w:ind w:left="160"/>
              <w:spacing w:after="0" w:line="202" w:lineRule="exact"/>
              <w:rPr>
                <w:sz w:val="20"/>
                <w:szCs w:val="20"/>
                <w:color w:val="auto"/>
              </w:rPr>
            </w:pPr>
            <w:r>
              <w:rPr>
                <w:rFonts w:ascii="Arial" w:cs="Arial" w:eastAsia="Arial" w:hAnsi="Arial"/>
                <w:sz w:val="18"/>
                <w:szCs w:val="18"/>
                <w:color w:val="auto"/>
              </w:rPr>
              <w:t>computing net loss per share attributable to</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820" w:type="dxa"/>
            <w:vAlign w:val="bottom"/>
          </w:tcPr>
          <w:p>
            <w:pPr>
              <w:ind w:left="160"/>
              <w:spacing w:after="0"/>
              <w:rPr>
                <w:sz w:val="20"/>
                <w:szCs w:val="20"/>
                <w:color w:val="auto"/>
              </w:rPr>
            </w:pPr>
            <w:r>
              <w:rPr>
                <w:rFonts w:ascii="Arial" w:cs="Arial" w:eastAsia="Arial" w:hAnsi="Arial"/>
                <w:sz w:val="18"/>
                <w:szCs w:val="18"/>
                <w:color w:val="auto"/>
              </w:rPr>
              <w:t>common stockholders, basic and diluted</w:t>
            </w:r>
            <w:r>
              <w:rPr>
                <w:rFonts w:ascii="Arial" w:cs="Arial" w:eastAsia="Arial" w:hAnsi="Arial"/>
                <w:sz w:val="15"/>
                <w:szCs w:val="15"/>
                <w:color w:val="auto"/>
              </w:rPr>
              <w:t>(1)</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3,469,153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3,566,849</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3,551,586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5,155,338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3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56" w:lineRule="exact"/>
        <w:rPr>
          <w:sz w:val="20"/>
          <w:szCs w:val="20"/>
          <w:color w:val="auto"/>
        </w:rPr>
      </w:pPr>
    </w:p>
    <w:p>
      <w:pPr>
        <w:ind w:left="480" w:right="60" w:hanging="472"/>
        <w:spacing w:after="0" w:line="208" w:lineRule="auto"/>
        <w:tabs>
          <w:tab w:leader="none" w:pos="480" w:val="left"/>
        </w:tabs>
        <w:numPr>
          <w:ilvl w:val="0"/>
          <w:numId w:val="56"/>
        </w:numPr>
        <w:rPr>
          <w:rFonts w:ascii="Arial" w:cs="Arial" w:eastAsia="Arial" w:hAnsi="Arial"/>
          <w:sz w:val="24"/>
          <w:szCs w:val="24"/>
          <w:color w:val="auto"/>
          <w:vertAlign w:val="superscript"/>
        </w:rPr>
      </w:pPr>
      <w:r>
        <w:rPr>
          <w:rFonts w:ascii="Arial" w:cs="Arial" w:eastAsia="Arial" w:hAnsi="Arial"/>
          <w:sz w:val="14"/>
          <w:szCs w:val="14"/>
          <w:color w:val="auto"/>
        </w:rPr>
        <w:t>See Note 15 to our audited financial statements and Note 12 to our unaudited interim condensed financial statements included elsewhere in this prospectus tor the calculation of our basic and diluted net loss per share attributable to common stockholders and the weighted-average number of shares used in computing the per share amounts.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7"/>
        </w:trPr>
        <w:tc>
          <w:tcPr>
            <w:tcW w:w="6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As of December 31,</w:t>
            </w:r>
          </w:p>
        </w:tc>
        <w:tc>
          <w:tcPr>
            <w:tcW w:w="200" w:type="dxa"/>
            <w:vAlign w:val="bottom"/>
          </w:tcPr>
          <w:p>
            <w:pPr>
              <w:spacing w:after="0"/>
              <w:rPr>
                <w:sz w:val="15"/>
                <w:szCs w:val="15"/>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64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7"/>
                <w:szCs w:val="17"/>
                <w:color w:val="auto"/>
              </w:rPr>
            </w:pPr>
          </w:p>
        </w:tc>
        <w:tc>
          <w:tcPr>
            <w:tcW w:w="1400" w:type="dxa"/>
            <w:vAlign w:val="bottom"/>
          </w:tcPr>
          <w:p>
            <w:pPr>
              <w:jc w:val="center"/>
              <w:ind w:right="137"/>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Cash, cash equivalents and investments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4,817</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2,056</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259,928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224,712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4,933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2,189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267,939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4,861</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17,051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17,051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(deficit) equity</w:t>
            </w: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(14,887)</w:t>
            </w:r>
          </w:p>
        </w:tc>
        <w:tc>
          <w:tcPr>
            <w:tcW w:w="2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(19,723)</w:t>
            </w: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259,470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480" w:right="200" w:hanging="472"/>
        <w:spacing w:after="0" w:line="195" w:lineRule="auto"/>
        <w:tabs>
          <w:tab w:leader="none" w:pos="480" w:val="left"/>
        </w:tabs>
        <w:numPr>
          <w:ilvl w:val="0"/>
          <w:numId w:val="57"/>
        </w:numPr>
        <w:rPr>
          <w:rFonts w:ascii="Arial" w:cs="Arial" w:eastAsia="Arial" w:hAnsi="Arial"/>
          <w:sz w:val="24"/>
          <w:szCs w:val="24"/>
          <w:color w:val="auto"/>
          <w:vertAlign w:val="superscript"/>
        </w:rPr>
      </w:pPr>
      <w:r>
        <w:rPr>
          <w:rFonts w:ascii="Arial" w:cs="Arial" w:eastAsia="Arial" w:hAnsi="Arial"/>
          <w:sz w:val="14"/>
          <w:szCs w:val="14"/>
          <w:color w:val="auto"/>
        </w:rPr>
        <w:t xml:space="preserve">Accounting Standards Codification Topic 210, </w:t>
      </w:r>
      <w:r>
        <w:rPr>
          <w:rFonts w:ascii="Arial" w:cs="Arial" w:eastAsia="Arial" w:hAnsi="Arial"/>
          <w:sz w:val="14"/>
          <w:szCs w:val="14"/>
          <w:i w:val="1"/>
          <w:iCs w:val="1"/>
          <w:color w:val="auto"/>
        </w:rPr>
        <w:t>Balance Sheet</w:t>
      </w:r>
      <w:r>
        <w:rPr>
          <w:rFonts w:ascii="Arial" w:cs="Arial" w:eastAsia="Arial" w:hAnsi="Arial"/>
          <w:sz w:val="14"/>
          <w:szCs w:val="14"/>
          <w:color w:val="auto"/>
        </w:rPr>
        <w:t>, defines working capital as current assets less current liabilities. See our financial statements and related notes included elsewhere in this prospectus for further details regarding our current assets and current liabilities.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6" w:lineRule="exact"/>
        <w:rPr>
          <w:sz w:val="20"/>
          <w:szCs w:val="20"/>
          <w:color w:val="auto"/>
        </w:rPr>
      </w:pPr>
    </w:p>
    <w:p>
      <w:pPr>
        <w:ind w:right="100" w:firstLine="569"/>
        <w:spacing w:after="0" w:line="23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section of this prospectus titled “Selected Financial Data” and our financial statements and related notes included elsewhere in this prospectus. This discussion and analysis and other parts of this prospectus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of this prospectus titled “Risk Factors” and elsewhere in this prospectus. You should carefully read the “Risk Factors” to gain an understanding of the important factors that could cause actual results to differ materially from our forward-looking statements. Please also see the section of this prospectus titled “Special Note Regarding Forward-Looking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With our product candidates, we aim to provide rapid cognitive improvement and alter the course of neurological diseases with our novel mechanism of action. Our approach is designed to augment neuronal growth factor signaling through the hepatocyte growth factor/MET, or HGF/MET, a naturally occurring regenerative system. We believe enhancing HGF/MET signaling has the potential to protect existing neurons from damage, reduce inflammation, promote regeneration, and positively modulate brain activity. We anticipate that all of these characteristics may improve neuronal health and translate into clinical benefits. Our pipeline is built from our proprietary drug discovery platform, or ATH platform, and consists of a series of small molecules that are designed to target either (1) the central nervous system, or CNS, by crossing the blood brain barrier, or BBB, or (2) the peripheral nervous system. Our lead candidate, ATH-1017, is a subcutaneous administered, BBB-penetrating, small molecule HGF/MET activator. In our Phase 1a and Phase 1b clinical trials, ATH-1017 for the treatment of Alzheimer’s disease, or AD, was well tolerated with no serious adverse events. These clinical trials recruited 88 subjects, including 11 subjects with mild-to-moderate AD, who were assigned to treatment and control groups. Nonclinical studies and Phase 1 clinical trials with ATH-1017 demonstrated improvements in brain network activity indicating potentially positive effects on brain function. In the AD subjects, multiple dosing of ATH-1017 significantly improved P300 latency. P300 latency is a functional measure that is highly correlated with cognition; however, we have not yet established a connection between these P300 latency results and improved cognition. In September 2020, we began site initiation and patient screening for LIFT-AD, a Phase 2/3 clinical trial for ATH-1017 that may provide pivotal data in support of registration, for the treatment of mild -to-moderate AD with topline results expected by the end of 2022. In November 2020, we also initiated ACT-AD, a P300 Phase 2 clinical trial, in mild-to-moderate AD to better understand the overall effects of ATH-1017 on working memory processing speed and cognitive measures, with topline results expected by early 2022.</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4" w:right="359" w:bottom="1440" w:gutter="0" w:footer="0" w:header="0"/>
        </w:sectPr>
      </w:pPr>
    </w:p>
    <w:bookmarkStart w:id="88" w:name="page89"/>
    <w:bookmarkEnd w:id="88"/>
    <w:p>
      <w:pPr>
        <w:ind w:right="80" w:firstLine="569"/>
        <w:spacing w:after="0" w:line="248" w:lineRule="auto"/>
        <w:rPr>
          <w:sz w:val="20"/>
          <w:szCs w:val="20"/>
          <w:color w:val="auto"/>
        </w:rPr>
      </w:pPr>
      <w:r>
        <w:rPr>
          <w:rFonts w:ascii="Arial" w:cs="Arial" w:eastAsia="Arial" w:hAnsi="Arial"/>
          <w:sz w:val="18"/>
          <w:szCs w:val="18"/>
          <w:color w:val="auto"/>
        </w:rPr>
        <w:t>The following figure illustrates the current development stages of our ATH compounds and discovery and development programs. In addition, we are expanding our ATH platform to additional indications in the CNS and peripheral nervous system as we aim to improve neuronal health in multiple disorders. Our drug discovery efforts are focused on exploring the potential of ATH technology, which is designed to promote HGF/MET activity for a variety of clinical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259715</wp:posOffset>
            </wp:positionV>
            <wp:extent cx="5297805" cy="32918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97805"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0" w:hanging="432"/>
        <w:spacing w:after="0"/>
        <w:tabs>
          <w:tab w:leader="none" w:pos="4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RoA: route of administration; SC: subcutaneous; PO: oral.</w:t>
      </w:r>
    </w:p>
    <w:p>
      <w:pPr>
        <w:spacing w:after="0" w:line="109" w:lineRule="exact"/>
        <w:rPr>
          <w:rFonts w:ascii="Arial" w:cs="Arial" w:eastAsia="Arial" w:hAnsi="Arial"/>
          <w:sz w:val="14"/>
          <w:szCs w:val="14"/>
          <w:color w:val="auto"/>
        </w:rPr>
      </w:pPr>
    </w:p>
    <w:p>
      <w:pPr>
        <w:ind w:left="440" w:hanging="432"/>
        <w:spacing w:after="0"/>
        <w:tabs>
          <w:tab w:leader="none" w:pos="4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ATH-1017 for AD is moving from Phase 1b to a Phase 2/3 clinical trial that may provide pivotal data in support of registration based on discussions with FDA.</w:t>
      </w:r>
    </w:p>
    <w:p>
      <w:pPr>
        <w:spacing w:after="0" w:line="109" w:lineRule="exact"/>
        <w:rPr>
          <w:rFonts w:ascii="Arial" w:cs="Arial" w:eastAsia="Arial" w:hAnsi="Arial"/>
          <w:sz w:val="14"/>
          <w:szCs w:val="14"/>
          <w:color w:val="auto"/>
        </w:rPr>
      </w:pPr>
    </w:p>
    <w:p>
      <w:pPr>
        <w:jc w:val="both"/>
        <w:ind w:left="440" w:right="120" w:hanging="432"/>
        <w:spacing w:after="0" w:line="266" w:lineRule="auto"/>
        <w:tabs>
          <w:tab w:leader="none" w:pos="4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We plan to initiate a Phase 2 clinical trial in PDD based on results from Phase 1a and 1b clinical trials in AD with ATH-1017. A second IND for PDD can cross-reference the already active IND for AD. It is not required that we repeat any studies or trials that are applicable across the two indications for the second IND for PDD, including a Phase 1 clinical trial.</w:t>
      </w:r>
    </w:p>
    <w:p>
      <w:pPr>
        <w:spacing w:after="0" w:line="157" w:lineRule="exact"/>
        <w:rPr>
          <w:sz w:val="20"/>
          <w:szCs w:val="20"/>
          <w:color w:val="auto"/>
        </w:rPr>
      </w:pPr>
    </w:p>
    <w:p>
      <w:pPr>
        <w:ind w:right="860" w:firstLine="569"/>
        <w:spacing w:after="0" w:line="276" w:lineRule="auto"/>
        <w:rPr>
          <w:sz w:val="20"/>
          <w:szCs w:val="20"/>
          <w:color w:val="auto"/>
        </w:rPr>
      </w:pPr>
      <w:r>
        <w:rPr>
          <w:rFonts w:ascii="Arial" w:cs="Arial" w:eastAsia="Arial" w:hAnsi="Arial"/>
          <w:sz w:val="18"/>
          <w:szCs w:val="18"/>
          <w:color w:val="auto"/>
        </w:rPr>
        <w:t>We constantly strive to grow and optimize our portfolio through in-house discovery and plan on additional external business development activities enabled by our innovative internal research and development capabilities.</w:t>
      </w:r>
    </w:p>
    <w:p>
      <w:pPr>
        <w:spacing w:after="0" w:line="145" w:lineRule="exact"/>
        <w:rPr>
          <w:sz w:val="20"/>
          <w:szCs w:val="20"/>
          <w:color w:val="auto"/>
        </w:rPr>
      </w:pPr>
    </w:p>
    <w:p>
      <w:pPr>
        <w:ind w:firstLine="569"/>
        <w:spacing w:after="0" w:line="243" w:lineRule="auto"/>
        <w:rPr>
          <w:sz w:val="20"/>
          <w:szCs w:val="20"/>
          <w:color w:val="auto"/>
        </w:rPr>
      </w:pPr>
      <w:r>
        <w:rPr>
          <w:rFonts w:ascii="Arial" w:cs="Arial" w:eastAsia="Arial" w:hAnsi="Arial"/>
          <w:sz w:val="18"/>
          <w:szCs w:val="18"/>
          <w:color w:val="auto"/>
        </w:rPr>
        <w:t>We were incorporated in March 2011 and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 We do not have any products approved for commercial sale, and we have not generated any revenues related to our products since inception. Our ability to generate product revenue sufficient to achieve profitability, if ever, will depend on the successful development of one or more of our product candidates which we expect will take a number of years.</w:t>
      </w:r>
    </w:p>
    <w:p>
      <w:pPr>
        <w:spacing w:after="0" w:line="174" w:lineRule="exact"/>
        <w:rPr>
          <w:sz w:val="20"/>
          <w:szCs w:val="20"/>
          <w:color w:val="auto"/>
        </w:rPr>
      </w:pPr>
    </w:p>
    <w:p>
      <w:pPr>
        <w:ind w:right="140" w:firstLine="569"/>
        <w:spacing w:after="0" w:line="255" w:lineRule="auto"/>
        <w:rPr>
          <w:sz w:val="20"/>
          <w:szCs w:val="20"/>
          <w:color w:val="auto"/>
        </w:rPr>
      </w:pPr>
      <w:r>
        <w:rPr>
          <w:rFonts w:ascii="Arial" w:cs="Arial" w:eastAsia="Arial" w:hAnsi="Arial"/>
          <w:sz w:val="18"/>
          <w:szCs w:val="18"/>
          <w:color w:val="auto"/>
        </w:rPr>
        <w:t>We are focused on the development of small molecule therapeutics which enables us to use well-established and widely available manufacturing processes and infrastructure, formulation compositions and drug administration technologies or devices. We do not currently operate our own facilities for</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manufacturing, storing, or distributing our product candidates. We utilize third-party contract manufacturing organizations, or CMOs, to manufacture and supply our preclinical and clinical materials during the development of our product candidates. We believe the synthesis of ATH-1017 is reliable and reproducible and the synthetic methods can be further optimized to enable large-scale production that continues to avoid use of toxic materials or specialized equipment or handling during the manufacturing process. We plan to continue to optimize the manufacturing process to support future large-scale and commercial supply. Our goal is to identify and develop small molecule product candidates that are cost-effective to manufacture and easily transferable to third party CMOs. We expect to use similar contract resources for commercialization of our products, at least until our resources and operations are at a scale that justifies investment in internal manufacturing capabilities.</w:t>
      </w:r>
    </w:p>
    <w:p>
      <w:pPr>
        <w:spacing w:after="0" w:line="180" w:lineRule="exact"/>
        <w:rPr>
          <w:sz w:val="20"/>
          <w:szCs w:val="20"/>
          <w:color w:val="auto"/>
        </w:rPr>
      </w:pPr>
    </w:p>
    <w:p>
      <w:pPr>
        <w:ind w:right="20" w:firstLine="569"/>
        <w:spacing w:after="0" w:line="248" w:lineRule="auto"/>
        <w:rPr>
          <w:sz w:val="20"/>
          <w:szCs w:val="20"/>
          <w:color w:val="auto"/>
        </w:rPr>
      </w:pPr>
      <w:r>
        <w:rPr>
          <w:rFonts w:ascii="Arial" w:cs="Arial" w:eastAsia="Arial" w:hAnsi="Arial"/>
          <w:sz w:val="18"/>
          <w:szCs w:val="18"/>
          <w:color w:val="auto"/>
        </w:rPr>
        <w:t>Given our stage of development, we have not yet established a commercial organization or distribution capabilities. We intend to build a commercial infrastructure to support sales of our product candidates. We expect to manage sales, marketing and distribution through internal resources and third-party relationships. While we may commit significant financial and management resources to commercial activities, we will also consider collaborating with one or more pharmaceutical companies to enhance our commercial capabilities.</w:t>
      </w:r>
    </w:p>
    <w:p>
      <w:pPr>
        <w:spacing w:after="0" w:line="170" w:lineRule="exact"/>
        <w:rPr>
          <w:sz w:val="20"/>
          <w:szCs w:val="20"/>
          <w:color w:val="auto"/>
        </w:rPr>
      </w:pPr>
    </w:p>
    <w:p>
      <w:pPr>
        <w:ind w:right="40" w:firstLine="569"/>
        <w:spacing w:after="0" w:line="241" w:lineRule="auto"/>
        <w:rPr>
          <w:sz w:val="20"/>
          <w:szCs w:val="20"/>
          <w:color w:val="auto"/>
        </w:rPr>
      </w:pPr>
      <w:r>
        <w:rPr>
          <w:rFonts w:ascii="Arial" w:cs="Arial" w:eastAsia="Arial" w:hAnsi="Arial"/>
          <w:sz w:val="18"/>
          <w:szCs w:val="18"/>
          <w:color w:val="auto"/>
        </w:rPr>
        <w:t>To date, we have funded our operations primarily with proceeds from the sale and issuance of convertible preferred stock, common stock warrants, and convertible notes, and to a lesser extent from grant income and stock option exercises. From inception to September 30, 2020, we have raised aggregate net cash proceeds of approximately $288.5 million primarily from the issuance of our common stock, convertible preferred stock, common stock warrants, and convertible notes. We have incurred significant operating losses to date. Our net losses were $ 8.5 million and $1.5 million for the three months ended September 30, 2020 and 2019, respectively, and $12.3 million and $ 4.2 million for the nine months ended September 30, 2020 and 2019, respectively. As of September 30, 2020, we had an accumulated deficit of $33.3 million and cash, cash equivalents and investments of $259.9 million.</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expect to continue to incur increasing operating losses for the foreseeable future as we:</w:t>
      </w:r>
    </w:p>
    <w:p>
      <w:pPr>
        <w:spacing w:after="0" w:line="104" w:lineRule="exact"/>
        <w:rPr>
          <w:sz w:val="20"/>
          <w:szCs w:val="20"/>
          <w:color w:val="auto"/>
        </w:rPr>
      </w:pPr>
    </w:p>
    <w:p>
      <w:pPr>
        <w:ind w:left="1300" w:right="160" w:hanging="442"/>
        <w:spacing w:after="0" w:line="275" w:lineRule="auto"/>
        <w:tabs>
          <w:tab w:leader="none" w:pos="130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advance ATH-1017 and our other product candidates through preclinical studies and clinical trials, including our Phase 2/3 clinical trial for ATH-1017 for the treatment of mild-to-moderate AD;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expand our pipeline of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grow our discovery organization and invest in the ATH platform;</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ramp up manufacturing activities;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attract, hire and retain additional personnel;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obtain, maintain, expand and protect our intellectual property portfolio;</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operate as a public company;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relocate to our new facility and build out lab space;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implement operational, financial and management information systems;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 for any product candidates that successfully complete clinical trials; and</w:t>
      </w:r>
    </w:p>
    <w:p>
      <w:pPr>
        <w:spacing w:after="0" w:line="116" w:lineRule="exact"/>
        <w:rPr>
          <w:rFonts w:ascii="Times New Roman" w:cs="Times New Roman" w:eastAsia="Times New Roman" w:hAnsi="Times New Roman"/>
          <w:sz w:val="18"/>
          <w:szCs w:val="18"/>
          <w:color w:val="auto"/>
        </w:rPr>
      </w:pPr>
    </w:p>
    <w:p>
      <w:pPr>
        <w:ind w:left="1300" w:right="140" w:hanging="442"/>
        <w:spacing w:after="0" w:line="275" w:lineRule="auto"/>
        <w:tabs>
          <w:tab w:leader="none" w:pos="130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sales, marketing and distribution infrastructure to commercialize any product candidate for which we may obtain marketing approval.</w:t>
      </w:r>
    </w:p>
    <w:p>
      <w:pPr>
        <w:spacing w:after="0" w:line="146" w:lineRule="exact"/>
        <w:rPr>
          <w:sz w:val="20"/>
          <w:szCs w:val="20"/>
          <w:color w:val="auto"/>
        </w:rPr>
      </w:pPr>
    </w:p>
    <w:p>
      <w:pPr>
        <w:ind w:right="260" w:firstLine="569"/>
        <w:spacing w:after="0" w:line="276" w:lineRule="auto"/>
        <w:rPr>
          <w:sz w:val="20"/>
          <w:szCs w:val="20"/>
          <w:color w:val="auto"/>
        </w:rPr>
      </w:pPr>
      <w:r>
        <w:rPr>
          <w:rFonts w:ascii="Arial" w:cs="Arial" w:eastAsia="Arial" w:hAnsi="Arial"/>
          <w:sz w:val="18"/>
          <w:szCs w:val="18"/>
          <w:color w:val="auto"/>
        </w:rPr>
        <w:t>Our net losses may fluctuate significantly from quarter-to-quarter and year-to-year, depending on the timing of our clinical trials and our expenditures on other research and development activities.</w:t>
      </w:r>
    </w:p>
    <w:p>
      <w:pPr>
        <w:spacing w:after="0" w:line="145" w:lineRule="exact"/>
        <w:rPr>
          <w:sz w:val="20"/>
          <w:szCs w:val="20"/>
          <w:color w:val="auto"/>
        </w:rPr>
      </w:pPr>
    </w:p>
    <w:p>
      <w:pPr>
        <w:ind w:right="180" w:firstLine="569"/>
        <w:spacing w:after="0" w:line="255" w:lineRule="auto"/>
        <w:rPr>
          <w:sz w:val="20"/>
          <w:szCs w:val="20"/>
          <w:color w:val="auto"/>
        </w:rPr>
      </w:pPr>
      <w:r>
        <w:rPr>
          <w:rFonts w:ascii="Arial" w:cs="Arial" w:eastAsia="Arial" w:hAnsi="Arial"/>
          <w:sz w:val="18"/>
          <w:szCs w:val="18"/>
          <w:color w:val="auto"/>
        </w:rPr>
        <w:t>We will require substantial additional funding to support our continuing operations and further the development of our product candidates. Until such time as we can generate significant revenue from product sales, if ever, we expect to finance our operations through the sale of equity, debt financings, or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90" w:name="page91"/>
    <w:bookmarkEnd w:id="90"/>
    <w:p>
      <w:pPr>
        <w:spacing w:after="0" w:line="239" w:lineRule="auto"/>
        <w:rPr>
          <w:sz w:val="20"/>
          <w:szCs w:val="20"/>
          <w:color w:val="auto"/>
        </w:rPr>
      </w:pPr>
      <w:r>
        <w:rPr>
          <w:rFonts w:ascii="Arial" w:cs="Arial" w:eastAsia="Arial" w:hAnsi="Arial"/>
          <w:sz w:val="18"/>
          <w:szCs w:val="18"/>
          <w:color w:val="auto"/>
        </w:rPr>
        <w:t>other capital sources, which could include income from collaboration, licensing or similar arrangements, for the foreseeable future. Adequate funding may not be available when needed or on terms acceptable to us, or at all. If we are unable to raise additional capital as needed, we may have to significantly delay, scale back or discontinue development of our product candidates.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 from operating activities. Based upon our current operating plan, we estimate that our existing cash, cash equivalents and investments, including the net proceeds from this offering, will be sufficient to fund our operating expenses and capital expenditure requirements at least through 2022.</w:t>
      </w:r>
    </w:p>
    <w:p>
      <w:pPr>
        <w:spacing w:after="0" w:line="176" w:lineRule="exact"/>
        <w:rPr>
          <w:sz w:val="20"/>
          <w:szCs w:val="20"/>
          <w:color w:val="auto"/>
        </w:rPr>
      </w:pPr>
    </w:p>
    <w:p>
      <w:pPr>
        <w:ind w:right="80" w:firstLine="569"/>
        <w:spacing w:after="0" w:line="239" w:lineRule="auto"/>
        <w:rPr>
          <w:sz w:val="20"/>
          <w:szCs w:val="20"/>
          <w:color w:val="auto"/>
        </w:rPr>
      </w:pPr>
      <w:r>
        <w:rPr>
          <w:rFonts w:ascii="Arial" w:cs="Arial" w:eastAsia="Arial" w:hAnsi="Arial"/>
          <w:sz w:val="18"/>
          <w:szCs w:val="18"/>
          <w:color w:val="auto"/>
        </w:rPr>
        <w:t>The global COVID-19 pandemic continues to rapidly evolve, and we will continue to monitor the COVID-19 situation closely. The extent of the impact of the COVID-19 on our business, operations and clinical development timelines and plans remains uncertain, and will depend on certain developments, including the duration and spread of the outbreak and its impact on our clinical trial enrollment, trial sites, CROs, third-party manufacturers, and other third parties with whom we do business, as well as its impact on regulatory authorities and our key scientific and management personnel. The ultimate impact of the COVID-19 pandemic or a similar health epidemic is highly uncertain and subject to change. To the extent possible, we are conducting business as usual, with necessary or advisable modifications to employee travel and most of our employees working remotely. We will continue to actively monitor the rapidly evolving situation related to COVID-19 and may take further actions that alter our operations, including those that may be required by federal, state or local authorities, or that we determine are in the best interests of our employees and other third parties with whom we do business. At this point, the extent to which the COVID-19 pandemic may affect our business, operations and clinical development timelines and plans, including the resulting impact on our expenditures and capital needs, remains uncertain.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Collaboration and Grant Agreements</w:t>
      </w:r>
    </w:p>
    <w:p>
      <w:pPr>
        <w:spacing w:after="0" w:line="106" w:lineRule="exact"/>
        <w:rPr>
          <w:sz w:val="20"/>
          <w:szCs w:val="20"/>
          <w:color w:val="auto"/>
        </w:rPr>
      </w:pPr>
    </w:p>
    <w:p>
      <w:pPr>
        <w:ind w:right="420" w:firstLine="576"/>
        <w:spacing w:after="0" w:line="274" w:lineRule="auto"/>
        <w:rPr>
          <w:sz w:val="20"/>
          <w:szCs w:val="20"/>
          <w:color w:val="auto"/>
        </w:rPr>
      </w:pPr>
      <w:r>
        <w:rPr>
          <w:rFonts w:ascii="Arial" w:cs="Arial" w:eastAsia="Arial" w:hAnsi="Arial"/>
          <w:sz w:val="18"/>
          <w:szCs w:val="18"/>
          <w:i w:val="1"/>
          <w:iCs w:val="1"/>
          <w:color w:val="auto"/>
        </w:rPr>
        <w:t>Washington State University Research Foundation License Agreement and Amended and Restated Washington State University License Agreement</w:t>
      </w:r>
    </w:p>
    <w:p>
      <w:pPr>
        <w:spacing w:after="0" w:line="146"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In December 2011, we entered into an exclusive license agreement with Washington State University Research Fund, or WSURF, which, after the dissolution of WSURF in 2013, was superseded by an amended and restated exclusive license agreement with Washington State University, or WSU, in September of 2015. Under this agreement, WSU granted us an exclusive license to make, use, sell, and offer for sale licensed products and licensed processes that embody the licensed patents (including WSU’s rights to a patent jointly owned with Pacific Northwest Biotechnology, Inc.) and that form the underlying technology of the drug therapies we are developing. The term of the license begins on the effective date and continues until the earlier of the date in which no valid claim remains enforceable and the payment of royalties ceases for more than four consecutive quarters after such royalty payments begin.</w:t>
      </w:r>
    </w:p>
    <w:p>
      <w:pPr>
        <w:spacing w:after="0" w:line="179" w:lineRule="exact"/>
        <w:rPr>
          <w:sz w:val="20"/>
          <w:szCs w:val="20"/>
          <w:color w:val="auto"/>
        </w:rPr>
      </w:pPr>
    </w:p>
    <w:p>
      <w:pPr>
        <w:ind w:right="300" w:firstLine="576"/>
        <w:spacing w:after="0" w:line="276" w:lineRule="auto"/>
        <w:rPr>
          <w:sz w:val="20"/>
          <w:szCs w:val="20"/>
          <w:color w:val="auto"/>
        </w:rPr>
      </w:pPr>
      <w:r>
        <w:rPr>
          <w:rFonts w:ascii="Arial" w:cs="Arial" w:eastAsia="Arial" w:hAnsi="Arial"/>
          <w:sz w:val="18"/>
          <w:szCs w:val="18"/>
          <w:color w:val="auto"/>
        </w:rPr>
        <w:t>The initiation of our first Phase 2 clinical trial in September 2020 triggered a $50,000 liability to WSU, which was repaid in full as of December 31, 2020.</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are obligated to pay to WSU the following if the related milestones are reached:</w:t>
      </w:r>
    </w:p>
    <w:p>
      <w:pPr>
        <w:spacing w:after="0" w:line="104" w:lineRule="exact"/>
        <w:rPr>
          <w:sz w:val="20"/>
          <w:szCs w:val="20"/>
          <w:color w:val="auto"/>
        </w:rPr>
      </w:pPr>
    </w:p>
    <w:p>
      <w:pPr>
        <w:ind w:left="800" w:hanging="225"/>
        <w:spacing w:after="0"/>
        <w:tabs>
          <w:tab w:leader="none" w:pos="80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are obligated to pay WSU a royalty in the mid-single digits of net sales.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91" w:name="page92"/>
    <w:bookmarkEnd w:id="91"/>
    <w:p>
      <w:pPr>
        <w:ind w:right="200" w:firstLine="576"/>
        <w:spacing w:after="0" w:line="255" w:lineRule="auto"/>
        <w:rPr>
          <w:sz w:val="20"/>
          <w:szCs w:val="20"/>
          <w:color w:val="auto"/>
        </w:rPr>
      </w:pPr>
      <w:r>
        <w:rPr>
          <w:rFonts w:ascii="Arial" w:cs="Arial" w:eastAsia="Arial" w:hAnsi="Arial"/>
          <w:sz w:val="18"/>
          <w:szCs w:val="18"/>
          <w:color w:val="auto"/>
        </w:rPr>
        <w:t>Additionally, under the agreement we have the right to sublicense the licensed rights, subject to additional payments to WSU for sublicense consideration received. Such amounts are dependent on the terms of the underlying sublicense, and range from the mid-single digits to mid tens of any non-sales based payments received, and low twenties of net sales based sublicense royalties.</w:t>
      </w:r>
    </w:p>
    <w:p>
      <w:pPr>
        <w:spacing w:after="0" w:line="27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Grant Liability</w:t>
      </w:r>
    </w:p>
    <w:p>
      <w:pPr>
        <w:spacing w:after="0" w:line="102"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In 2014 and 2015, we received $250,000 and $500,000, respectively, from the Washington Life Sciences Discovery Fund, or LSDF, under the terms of two matching grant award agreements. The consummation of our initial public offering in September 2020 was a triggering event under the terms of the grant and the liability was remeasured to the pay-off amount of $1.5 million as of September 30, 2020 and repaid in full as of December 31, 2020.</w:t>
      </w:r>
    </w:p>
    <w:p>
      <w:pPr>
        <w:spacing w:after="0" w:line="28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National Institutes of Health Grant</w:t>
      </w:r>
    </w:p>
    <w:p>
      <w:pPr>
        <w:spacing w:after="0" w:line="102"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In December 2020, we determined that we would accept a grant from the National Institutes of Health, or NIH, to support our ACT-AD Phase 2 clinical trial for ATH-1017. Under the terms of the agreement, we may receive approximately $7.8 million with the potential for an additional $7.4 million up to an aggregate of $15.2 million. For additional information regarding this grant, see the section of this prospectus titled “Business—Our Collaboration and Grant Agreements.”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52" w:lineRule="exact"/>
        <w:rPr>
          <w:sz w:val="20"/>
          <w:szCs w:val="20"/>
          <w:color w:val="auto"/>
        </w:rPr>
      </w:pPr>
    </w:p>
    <w:p>
      <w:pPr>
        <w:ind w:firstLine="569"/>
        <w:spacing w:after="0" w:line="241" w:lineRule="auto"/>
        <w:rPr>
          <w:sz w:val="20"/>
          <w:szCs w:val="20"/>
          <w:color w:val="auto"/>
        </w:rPr>
      </w:pPr>
      <w:r>
        <w:rPr>
          <w:rFonts w:ascii="Arial" w:cs="Arial" w:eastAsia="Arial" w:hAnsi="Arial"/>
          <w:sz w:val="18"/>
          <w:szCs w:val="18"/>
          <w:color w:val="auto"/>
        </w:rPr>
        <w:t>Research and development expenses consist primarily of direct and indirect costs incurred for our research activities, including development of the ATH platform, our drug discovery efforts and the development of our product candidates. Direct costs include laboratory materials and supplies, contracted research and manufacturing, clinical trial costs, consulting fees, and other expenses incurred to sustain our research and development program. Indirect costs include personnel-related expenses, consisting of employee salaries, related benefits, and stock-based compensation expense for employees engaged in research and development activities, and facilities, including expenses associated with relocating to and building out our new lab space, and other expenses consisting of direct and allocated expenses for rent and depreciation, and lab consumables.</w:t>
      </w:r>
    </w:p>
    <w:p>
      <w:pPr>
        <w:spacing w:after="0" w:line="179"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We expense research and development costs as incurred. Non-refundable advance payments for goods and services that will be used over time for research and development are capitalized and recognized as goods are delivered or as the related services are performed. In-licensing fees and other costs to acquire technologies used in research and development that have not yet received regulatory approval and that are not expected to have an alternative future use are expensed when incurred. We track direct costs by stage of program, clinical or preclinical. However, we do not track indirect costs on a program specific basis because these costs are deployed across multiple programs and, as such, are not separately classified.</w:t>
      </w:r>
    </w:p>
    <w:p>
      <w:pPr>
        <w:spacing w:after="0" w:line="174"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As of the date of this prospectus, we cannot reasonably determine the nature, timing, and estimated costs of the efforts that will be necessary to complete the development of, and obtain regulatory approval for, any of our product candidates. Product candidates in later stages of development generally have higher development costs than those in earlier stages. We expect that our research and development expenses will increase substantially for the foreseeable future as we continue to invest in research and development activities related to developing our product candidates, as our product candidates advance into later stages of development, as we begin to conduct larger clinical trials, as we seek regulatory approvals for any product candidates that successfully complete clinical trials, as we expand our product pipeline, as we maintain, expand, protect and enforce our intellectual property portfolio, and as we incur expenses associated with hiring additional personnel to support our research and development efforts. In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2" w:name="page93"/>
    <w:bookmarkEnd w:id="92"/>
    <w:p>
      <w:pPr>
        <w:ind w:right="420"/>
        <w:spacing w:after="0" w:line="276" w:lineRule="auto"/>
        <w:rPr>
          <w:sz w:val="20"/>
          <w:szCs w:val="20"/>
          <w:color w:val="auto"/>
        </w:rPr>
      </w:pPr>
      <w:r>
        <w:rPr>
          <w:rFonts w:ascii="Arial" w:cs="Arial" w:eastAsia="Arial" w:hAnsi="Arial"/>
          <w:sz w:val="18"/>
          <w:szCs w:val="18"/>
          <w:color w:val="auto"/>
        </w:rPr>
        <w:t>particular, we expect our research and development expenses will increase substantially as we initiate and conduct current and planned Phase 2 and Phase 2/3 clinical trials for ATH-1017.</w:t>
      </w:r>
    </w:p>
    <w:p>
      <w:pPr>
        <w:spacing w:after="0" w:line="145"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The process of conducting the necessary clinical research to obtain regulatory approval is costly and time-consuming, and the successful development of our product candidates is highly uncertain. Our research and development expenses may vary significantly based on factors such as:</w:t>
      </w:r>
    </w:p>
    <w:p>
      <w:pPr>
        <w:spacing w:after="0" w:line="56" w:lineRule="exact"/>
        <w:rPr>
          <w:sz w:val="20"/>
          <w:szCs w:val="20"/>
          <w:color w:val="auto"/>
        </w:rPr>
      </w:pPr>
    </w:p>
    <w:p>
      <w:pPr>
        <w:ind w:left="1300" w:hanging="442"/>
        <w:spacing w:after="0"/>
        <w:tabs>
          <w:tab w:leader="none" w:pos="13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and scope of preclinical and IND-enabling studies;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the phases of development of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the progress and results of our research and development activities;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per subject trial costs;</w:t>
      </w:r>
    </w:p>
    <w:p>
      <w:pPr>
        <w:spacing w:after="0" w:line="116" w:lineRule="exact"/>
        <w:rPr>
          <w:rFonts w:ascii="Times New Roman" w:cs="Times New Roman" w:eastAsia="Times New Roman" w:hAnsi="Times New Roman"/>
          <w:sz w:val="18"/>
          <w:szCs w:val="18"/>
          <w:color w:val="auto"/>
        </w:rPr>
      </w:pPr>
    </w:p>
    <w:p>
      <w:pPr>
        <w:ind w:left="1300" w:right="520" w:hanging="442"/>
        <w:spacing w:after="0" w:line="275" w:lineRule="auto"/>
        <w:tabs>
          <w:tab w:leader="none" w:pos="13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trials required for regulatory approval, in particular with respect to ATH-1017 for the treatment of mild-to-moderate AD;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sites included in the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the countries in which the trials are conducted;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the length of time required to enroll eligible subjects and initiate clinical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subjects that participate in the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the drop-out and discontinuation rate of subjects;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additional safety monitoring requested by regulatory agencies;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the duration of subject participation in the trials and follow-up;</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the cost and timing of manufacturing of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the receipt of regulatory approvals from applicable regulatory authorities;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the hiring and retention of research and development personnel;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the degree to which we obtain, maintain, defend and enforce our intellectual property rights;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the COVID-19 pandemic on timelines and clinical operations, which may lead to increased costs; and</w:t>
      </w:r>
    </w:p>
    <w:p>
      <w:pPr>
        <w:spacing w:after="0" w:line="116" w:lineRule="exact"/>
        <w:rPr>
          <w:rFonts w:ascii="Times New Roman" w:cs="Times New Roman" w:eastAsia="Times New Roman" w:hAnsi="Times New Roman"/>
          <w:sz w:val="18"/>
          <w:szCs w:val="18"/>
          <w:color w:val="auto"/>
        </w:rPr>
      </w:pPr>
    </w:p>
    <w:p>
      <w:pPr>
        <w:ind w:left="1300" w:right="320" w:hanging="442"/>
        <w:spacing w:after="0" w:line="275" w:lineRule="auto"/>
        <w:tabs>
          <w:tab w:leader="none" w:pos="13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establish collaboration, licensing or similar arrangements and the performance of any related third parties.</w:t>
      </w:r>
    </w:p>
    <w:p>
      <w:pPr>
        <w:spacing w:after="0" w:line="186" w:lineRule="exact"/>
        <w:rPr>
          <w:sz w:val="20"/>
          <w:szCs w:val="20"/>
          <w:color w:val="auto"/>
        </w:rPr>
      </w:pPr>
    </w:p>
    <w:p>
      <w:pPr>
        <w:ind w:right="960" w:firstLine="576"/>
        <w:spacing w:after="0" w:line="276"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39" w:lineRule="exact"/>
        <w:rPr>
          <w:sz w:val="20"/>
          <w:szCs w:val="20"/>
          <w:color w:val="auto"/>
        </w:rPr>
      </w:pPr>
    </w:p>
    <w:p>
      <w:pPr>
        <w:ind w:firstLine="569"/>
        <w:spacing w:after="0" w:line="245" w:lineRule="auto"/>
        <w:rPr>
          <w:sz w:val="20"/>
          <w:szCs w:val="20"/>
          <w:color w:val="auto"/>
        </w:rPr>
      </w:pPr>
      <w:r>
        <w:rPr>
          <w:rFonts w:ascii="Arial" w:cs="Arial" w:eastAsia="Arial" w:hAnsi="Arial"/>
          <w:sz w:val="18"/>
          <w:szCs w:val="18"/>
          <w:color w:val="auto"/>
        </w:rPr>
        <w:t>General and administrative expenses consist primarily of personnel-related costs, consisting of employee salaries, related benefits, and stock-based compensation expense for our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We expense general and administrative costs as incurred.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93" w:name="page94"/>
    <w:bookmarkEnd w:id="93"/>
    <w:p>
      <w:pPr>
        <w:ind w:right="120" w:firstLine="576"/>
        <w:spacing w:after="0" w:line="243" w:lineRule="auto"/>
        <w:rPr>
          <w:sz w:val="20"/>
          <w:szCs w:val="20"/>
          <w:color w:val="auto"/>
        </w:rPr>
      </w:pPr>
      <w:r>
        <w:rPr>
          <w:rFonts w:ascii="Arial" w:cs="Arial" w:eastAsia="Arial" w:hAnsi="Arial"/>
          <w:sz w:val="18"/>
          <w:szCs w:val="18"/>
          <w:color w:val="auto"/>
        </w:rPr>
        <w:t>We expect that our general and administrative expenses will increase substantially for the foreseeable future as we increase our headcount to support our continued research activities and development of our programs. We also anticipate that we will incur substantially increased expenses as a result of operating as a public company, including expenses related to compliance with the rules and regulations of the SEC, and those of any national securities exchange on which our securities are traded, legal, auditing, additional insurance expenses, investor relations activities, and other administrative and professional services. We also expect to increase the size of our administrative function to support the growth of our business.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4" w:lineRule="exact"/>
        <w:rPr>
          <w:sz w:val="20"/>
          <w:szCs w:val="20"/>
          <w:color w:val="auto"/>
        </w:rPr>
      </w:pPr>
    </w:p>
    <w:p>
      <w:pPr>
        <w:ind w:right="80" w:firstLine="576"/>
        <w:spacing w:after="0" w:line="255" w:lineRule="auto"/>
        <w:rPr>
          <w:sz w:val="20"/>
          <w:szCs w:val="20"/>
          <w:color w:val="auto"/>
        </w:rPr>
      </w:pPr>
      <w:r>
        <w:rPr>
          <w:rFonts w:ascii="Arial" w:cs="Arial" w:eastAsia="Arial" w:hAnsi="Arial"/>
          <w:sz w:val="18"/>
          <w:szCs w:val="18"/>
          <w:color w:val="auto"/>
        </w:rPr>
        <w:t>Other income (expense), net consists of interest earned on our cash, cash equivalents, and investments, grant income, periodic mark to market gains and losses on the derivative, grant, and convertible preferred stock warrant liabilities carried at fair value, and interest expense on our convertible notes.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2019 and 2020</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7"/>
        </w:trPr>
        <w:tc>
          <w:tcPr>
            <w:tcW w:w="4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Dollar</w:t>
            </w: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r>
      <w:tr>
        <w:trPr>
          <w:trHeight w:val="169"/>
        </w:trPr>
        <w:tc>
          <w:tcPr>
            <w:tcW w:w="4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r>
      <w:tr>
        <w:trPr>
          <w:trHeight w:val="169"/>
        </w:trPr>
        <w:tc>
          <w:tcPr>
            <w:tcW w:w="4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41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9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3,135</w:t>
            </w:r>
          </w:p>
        </w:tc>
        <w:tc>
          <w:tcPr>
            <w:tcW w:w="160" w:type="dxa"/>
            <w:vAlign w:val="bottom"/>
          </w:tcPr>
          <w:p>
            <w:pPr>
              <w:spacing w:after="0"/>
              <w:rPr>
                <w:sz w:val="18"/>
                <w:szCs w:val="18"/>
                <w:color w:val="auto"/>
              </w:rPr>
            </w:pPr>
          </w:p>
        </w:tc>
        <w:tc>
          <w:tcPr>
            <w:tcW w:w="46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8,099</w:t>
            </w:r>
          </w:p>
        </w:tc>
        <w:tc>
          <w:tcPr>
            <w:tcW w:w="140" w:type="dxa"/>
            <w:vAlign w:val="bottom"/>
          </w:tcPr>
          <w:p>
            <w:pPr>
              <w:spacing w:after="0"/>
              <w:rPr>
                <w:sz w:val="18"/>
                <w:szCs w:val="18"/>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4,964</w:t>
            </w: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r>
      <w:tr>
        <w:trPr>
          <w:trHeight w:val="216"/>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6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FF0FC"/>
          </w:tcPr>
          <w:p>
            <w:pPr>
              <w:spacing w:after="0"/>
              <w:rPr>
                <w:sz w:val="18"/>
                <w:szCs w:val="18"/>
                <w:color w:val="auto"/>
              </w:rPr>
            </w:pPr>
          </w:p>
        </w:tc>
      </w:tr>
      <w:tr>
        <w:trPr>
          <w:trHeight w:val="209"/>
        </w:trPr>
        <w:tc>
          <w:tcPr>
            <w:tcW w:w="41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6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4,332</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10,916</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6,584</w:t>
            </w:r>
          </w:p>
        </w:tc>
        <w:tc>
          <w:tcPr>
            <w:tcW w:w="24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152</w:t>
            </w:r>
          </w:p>
        </w:tc>
        <w:tc>
          <w:tcPr>
            <w:tcW w:w="180" w:type="dxa"/>
            <w:vAlign w:val="bottom"/>
            <w:tcBorders>
              <w:bottom w:val="single" w:sz="8" w:color="CFF0FC"/>
            </w:tcBorders>
          </w:tcPr>
          <w:p>
            <w:pPr>
              <w:spacing w:after="0"/>
              <w:rPr>
                <w:sz w:val="18"/>
                <w:szCs w:val="18"/>
                <w:color w:val="auto"/>
              </w:rPr>
            </w:pPr>
          </w:p>
        </w:tc>
      </w:tr>
      <w:tr>
        <w:trPr>
          <w:trHeight w:val="21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(6,584)</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FF0FC"/>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(1,482)</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09"/>
        </w:trPr>
        <w:tc>
          <w:tcPr>
            <w:tcW w:w="4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6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(4,187)</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199"/>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3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74" w:lineRule="exact"/>
        <w:rPr>
          <w:sz w:val="20"/>
          <w:szCs w:val="20"/>
          <w:color w:val="auto"/>
        </w:rPr>
      </w:pPr>
    </w:p>
    <w:p>
      <w:pPr>
        <w:ind w:left="480" w:hanging="472"/>
        <w:spacing w:after="0"/>
        <w:tabs>
          <w:tab w:leader="none" w:pos="48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Not meaningful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shows the primary components of our research and development expenses for the periods presented: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20" w:type="dxa"/>
            <w:vAlign w:val="bottom"/>
            <w:gridSpan w:val="5"/>
          </w:tcPr>
          <w:p>
            <w:pPr>
              <w:ind w:left="32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7"/>
        </w:trPr>
        <w:tc>
          <w:tcPr>
            <w:tcW w:w="4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275"/>
              <w:spacing w:after="0"/>
              <w:rPr>
                <w:sz w:val="20"/>
                <w:szCs w:val="20"/>
                <w:color w:val="auto"/>
              </w:rPr>
            </w:pPr>
            <w:r>
              <w:rPr>
                <w:rFonts w:ascii="Arial" w:cs="Arial" w:eastAsia="Arial" w:hAnsi="Arial"/>
                <w:sz w:val="14"/>
                <w:szCs w:val="14"/>
                <w:b w:val="1"/>
                <w:bCs w:val="1"/>
                <w:color w:val="auto"/>
              </w:rPr>
              <w:t>Dollar</w:t>
            </w:r>
          </w:p>
        </w:tc>
        <w:tc>
          <w:tcPr>
            <w:tcW w:w="138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15"/>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4"/>
                <w:szCs w:val="1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4"/>
                <w:szCs w:val="14"/>
                <w:color w:val="auto"/>
              </w:rPr>
            </w:pPr>
          </w:p>
        </w:tc>
      </w:tr>
      <w:tr>
        <w:trPr>
          <w:trHeight w:val="169"/>
        </w:trPr>
        <w:tc>
          <w:tcPr>
            <w:tcW w:w="4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420" w:type="dxa"/>
            <w:vAlign w:val="bottom"/>
          </w:tcPr>
          <w:p>
            <w:pPr>
              <w:ind w:left="500"/>
              <w:spacing w:after="0"/>
              <w:rPr>
                <w:sz w:val="20"/>
                <w:szCs w:val="20"/>
                <w:color w:val="auto"/>
              </w:rPr>
            </w:pPr>
            <w:r>
              <w:rPr>
                <w:rFonts w:ascii="Arial" w:cs="Arial" w:eastAsia="Arial" w:hAnsi="Arial"/>
                <w:sz w:val="18"/>
                <w:szCs w:val="18"/>
                <w:color w:val="auto"/>
              </w:rPr>
              <w:t>ATH-1017</w:t>
            </w:r>
          </w:p>
        </w:tc>
        <w:tc>
          <w:tcPr>
            <w:tcW w:w="1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2,290</w:t>
            </w:r>
          </w:p>
        </w:tc>
        <w:tc>
          <w:tcPr>
            <w:tcW w:w="640" w:type="dxa"/>
            <w:vAlign w:val="bottom"/>
            <w:gridSpan w:val="2"/>
          </w:tcPr>
          <w:p>
            <w:pPr>
              <w:jc w:val="right"/>
              <w:ind w:right="219"/>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6,834</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4,544</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8"/>
                <w:szCs w:val="18"/>
                <w:color w:val="auto"/>
              </w:rPr>
            </w:pPr>
          </w:p>
        </w:tc>
      </w:tr>
      <w:tr>
        <w:trPr>
          <w:trHeight w:val="216"/>
        </w:trPr>
        <w:tc>
          <w:tcPr>
            <w:tcW w:w="4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Preclinical programs</w:t>
            </w:r>
          </w:p>
        </w:tc>
        <w:tc>
          <w:tcPr>
            <w:tcW w:w="13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direct costs</w:t>
            </w:r>
          </w:p>
        </w:tc>
        <w:tc>
          <w:tcPr>
            <w:tcW w:w="13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w:t>
            </w:r>
          </w:p>
        </w:tc>
        <w:tc>
          <w:tcPr>
            <w:tcW w:w="24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4,576</w:t>
            </w:r>
          </w:p>
        </w:tc>
        <w:tc>
          <w:tcPr>
            <w:tcW w:w="138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187</w:t>
            </w:r>
          </w:p>
        </w:tc>
        <w:tc>
          <w:tcPr>
            <w:tcW w:w="18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Indirect costs:</w:t>
            </w: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193"/>
        </w:trPr>
        <w:tc>
          <w:tcPr>
            <w:tcW w:w="4420" w:type="dxa"/>
            <w:vAlign w:val="bottom"/>
          </w:tcPr>
          <w:p>
            <w:pPr>
              <w:ind w:left="500"/>
              <w:spacing w:after="0" w:line="193" w:lineRule="exact"/>
              <w:rPr>
                <w:sz w:val="20"/>
                <w:szCs w:val="20"/>
                <w:color w:val="auto"/>
              </w:rPr>
            </w:pPr>
            <w:r>
              <w:rPr>
                <w:rFonts w:ascii="Arial" w:cs="Arial" w:eastAsia="Arial" w:hAnsi="Arial"/>
                <w:sz w:val="18"/>
                <w:szCs w:val="18"/>
                <w:color w:val="auto"/>
              </w:rPr>
              <w:t>Personnel-related costs, including</w:t>
            </w: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5"/>
        </w:trPr>
        <w:tc>
          <w:tcPr>
            <w:tcW w:w="4420" w:type="dxa"/>
            <w:vAlign w:val="bottom"/>
          </w:tcPr>
          <w:p>
            <w:pPr>
              <w:ind w:left="660"/>
              <w:spacing w:after="0"/>
              <w:rPr>
                <w:sz w:val="20"/>
                <w:szCs w:val="20"/>
                <w:color w:val="auto"/>
              </w:rPr>
            </w:pPr>
            <w:r>
              <w:rPr>
                <w:rFonts w:ascii="Arial" w:cs="Arial" w:eastAsia="Arial" w:hAnsi="Arial"/>
                <w:sz w:val="18"/>
                <w:szCs w:val="18"/>
                <w:color w:val="auto"/>
              </w:rPr>
              <w:t>stock-based compensation</w:t>
            </w: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Facilities and other costs</w:t>
            </w:r>
          </w:p>
        </w:tc>
        <w:tc>
          <w:tcPr>
            <w:tcW w:w="13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24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42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13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w:t>
            </w:r>
          </w:p>
        </w:tc>
        <w:tc>
          <w:tcPr>
            <w:tcW w:w="24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8,099</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3"/>
        </w:trPr>
        <w:tc>
          <w:tcPr>
            <w:tcW w:w="4420" w:type="dxa"/>
            <w:vAlign w:val="bottom"/>
          </w:tcPr>
          <w:p>
            <w:pPr>
              <w:spacing w:after="0"/>
              <w:rPr>
                <w:sz w:val="24"/>
                <w:szCs w:val="24"/>
                <w:color w:val="auto"/>
              </w:rPr>
            </w:pP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-92-</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44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16" w:right="319" w:bottom="1440" w:gutter="0" w:footer="0" w:header="0"/>
        </w:sectPr>
      </w:pPr>
    </w:p>
    <w:bookmarkStart w:id="94" w:name="page95"/>
    <w:bookmarkEnd w:id="94"/>
    <w:p>
      <w:pPr>
        <w:ind w:right="40" w:firstLine="576"/>
        <w:spacing w:after="0" w:line="248" w:lineRule="auto"/>
        <w:rPr>
          <w:sz w:val="20"/>
          <w:szCs w:val="20"/>
          <w:color w:val="auto"/>
        </w:rPr>
      </w:pPr>
      <w:r>
        <w:rPr>
          <w:rFonts w:ascii="Arial" w:cs="Arial" w:eastAsia="Arial" w:hAnsi="Arial"/>
          <w:sz w:val="18"/>
          <w:szCs w:val="18"/>
          <w:color w:val="auto"/>
        </w:rPr>
        <w:t>Research and development expenses increased by $ 5.0 million, from $3.1 million for the nine months ended September 30, 2019 to $8.1 million for the nine months ended September 30, 2020. The increase was driven primarily by an increase in expenses for ATH-1017 of $4.5 million related to start-up activities by our clinical research organization and clinical drug supply manufacturers for Phase 2 clinical trials, and to a lesser extent, by increases in personnel-related costs and facilities and other costs supporting our general growth.</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160" w:firstLine="576"/>
        <w:spacing w:after="0" w:line="248" w:lineRule="auto"/>
        <w:rPr>
          <w:sz w:val="20"/>
          <w:szCs w:val="20"/>
          <w:color w:val="auto"/>
        </w:rPr>
      </w:pPr>
      <w:r>
        <w:rPr>
          <w:rFonts w:ascii="Arial" w:cs="Arial" w:eastAsia="Arial" w:hAnsi="Arial"/>
          <w:sz w:val="18"/>
          <w:szCs w:val="18"/>
          <w:color w:val="auto"/>
        </w:rPr>
        <w:t>General and administrative expenses increased by $1.6 million, from $1.2 million for the nine months ended September 30, 2019 to $2.8 million for the nine months ended September 30, 2020. The increase was primarily due to an increase in corporate legal, accounting, technical and consulting services of $1.1 million, an increase in personnel-related costs of $0.3 million to support our continued growth, and to a lesser extent, by increases in insurance and marketing costs.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4"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 xml:space="preserve">Other income (expense), net, changed from income of $0.1 million for the nine months ended September 30, 2019 to expense of $1.3 million for the nine months ended September 30, 2020. The change was primarily due to a decrease in grant income due to a </w:t>
      </w:r>
      <w:r>
        <w:rPr>
          <w:rFonts w:ascii="Arial" w:cs="Arial" w:eastAsia="Arial" w:hAnsi="Arial"/>
          <w:sz w:val="18"/>
          <w:szCs w:val="18"/>
          <w:i w:val="1"/>
          <w:iCs w:val="1"/>
          <w:color w:val="auto"/>
        </w:rPr>
        <w:t>Part the Cloud</w:t>
      </w:r>
      <w:r>
        <w:rPr>
          <w:rFonts w:ascii="Arial" w:cs="Arial" w:eastAsia="Arial" w:hAnsi="Arial"/>
          <w:sz w:val="18"/>
          <w:szCs w:val="18"/>
          <w:color w:val="auto"/>
        </w:rPr>
        <w:t xml:space="preserve"> research grant of $0.5 million received in 2019 with no corresponding grant received in 2020, an increase of $0.1 million in interest expense and accretion of discounts related to the convertible notes, and an increase of $1.1 million from increases in liabilities recorded at fair value. This was offset by a gain of $ 0.2 million on the extinguishment of convertible notes in connection with our Series B convertible preferred stock financing in the second quarter of 2020.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2018 and 2019</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40" w:type="dxa"/>
            <w:vAlign w:val="bottom"/>
            <w:gridSpan w:val="6"/>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5"/>
                <w:szCs w:val="15"/>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Dollar</w:t>
            </w: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r>
      <w:tr>
        <w:trPr>
          <w:trHeight w:val="169"/>
        </w:trPr>
        <w:tc>
          <w:tcPr>
            <w:tcW w:w="57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Change</w:t>
            </w: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r>
      <w:tr>
        <w:trPr>
          <w:trHeight w:val="169"/>
        </w:trPr>
        <w:tc>
          <w:tcPr>
            <w:tcW w:w="57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7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3,589</w:t>
            </w:r>
          </w:p>
        </w:tc>
        <w:tc>
          <w:tcPr>
            <w:tcW w:w="160" w:type="dxa"/>
            <w:vAlign w:val="bottom"/>
          </w:tcPr>
          <w:p>
            <w:pPr>
              <w:spacing w:after="0"/>
              <w:rPr>
                <w:sz w:val="18"/>
                <w:szCs w:val="18"/>
                <w:color w:val="auto"/>
              </w:rPr>
            </w:pPr>
          </w:p>
        </w:tc>
        <w:tc>
          <w:tcPr>
            <w:tcW w:w="34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3,793</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204</w:t>
            </w:r>
          </w:p>
        </w:tc>
        <w:tc>
          <w:tcPr>
            <w:tcW w:w="2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1,656</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8"/>
                <w:szCs w:val="18"/>
                <w:color w:val="auto"/>
              </w:rPr>
            </w:pPr>
          </w:p>
        </w:tc>
      </w:tr>
      <w:tr>
        <w:trPr>
          <w:trHeight w:val="209"/>
        </w:trPr>
        <w:tc>
          <w:tcPr>
            <w:tcW w:w="5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5,449</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26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FF0FC"/>
            </w:tcBorders>
          </w:tcPr>
          <w:p>
            <w:pPr>
              <w:spacing w:after="0"/>
              <w:rPr>
                <w:sz w:val="18"/>
                <w:szCs w:val="18"/>
                <w:color w:val="auto"/>
              </w:rPr>
            </w:pPr>
          </w:p>
        </w:tc>
      </w:tr>
      <w:tr>
        <w:trPr>
          <w:trHeight w:val="21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376</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10"/>
        </w:trPr>
        <w:tc>
          <w:tcPr>
            <w:tcW w:w="5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(5,097)</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34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74" w:lineRule="exact"/>
        <w:rPr>
          <w:sz w:val="20"/>
          <w:szCs w:val="20"/>
          <w:color w:val="auto"/>
        </w:rPr>
      </w:pPr>
    </w:p>
    <w:p>
      <w:pPr>
        <w:ind w:left="480" w:hanging="472"/>
        <w:spacing w:after="0"/>
        <w:tabs>
          <w:tab w:leader="none" w:pos="480" w:val="left"/>
        </w:tabs>
        <w:numPr>
          <w:ilvl w:val="0"/>
          <w:numId w:val="63"/>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Not meaningful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shows the primary components of our research and development expenses for the periods presented: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4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Dollar</w:t>
            </w:r>
          </w:p>
        </w:tc>
        <w:tc>
          <w:tcPr>
            <w:tcW w:w="1140" w:type="dxa"/>
            <w:vAlign w:val="bottom"/>
          </w:tcPr>
          <w:p>
            <w:pPr>
              <w:jc w:val="right"/>
              <w:ind w:right="435"/>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r>
      <w:tr>
        <w:trPr>
          <w:trHeight w:val="169"/>
        </w:trPr>
        <w:tc>
          <w:tcPr>
            <w:tcW w:w="4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r>
      <w:tr>
        <w:trPr>
          <w:trHeight w:val="169"/>
        </w:trPr>
        <w:tc>
          <w:tcPr>
            <w:tcW w:w="4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216"/>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4540" w:type="dxa"/>
            <w:vAlign w:val="bottom"/>
          </w:tcPr>
          <w:p>
            <w:pPr>
              <w:ind w:left="500"/>
              <w:spacing w:after="0"/>
              <w:rPr>
                <w:sz w:val="20"/>
                <w:szCs w:val="20"/>
                <w:color w:val="auto"/>
              </w:rPr>
            </w:pPr>
            <w:r>
              <w:rPr>
                <w:rFonts w:ascii="Arial" w:cs="Arial" w:eastAsia="Arial" w:hAnsi="Arial"/>
                <w:sz w:val="18"/>
                <w:szCs w:val="18"/>
                <w:color w:val="auto"/>
              </w:rPr>
              <w:t>ATH-1017</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2,773</w:t>
            </w:r>
          </w:p>
        </w:tc>
        <w:tc>
          <w:tcPr>
            <w:tcW w:w="240" w:type="dxa"/>
            <w:vAlign w:val="bottom"/>
          </w:tcPr>
          <w:p>
            <w:pPr>
              <w:spacing w:after="0"/>
              <w:rPr>
                <w:sz w:val="18"/>
                <w:szCs w:val="18"/>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2,619</w:t>
            </w:r>
          </w:p>
        </w:tc>
        <w:tc>
          <w:tcPr>
            <w:tcW w:w="260" w:type="dxa"/>
            <w:vAlign w:val="bottom"/>
          </w:tcPr>
          <w:p>
            <w:pPr>
              <w:spacing w:after="0"/>
              <w:rPr>
                <w:sz w:val="18"/>
                <w:szCs w:val="18"/>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(154)</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4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Preclinical programs</w:t>
            </w:r>
          </w:p>
        </w:tc>
        <w:tc>
          <w:tcPr>
            <w:tcW w:w="11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FF0FC"/>
          </w:tcPr>
          <w:p>
            <w:pPr>
              <w:spacing w:after="0"/>
              <w:rPr>
                <w:sz w:val="18"/>
                <w:szCs w:val="18"/>
                <w:color w:val="auto"/>
              </w:rPr>
            </w:pPr>
          </w:p>
        </w:tc>
      </w:tr>
      <w:tr>
        <w:trPr>
          <w:trHeight w:val="210"/>
        </w:trPr>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direct costs</w:t>
            </w:r>
          </w:p>
        </w:tc>
        <w:tc>
          <w:tcPr>
            <w:tcW w:w="11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w:t>
            </w: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40" w:type="dxa"/>
            <w:vAlign w:val="bottom"/>
            <w:tcBorders>
              <w:bottom w:val="single" w:sz="8" w:color="CFF0FC"/>
            </w:tcBorders>
          </w:tcPr>
          <w:p>
            <w:pPr>
              <w:spacing w:after="0"/>
              <w:rPr>
                <w:sz w:val="18"/>
                <w:szCs w:val="18"/>
                <w:color w:val="auto"/>
              </w:rPr>
            </w:pPr>
          </w:p>
        </w:tc>
        <w:tc>
          <w:tcPr>
            <w:tcW w:w="138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8"/>
                <w:szCs w:val="18"/>
                <w:color w:val="auto"/>
              </w:rPr>
              <w:t>(2)</w:t>
            </w:r>
          </w:p>
        </w:tc>
      </w:tr>
      <w:tr>
        <w:trPr>
          <w:trHeight w:val="20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Indirect costs:</w:t>
            </w: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193"/>
        </w:trPr>
        <w:tc>
          <w:tcPr>
            <w:tcW w:w="4540" w:type="dxa"/>
            <w:vAlign w:val="bottom"/>
          </w:tcPr>
          <w:p>
            <w:pPr>
              <w:ind w:left="500"/>
              <w:spacing w:after="0" w:line="193" w:lineRule="exact"/>
              <w:rPr>
                <w:sz w:val="20"/>
                <w:szCs w:val="20"/>
                <w:color w:val="auto"/>
              </w:rPr>
            </w:pPr>
            <w:r>
              <w:rPr>
                <w:rFonts w:ascii="Arial" w:cs="Arial" w:eastAsia="Arial" w:hAnsi="Arial"/>
                <w:sz w:val="18"/>
                <w:szCs w:val="18"/>
                <w:color w:val="auto"/>
              </w:rPr>
              <w:t>Personnel-related costs, including</w:t>
            </w: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25"/>
        </w:trPr>
        <w:tc>
          <w:tcPr>
            <w:tcW w:w="4540" w:type="dxa"/>
            <w:vAlign w:val="bottom"/>
          </w:tcPr>
          <w:p>
            <w:pPr>
              <w:ind w:left="660"/>
              <w:spacing w:after="0"/>
              <w:rPr>
                <w:sz w:val="20"/>
                <w:szCs w:val="20"/>
                <w:color w:val="auto"/>
              </w:rPr>
            </w:pPr>
            <w:r>
              <w:rPr>
                <w:rFonts w:ascii="Arial" w:cs="Arial" w:eastAsia="Arial" w:hAnsi="Arial"/>
                <w:sz w:val="18"/>
                <w:szCs w:val="18"/>
                <w:color w:val="auto"/>
              </w:rPr>
              <w:t>stock-based compensation</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r>
      <w:tr>
        <w:trPr>
          <w:trHeight w:val="216"/>
        </w:trPr>
        <w:tc>
          <w:tcPr>
            <w:tcW w:w="4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Facilities and other costs</w:t>
            </w:r>
          </w:p>
        </w:tc>
        <w:tc>
          <w:tcPr>
            <w:tcW w:w="11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FF0FC"/>
          </w:tcPr>
          <w:p>
            <w:pPr>
              <w:spacing w:after="0"/>
              <w:rPr>
                <w:sz w:val="18"/>
                <w:szCs w:val="18"/>
                <w:color w:val="auto"/>
              </w:rPr>
            </w:pPr>
          </w:p>
        </w:tc>
      </w:tr>
      <w:tr>
        <w:trPr>
          <w:trHeight w:val="209"/>
        </w:trPr>
        <w:tc>
          <w:tcPr>
            <w:tcW w:w="454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11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3,793</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Research and development expenses increased by $0.2 million, or 6%, from $3.6 million for the year ended December 31, 2018</w:t>
      </w:r>
    </w:p>
    <w:p>
      <w:pPr>
        <w:spacing w:after="0" w:line="1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to $3.8 million for the year ended December 31, 2019. The increase was driven primarily by an increase in personnel-related costs, and to a lesser extent, by increases in preclinical program costs as we expanded the number of research targets, as well as in facilities and other costs supporting our overall growth. In addition, expenses for ATH -1017 decreased by $0.2 million, primarily due to a decrease in clinical trial costs of $1.0 million related to the timing of activities in our Phase 1a and 1b clinical trials, partially offset by an increase in preclinical costs of $0.6 million as we completed certain toxicology studies in 2019, and by increases in manufacturing costs of $0.2 million as we began preparing for Phase 2 clinical trial drug supply production in late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220" w:firstLine="576"/>
        <w:spacing w:after="0" w:line="255" w:lineRule="auto"/>
        <w:rPr>
          <w:sz w:val="20"/>
          <w:szCs w:val="20"/>
          <w:color w:val="auto"/>
        </w:rPr>
      </w:pPr>
      <w:r>
        <w:rPr>
          <w:rFonts w:ascii="Arial" w:cs="Arial" w:eastAsia="Arial" w:hAnsi="Arial"/>
          <w:sz w:val="18"/>
          <w:szCs w:val="18"/>
          <w:color w:val="auto"/>
        </w:rPr>
        <w:t>General and administrative expenses increased by $0.3 million, or 17%, from $ 1.4 million for the year ended December 31, 2018 to $1.7 million for the year ended December 31, 2019. The increase was primarily due to an increase in personnel-related costs as staffing increased to support our growth.</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4" w:lineRule="exact"/>
        <w:rPr>
          <w:sz w:val="20"/>
          <w:szCs w:val="20"/>
          <w:color w:val="auto"/>
        </w:rPr>
      </w:pPr>
    </w:p>
    <w:p>
      <w:pPr>
        <w:ind w:right="120" w:firstLine="576"/>
        <w:spacing w:after="0" w:line="248" w:lineRule="auto"/>
        <w:rPr>
          <w:sz w:val="20"/>
          <w:szCs w:val="20"/>
          <w:color w:val="auto"/>
        </w:rPr>
      </w:pPr>
      <w:r>
        <w:rPr>
          <w:rFonts w:ascii="Arial" w:cs="Arial" w:eastAsia="Arial" w:hAnsi="Arial"/>
          <w:sz w:val="18"/>
          <w:szCs w:val="18"/>
          <w:color w:val="auto"/>
        </w:rPr>
        <w:t xml:space="preserve">Other income (expense), net changed from an expense of $ 0.1 million for the year ended December 31, 2018 to income of $0.3 million for the year ended December 31, 2019. The change of $0.4 million was primarily due to income from a </w:t>
      </w:r>
      <w:r>
        <w:rPr>
          <w:rFonts w:ascii="Arial" w:cs="Arial" w:eastAsia="Arial" w:hAnsi="Arial"/>
          <w:sz w:val="18"/>
          <w:szCs w:val="18"/>
          <w:i w:val="1"/>
          <w:iCs w:val="1"/>
          <w:color w:val="auto"/>
        </w:rPr>
        <w:t>Part the Cloud</w:t>
      </w:r>
      <w:r>
        <w:rPr>
          <w:rFonts w:ascii="Arial" w:cs="Arial" w:eastAsia="Arial" w:hAnsi="Arial"/>
          <w:sz w:val="18"/>
          <w:szCs w:val="18"/>
          <w:color w:val="auto"/>
        </w:rPr>
        <w:t xml:space="preserve"> research grant of $0.8 million received in 2019, partially offset primarily by an increase in interest expense on outstanding convertible notes of $0.3 million and to a lesser extent by a decrease in interest and other income and an increase in losses from changes in liabilities recorded at fair value.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4" w:lineRule="exact"/>
        <w:rPr>
          <w:sz w:val="20"/>
          <w:szCs w:val="20"/>
          <w:color w:val="auto"/>
        </w:rPr>
      </w:pPr>
    </w:p>
    <w:p>
      <w:pPr>
        <w:ind w:right="40" w:firstLine="576"/>
        <w:spacing w:after="0" w:line="241" w:lineRule="auto"/>
        <w:rPr>
          <w:sz w:val="20"/>
          <w:szCs w:val="20"/>
          <w:color w:val="auto"/>
        </w:rPr>
      </w:pPr>
      <w:r>
        <w:rPr>
          <w:rFonts w:ascii="Arial" w:cs="Arial" w:eastAsia="Arial" w:hAnsi="Arial"/>
          <w:sz w:val="18"/>
          <w:szCs w:val="18"/>
          <w:color w:val="auto"/>
        </w:rPr>
        <w:t>Since our inception, we have funded our operations primarily with proceeds from the sale and issuance of convertible preferred stock, common stock warrants, and convertible notes, and to a lesser extent from grant income and stock option exercises. From our inception through September 30, 2020, we have raised aggregate net cash proceeds of $288.5 million primarily from the issuance of our common stock, convertible preferred stock, common stock warrants, and convertible notes. We issued 12,000,000 shares of our common stock in our initial public offering at a public offering price of $17.00 per share for net proceeds of $186.4 million, after deducting underwriting discounts and commissions and offering expenses. As of September 30, 2020, we had $259.9 million in cash, cash equivalents and investments and have not generated positive cash flows from operations. In October, 2020, we sold an additional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96" w:name="page97"/>
    <w:bookmarkEnd w:id="96"/>
    <w:p>
      <w:pPr>
        <w:spacing w:after="0" w:line="243" w:lineRule="auto"/>
        <w:rPr>
          <w:sz w:val="20"/>
          <w:szCs w:val="20"/>
          <w:color w:val="auto"/>
        </w:rPr>
      </w:pPr>
      <w:r>
        <w:rPr>
          <w:rFonts w:ascii="Arial" w:cs="Arial" w:eastAsia="Arial" w:hAnsi="Arial"/>
          <w:sz w:val="18"/>
          <w:szCs w:val="18"/>
          <w:color w:val="auto"/>
        </w:rPr>
        <w:t>1,397,712 shares of common stock to the underwriters of the initial public offering upon partial exercise of the underwriters’ option to purchase additional shares at the initial public offering price of $17.00 per share, less underwriting discounts and commissions, resulting in net proceeds to us of approximately $22.1 million.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04"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Based upon our current operating plan, we estimate that our $259.9 million of cash, cash equivalents, and investments at September 30, 2020 will be sufficient to fund our operating expenses and capital expenditure requirements at least through 2022. Even after this offering, we will need to raise substantial additional capital to fund the development of our product candidates. Until such time as we can generate significant revenue from product sales, we expect to finance our operations through the sale of equity securities, debt financings, or other capital, which could include income from collaboration, licensing or similar arrangements with third parties, or receiving research contributions, or grants.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product candidates or grant licenses on terms that may not be favorable to us and/or may reduce the value of our common stock. Adequate funding may not be available when needed or on terms acceptable to us, or at all.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flows from operating activities.</w:t>
      </w:r>
    </w:p>
    <w:p>
      <w:pPr>
        <w:spacing w:after="0" w:line="222" w:lineRule="exact"/>
        <w:rPr>
          <w:sz w:val="20"/>
          <w:szCs w:val="20"/>
          <w:color w:val="auto"/>
        </w:rPr>
      </w:pPr>
    </w:p>
    <w:p>
      <w:pPr>
        <w:ind w:right="160" w:firstLine="589"/>
        <w:spacing w:after="0" w:line="248" w:lineRule="auto"/>
        <w:rPr>
          <w:sz w:val="20"/>
          <w:szCs w:val="20"/>
          <w:color w:val="auto"/>
        </w:rPr>
      </w:pPr>
      <w:r>
        <w:rPr>
          <w:rFonts w:ascii="Arial" w:cs="Arial" w:eastAsia="Arial" w:hAnsi="Arial"/>
          <w:sz w:val="18"/>
          <w:szCs w:val="18"/>
          <w:color w:val="auto"/>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biotechnology products, we are unable to estimate the exact amount of our operating capital requirements. Our future funding requirements will depend on many factors, including, but not limited to:</w:t>
      </w:r>
    </w:p>
    <w:p>
      <w:pPr>
        <w:spacing w:after="0" w:line="62" w:lineRule="exact"/>
        <w:rPr>
          <w:sz w:val="20"/>
          <w:szCs w:val="20"/>
          <w:color w:val="auto"/>
        </w:rPr>
      </w:pPr>
    </w:p>
    <w:p>
      <w:pPr>
        <w:ind w:left="1300" w:hanging="442"/>
        <w:spacing w:after="0"/>
        <w:tabs>
          <w:tab w:leader="none" w:pos="13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timing, progress and results of our ongoing preclinical studies and clinical trials of our product candidates;</w:t>
      </w:r>
    </w:p>
    <w:p>
      <w:pPr>
        <w:spacing w:after="0" w:line="116" w:lineRule="exact"/>
        <w:rPr>
          <w:rFonts w:ascii="Times New Roman" w:cs="Times New Roman" w:eastAsia="Times New Roman" w:hAnsi="Times New Roman"/>
          <w:sz w:val="18"/>
          <w:szCs w:val="18"/>
          <w:color w:val="auto"/>
        </w:rPr>
      </w:pPr>
    </w:p>
    <w:p>
      <w:pPr>
        <w:ind w:left="1300" w:right="540" w:hanging="442"/>
        <w:spacing w:after="0" w:line="275" w:lineRule="auto"/>
        <w:tabs>
          <w:tab w:leader="none" w:pos="13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trials required for regulatory approval, in particular with respect to ATH-1017 for the treatment of mild-to-moderate AD;</w:t>
      </w:r>
    </w:p>
    <w:p>
      <w:pPr>
        <w:spacing w:after="0" w:line="37" w:lineRule="exact"/>
        <w:rPr>
          <w:rFonts w:ascii="Times New Roman" w:cs="Times New Roman" w:eastAsia="Times New Roman" w:hAnsi="Times New Roman"/>
          <w:sz w:val="18"/>
          <w:szCs w:val="18"/>
          <w:color w:val="auto"/>
        </w:rPr>
      </w:pPr>
    </w:p>
    <w:p>
      <w:pPr>
        <w:ind w:left="1300" w:right="620" w:hanging="442"/>
        <w:spacing w:after="0" w:line="275" w:lineRule="auto"/>
        <w:tabs>
          <w:tab w:leader="none" w:pos="1300" w:val="left"/>
        </w:tabs>
        <w:numPr>
          <w:ilvl w:val="0"/>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progress, results and costs of preclinical development, laboratory testing and clinical trials of other product candidates that we may pursue;</w:t>
      </w:r>
    </w:p>
    <w:p>
      <w:pPr>
        <w:spacing w:after="0" w:line="37" w:lineRule="exact"/>
        <w:rPr>
          <w:rFonts w:ascii="Times New Roman" w:cs="Times New Roman" w:eastAsia="Times New Roman" w:hAnsi="Times New Roman"/>
          <w:sz w:val="18"/>
          <w:szCs w:val="18"/>
          <w:color w:val="auto"/>
        </w:rPr>
      </w:pPr>
    </w:p>
    <w:p>
      <w:pPr>
        <w:jc w:val="both"/>
        <w:ind w:left="1300" w:right="420" w:hanging="442"/>
        <w:spacing w:after="0" w:line="305" w:lineRule="auto"/>
        <w:tabs>
          <w:tab w:leader="none" w:pos="1300" w:val="left"/>
        </w:tabs>
        <w:numPr>
          <w:ilvl w:val="0"/>
          <w:numId w:val="64"/>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and maintain collaboration, licensing or other similar arrangements, and the financial terms of any such arrangements, including the timing and amount of any future milestone, royalty or other payments due thereunder;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97" w:name="page98"/>
    <w:bookmarkEnd w:id="97"/>
    <w:p>
      <w:pPr>
        <w:ind w:left="1300" w:hanging="442"/>
        <w:spacing w:after="0"/>
        <w:tabs>
          <w:tab w:leader="none" w:pos="13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our product candidates;</w:t>
      </w:r>
    </w:p>
    <w:p>
      <w:pPr>
        <w:spacing w:after="0" w:line="116"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6" w:lineRule="exact"/>
        <w:rPr>
          <w:rFonts w:ascii="Times New Roman" w:cs="Times New Roman" w:eastAsia="Times New Roman" w:hAnsi="Times New Roman"/>
          <w:sz w:val="18"/>
          <w:szCs w:val="18"/>
          <w:color w:val="auto"/>
        </w:rPr>
      </w:pPr>
    </w:p>
    <w:p>
      <w:pPr>
        <w:ind w:left="1300" w:right="620" w:hanging="442"/>
        <w:spacing w:after="0" w:line="275" w:lineRule="auto"/>
        <w:tabs>
          <w:tab w:leader="none" w:pos="13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any expenses needed to attract, hire and retain skilled personnel;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operating as a public company;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relocating to our new facility and building out lab space;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acquire or in-license other companies’ product candidates and technologies.</w:t>
      </w:r>
    </w:p>
    <w:p>
      <w:pPr>
        <w:spacing w:after="0" w:line="224"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A change in the outcome of any of these or other factors with respect to the development of any of our product candidates could significantly change the costs and timing associated with the development of that product candidate. Furthermore, our operating plan may change in the future, and we may need additional funds to meet operational needs and capital requirements associated with such operating plan.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7"/>
        </w:trPr>
        <w:tc>
          <w:tcPr>
            <w:tcW w:w="5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gridSpan w:val="4"/>
          </w:tcPr>
          <w:p>
            <w:pPr>
              <w:jc w:val="center"/>
              <w:ind w:left="279"/>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4"/>
            <w:vMerge w:val="restart"/>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gridSpan w:val="4"/>
          </w:tcPr>
          <w:p>
            <w:pPr>
              <w:jc w:val="center"/>
              <w:ind w:left="279"/>
              <w:spacing w:after="0"/>
              <w:rPr>
                <w:sz w:val="20"/>
                <w:szCs w:val="20"/>
                <w:color w:val="auto"/>
              </w:rPr>
            </w:pPr>
            <w:r>
              <w:rPr>
                <w:rFonts w:ascii="Arial" w:cs="Arial" w:eastAsia="Arial" w:hAnsi="Arial"/>
                <w:sz w:val="14"/>
                <w:szCs w:val="14"/>
                <w:b w:val="1"/>
                <w:bCs w:val="1"/>
                <w:color w:val="auto"/>
              </w:rPr>
              <w:t>(unaudited)</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(4,483)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(3,713)</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(2,684)</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(13,448)</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(94,310)</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Financing activities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271,427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820" w:type="dxa"/>
            <w:vAlign w:val="bottom"/>
            <w:shd w:val="clear" w:color="auto" w:fill="CFF0FC"/>
          </w:tcPr>
          <w:p>
            <w:pPr>
              <w:spacing w:after="0" w:line="187" w:lineRule="exact"/>
              <w:rPr>
                <w:sz w:val="20"/>
                <w:szCs w:val="20"/>
                <w:color w:val="auto"/>
              </w:rPr>
            </w:pPr>
            <w:r>
              <w:rPr>
                <w:rFonts w:ascii="Arial" w:cs="Arial" w:eastAsia="Arial" w:hAnsi="Arial"/>
                <w:sz w:val="18"/>
                <w:szCs w:val="18"/>
                <w:color w:val="auto"/>
              </w:rPr>
              <w:t>Net (decrease) increase in cash and</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8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(1,012)</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(1,261)</w:t>
            </w:r>
          </w:p>
        </w:tc>
        <w:tc>
          <w:tcPr>
            <w:tcW w:w="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(1,037)</w:t>
            </w:r>
          </w:p>
        </w:tc>
        <w:tc>
          <w:tcPr>
            <w:tcW w:w="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Operating Activities</w:t>
      </w:r>
    </w:p>
    <w:p>
      <w:pPr>
        <w:spacing w:after="0" w:line="102"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During the nine months ended September 30, 2020, net cash used in operating activities was $13.4 million. This consisted primarily of a net loss of $12.3 million, partially offset by non-cash charges of $1.7 million and an increase in our net operating assets of $2.9 million. The non-cash charges primarily consisted of stock-based compensation expense, non-cash interest expense and accretion of discounts on our convertible notes, changes in the carrying value of liabilities stated at fair value, and the gain on extinguishment of our convertible notes. The increase in our net operating assets was due to an increase in prepaid expenses and other current assets, partially offset by a decrease in accounts payable and accrued expenses.</w:t>
      </w:r>
    </w:p>
    <w:p>
      <w:pPr>
        <w:spacing w:after="0" w:line="174" w:lineRule="exact"/>
        <w:rPr>
          <w:sz w:val="20"/>
          <w:szCs w:val="20"/>
          <w:color w:val="auto"/>
        </w:rPr>
      </w:pPr>
    </w:p>
    <w:p>
      <w:pPr>
        <w:jc w:val="both"/>
        <w:ind w:right="100" w:firstLine="576"/>
        <w:spacing w:after="0" w:line="255" w:lineRule="auto"/>
        <w:rPr>
          <w:sz w:val="20"/>
          <w:szCs w:val="20"/>
          <w:color w:val="auto"/>
        </w:rPr>
      </w:pPr>
      <w:r>
        <w:rPr>
          <w:rFonts w:ascii="Arial" w:cs="Arial" w:eastAsia="Arial" w:hAnsi="Arial"/>
          <w:sz w:val="18"/>
          <w:szCs w:val="18"/>
          <w:color w:val="auto"/>
        </w:rPr>
        <w:t>During the nine months ended September 30, 2019, net cash used in operating activities was $2.7 million. This consisted primarily of a net loss of $4.2 million, partially offset by non-cash charges of $0.6 million and an increase in our net operating assets of $0.9 million. The non-cash charges primarily consisted of stock-based compensation expense, non-cash interest expense and accretion of discounts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98" w:name="page99"/>
    <w:bookmarkEnd w:id="98"/>
    <w:p>
      <w:pPr>
        <w:ind w:right="40"/>
        <w:spacing w:after="0" w:line="276" w:lineRule="auto"/>
        <w:rPr>
          <w:sz w:val="20"/>
          <w:szCs w:val="20"/>
          <w:color w:val="auto"/>
        </w:rPr>
      </w:pPr>
      <w:r>
        <w:rPr>
          <w:rFonts w:ascii="Arial" w:cs="Arial" w:eastAsia="Arial" w:hAnsi="Arial"/>
          <w:sz w:val="18"/>
          <w:szCs w:val="18"/>
          <w:color w:val="auto"/>
        </w:rPr>
        <w:t>on our convertible notes, and changes in the carrying value of liabilities stated at fair value. The increase in our net operating assets was due to an increase in accounts payable and accrued expenses.</w:t>
      </w:r>
    </w:p>
    <w:p>
      <w:pPr>
        <w:spacing w:after="0" w:line="145" w:lineRule="exact"/>
        <w:rPr>
          <w:sz w:val="20"/>
          <w:szCs w:val="20"/>
          <w:color w:val="auto"/>
        </w:rPr>
      </w:pPr>
    </w:p>
    <w:p>
      <w:pPr>
        <w:ind w:right="140" w:firstLine="576"/>
        <w:spacing w:after="0" w:line="245" w:lineRule="auto"/>
        <w:rPr>
          <w:sz w:val="20"/>
          <w:szCs w:val="20"/>
          <w:color w:val="auto"/>
        </w:rPr>
      </w:pPr>
      <w:r>
        <w:rPr>
          <w:rFonts w:ascii="Arial" w:cs="Arial" w:eastAsia="Arial" w:hAnsi="Arial"/>
          <w:sz w:val="18"/>
          <w:szCs w:val="18"/>
          <w:color w:val="auto"/>
        </w:rPr>
        <w:t>During the year ended December 31, 2019, net cash used in operating activities was $3.7 million. This consisted primarily of a net loss of $5.2 million, partially offset by non-cash charges of $0.8 million and an increase in our net operating assets of $0.7 million. The non-cash charges primarily consisted of stock-based compensation expense, non-cash interest expense and accretion of discounts on our convertible notes, and changes in the carrying value of liabilities stated at fair value. The increase in our net operating assets was due to an increase in accounts payable and accrued expenses.</w:t>
      </w:r>
    </w:p>
    <w:p>
      <w:pPr>
        <w:spacing w:after="0" w:line="172"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During the year ended December 31, 2018, net cash used in operating activities was $4.5 million. This consisted primarily of a net loss of $5.1 million, partially offset by non-cash charges of $0.4 million and an increase in our net operating assets of $0.2 million. The non-cash charges primarily consisted of stock-based compensation expense, non-cash interest expense on our convertible notes, and changes in the carrying value of liabilities stated at fair value. The increase in our net operating assets was due to an increase in accounts payable and accrued expenses.</w:t>
      </w:r>
    </w:p>
    <w:p>
      <w:pPr>
        <w:spacing w:after="0" w:line="28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Investing Activities</w:t>
      </w:r>
    </w:p>
    <w:p>
      <w:pPr>
        <w:spacing w:after="0" w:line="102" w:lineRule="exact"/>
        <w:rPr>
          <w:sz w:val="20"/>
          <w:szCs w:val="20"/>
          <w:color w:val="auto"/>
        </w:rPr>
      </w:pPr>
    </w:p>
    <w:p>
      <w:pPr>
        <w:ind w:right="420" w:firstLine="589"/>
        <w:spacing w:after="0" w:line="276" w:lineRule="auto"/>
        <w:rPr>
          <w:sz w:val="20"/>
          <w:szCs w:val="20"/>
          <w:color w:val="auto"/>
        </w:rPr>
      </w:pPr>
      <w:r>
        <w:rPr>
          <w:rFonts w:ascii="Arial" w:cs="Arial" w:eastAsia="Arial" w:hAnsi="Arial"/>
          <w:sz w:val="18"/>
          <w:szCs w:val="18"/>
          <w:color w:val="auto"/>
        </w:rPr>
        <w:t>During the nine months ended September 30, 2020, net cash used in investing was $94.3 million. This consisted of purchases of available-for-sale securities.</w:t>
      </w:r>
    </w:p>
    <w:p>
      <w:pPr>
        <w:spacing w:after="0" w:line="145" w:lineRule="exact"/>
        <w:rPr>
          <w:sz w:val="20"/>
          <w:szCs w:val="20"/>
          <w:color w:val="auto"/>
        </w:rPr>
      </w:pPr>
    </w:p>
    <w:p>
      <w:pPr>
        <w:ind w:right="240" w:firstLine="589"/>
        <w:spacing w:after="0" w:line="255" w:lineRule="auto"/>
        <w:rPr>
          <w:sz w:val="20"/>
          <w:szCs w:val="20"/>
          <w:color w:val="auto"/>
        </w:rPr>
      </w:pPr>
      <w:r>
        <w:rPr>
          <w:rFonts w:ascii="Arial" w:cs="Arial" w:eastAsia="Arial" w:hAnsi="Arial"/>
          <w:sz w:val="18"/>
          <w:szCs w:val="18"/>
          <w:color w:val="auto"/>
        </w:rPr>
        <w:t>During the nine months ended September 30, 2019, net cash provided by investing activities was $0.8 million. This consisted primarily of $1.7 million in proceeds received from short-term investments which matured during the period, partially offset by purchases of short-term investments of $1.0 million.</w:t>
      </w:r>
    </w:p>
    <w:p>
      <w:pPr>
        <w:spacing w:after="0" w:line="164" w:lineRule="exact"/>
        <w:rPr>
          <w:sz w:val="20"/>
          <w:szCs w:val="20"/>
          <w:color w:val="auto"/>
        </w:rPr>
      </w:pPr>
    </w:p>
    <w:p>
      <w:pPr>
        <w:ind w:right="80" w:firstLine="576"/>
        <w:spacing w:after="0" w:line="255" w:lineRule="auto"/>
        <w:rPr>
          <w:sz w:val="20"/>
          <w:szCs w:val="20"/>
          <w:color w:val="auto"/>
        </w:rPr>
      </w:pPr>
      <w:r>
        <w:rPr>
          <w:rFonts w:ascii="Arial" w:cs="Arial" w:eastAsia="Arial" w:hAnsi="Arial"/>
          <w:sz w:val="18"/>
          <w:szCs w:val="18"/>
          <w:color w:val="auto"/>
        </w:rPr>
        <w:t>During the year ended December 31, 2019, net cash provided by investing activities was $1.5 million. This consisted primarily of $2.5 million in proceeds received from short-term investments which matured during the period, partially offset by purchases of short-term investments of $1.0 million.</w:t>
      </w:r>
    </w:p>
    <w:p>
      <w:pPr>
        <w:spacing w:after="0" w:line="164" w:lineRule="exact"/>
        <w:rPr>
          <w:sz w:val="20"/>
          <w:szCs w:val="20"/>
          <w:color w:val="auto"/>
        </w:rPr>
      </w:pPr>
    </w:p>
    <w:p>
      <w:pPr>
        <w:ind w:right="80" w:firstLine="576"/>
        <w:spacing w:after="0" w:line="255" w:lineRule="auto"/>
        <w:rPr>
          <w:sz w:val="20"/>
          <w:szCs w:val="20"/>
          <w:color w:val="auto"/>
        </w:rPr>
      </w:pPr>
      <w:r>
        <w:rPr>
          <w:rFonts w:ascii="Arial" w:cs="Arial" w:eastAsia="Arial" w:hAnsi="Arial"/>
          <w:sz w:val="18"/>
          <w:szCs w:val="18"/>
          <w:color w:val="auto"/>
        </w:rPr>
        <w:t>During the year ended December 31, 2018, net cash provided by investing activities was $2.0 million. This consisted primarily of $7.3 million in proceeds received from short-term investments which matured during the period, partially offset by purchases of short-term investments of $5.3 million.</w:t>
      </w:r>
    </w:p>
    <w:p>
      <w:pPr>
        <w:spacing w:after="0" w:line="27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Financing Activities</w:t>
      </w:r>
    </w:p>
    <w:p>
      <w:pPr>
        <w:spacing w:after="0" w:line="102" w:lineRule="exact"/>
        <w:rPr>
          <w:sz w:val="20"/>
          <w:szCs w:val="20"/>
          <w:color w:val="auto"/>
        </w:rPr>
      </w:pPr>
    </w:p>
    <w:p>
      <w:pPr>
        <w:jc w:val="both"/>
        <w:ind w:right="400" w:firstLine="589"/>
        <w:spacing w:after="0" w:line="248" w:lineRule="auto"/>
        <w:rPr>
          <w:sz w:val="20"/>
          <w:szCs w:val="20"/>
          <w:color w:val="auto"/>
        </w:rPr>
      </w:pPr>
      <w:r>
        <w:rPr>
          <w:rFonts w:ascii="Arial" w:cs="Arial" w:eastAsia="Arial" w:hAnsi="Arial"/>
          <w:sz w:val="18"/>
          <w:szCs w:val="18"/>
          <w:color w:val="auto"/>
        </w:rPr>
        <w:t>During the nine months ended September 30, 2020, net cash provided by financing activities was $271.4 million. This consisted primarily of net proceeds received from our initial public offering of $187.2 million, net proceeds of $81.9 million from the issuance of our Series B convertible preferred stock and common stock warrants, $1.7 million from the issuance of our convertible notes, and to a lesser extent from exercises of stock options and common stock warrants.</w:t>
      </w:r>
    </w:p>
    <w:p>
      <w:pPr>
        <w:spacing w:after="0" w:line="170" w:lineRule="exact"/>
        <w:rPr>
          <w:sz w:val="20"/>
          <w:szCs w:val="20"/>
          <w:color w:val="auto"/>
        </w:rPr>
      </w:pPr>
    </w:p>
    <w:p>
      <w:pPr>
        <w:jc w:val="both"/>
        <w:ind w:right="680" w:firstLine="589"/>
        <w:spacing w:after="0" w:line="306" w:lineRule="auto"/>
        <w:rPr>
          <w:sz w:val="20"/>
          <w:szCs w:val="20"/>
          <w:color w:val="auto"/>
        </w:rPr>
      </w:pPr>
      <w:r>
        <w:rPr>
          <w:rFonts w:ascii="Arial" w:cs="Arial" w:eastAsia="Arial" w:hAnsi="Arial"/>
          <w:sz w:val="17"/>
          <w:szCs w:val="17"/>
          <w:color w:val="auto"/>
        </w:rPr>
        <w:t>During the nine months ended September 30, 2019, net cash provided by financing activities was $0.9 million. This consisted primarily of proceeds of $0.9 million from the issuance of our convertible notes and to a lesser extent from exercises of stock options.</w:t>
      </w:r>
    </w:p>
    <w:p>
      <w:pPr>
        <w:spacing w:after="0" w:line="123" w:lineRule="exact"/>
        <w:rPr>
          <w:sz w:val="20"/>
          <w:szCs w:val="20"/>
          <w:color w:val="auto"/>
        </w:rPr>
      </w:pPr>
    </w:p>
    <w:p>
      <w:pPr>
        <w:ind w:right="220" w:firstLine="576"/>
        <w:spacing w:after="0" w:line="276" w:lineRule="auto"/>
        <w:rPr>
          <w:sz w:val="20"/>
          <w:szCs w:val="20"/>
          <w:color w:val="auto"/>
        </w:rPr>
      </w:pPr>
      <w:r>
        <w:rPr>
          <w:rFonts w:ascii="Arial" w:cs="Arial" w:eastAsia="Arial" w:hAnsi="Arial"/>
          <w:sz w:val="18"/>
          <w:szCs w:val="18"/>
          <w:color w:val="auto"/>
        </w:rPr>
        <w:t>During the year ended December 31, 2019, net cash provided in financing activities was $0.9 million. This consisted primarily of net proceeds received from the issuance of our convertible notes of $0.9 million and to a lesser extent from exercises of stock options.</w:t>
      </w:r>
    </w:p>
    <w:p>
      <w:pPr>
        <w:spacing w:after="0" w:line="145" w:lineRule="exact"/>
        <w:rPr>
          <w:sz w:val="20"/>
          <w:szCs w:val="20"/>
          <w:color w:val="auto"/>
        </w:rPr>
      </w:pPr>
    </w:p>
    <w:p>
      <w:pPr>
        <w:ind w:right="160" w:firstLine="576"/>
        <w:spacing w:after="0" w:line="255" w:lineRule="auto"/>
        <w:rPr>
          <w:sz w:val="20"/>
          <w:szCs w:val="20"/>
          <w:color w:val="auto"/>
        </w:rPr>
      </w:pPr>
      <w:r>
        <w:rPr>
          <w:rFonts w:ascii="Arial" w:cs="Arial" w:eastAsia="Arial" w:hAnsi="Arial"/>
          <w:sz w:val="18"/>
          <w:szCs w:val="18"/>
          <w:color w:val="auto"/>
        </w:rPr>
        <w:t>During the year ended December 31, 2018, net cash provided in financing activities was $1.5 million. This consisted primarily of net proceeds received from the issuance of our convertible notes of $1.3 million, $0.1 million from exercises of stock options, and $0.1 million from the issuance of additional shares of Series A convertible preferred stock.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06"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Our financial statements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Liability, Convertible Notes Discount and Amortization</w:t>
      </w:r>
    </w:p>
    <w:p>
      <w:pPr>
        <w:spacing w:after="0" w:line="104"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Our convertible notes have conversion and redemption features that meet the definition of an embedded derivative and are therefore subject to derivative accounting. The initial fair value of the derivative is recorded as a discount to the convertible notes, with a corresponding derivative liability. The discount to the convertible notes is amortized using the effective interest method. The amortization of the discount is included in other income (expense), net in our statements of operations and comprehensive loss. The derivative liability related to these features is recorded at estimated fair value on a recurring basis. Any changes in fair value are reflected in other income (expense), net in our statements of operations and comprehensive loss at each period end while such instruments are outstanding. The derivative liability was remeasured to fair value until its settlement in May 2020 upon the conversion of the underlying convertible notes into shares of our Series B-1 convertible preferred stock.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 Warrant Liability</w:t>
      </w:r>
    </w:p>
    <w:p>
      <w:pPr>
        <w:spacing w:after="0" w:line="104"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Freestanding warrants to purchase shares of our convertible preferred stock are accounted for as liabilities at fair value, because the shares underlying the warrants contain contingent redemption features outside our control. Warrants classified as liabilities are recorded on the balance sheets at their fair value on the date of issuance and remeasured to fair value on each subsequent reporting period, with the changes in fair value recognized as a component of other income (expense), net in the statements of operations. We adjusted the liability for the final change in fair value of these warrants immediately preceding their automatic exercise in connection with our initial public offering. Subsequently, the liability was reclassified to additional paid in capital.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Liability</w:t>
      </w:r>
    </w:p>
    <w:p>
      <w:pPr>
        <w:spacing w:after="0" w:line="10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 xml:space="preserve">The grant liability associated with the grants from the LSDF is accounted for under Accounting Standards Codification, or ASC, 825-10, </w:t>
      </w:r>
      <w:r>
        <w:rPr>
          <w:rFonts w:ascii="Arial" w:cs="Arial" w:eastAsia="Arial" w:hAnsi="Arial"/>
          <w:sz w:val="18"/>
          <w:szCs w:val="18"/>
          <w:i w:val="1"/>
          <w:iCs w:val="1"/>
          <w:color w:val="auto"/>
        </w:rPr>
        <w:t>Financial Instruments—Overall</w:t>
      </w:r>
      <w:r>
        <w:rPr>
          <w:rFonts w:ascii="Arial" w:cs="Arial" w:eastAsia="Arial" w:hAnsi="Arial"/>
          <w:sz w:val="18"/>
          <w:szCs w:val="18"/>
          <w:color w:val="auto"/>
        </w:rPr>
        <w:t>. The estimated fair value of the grant liability is reassessed at each balance sheet date, with changes in fair value reflected in other income (expense), net in our statements of operations and comprehensive loss at each period end. The fair value of the grant liability was estimated using a discounted cash flow simulation methodology that assigns probabilities to the timing and likelihood of each triggering event, each of which is disclosed in Note 7 to our audited financial statements and Note 6 to our unaudited interim condensed financial statements included elsewhere in this prospectus, as well as a discount rate based on market data for securities with similar durations and credit ratings to us, and the expected payment amount. The assumptions used to calculate the fair value of the grant liability are subject to significant judgment, and payment may be in an amount different from the liability that we estimate. The consummation of our initial</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82" w:right="379" w:bottom="1440" w:gutter="0" w:footer="0" w:header="0"/>
        </w:sectPr>
      </w:pPr>
    </w:p>
    <w:bookmarkStart w:id="100" w:name="page101"/>
    <w:bookmarkEnd w:id="100"/>
    <w:p>
      <w:pPr>
        <w:ind w:right="60"/>
        <w:spacing w:after="0" w:line="276" w:lineRule="auto"/>
        <w:rPr>
          <w:sz w:val="20"/>
          <w:szCs w:val="20"/>
          <w:color w:val="auto"/>
        </w:rPr>
      </w:pPr>
      <w:r>
        <w:rPr>
          <w:rFonts w:ascii="Arial" w:cs="Arial" w:eastAsia="Arial" w:hAnsi="Arial"/>
          <w:sz w:val="18"/>
          <w:szCs w:val="18"/>
          <w:color w:val="auto"/>
        </w:rPr>
        <w:t>public offering in September 2020 was a triggering event under the terms of the grant and the liability was remeasured to the pay-off amount of $1.5 million as of September 30, 2020.</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04" w:lineRule="exact"/>
        <w:rPr>
          <w:sz w:val="20"/>
          <w:szCs w:val="20"/>
          <w:color w:val="auto"/>
        </w:rPr>
      </w:pPr>
    </w:p>
    <w:p>
      <w:pPr>
        <w:ind w:right="40" w:firstLine="576"/>
        <w:spacing w:after="0" w:line="241" w:lineRule="auto"/>
        <w:rPr>
          <w:sz w:val="20"/>
          <w:szCs w:val="20"/>
          <w:color w:val="auto"/>
        </w:rPr>
      </w:pPr>
      <w:r>
        <w:rPr>
          <w:rFonts w:ascii="Arial" w:cs="Arial" w:eastAsia="Arial" w:hAnsi="Arial"/>
          <w:sz w:val="18"/>
          <w:szCs w:val="18"/>
          <w:color w:val="auto"/>
        </w:rPr>
        <w:t xml:space="preserve">In January 2019, the Alzheimer’s Association awarded us a $1.0 million </w:t>
      </w:r>
      <w:r>
        <w:rPr>
          <w:rFonts w:ascii="Arial" w:cs="Arial" w:eastAsia="Arial" w:hAnsi="Arial"/>
          <w:sz w:val="18"/>
          <w:szCs w:val="18"/>
          <w:i w:val="1"/>
          <w:iCs w:val="1"/>
          <w:color w:val="auto"/>
        </w:rPr>
        <w:t>Part the Cloud</w:t>
      </w:r>
      <w:r>
        <w:rPr>
          <w:rFonts w:ascii="Arial" w:cs="Arial" w:eastAsia="Arial" w:hAnsi="Arial"/>
          <w:sz w:val="18"/>
          <w:szCs w:val="18"/>
          <w:color w:val="auto"/>
        </w:rPr>
        <w:t xml:space="preserve"> research grant. Grant proceeds must be used to advance our ATH-1017 product candidate in the Alzheimer’s disease setting. Under the terms of the agreement, we received $776,000 in 2019 and may potentially receive the remaining $ 224,000 in 2020 upon the completion of certain development milestones. Reporting of expenses incurred supported by the grant as well as research updates are sent to the Alzheimer’s Association semi-annually. We recognize income related to the grant as qualifying expenses under the grant agreement are incurred, in grant income within other income (expense), net in our statement of operations and comprehensive loss. As of December 31, 2019, we had recognized $754,000 in grant income, which is included in other income (expense), net in our statements of operations and comprehensive loss, and had cash received in excess of qualifying expenses of approximately $22,000, which is included in accrued expenses on our balance sheets. During the nine months ended September 30, 2020, we recognized $22,000 in grant income.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04" w:lineRule="exact"/>
        <w:rPr>
          <w:sz w:val="20"/>
          <w:szCs w:val="20"/>
          <w:color w:val="auto"/>
        </w:rPr>
      </w:pPr>
    </w:p>
    <w:p>
      <w:pPr>
        <w:ind w:right="80" w:firstLine="576"/>
        <w:spacing w:after="0" w:line="241" w:lineRule="auto"/>
        <w:rPr>
          <w:sz w:val="20"/>
          <w:szCs w:val="20"/>
          <w:color w:val="auto"/>
        </w:rPr>
      </w:pPr>
      <w:r>
        <w:rPr>
          <w:rFonts w:ascii="Arial" w:cs="Arial" w:eastAsia="Arial" w:hAnsi="Arial"/>
          <w:sz w:val="18"/>
          <w:szCs w:val="18"/>
          <w:color w:val="auto"/>
        </w:rPr>
        <w:t>Research and development costs are expensed as incurred. In-licensing fees and other costs to acquire technologies used in research and development that have not yet received regulatory approval and that are not expected to have an alternative future use are expensed when incurred. Non-refundable advance payments for goods and services that will be used over time for research and development are capitalized and recognized as goods are delivered or as the related services are performed. We estimate the period over which such services will be performed and the level of effort to be expended in each period. If actual timing of performance or the level of effort varies from the estimate, we will adjust the amounts recorded accordingly. We have not experienced any material differences between accrued or prepaid costs and actual costs since inception.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right="40" w:firstLine="576"/>
        <w:spacing w:after="0" w:line="276" w:lineRule="auto"/>
        <w:rPr>
          <w:sz w:val="20"/>
          <w:szCs w:val="20"/>
          <w:color w:val="auto"/>
        </w:rPr>
      </w:pPr>
      <w:r>
        <w:rPr>
          <w:rFonts w:ascii="Arial" w:cs="Arial" w:eastAsia="Arial" w:hAnsi="Arial"/>
          <w:sz w:val="18"/>
          <w:szCs w:val="18"/>
          <w:color w:val="auto"/>
        </w:rPr>
        <w:t>We maintain a stock-based compensation plan as a long-term incentive for employees, non-employee directors and consultants. The plan allows for the issuance of incentive stock options, non-qualified stock options, restricted stock units, and other forms of equity awards.</w:t>
      </w:r>
    </w:p>
    <w:p>
      <w:pPr>
        <w:spacing w:after="0" w:line="145"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We recognize stock-based compensation expense for stock options on a straight-line basis over the requisite service period and account for forfeitures as they occur. Our stock-based compensation costs are based upon the grant date fair value of options estimated using the Black-Scholes option pricing model. To the extent any stock option grants are made subject to the achievement of a performance-based milestone, management evaluates when the achievement of any such performance-based milestone is probable based on the relative satisfaction of the performance conditions as of the reporting date.</w:t>
      </w:r>
    </w:p>
    <w:p>
      <w:pPr>
        <w:spacing w:after="0" w:line="172" w:lineRule="exact"/>
        <w:rPr>
          <w:sz w:val="20"/>
          <w:szCs w:val="20"/>
          <w:color w:val="auto"/>
        </w:rPr>
      </w:pPr>
    </w:p>
    <w:p>
      <w:pPr>
        <w:ind w:right="480" w:firstLine="576"/>
        <w:spacing w:after="0" w:line="276" w:lineRule="auto"/>
        <w:rPr>
          <w:sz w:val="20"/>
          <w:szCs w:val="20"/>
          <w:color w:val="auto"/>
        </w:rPr>
      </w:pPr>
      <w:r>
        <w:rPr>
          <w:rFonts w:ascii="Arial" w:cs="Arial" w:eastAsia="Arial" w:hAnsi="Arial"/>
          <w:sz w:val="18"/>
          <w:szCs w:val="18"/>
          <w:color w:val="auto"/>
        </w:rPr>
        <w:t>The Black-Scholes option pricing model utilizes inputs which are highly subjective assumptions and generally require significant judgment. These assumptions include:</w:t>
      </w:r>
    </w:p>
    <w:p>
      <w:pPr>
        <w:spacing w:after="0" w:line="37" w:lineRule="exact"/>
        <w:rPr>
          <w:sz w:val="20"/>
          <w:szCs w:val="20"/>
          <w:color w:val="auto"/>
        </w:rPr>
      </w:pPr>
    </w:p>
    <w:p>
      <w:pPr>
        <w:ind w:left="800" w:hanging="225"/>
        <w:spacing w:after="0"/>
        <w:tabs>
          <w:tab w:leader="none" w:pos="8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See the subsection titled “—Common Stock Valuations” below.</w:t>
      </w:r>
    </w:p>
    <w:p>
      <w:pPr>
        <w:spacing w:after="0" w:line="116" w:lineRule="exact"/>
        <w:rPr>
          <w:rFonts w:ascii="Times New Roman" w:cs="Times New Roman" w:eastAsia="Times New Roman" w:hAnsi="Times New Roman"/>
          <w:sz w:val="18"/>
          <w:szCs w:val="18"/>
          <w:color w:val="auto"/>
        </w:rPr>
      </w:pPr>
    </w:p>
    <w:p>
      <w:pPr>
        <w:ind w:left="800" w:right="180" w:hanging="225"/>
        <w:spacing w:after="0" w:line="275" w:lineRule="auto"/>
        <w:tabs>
          <w:tab w:leader="none" w:pos="8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zero coupon issues in effect at the time of grant</w:t>
      </w:r>
      <w:r>
        <w:rPr>
          <w:rFonts w:ascii="Arial" w:cs="Arial" w:eastAsia="Arial" w:hAnsi="Arial"/>
          <w:sz w:val="18"/>
          <w:szCs w:val="18"/>
          <w:i w:val="1"/>
          <w:iCs w:val="1"/>
          <w:color w:val="auto"/>
        </w:rPr>
        <w:t xml:space="preserve"> </w:t>
      </w:r>
      <w:r>
        <w:rPr>
          <w:rFonts w:ascii="Arial" w:cs="Arial" w:eastAsia="Arial" w:hAnsi="Arial"/>
          <w:sz w:val="18"/>
          <w:szCs w:val="18"/>
          <w:color w:val="auto"/>
        </w:rPr>
        <w:t>for periods corresponding with the expected term of the option.</w:t>
      </w:r>
    </w:p>
    <w:p>
      <w:pPr>
        <w:spacing w:after="0" w:line="37" w:lineRule="exact"/>
        <w:rPr>
          <w:rFonts w:ascii="Times New Roman" w:cs="Times New Roman" w:eastAsia="Times New Roman" w:hAnsi="Times New Roman"/>
          <w:sz w:val="18"/>
          <w:szCs w:val="18"/>
          <w:color w:val="auto"/>
        </w:rPr>
      </w:pPr>
    </w:p>
    <w:p>
      <w:pPr>
        <w:jc w:val="both"/>
        <w:ind w:left="800" w:right="80" w:hanging="225"/>
        <w:spacing w:after="0" w:line="277" w:lineRule="auto"/>
        <w:tabs>
          <w:tab w:leader="none" w:pos="800" w:val="left"/>
        </w:tabs>
        <w:numPr>
          <w:ilvl w:val="0"/>
          <w:numId w:val="66"/>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 Because we have been privately held and do not have any trading history for our common stock, the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volatility was estimated based on the average volatility for comparable publicly traded life sciences companies over a period equal to the expected term of the stock option grants. The comparable companies were chosen based on the similar size, stage</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01" w:name="page102"/>
    <w:bookmarkEnd w:id="101"/>
    <w:p>
      <w:pPr>
        <w:ind w:left="800" w:right="220"/>
        <w:spacing w:after="0" w:line="276" w:lineRule="auto"/>
        <w:rPr>
          <w:sz w:val="20"/>
          <w:szCs w:val="20"/>
          <w:color w:val="auto"/>
        </w:rPr>
      </w:pPr>
      <w:r>
        <w:rPr>
          <w:rFonts w:ascii="Arial" w:cs="Arial" w:eastAsia="Arial" w:hAnsi="Arial"/>
          <w:sz w:val="18"/>
          <w:szCs w:val="18"/>
          <w:color w:val="auto"/>
        </w:rPr>
        <w:t>in life cycle or area of specialty. We will continue to apply this process until a sufficient amount of historical information regarding the volatility of our own stock price becomes available.</w:t>
      </w:r>
    </w:p>
    <w:p>
      <w:pPr>
        <w:spacing w:after="0" w:line="37" w:lineRule="exact"/>
        <w:rPr>
          <w:sz w:val="20"/>
          <w:szCs w:val="20"/>
          <w:color w:val="auto"/>
        </w:rPr>
      </w:pPr>
    </w:p>
    <w:p>
      <w:pPr>
        <w:ind w:left="800" w:right="80" w:hanging="225"/>
        <w:spacing w:after="0" w:line="255" w:lineRule="auto"/>
        <w:tabs>
          <w:tab w:leader="none" w:pos="80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that the stock-based awards are expected to be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simplified method (based on the mid-point between the vesting date and the end of the contractual term), as we do not have sufficient historical data to use any other method to estimate expected term.</w:t>
      </w:r>
    </w:p>
    <w:p>
      <w:pPr>
        <w:spacing w:after="0" w:line="54" w:lineRule="exact"/>
        <w:rPr>
          <w:rFonts w:ascii="Times New Roman" w:cs="Times New Roman" w:eastAsia="Times New Roman" w:hAnsi="Times New Roman"/>
          <w:sz w:val="18"/>
          <w:szCs w:val="18"/>
          <w:color w:val="auto"/>
        </w:rPr>
      </w:pPr>
    </w:p>
    <w:p>
      <w:pPr>
        <w:ind w:left="800" w:hanging="225"/>
        <w:spacing w:after="0" w:line="275" w:lineRule="auto"/>
        <w:tabs>
          <w:tab w:leader="none" w:pos="80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We have never paid dividends on our common stock and have no plans to pay dividends on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Therefore, we used an expected dividend yield of zero.</w:t>
      </w:r>
    </w:p>
    <w:p>
      <w:pPr>
        <w:spacing w:after="0" w:line="146" w:lineRule="exact"/>
        <w:rPr>
          <w:sz w:val="20"/>
          <w:szCs w:val="20"/>
          <w:color w:val="auto"/>
        </w:rPr>
      </w:pPr>
    </w:p>
    <w:p>
      <w:pPr>
        <w:ind w:right="260" w:firstLine="576"/>
        <w:spacing w:after="0" w:line="245" w:lineRule="auto"/>
        <w:rPr>
          <w:sz w:val="20"/>
          <w:szCs w:val="20"/>
          <w:color w:val="auto"/>
        </w:rPr>
      </w:pPr>
      <w:r>
        <w:rPr>
          <w:rFonts w:ascii="Arial" w:cs="Arial" w:eastAsia="Arial" w:hAnsi="Arial"/>
          <w:sz w:val="18"/>
          <w:szCs w:val="18"/>
          <w:color w:val="auto"/>
        </w:rPr>
        <w:t>See Note 12 to our audited financial statements and Note 11 to our unaudited interim condensed financial statements included elsewhere in this prospectus for more information concerning certain of the specific assumptions we used in applying the Black-Scholes option pricing model to determine the estimated fair value of our stock options. Certain of such assumptions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172"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We recorded stock-based compensation expense of $0.2 million and $0.3 million for the years ended December 31, 2018 and 2019, respectively, and $0.2 million for each of the nine months ended September 30, 2019 and 2020. As of September 30, 2020, there was $2.9 million of total unrecognized stock-based compensation expense related to unvested stock options which we expect to recognize over a remaining weighted-average period of 1.95 years. We expect to continue to grant stock options and other equity-based awards in the future, and to the extent that we do, our stock-based compensation expense recognized in future periods will likely increase.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0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 xml:space="preserve">Since our initial public offering in September 2020, we base the fair value of the shares of common stock underlying our share-based awards on the market price of our common stock as reported the Nasdaq Global Select Market. For all periods prior to our initial public offering, there was no public market for our common stock, and, as a result, the fair value of the shares of common stock underlying our share-based awards was estimated on each grant date by our board of directors. To determine the fair value of our common stock underlying option grants, our board of directors considered, among other things, input from management, valuations of our common stock prepared by unrelated third-party valuation firms in accordance with the guidance provided by the American Institute of Certified Public Accountants 2013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and our board of directors’ assessment of additional objective and subjective factors that it believed were relevant, and factors that may have changed from the date of the most recent valuation through the date of the grant. These factors included, but were not limited to:</w:t>
      </w:r>
    </w:p>
    <w:p>
      <w:pPr>
        <w:spacing w:after="0" w:line="68" w:lineRule="exact"/>
        <w:rPr>
          <w:sz w:val="20"/>
          <w:szCs w:val="20"/>
          <w:color w:val="auto"/>
        </w:rPr>
      </w:pPr>
    </w:p>
    <w:p>
      <w:pPr>
        <w:ind w:left="800" w:hanging="225"/>
        <w:spacing w:after="0"/>
        <w:tabs>
          <w:tab w:leader="none" w:pos="80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our results of operations and financial position, including our levels of available capital resources;</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our stage of development and material risks related to our business;</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progress of our research and development activities;</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conditions and projections;</w:t>
      </w:r>
    </w:p>
    <w:p>
      <w:pPr>
        <w:spacing w:after="0" w:line="116" w:lineRule="exact"/>
        <w:rPr>
          <w:rFonts w:ascii="Times New Roman" w:cs="Times New Roman" w:eastAsia="Times New Roman" w:hAnsi="Times New Roman"/>
          <w:sz w:val="18"/>
          <w:szCs w:val="18"/>
          <w:color w:val="auto"/>
        </w:rPr>
      </w:pPr>
    </w:p>
    <w:p>
      <w:pPr>
        <w:ind w:left="800" w:right="220" w:hanging="225"/>
        <w:spacing w:after="0" w:line="275" w:lineRule="auto"/>
        <w:tabs>
          <w:tab w:leader="none" w:pos="80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the valuation of publicly traded companies in the life sciences and biotechnology sectors, as well as recently completed mergers and acquisitions of peer companies;</w:t>
      </w:r>
    </w:p>
    <w:p>
      <w:pPr>
        <w:spacing w:after="0" w:line="37"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the lack of marketability of our common stock as a private company;</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the prices at which we sold shares of our convertible preferred stock to outside investors in arms-length transactions;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02" w:name="page103"/>
    <w:bookmarkEnd w:id="102"/>
    <w:p>
      <w:pPr>
        <w:ind w:left="800" w:hanging="225"/>
        <w:spacing w:after="0"/>
        <w:tabs>
          <w:tab w:leader="none" w:pos="8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116" w:lineRule="exact"/>
        <w:rPr>
          <w:rFonts w:ascii="Times New Roman" w:cs="Times New Roman" w:eastAsia="Times New Roman" w:hAnsi="Times New Roman"/>
          <w:sz w:val="18"/>
          <w:szCs w:val="18"/>
          <w:color w:val="auto"/>
        </w:rPr>
      </w:pPr>
    </w:p>
    <w:p>
      <w:pPr>
        <w:ind w:left="800" w:right="20" w:hanging="225"/>
        <w:spacing w:after="0" w:line="275" w:lineRule="auto"/>
        <w:tabs>
          <w:tab w:leader="none" w:pos="8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the likelihood of achieving a liquidity event for our securityholders, such as an initial public offering or a sale of our company, given prevailing market conditions;</w:t>
      </w:r>
    </w:p>
    <w:p>
      <w:pPr>
        <w:spacing w:after="0" w:line="37"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the hiring of key personnel and the experience of management;</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trends and developments in our industry; and</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external market conditions affecting the life sciences and biotechnology industry sectors.</w:t>
      </w:r>
    </w:p>
    <w:p>
      <w:pPr>
        <w:spacing w:after="0" w:line="224"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For our valuations performed prior to December 31, 2019, we used the option pricing method, or OPM, back-solve method. In an OPM framework, the back-solve method for inferring the equity value implied by a recent financing transaction involves making assumptions for the expected time to liquidity, volatility and risk-free rate and then solving for the value of equity such that value for the most recent financing equals the amount paid. This method was selected as management concluded that the contemporaneous financing transaction was an arms-length transaction.</w:t>
      </w:r>
    </w:p>
    <w:p>
      <w:pPr>
        <w:spacing w:after="0" w:line="172"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For our valuations performed subsequent to December 31, 2019, we used a hybrid method of the OPM and the Probability-Weighted Expected Return Method, or PWERM. PWERM considers various potential liquidity outcomes. Our approach included the use of an initial public offering scenario and a scenario assuming continued operation as a private entity. Under the hybrid OPM and PWERM method, the per share value calculated under the OPM and PWERM are weighted based on expected exit outcomes and the quality of the information specific to each allocation methodology to arrive at a final estimated fair value per share of the common stock before a discount for lack of marketability is applied.</w:t>
      </w:r>
    </w:p>
    <w:p>
      <w:pPr>
        <w:spacing w:after="0" w:line="174" w:lineRule="exact"/>
        <w:rPr>
          <w:sz w:val="20"/>
          <w:szCs w:val="20"/>
          <w:color w:val="auto"/>
        </w:rPr>
      </w:pPr>
    </w:p>
    <w:p>
      <w:pPr>
        <w:ind w:right="60" w:firstLine="576"/>
        <w:spacing w:after="0" w:line="276" w:lineRule="auto"/>
        <w:rPr>
          <w:sz w:val="20"/>
          <w:szCs w:val="20"/>
          <w:color w:val="auto"/>
        </w:rPr>
      </w:pPr>
      <w:r>
        <w:rPr>
          <w:rFonts w:ascii="Arial" w:cs="Arial" w:eastAsia="Arial" w:hAnsi="Arial"/>
          <w:sz w:val="18"/>
          <w:szCs w:val="18"/>
          <w:color w:val="auto"/>
        </w:rPr>
        <w:t>Following the closing of our initial public offering, our board of directors determines the fair market value of our common stock based on the closing price of our common stock as reported on the date of grant on the Nasdaq Global Select Market.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We recognize deferred income taxes for the future tax consequences attributable to differences between the financial statement carrying amounts of existing assets and liabilities and their respective tax bases and operating loss and tax credit carry forwards. In evaluating our valuation allowance, we consider all available positive and negative evidence, including scheduled reversals of deferred tax liabilities, projected future taxable income, tax planning strategies, and recent financial performance. Due to our lack of earnings history and uncertainties surrounding our ability to generate future taxable income, the net deferred tax assets have been fully offset by a valuation allowance.</w:t>
      </w:r>
    </w:p>
    <w:p>
      <w:pPr>
        <w:spacing w:after="0" w:line="174" w:lineRule="exact"/>
        <w:rPr>
          <w:sz w:val="20"/>
          <w:szCs w:val="20"/>
          <w:color w:val="auto"/>
        </w:rPr>
      </w:pPr>
    </w:p>
    <w:p>
      <w:pPr>
        <w:ind w:right="100" w:firstLine="576"/>
        <w:spacing w:after="0" w:line="306" w:lineRule="auto"/>
        <w:rPr>
          <w:sz w:val="20"/>
          <w:szCs w:val="20"/>
          <w:color w:val="auto"/>
        </w:rPr>
      </w:pPr>
      <w:r>
        <w:rPr>
          <w:rFonts w:ascii="Arial" w:cs="Arial" w:eastAsia="Arial" w:hAnsi="Arial"/>
          <w:sz w:val="17"/>
          <w:szCs w:val="17"/>
          <w:color w:val="auto"/>
        </w:rPr>
        <w:t>As of December 31, 2019, we had $ 9.4 million of federal net operating loss, or NOL, carryforwards and $1.0 million of tax credit carryforwards which expire over a period of 11 to 20 years. As of December 31, 2019, we had $9.2 million of such NOLs that do not expire.</w:t>
      </w:r>
    </w:p>
    <w:p>
      <w:pPr>
        <w:spacing w:after="0" w:line="123"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Under Sections 382 and 383 of the Internal Revenue Code of 1986, as amended, or the Code, substantial changes in our ownership may limit the amount of NOL and research and development credit carryforwards that could be used annually in the future to offset taxable income. The tax benefits related to future utilization of federal and state NOL carryforwards, credit carryforwards, and other deferred tax assets may be limited or lost if cumulative changes in ownership exceeds 50% within any three-year period. We have not completed a Section 382/383 analysis under the Code regarding the limitation of NOL and credit carryforwards. If a change in ownership were to have occurred, the annual limitation may result in the expiration of NOL carryforwards and credits before utilization.</w:t>
      </w:r>
    </w:p>
    <w:p>
      <w:pPr>
        <w:spacing w:after="0" w:line="174" w:lineRule="exact"/>
        <w:rPr>
          <w:sz w:val="20"/>
          <w:szCs w:val="20"/>
          <w:color w:val="auto"/>
        </w:rPr>
      </w:pPr>
    </w:p>
    <w:p>
      <w:pPr>
        <w:jc w:val="both"/>
        <w:ind w:right="360" w:firstLine="576"/>
        <w:spacing w:after="0" w:line="255" w:lineRule="auto"/>
        <w:rPr>
          <w:sz w:val="20"/>
          <w:szCs w:val="20"/>
          <w:color w:val="auto"/>
        </w:rPr>
      </w:pPr>
      <w:r>
        <w:rPr>
          <w:rFonts w:ascii="Arial" w:cs="Arial" w:eastAsia="Arial" w:hAnsi="Arial"/>
          <w:sz w:val="18"/>
          <w:szCs w:val="18"/>
          <w:color w:val="auto"/>
        </w:rPr>
        <w:t>We record unrecognized tax benefits as liabilities or reduce the underlying tax attribute, as applicable, and adjust them when our judgment changes as a result of the evaluation of new information not previously available. Because of the complexity of some of these uncertainties, the ultimate resolution</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468" w:right="439" w:bottom="1440" w:gutter="0" w:footer="0" w:header="0"/>
        </w:sectPr>
      </w:pPr>
    </w:p>
    <w:bookmarkStart w:id="103" w:name="page104"/>
    <w:bookmarkEnd w:id="103"/>
    <w:p>
      <w:pPr>
        <w:ind w:right="100"/>
        <w:spacing w:after="0" w:line="276" w:lineRule="auto"/>
        <w:rPr>
          <w:sz w:val="20"/>
          <w:szCs w:val="20"/>
          <w:color w:val="auto"/>
        </w:rPr>
      </w:pPr>
      <w:r>
        <w:rPr>
          <w:rFonts w:ascii="Arial" w:cs="Arial" w:eastAsia="Arial" w:hAnsi="Arial"/>
          <w:sz w:val="18"/>
          <w:szCs w:val="18"/>
          <w:color w:val="auto"/>
        </w:rPr>
        <w:t>may result in a payment that is materially different from our current estimate of the unrecognized tax benefit liabilities. These differences will be reflected as increases or decreases to income tax expense in the period in which new information is available.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6" w:lineRule="exact"/>
        <w:rPr>
          <w:sz w:val="20"/>
          <w:szCs w:val="20"/>
          <w:color w:val="auto"/>
        </w:rPr>
      </w:pPr>
    </w:p>
    <w:p>
      <w:pPr>
        <w:ind w:right="160" w:firstLine="576"/>
        <w:spacing w:after="0" w:line="276" w:lineRule="auto"/>
        <w:rPr>
          <w:sz w:val="20"/>
          <w:szCs w:val="20"/>
          <w:color w:val="auto"/>
        </w:rPr>
      </w:pPr>
      <w:r>
        <w:rPr>
          <w:rFonts w:ascii="Arial" w:cs="Arial" w:eastAsia="Arial" w:hAnsi="Arial"/>
          <w:sz w:val="18"/>
          <w:szCs w:val="18"/>
          <w:color w:val="auto"/>
        </w:rPr>
        <w:t>See Note 2 to our audited financial statements and our unaudited interim condensed financial statements included elsewhere in this prospectus for additional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ind w:right="40" w:firstLine="576"/>
        <w:spacing w:after="0" w:line="255" w:lineRule="auto"/>
        <w:rPr>
          <w:sz w:val="20"/>
          <w:szCs w:val="20"/>
          <w:color w:val="auto"/>
        </w:rPr>
      </w:pPr>
      <w:r>
        <w:rPr>
          <w:rFonts w:ascii="Arial" w:cs="Arial" w:eastAsia="Arial" w:hAnsi="Arial"/>
          <w:sz w:val="18"/>
          <w:szCs w:val="18"/>
          <w:color w:val="auto"/>
        </w:rPr>
        <w:t>We had cash, cash equivalents and investments of $259.9 million as of September 30, 2020, respectively. Our exposure to interest rate risk is not significant and a hypothetical 10% change in interest rates during any of the periods presented would not have had a material impact on our financial statements included elsewhere in this prospectus.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04" w:lineRule="exact"/>
        <w:rPr>
          <w:sz w:val="20"/>
          <w:szCs w:val="20"/>
          <w:color w:val="auto"/>
        </w:rPr>
      </w:pPr>
    </w:p>
    <w:p>
      <w:pPr>
        <w:ind w:right="100" w:firstLine="576"/>
        <w:spacing w:after="0" w:line="260" w:lineRule="auto"/>
        <w:rPr>
          <w:sz w:val="20"/>
          <w:szCs w:val="20"/>
          <w:color w:val="auto"/>
        </w:rPr>
      </w:pPr>
      <w:r>
        <w:rPr>
          <w:rFonts w:ascii="Arial" w:cs="Arial" w:eastAsia="Arial" w:hAnsi="Arial"/>
          <w:sz w:val="17"/>
          <w:szCs w:val="17"/>
          <w:color w:val="auto"/>
        </w:rPr>
        <w:t>Our functional currency is the U.S. dollar. As of the date of this prospectus, we are exposed to foreign currency rate risk related to various third-party service contracts denominated in foreign currencies. Transaction gains and losses are included in other income (expense), net on our statements of operations and comprehensive loss and were not material for any of the periods presented. A hypothetical 10% change in exchange rates during any of the periods presented would not have had a material impact on our financial statements included elsewhere in this prospectus. However, in the third quarter of 2020, we established an Australian subsidiary to facilitate the ACT-AD P300 Phase 2 clinical trial. As a result, our exposure to the foreign currencies, particularly the Australian dollar, will increase.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04" w:lineRule="exact"/>
        <w:rPr>
          <w:sz w:val="20"/>
          <w:szCs w:val="20"/>
          <w:color w:val="auto"/>
        </w:rPr>
      </w:pPr>
    </w:p>
    <w:p>
      <w:pPr>
        <w:ind w:right="360" w:firstLine="576"/>
        <w:spacing w:after="0" w:line="276" w:lineRule="auto"/>
        <w:rPr>
          <w:sz w:val="20"/>
          <w:szCs w:val="20"/>
          <w:color w:val="auto"/>
        </w:rPr>
      </w:pPr>
      <w:r>
        <w:rPr>
          <w:rFonts w:ascii="Arial" w:cs="Arial" w:eastAsia="Arial" w:hAnsi="Arial"/>
          <w:sz w:val="18"/>
          <w:szCs w:val="18"/>
          <w:color w:val="auto"/>
        </w:rPr>
        <w:t>Inflation generally affects us by increasing our cost of labor and clinical trial costs. We believe that inflation has not had a material effect on our financial statements included elsewhere in this prospectus.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06"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(1) are no longer an emerging growth company or (2)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74"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at least $1.07 billion in annual revenue; (2) the last day of the fiscal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(3) the date on which we have issued more than $1.0 billion in non-convertible debt securities during the prior three-year period; and (4) the last day of the fiscal year ending after the fifth anniversary of this offering.</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6" w:lineRule="exact"/>
        <w:rPr>
          <w:sz w:val="20"/>
          <w:szCs w:val="20"/>
          <w:color w:val="auto"/>
        </w:rPr>
      </w:pPr>
    </w:p>
    <w:p>
      <w:pPr>
        <w:ind w:right="260" w:firstLine="569"/>
        <w:spacing w:after="0" w:line="255" w:lineRule="auto"/>
        <w:rPr>
          <w:sz w:val="20"/>
          <w:szCs w:val="20"/>
          <w:color w:val="auto"/>
        </w:rPr>
      </w:pPr>
      <w:r>
        <w:rPr>
          <w:rFonts w:ascii="Arial" w:cs="Arial" w:eastAsia="Arial" w:hAnsi="Arial"/>
          <w:sz w:val="18"/>
          <w:szCs w:val="18"/>
          <w:color w:val="auto"/>
        </w:rPr>
        <w:t>Athira is derived from the word Athir, the energy that reaches everyone. It captures our mission to develop therapies that can reach and positively impact everyone. We aim to restore neuronal health for those suffering from devastating neurological diseases, including Alzheimer’s disease, so that patients can regain their memories, lives, and family relationships.</w:t>
      </w:r>
    </w:p>
    <w:p>
      <w:pPr>
        <w:spacing w:after="0" w:line="164" w:lineRule="exact"/>
        <w:rPr>
          <w:sz w:val="20"/>
          <w:szCs w:val="20"/>
          <w:color w:val="auto"/>
        </w:rPr>
      </w:pPr>
    </w:p>
    <w:p>
      <w:pPr>
        <w:ind w:firstLine="569"/>
        <w:spacing w:after="0" w:line="237"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With our product candidates, we aim to provide rapid cognitive improvement and alter the course of neurological diseases with our novel mechanism of action. Our approach is designed to augment neuronal growth factor signaling through HGF/MET, a naturally occurring regenerative system. We believe enhancing HGF/MET signaling has the potential to protect existing neurons from damage, reduce inflammation, promote regeneration, and positively modulate brain activity. We anticipate that all of these characteristics may improve neuronal health and translate into clinical benefits. Our pipeline is built from our proprietary drug discovery platform, or ATH platform, and consists of a series of small molecules that are designed to target either (1) the central nervous system, or CNS, by crossing the blood brain barrier, or BBB, or (2) the peripheral nervous system. Our lead candidate, ATH-1017, is a subcutaneous administered, BBB-penetrating, small molecule HGF/MET activator. In our Phase 1a and Phase 1b clinical trials, ATH-1017 for the treatment of Alzheimer’s disease, or AD, was well tolerated with no serious adverse events. These clinical trials recruited 88 subjects, including 11 subjects with mild-to-moderate AD, who were assigned to treatment and control groups. Nonclinical studies and Phase 1 clinical trials with ATH-1017 demonstrated improvements in brain network activity indicating potentially positive effects on brain function. In the AD subjects, multiple dosing of ATH-1017 significantly improved P300 latency. P300 latency is a functional measure that is highly correlated with cognition; however, we have not yet established a connection between these P300 latency results and improved cognition. In September 2020, we began site initiation and patient screening for LIFT-AD, a Phase 2/3 clinical trial for ATH-1017 that may provide pivotal data in support of registration, for the treatment of mild-to-moderate AD with topline results expected by the end of 2022. In November 2020, we initiated ACT-AD, a P300 Phase 2 clinical trial, in mild-to-moderate AD to better understand the overall effects of ATH-1017 on working memory processing speed and cognitive measures, with topline results expected by early 2022.</w:t>
      </w:r>
    </w:p>
    <w:p>
      <w:pPr>
        <w:spacing w:after="0" w:line="182" w:lineRule="exact"/>
        <w:rPr>
          <w:sz w:val="20"/>
          <w:szCs w:val="20"/>
          <w:color w:val="auto"/>
        </w:rPr>
      </w:pPr>
    </w:p>
    <w:p>
      <w:pPr>
        <w:ind w:right="40" w:firstLine="569"/>
        <w:spacing w:after="0" w:line="238" w:lineRule="auto"/>
        <w:rPr>
          <w:sz w:val="20"/>
          <w:szCs w:val="20"/>
          <w:color w:val="auto"/>
        </w:rPr>
      </w:pPr>
      <w:r>
        <w:rPr>
          <w:rFonts w:ascii="Arial" w:cs="Arial" w:eastAsia="Arial" w:hAnsi="Arial"/>
          <w:sz w:val="18"/>
          <w:szCs w:val="18"/>
          <w:color w:val="auto"/>
        </w:rPr>
        <w:t>The primary focus of our Phase 1a and Phase 1b clinical trials of ATH-1017 for the treatment of AD was to establish safety and drug exposure levels. ATH-1017 was well tolerated at all tested doses, produced predictable pharmacokinetics with dose-linear exposures, and did not accumulate over the course of treatment. Pharmacodynamic measures evaluating brain penetration, target engagement and brain function with electroencephalogram, or EEG, methods produced a strong suite of data justifying further investigation of ATH-1017 in future clinical trials. Individuals with AD typically experience a general slowing of EEG, including a reduction in higher frequency waves, such as gamma. Gamma power is typically associated with learning, memory and cognitive function. Administration of ATH-1017 treatment increased high frequency gamma power activity with a single dose in both young healthy volunteers and elderly healthy volunteers. Gamma power also improved in AD subjects. P300 latency, a functional measure of working memory processing speed and executive function that highly correlates with cognition, was also substantially improved. After a single dose of ATH-1017, all AD subjects tested had improved P300 latency, and by the end of an 8-day treatment cycle, average P300 latency across the AD treatment group had improved by 73 milliseconds, a statistically significant change compared to placebo group that did not show any significant directional change. These results suggest that ATH-1017 has the potential to substantially improve synaptic connectivity and brain function in AD subjects.</w:t>
      </w:r>
    </w:p>
    <w:p>
      <w:pPr>
        <w:spacing w:after="0" w:line="183" w:lineRule="exact"/>
        <w:rPr>
          <w:sz w:val="20"/>
          <w:szCs w:val="20"/>
          <w:color w:val="auto"/>
        </w:rPr>
      </w:pPr>
    </w:p>
    <w:p>
      <w:pPr>
        <w:ind w:right="20" w:firstLine="569"/>
        <w:spacing w:after="0" w:line="245" w:lineRule="auto"/>
        <w:rPr>
          <w:sz w:val="20"/>
          <w:szCs w:val="20"/>
          <w:color w:val="auto"/>
        </w:rPr>
      </w:pPr>
      <w:r>
        <w:rPr>
          <w:rFonts w:ascii="Arial" w:cs="Arial" w:eastAsia="Arial" w:hAnsi="Arial"/>
          <w:sz w:val="18"/>
          <w:szCs w:val="18"/>
          <w:color w:val="auto"/>
        </w:rPr>
        <w:t>AD is a significant unmet medical need with as many as 35 million cases estimated worldwide and no treatments that can significantly reduce the burden on people impacted by the disease. Failures of approaches targeting specific hypotheses of underlying AD pathology highlight the need for novel strategies to address the disease. Regardless of the underlying pathology, it has been established that the loss of synaptic density and breakdown of the neuronal network leads to cognitive impairment in subjects with AD and other forms of dementia. We believe the activation of the HGF/MET growth factor in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5" w:name="page106"/>
    <w:bookmarkEnd w:id="105"/>
    <w:p>
      <w:pPr>
        <w:ind w:right="200"/>
        <w:spacing w:after="0" w:line="276" w:lineRule="auto"/>
        <w:rPr>
          <w:sz w:val="20"/>
          <w:szCs w:val="20"/>
          <w:color w:val="auto"/>
        </w:rPr>
      </w:pPr>
      <w:r>
        <w:rPr>
          <w:rFonts w:ascii="Arial" w:cs="Arial" w:eastAsia="Arial" w:hAnsi="Arial"/>
          <w:sz w:val="18"/>
          <w:szCs w:val="18"/>
          <w:color w:val="auto"/>
        </w:rPr>
        <w:t>the brain will lead to increased synaptic density, network recovery and information transmission in the brain, which could ultimately result in cognitive improvement and clinical benefit.</w:t>
      </w:r>
    </w:p>
    <w:p>
      <w:pPr>
        <w:spacing w:after="0" w:line="145" w:lineRule="exact"/>
        <w:rPr>
          <w:sz w:val="20"/>
          <w:szCs w:val="20"/>
          <w:color w:val="auto"/>
        </w:rPr>
      </w:pPr>
    </w:p>
    <w:p>
      <w:pPr>
        <w:ind w:right="340" w:firstLine="569"/>
        <w:spacing w:after="0" w:line="248" w:lineRule="auto"/>
        <w:rPr>
          <w:sz w:val="20"/>
          <w:szCs w:val="20"/>
          <w:color w:val="auto"/>
        </w:rPr>
      </w:pPr>
      <w:r>
        <w:rPr>
          <w:rFonts w:ascii="Arial" w:cs="Arial" w:eastAsia="Arial" w:hAnsi="Arial"/>
          <w:sz w:val="18"/>
          <w:szCs w:val="18"/>
          <w:color w:val="auto"/>
        </w:rPr>
        <w:t>ATH-1017 is designed to address the broader dementia patient population beyond AD and we are planning to initiate a Phase 2 clinical trial for the treatment of Parkinson’s disease dementia, or PDD, by the end of 2021. Dementia is a significant unmet medical need affecting over 50 million worldwide. Given underlying healthcare trends, specifically the aging population globally, dementia patients are expected to grow significantly and almost triple by 2050.</w:t>
      </w:r>
    </w:p>
    <w:p>
      <w:pPr>
        <w:spacing w:after="0" w:line="170" w:lineRule="exact"/>
        <w:rPr>
          <w:sz w:val="20"/>
          <w:szCs w:val="20"/>
          <w:color w:val="auto"/>
        </w:rPr>
      </w:pPr>
    </w:p>
    <w:p>
      <w:pPr>
        <w:ind w:right="80" w:firstLine="569"/>
        <w:spacing w:after="0"/>
        <w:rPr>
          <w:sz w:val="20"/>
          <w:szCs w:val="20"/>
          <w:color w:val="auto"/>
        </w:rPr>
      </w:pPr>
      <w:r>
        <w:rPr>
          <w:rFonts w:ascii="Arial" w:cs="Arial" w:eastAsia="Arial" w:hAnsi="Arial"/>
          <w:sz w:val="18"/>
          <w:szCs w:val="18"/>
          <w:color w:val="auto"/>
        </w:rPr>
        <w:t>We are pioneering the use of small molecules that are designed to promote hepatocyte growth factor/MET, or HGF/MET, a naturally occurring regenerative system, in neurological disorders. While discovered in the liver, HGF is a critical growth factor across multiple organs, including in the brain. HGF/MET has long been known as a promising therapeutic target for CNS disorders; however, delivery of large proteins or gene therapy to the CNS to augment HGF/MET is challenging due to the invasive methods needed for them to bypass the BBB and the risk of potential adverse immune response. Our novel BBB-penetrating small molecules are designed to overcome many of these hurdles, allowing us to efficiently tap into the regenerative potential of HGF/MET. For therapeutic applications in CNS disorders, particularly AD, treatments that target neuronal growth factors can potentially accomplish several therapeutic goals, including rapid cognitive improvement and sustained neuroprotective effects.</w:t>
      </w:r>
    </w:p>
    <w:p>
      <w:pPr>
        <w:spacing w:after="0" w:line="180" w:lineRule="exact"/>
        <w:rPr>
          <w:sz w:val="20"/>
          <w:szCs w:val="20"/>
          <w:color w:val="auto"/>
        </w:rPr>
      </w:pPr>
    </w:p>
    <w:p>
      <w:pPr>
        <w:ind w:firstLine="569"/>
        <w:spacing w:after="0" w:line="207" w:lineRule="exact"/>
        <w:rPr>
          <w:sz w:val="20"/>
          <w:szCs w:val="20"/>
          <w:color w:val="auto"/>
        </w:rPr>
      </w:pPr>
      <w:r>
        <w:rPr>
          <w:rFonts w:ascii="Arial" w:cs="Arial" w:eastAsia="Arial" w:hAnsi="Arial"/>
          <w:sz w:val="18"/>
          <w:szCs w:val="18"/>
          <w:color w:val="auto"/>
        </w:rPr>
        <w:t>It is our goal to establish in current and future clinical trials that our ATH platform, which is designed to enhance the body’s repair mechanism of HGF/MET, can potentially address a wide range of clinical applications ranging from CNS disorders, such as AD, PDD, multiple sclerosis, or MS, and amyotrophic lateral sclerosis, or ALS, to more peripheral conditions such as neuropathy. In addition, we believe that HGF/MET biology plays a role in neuropsychiatric indications such as depression and anxiety. Currently we have several preclinical candidates for non-AD indications, including ATH-1018, which is being developed to address peripheral indications, and ATH-1019 / ATH</w:t>
      </w:r>
      <w:r>
        <w:rPr>
          <w:rFonts w:ascii="MS PGothic" w:cs="MS PGothic" w:eastAsia="MS PGothic" w:hAnsi="MS PGothic"/>
          <w:sz w:val="18"/>
          <w:szCs w:val="18"/>
          <w:color w:val="auto"/>
        </w:rPr>
        <w:t>‑</w:t>
      </w:r>
      <w:r>
        <w:rPr>
          <w:rFonts w:ascii="Arial" w:cs="Arial" w:eastAsia="Arial" w:hAnsi="Arial"/>
          <w:sz w:val="18"/>
          <w:szCs w:val="18"/>
          <w:color w:val="auto"/>
        </w:rPr>
        <w:t>1020 compounds, which are being advanced to address neuropsychiatric indications. ATH</w:t>
      </w:r>
      <w:r>
        <w:rPr>
          <w:rFonts w:ascii="MS PGothic" w:cs="MS PGothic" w:eastAsia="MS PGothic" w:hAnsi="MS PGothic"/>
          <w:sz w:val="18"/>
          <w:szCs w:val="18"/>
          <w:color w:val="auto"/>
        </w:rPr>
        <w:t>‑</w:t>
      </w:r>
      <w:r>
        <w:rPr>
          <w:rFonts w:ascii="Arial" w:cs="Arial" w:eastAsia="Arial" w:hAnsi="Arial"/>
          <w:sz w:val="18"/>
          <w:szCs w:val="18"/>
          <w:color w:val="auto"/>
        </w:rPr>
        <w:t>1020 is a new compound that recently moved from the discovery to the development stage. Similar to ATH</w:t>
      </w:r>
      <w:r>
        <w:rPr>
          <w:rFonts w:ascii="MS PGothic" w:cs="MS PGothic" w:eastAsia="MS PGothic" w:hAnsi="MS PGothic"/>
          <w:sz w:val="18"/>
          <w:szCs w:val="18"/>
          <w:color w:val="auto"/>
        </w:rPr>
        <w:t>‑</w:t>
      </w:r>
      <w:r>
        <w:rPr>
          <w:rFonts w:ascii="Arial" w:cs="Arial" w:eastAsia="Arial" w:hAnsi="Arial"/>
          <w:sz w:val="18"/>
          <w:szCs w:val="18"/>
          <w:color w:val="auto"/>
        </w:rPr>
        <w:t>1019, it is designed to activate HGF/MET and is neuroactive in animal models. Late-stage non-clinical development work and potentially early clinical studies will support decisions on selection of the lead product candidate and indication moving forward. Our ATH platform allows us the flexibility to engineer compounds that are BBB-penetrating or that generate specific activity in the periphery and molecules are suitable for subcutaneous or oral route of administration.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Our Pipeline</w:t>
      </w:r>
    </w:p>
    <w:p>
      <w:pPr>
        <w:spacing w:after="0" w:line="106"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Figure 1 below illustrates the current development stage of our ATH compounds and discovery and development programs. In addition, we are expanding our ATH platform to additional indications in the CNS and peripheral nervous system as we aim to improve neuronal health in multiple disorders. Our drug discovery efforts are focused on exploring the potential of ATH technology, which is designed to promote HGF/MET activity for a variety of clinical applications.</w:t>
      </w:r>
    </w:p>
    <w:p>
      <w:pPr>
        <w:spacing w:after="0" w:line="28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 Summary of Our Preclinical and Clinical ATH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6214745" cy="33864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14745" cy="3386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40" w:hanging="432"/>
        <w:spacing w:after="0"/>
        <w:tabs>
          <w:tab w:leader="none" w:pos="4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RoA: route of administration; SC: subcutaneous; PO: oral.</w:t>
      </w:r>
    </w:p>
    <w:p>
      <w:pPr>
        <w:spacing w:after="0" w:line="109" w:lineRule="exact"/>
        <w:rPr>
          <w:rFonts w:ascii="Arial" w:cs="Arial" w:eastAsia="Arial" w:hAnsi="Arial"/>
          <w:sz w:val="14"/>
          <w:szCs w:val="14"/>
          <w:color w:val="auto"/>
        </w:rPr>
      </w:pPr>
    </w:p>
    <w:p>
      <w:pPr>
        <w:ind w:left="440" w:hanging="432"/>
        <w:spacing w:after="0"/>
        <w:tabs>
          <w:tab w:leader="none" w:pos="4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ATH-1017 for AD is moving from Phase 1b to a Phase 2/3 clinical trial that may provide pivotal data in support of registration based on discussions with FDA.</w:t>
      </w:r>
    </w:p>
    <w:p>
      <w:pPr>
        <w:spacing w:after="0" w:line="109" w:lineRule="exact"/>
        <w:rPr>
          <w:rFonts w:ascii="Arial" w:cs="Arial" w:eastAsia="Arial" w:hAnsi="Arial"/>
          <w:sz w:val="14"/>
          <w:szCs w:val="14"/>
          <w:color w:val="auto"/>
        </w:rPr>
      </w:pPr>
    </w:p>
    <w:p>
      <w:pPr>
        <w:jc w:val="both"/>
        <w:ind w:left="440" w:right="100" w:hanging="432"/>
        <w:spacing w:after="0" w:line="266" w:lineRule="auto"/>
        <w:tabs>
          <w:tab w:leader="none" w:pos="4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We plan to initiate a Phase 2 clinical trial in PDD based on results from Phase 1a and 1b clinical trials in AD with ATH-1017. A second IND for PDD can cross-reference the already active IND for AD. It is not required that we repeat any studies or trials that are applicable across the two indications for the second IND for PDD, including a Phase 1 clinical trial.</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06" w:lineRule="exact"/>
        <w:rPr>
          <w:sz w:val="20"/>
          <w:szCs w:val="20"/>
          <w:color w:val="auto"/>
        </w:rPr>
      </w:pPr>
    </w:p>
    <w:p>
      <w:pPr>
        <w:ind w:right="680" w:firstLine="576"/>
        <w:spacing w:after="0" w:line="276" w:lineRule="auto"/>
        <w:rPr>
          <w:sz w:val="20"/>
          <w:szCs w:val="20"/>
          <w:color w:val="auto"/>
        </w:rPr>
      </w:pPr>
      <w:r>
        <w:rPr>
          <w:rFonts w:ascii="Arial" w:cs="Arial" w:eastAsia="Arial" w:hAnsi="Arial"/>
          <w:sz w:val="18"/>
          <w:szCs w:val="18"/>
          <w:color w:val="auto"/>
        </w:rPr>
        <w:t>We intend to create, develop, and commercialize therapeutics with the potential to transform lives by repairing, restoring, and reversing the damage to nerve cells throughout the body. Key aspects of our business strategy to achieve these goals are to:</w:t>
      </w:r>
    </w:p>
    <w:p>
      <w:pPr>
        <w:spacing w:after="0" w:line="37" w:lineRule="exact"/>
        <w:rPr>
          <w:sz w:val="20"/>
          <w:szCs w:val="20"/>
          <w:color w:val="auto"/>
        </w:rPr>
      </w:pPr>
    </w:p>
    <w:p>
      <w:pPr>
        <w:ind w:left="1300" w:hanging="442"/>
        <w:spacing w:after="0" w:line="242" w:lineRule="auto"/>
        <w:tabs>
          <w:tab w:leader="none" w:pos="130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Advance ATH-1017 through clinical development for AD</w:t>
      </w:r>
      <w:r>
        <w:rPr>
          <w:rFonts w:ascii="Arial" w:cs="Arial" w:eastAsia="Arial" w:hAnsi="Arial"/>
          <w:sz w:val="18"/>
          <w:szCs w:val="18"/>
          <w:color w:val="auto"/>
        </w:rPr>
        <w:t>. We believe ATH-1017 has the potential to rapidly improve cognition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durably improve the lives of the millions of people suffering from AD who currently have limited therapeutic options. We have initiated one clinical trial for AD in September 2020 and an additional clinical trial for AD in November 2020 to potentially accelerate our development timelines and further inform our development decisions. The first of these clinical trials is LIFT-AD, our Phase 2/3 clinical trial evaluating the holistic impact of ATH-1017, initiated in September 2020 with topline results expected by the</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82" w:right="379" w:bottom="1440" w:gutter="0" w:footer="0" w:header="0"/>
        </w:sectPr>
      </w:pPr>
    </w:p>
    <w:bookmarkStart w:id="107" w:name="page108"/>
    <w:bookmarkEnd w:id="107"/>
    <w:p>
      <w:pPr>
        <w:jc w:val="both"/>
        <w:ind w:left="1300" w:right="200"/>
        <w:spacing w:after="0" w:line="224" w:lineRule="exact"/>
        <w:rPr>
          <w:sz w:val="20"/>
          <w:szCs w:val="20"/>
          <w:color w:val="auto"/>
        </w:rPr>
      </w:pPr>
      <w:r>
        <w:rPr>
          <w:rFonts w:ascii="Arial" w:cs="Arial" w:eastAsia="Arial" w:hAnsi="Arial"/>
          <w:sz w:val="18"/>
          <w:szCs w:val="18"/>
          <w:color w:val="auto"/>
        </w:rPr>
        <w:t>end of 2022, which results may provide pivotal data in support of registration. The second clinical trial is our ACT</w:t>
      </w:r>
      <w:r>
        <w:rPr>
          <w:rFonts w:ascii="MS PGothic" w:cs="MS PGothic" w:eastAsia="MS PGothic" w:hAnsi="MS PGothic"/>
          <w:sz w:val="18"/>
          <w:szCs w:val="18"/>
          <w:color w:val="auto"/>
        </w:rPr>
        <w:t>‑</w:t>
      </w:r>
      <w:r>
        <w:rPr>
          <w:rFonts w:ascii="Arial" w:cs="Arial" w:eastAsia="Arial" w:hAnsi="Arial"/>
          <w:sz w:val="18"/>
          <w:szCs w:val="18"/>
          <w:color w:val="auto"/>
        </w:rPr>
        <w:t xml:space="preserve"> AD P300 Phase 2 clinical trial for AD evaluating the overall effects of ATH-1017 on working memory processing speed and cognitive measures, initiated in November 2020 with topline results expected by early 2022.</w:t>
      </w:r>
    </w:p>
    <w:p>
      <w:pPr>
        <w:spacing w:after="0" w:line="70" w:lineRule="exact"/>
        <w:rPr>
          <w:sz w:val="20"/>
          <w:szCs w:val="20"/>
          <w:color w:val="auto"/>
        </w:rPr>
      </w:pPr>
    </w:p>
    <w:p>
      <w:pPr>
        <w:ind w:left="1300" w:right="20" w:hanging="442"/>
        <w:spacing w:after="0" w:line="241" w:lineRule="auto"/>
        <w:tabs>
          <w:tab w:leader="none" w:pos="130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Expand the development of ATH-1017 to include additional indications and delivery methods</w:t>
      </w:r>
      <w:r>
        <w:rPr>
          <w:rFonts w:ascii="Arial" w:cs="Arial" w:eastAsia="Arial" w:hAnsi="Arial"/>
          <w:sz w:val="18"/>
          <w:szCs w:val="18"/>
          <w:color w:val="auto"/>
        </w:rPr>
        <w:t>. We are developing ATH-1017</w:t>
      </w:r>
      <w:r>
        <w:rPr>
          <w:rFonts w:ascii="Arial" w:cs="Arial" w:eastAsia="Arial" w:hAnsi="Arial"/>
          <w:sz w:val="18"/>
          <w:szCs w:val="18"/>
          <w:i w:val="1"/>
          <w:iCs w:val="1"/>
          <w:color w:val="auto"/>
        </w:rPr>
        <w:t xml:space="preserve"> </w:t>
      </w:r>
      <w:r>
        <w:rPr>
          <w:rFonts w:ascii="Arial" w:cs="Arial" w:eastAsia="Arial" w:hAnsi="Arial"/>
          <w:sz w:val="18"/>
          <w:szCs w:val="18"/>
          <w:color w:val="auto"/>
        </w:rPr>
        <w:t>as a treatment for mild-to-moderate AD, but over time we aim to expand development to cover all stages of AD. Beyond AD, we believe that ATH-1017 can ultimately address the broader dementia patient population. In an effort to begin this expansion, we are planning to conduct a Phase 2 clinical trial for PDD to commence by the end of 2021. ATH-1017 is initially being developed to be delivered via pre-filled syringes, and we are exploring the development of alternative delivery devices, including multi-dose pen injectors, to increase patient comfort and ease of use for patients and caregivers, ultimately improving patient compliance and outcomes.</w:t>
      </w:r>
    </w:p>
    <w:p>
      <w:pPr>
        <w:spacing w:after="0" w:line="69" w:lineRule="exact"/>
        <w:rPr>
          <w:rFonts w:ascii="Times New Roman" w:cs="Times New Roman" w:eastAsia="Times New Roman" w:hAnsi="Times New Roman"/>
          <w:sz w:val="18"/>
          <w:szCs w:val="18"/>
          <w:color w:val="auto"/>
        </w:rPr>
      </w:pPr>
    </w:p>
    <w:p>
      <w:pPr>
        <w:ind w:left="1300" w:right="140" w:hanging="442"/>
        <w:spacing w:after="0" w:line="244" w:lineRule="auto"/>
        <w:tabs>
          <w:tab w:leader="none" w:pos="130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Focus on translational and functional endpoints to efficiently develop product candidates</w:t>
      </w:r>
      <w:r>
        <w:rPr>
          <w:rFonts w:ascii="Arial" w:cs="Arial" w:eastAsia="Arial" w:hAnsi="Arial"/>
          <w:sz w:val="18"/>
          <w:szCs w:val="18"/>
          <w:color w:val="auto"/>
        </w:rPr>
        <w:t>. We intend to use highly</w:t>
      </w:r>
      <w:r>
        <w:rPr>
          <w:rFonts w:ascii="Arial" w:cs="Arial" w:eastAsia="Arial" w:hAnsi="Arial"/>
          <w:sz w:val="18"/>
          <w:szCs w:val="18"/>
          <w:i w:val="1"/>
          <w:iCs w:val="1"/>
          <w:color w:val="auto"/>
        </w:rPr>
        <w:t xml:space="preserve"> </w:t>
      </w:r>
      <w:r>
        <w:rPr>
          <w:rFonts w:ascii="Arial" w:cs="Arial" w:eastAsia="Arial" w:hAnsi="Arial"/>
          <w:sz w:val="18"/>
          <w:szCs w:val="18"/>
          <w:color w:val="auto"/>
        </w:rPr>
        <w:t>translatable and predictive measures, such as EEG and event-related potential, or ERP, methods, early in development to guide clinical dose decisions, provide predictable measures for potential clinical benefit, and advance product candidates through clinical development. We have focused on changes in cognitive processing and function, coupled with measures of brain function with EEG and ERP, allowing for more efficient and cost-effective clinical trials.</w:t>
      </w:r>
    </w:p>
    <w:p>
      <w:pPr>
        <w:spacing w:after="0" w:line="6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Continue developing additional pipeline programs and utilize our ATH platform for further drug discovery</w:t>
      </w:r>
      <w:r>
        <w:rPr>
          <w:rFonts w:ascii="Arial" w:cs="Arial" w:eastAsia="Arial" w:hAnsi="Arial"/>
          <w:sz w:val="18"/>
          <w:szCs w:val="18"/>
          <w:color w:val="auto"/>
        </w:rPr>
        <w:t>. Our strategy is to</w:t>
      </w:r>
      <w:r>
        <w:rPr>
          <w:rFonts w:ascii="Arial" w:cs="Arial" w:eastAsia="Arial" w:hAnsi="Arial"/>
          <w:sz w:val="18"/>
          <w:szCs w:val="18"/>
          <w:i w:val="1"/>
          <w:iCs w:val="1"/>
          <w:color w:val="auto"/>
        </w:rPr>
        <w:t xml:space="preserve"> </w:t>
      </w:r>
      <w:r>
        <w:rPr>
          <w:rFonts w:ascii="Arial" w:cs="Arial" w:eastAsia="Arial" w:hAnsi="Arial"/>
          <w:sz w:val="18"/>
          <w:szCs w:val="18"/>
          <w:color w:val="auto"/>
        </w:rPr>
        <w:t>only advance product candidates that show both strong translation and early predictive clinical data. We plan to continue growing our discovery organization in the field of neuronal health and regeneration by building on our strong foundational knowledge of neuronal network, behavior, and translatable measures. It is our goal to establish in current and future clinical trials that our ATH platform, which is designed to enhance the body’s repair mechanism of HGF/MET, can potentially address a wide range of clinical applications ranging from CNS disorders, such as AD, PDD, MS, and ALS, to more peripheral conditions such as neuropathy. In addition, we believe that HGF/MET biology plays a role in neuropsychiatric indications such as depression and anxiety.</w:t>
      </w:r>
    </w:p>
    <w:p>
      <w:pPr>
        <w:spacing w:after="0" w:line="71" w:lineRule="exact"/>
        <w:rPr>
          <w:rFonts w:ascii="Times New Roman" w:cs="Times New Roman" w:eastAsia="Times New Roman" w:hAnsi="Times New Roman"/>
          <w:sz w:val="18"/>
          <w:szCs w:val="18"/>
          <w:color w:val="auto"/>
        </w:rPr>
      </w:pPr>
    </w:p>
    <w:p>
      <w:pPr>
        <w:ind w:left="1300" w:right="20" w:hanging="442"/>
        <w:spacing w:after="0" w:line="248" w:lineRule="auto"/>
        <w:tabs>
          <w:tab w:leader="none" w:pos="130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Optimize the value of ATH-1017 and other candidates in major markets</w:t>
      </w:r>
      <w:r>
        <w:rPr>
          <w:rFonts w:ascii="Arial" w:cs="Arial" w:eastAsia="Arial" w:hAnsi="Arial"/>
          <w:sz w:val="18"/>
          <w:szCs w:val="18"/>
          <w:color w:val="auto"/>
        </w:rPr>
        <w:t>. We own worldwide rights to ATH-1017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our pipeline of small molecule candidates. We plan to develop and pursue approval of ATH-1017 and other future candidates in major markets. Where appropriate, we may use strategic collaborations or partnerships to accelerate development and maximize the commercial potential of our programs.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Addressing the Key Aspects of Neuronal Health and Alzheimer’s Disease</w:t>
      </w:r>
    </w:p>
    <w:p>
      <w:pPr>
        <w:spacing w:after="0" w:line="106"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Maintenance of neuronal health is critical to preserving normal neuronal and brain function. Several neurodegenerative diseases, such as AD, PDD, MS, and ALS, share a common consequence of continued neuronal damage and death that ultimately lead to progressive impairment of the neuronal network and loss of both cognitive and general functions. Globally, these diseases affect millions of people.</w:t>
      </w:r>
    </w:p>
    <w:p>
      <w:pPr>
        <w:spacing w:after="0" w:line="164" w:lineRule="exact"/>
        <w:rPr>
          <w:sz w:val="20"/>
          <w:szCs w:val="20"/>
          <w:color w:val="auto"/>
        </w:rPr>
      </w:pPr>
    </w:p>
    <w:p>
      <w:pPr>
        <w:ind w:right="60" w:firstLine="576"/>
        <w:spacing w:after="0" w:line="268" w:lineRule="auto"/>
        <w:rPr>
          <w:sz w:val="20"/>
          <w:szCs w:val="20"/>
          <w:color w:val="auto"/>
        </w:rPr>
      </w:pPr>
      <w:r>
        <w:rPr>
          <w:rFonts w:ascii="Arial" w:cs="Arial" w:eastAsia="Arial" w:hAnsi="Arial"/>
          <w:sz w:val="17"/>
          <w:szCs w:val="17"/>
          <w:color w:val="auto"/>
        </w:rPr>
        <w:t>AD, our initial focus, is a progressive dementia caused by widespread neurodegeneration. The causal pathophysiological mechanism of AD has yet to be identified. This fundamental lack of understanding, combined with the complex range of pathological features, has led to a history of late-stage drug development failures. Regardless of the underlying pathology, it has been established that the loss of synaptic density and breakdown of the neuronal network leads to cognitive impairment in subjects with AD and other forms of dementia.</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3" w:right="359" w:bottom="1440" w:gutter="0" w:footer="0" w:header="0"/>
        </w:sectPr>
      </w:pPr>
    </w:p>
    <w:bookmarkStart w:id="108" w:name="page109"/>
    <w:bookmarkEnd w:id="108"/>
    <w:p>
      <w:pPr>
        <w:ind w:right="240" w:firstLine="576"/>
        <w:spacing w:after="0" w:line="243" w:lineRule="auto"/>
        <w:rPr>
          <w:sz w:val="20"/>
          <w:szCs w:val="20"/>
          <w:color w:val="auto"/>
        </w:rPr>
      </w:pPr>
      <w:r>
        <w:rPr>
          <w:rFonts w:ascii="Arial" w:cs="Arial" w:eastAsia="Arial" w:hAnsi="Arial"/>
          <w:sz w:val="18"/>
          <w:szCs w:val="18"/>
          <w:color w:val="auto"/>
        </w:rPr>
        <w:t>There is a vast unmet need for effective pharmacological treatment for AD. Despite significant investments in drug discovery programs and strategies to treat AD there have been no approved therapeutics developed that can boost cognition, alter the course of the disease, and provide long-term symptomatic improvement. There are currently four marketed drugs for the management of AD symptoms: donepezil, galantamine, and rivastigmine (all acting on cholinergic pathways) and memantine (targeting the NMDA receptor and glutaminergic pathways). The long-term efficacy for these drugs has not been proven and they provide only temporary and modest clinical improvement.</w:t>
      </w:r>
    </w:p>
    <w:p>
      <w:pPr>
        <w:spacing w:after="0" w:line="174" w:lineRule="exact"/>
        <w:rPr>
          <w:sz w:val="20"/>
          <w:szCs w:val="20"/>
          <w:color w:val="auto"/>
        </w:rPr>
      </w:pPr>
    </w:p>
    <w:p>
      <w:pPr>
        <w:ind w:right="40" w:firstLine="576"/>
        <w:spacing w:after="0" w:line="248" w:lineRule="auto"/>
        <w:rPr>
          <w:sz w:val="20"/>
          <w:szCs w:val="20"/>
          <w:color w:val="auto"/>
        </w:rPr>
      </w:pPr>
      <w:r>
        <w:rPr>
          <w:rFonts w:ascii="Arial" w:cs="Arial" w:eastAsia="Arial" w:hAnsi="Arial"/>
          <w:sz w:val="18"/>
          <w:szCs w:val="18"/>
          <w:color w:val="auto"/>
        </w:rPr>
        <w:t>Additionally, there are currently a number of experimental therapeutic agents for AD in various stages of development with clinical testing directed towards amyloid-beta, or Aβ, clearance, and inhibition of Tau protein aggregation or phosphorylated-Tau, or pTau, clearance. Recent clinical failures involving Aβ clearance highlight the incomplete understanding of the pathological processes in AD and clearly demonstrate the need for novel strategies to fight the disease.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HGF/MET Pathway – A Crucial System for Regeneration</w:t>
      </w:r>
    </w:p>
    <w:p>
      <w:pPr>
        <w:spacing w:after="0" w:line="104" w:lineRule="exact"/>
        <w:rPr>
          <w:sz w:val="20"/>
          <w:szCs w:val="20"/>
          <w:color w:val="auto"/>
        </w:rPr>
      </w:pPr>
    </w:p>
    <w:p>
      <w:pPr>
        <w:ind w:right="280" w:firstLine="576"/>
        <w:spacing w:after="0" w:line="268" w:lineRule="auto"/>
        <w:rPr>
          <w:sz w:val="20"/>
          <w:szCs w:val="20"/>
          <w:color w:val="auto"/>
        </w:rPr>
      </w:pPr>
      <w:r>
        <w:rPr>
          <w:rFonts w:ascii="Arial" w:cs="Arial" w:eastAsia="Arial" w:hAnsi="Arial"/>
          <w:sz w:val="17"/>
          <w:szCs w:val="17"/>
          <w:color w:val="auto"/>
        </w:rPr>
        <w:t>The HGF/MET system has diverse roles relevant for synaptic function, network recovery, survival, and regeneration. We believe activation of HGF/MET offers a unique opportunity to address many aspects of AD pathology through a single target approach. Promoting the HGF/MET system has been shown to have multiple downstream beneficial effects relevant to improving symptoms and reversing the neurodegenerative process, making it an ideal target for complex neurodegenerative diseases, as illustrated below in Figure 2.</w:t>
      </w:r>
    </w:p>
    <w:p>
      <w:pPr>
        <w:spacing w:after="0" w:line="153" w:lineRule="exact"/>
        <w:rPr>
          <w:sz w:val="20"/>
          <w:szCs w:val="20"/>
          <w:color w:val="auto"/>
        </w:rPr>
      </w:pPr>
    </w:p>
    <w:p>
      <w:pPr>
        <w:ind w:firstLine="569"/>
        <w:spacing w:after="0" w:line="243" w:lineRule="auto"/>
        <w:rPr>
          <w:sz w:val="20"/>
          <w:szCs w:val="20"/>
          <w:color w:val="auto"/>
        </w:rPr>
      </w:pPr>
      <w:r>
        <w:rPr>
          <w:rFonts w:ascii="Arial" w:cs="Arial" w:eastAsia="Arial" w:hAnsi="Arial"/>
          <w:sz w:val="18"/>
          <w:szCs w:val="18"/>
          <w:i w:val="1"/>
          <w:iCs w:val="1"/>
          <w:color w:val="auto"/>
        </w:rPr>
        <w:t xml:space="preserve">Figure 2. Normal HGF/MET System and Pathway. </w:t>
      </w:r>
      <w:r>
        <w:rPr>
          <w:rFonts w:ascii="Arial" w:cs="Arial" w:eastAsia="Arial" w:hAnsi="Arial"/>
          <w:sz w:val="18"/>
          <w:szCs w:val="18"/>
          <w:color w:val="auto"/>
        </w:rPr>
        <w:t>HGF is a protein ligand that binds to MET, which is a receptor expressed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surface of neurons, glia, and vascular cells in the brain. HGF binding converts MET to an active state and initiates processes including changes in gene expression that help maintain normal cellular health and function. In the brain, the HGF/MET system contributes to neuronal signaling and healthy function including regulating N-methyl-D-aspartate, or NMDA, receptor activity, modulating glial activity to regulate inflammation, and helping maintain cerebral blood flow. These multiple downstream effects of the HGF/MET system play critical roles in maintaining healthy connectivity and brain function.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09" w:name="page110"/>
    <w:bookmarkEnd w:id="1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1485265</wp:posOffset>
            </wp:positionH>
            <wp:positionV relativeFrom="page">
              <wp:posOffset>380365</wp:posOffset>
            </wp:positionV>
            <wp:extent cx="4551680" cy="64293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4551680" cy="6429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87630</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0" w:name="page111"/>
    <w:bookmarkEnd w:id="110"/>
    <w:p>
      <w:pPr>
        <w:ind w:firstLine="576"/>
        <w:spacing w:after="0" w:line="248" w:lineRule="auto"/>
        <w:rPr>
          <w:sz w:val="20"/>
          <w:szCs w:val="20"/>
          <w:color w:val="auto"/>
        </w:rPr>
      </w:pPr>
      <w:r>
        <w:rPr>
          <w:rFonts w:ascii="Arial" w:cs="Arial" w:eastAsia="Arial" w:hAnsi="Arial"/>
          <w:sz w:val="18"/>
          <w:szCs w:val="18"/>
          <w:color w:val="auto"/>
        </w:rPr>
        <w:t>The multi-modal effect of HGF/MET across the nervous, vascular, and immune systems may address the impact of neurodegnerative diseases where neuronal health, cerebral blood flow, and excess inflammation play a significant role in disease progression. Promotion of the HGF/MET system has the potential to directly halt neurodegeneration, induce regeneration, improve cerebral blood flow, and reduce inflammation.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Scientific Data Support HGF/MET’s Role in Maintaining Neuronal Health and Function</w:t>
      </w:r>
    </w:p>
    <w:p>
      <w:pPr>
        <w:spacing w:after="0" w:line="104" w:lineRule="exact"/>
        <w:rPr>
          <w:sz w:val="20"/>
          <w:szCs w:val="20"/>
          <w:color w:val="auto"/>
        </w:rPr>
      </w:pPr>
    </w:p>
    <w:p>
      <w:pPr>
        <w:ind w:right="140" w:firstLine="576"/>
        <w:spacing w:after="0" w:line="243" w:lineRule="auto"/>
        <w:rPr>
          <w:sz w:val="20"/>
          <w:szCs w:val="20"/>
          <w:color w:val="auto"/>
        </w:rPr>
      </w:pPr>
      <w:r>
        <w:rPr>
          <w:rFonts w:ascii="Arial" w:cs="Arial" w:eastAsia="Arial" w:hAnsi="Arial"/>
          <w:sz w:val="18"/>
          <w:szCs w:val="18"/>
          <w:color w:val="auto"/>
        </w:rPr>
        <w:t>Normal MET expression is crucial in maintaining the healthy adult brain. Multiple studies have demonstrated that the MET system is strictly regulated to have a stable expression pattern. MET is one of a small number of uniquely regulated genes with very high differential stability in its quantitative pattern of mRNA gene transcript levels across hundreds of structures throughout the neurotypical healthy adult brain. In fact, compared to approximately 17,000 other human genes, the MET receptor has the most differentially stable expression pattern in the cortex of the normal adult human brain. The cortex is a brain region that has important roles in learning, memory, and executive functioning, and this stable expression pattern demonstrates that the MET receptor is an important signature of a healthy brain.</w:t>
      </w:r>
    </w:p>
    <w:p>
      <w:pPr>
        <w:spacing w:after="0" w:line="174"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Additionally, although MET expression is very stable in healthy adults, expression is reduced in AD subjects, particularly in the hippocampus, as illustrated below in Figure 3. Previous studies have shown that AD subjects have approximately 25%-75% less MET expression in different brain regions compared to healthy age-matched adults. This reduction highlights another rationale to rescue the activity of this critical regenerative system. The HGF/MET system is neuroprotective in models of neurodegenerative disorders, including AD, PDD, MS, and ALS. Amplification of the HGF/MET system has the potential to provide critical neuroprotective and neuroregenerative effects to rescue damaged and dysfunctional neurons and promote recovery of cognitive functions.</w:t>
      </w:r>
    </w:p>
    <w:p>
      <w:pPr>
        <w:spacing w:after="0" w:line="174" w:lineRule="exact"/>
        <w:rPr>
          <w:sz w:val="20"/>
          <w:szCs w:val="20"/>
          <w:color w:val="auto"/>
        </w:rPr>
      </w:pPr>
    </w:p>
    <w:p>
      <w:pPr>
        <w:ind w:right="360" w:firstLine="576"/>
        <w:spacing w:after="0" w:line="255" w:lineRule="auto"/>
        <w:rPr>
          <w:sz w:val="20"/>
          <w:szCs w:val="20"/>
          <w:color w:val="auto"/>
        </w:rPr>
      </w:pPr>
      <w:r>
        <w:rPr>
          <w:rFonts w:ascii="Arial" w:cs="Arial" w:eastAsia="Arial" w:hAnsi="Arial"/>
          <w:sz w:val="18"/>
          <w:szCs w:val="18"/>
          <w:i w:val="1"/>
          <w:iCs w:val="1"/>
          <w:color w:val="auto"/>
        </w:rPr>
        <w:t xml:space="preserve">Figure 3. Neuronal MET Expression Is Reduced in the Hippocampus of AD Subjects. </w:t>
      </w:r>
      <w:r>
        <w:rPr>
          <w:rFonts w:ascii="Arial" w:cs="Arial" w:eastAsia="Arial" w:hAnsi="Arial"/>
          <w:sz w:val="18"/>
          <w:szCs w:val="18"/>
          <w:color w:val="auto"/>
        </w:rPr>
        <w:t>A study measuring MET mRNA levels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hippocampus of AD subjects shows reduced MET expression compared to healthy samples, suggesting that the reduced activity of this critical regenerative system may potentially play a role in the progressive neurodegeneration in AD</w:t>
      </w:r>
      <w:r>
        <w:rPr>
          <w:rFonts w:ascii="Arial" w:cs="Arial" w:eastAsia="Arial" w:hAnsi="Arial"/>
          <w:sz w:val="18"/>
          <w:szCs w:val="18"/>
          <w:i w:val="1"/>
          <w:iCs w:val="1"/>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MET and mRNA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1856105</wp:posOffset>
            </wp:positionV>
            <wp:extent cx="7283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34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227330</wp:posOffset>
            </wp:positionV>
            <wp:extent cx="822960" cy="1543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296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Source: Hokama et al., 2014</w:t>
      </w:r>
      <w:r>
        <w:rPr>
          <w:rFonts w:ascii="Arial" w:cs="Arial" w:eastAsia="Arial" w:hAnsi="Arial"/>
          <w:sz w:val="14"/>
          <w:szCs w:val="14"/>
          <w:color w:val="auto"/>
        </w:rPr>
        <w:t>.</w:t>
      </w:r>
    </w:p>
    <w:p>
      <w:pPr>
        <w:spacing w:after="0" w:line="207" w:lineRule="exact"/>
        <w:rPr>
          <w:sz w:val="20"/>
          <w:szCs w:val="20"/>
          <w:color w:val="auto"/>
        </w:rPr>
      </w:pPr>
    </w:p>
    <w:p>
      <w:pPr>
        <w:ind w:right="220" w:firstLine="576"/>
        <w:spacing w:after="0" w:line="245" w:lineRule="auto"/>
        <w:rPr>
          <w:sz w:val="20"/>
          <w:szCs w:val="20"/>
          <w:color w:val="auto"/>
        </w:rPr>
      </w:pPr>
      <w:r>
        <w:rPr>
          <w:rFonts w:ascii="Arial" w:cs="Arial" w:eastAsia="Arial" w:hAnsi="Arial"/>
          <w:sz w:val="18"/>
          <w:szCs w:val="18"/>
          <w:color w:val="auto"/>
        </w:rPr>
        <w:t>Multiple third-party studies have documented the regenerative impact of HGF/MET promotion in models of AD, PDD, MS, and ALS, with examples shown in Figure 4 below. Notably, promotion of the HGF/MET system improved memory in AD and PDD models and improvement in neuronal survival was reported in various disease models including MS and ALS. These studies indicate that an enhanced HGF/MET system has substantial beneficial effects and support the HGF/MET system as a therapeutic target in a diverse array of nervous system disorders.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111" w:name="page112"/>
    <w:bookmarkEnd w:id="111"/>
    <w:p>
      <w:pPr>
        <w:ind w:right="20" w:firstLine="576"/>
        <w:spacing w:after="0" w:line="245" w:lineRule="auto"/>
        <w:rPr>
          <w:sz w:val="20"/>
          <w:szCs w:val="20"/>
          <w:color w:val="auto"/>
        </w:rPr>
      </w:pPr>
      <w:r>
        <w:rPr>
          <w:rFonts w:ascii="Arial" w:cs="Arial" w:eastAsia="Arial" w:hAnsi="Arial"/>
          <w:sz w:val="18"/>
          <w:szCs w:val="18"/>
          <w:i w:val="1"/>
          <w:iCs w:val="1"/>
          <w:color w:val="auto"/>
        </w:rPr>
        <w:t xml:space="preserve">Figure 4. Effects of HGF Treatment in Animal Models of CNS Disorders. </w:t>
      </w:r>
      <w:r>
        <w:rPr>
          <w:rFonts w:ascii="Arial" w:cs="Arial" w:eastAsia="Arial" w:hAnsi="Arial"/>
          <w:sz w:val="18"/>
          <w:szCs w:val="18"/>
          <w:color w:val="auto"/>
        </w:rPr>
        <w:t>Below is a list of preclinical studies conducted by third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that shows the beneficial effects of HGF/MET on functional endpoint or processes that are critical in recovering neuronal health and function. These studies demonstrate that boosting the activity of the HGF/MET system, whether through direct injection of HGF or increasing expression of HGF by gene therapy techniques, promotes neuronal health and regeneration, and rescues memory and function in several animal models of CNS disorders.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0" w:type="dxa"/>
            <w:vAlign w:val="bottom"/>
            <w:tcBorders>
              <w:top w:val="single" w:sz="8" w:color="5B9BD5"/>
              <w:bottom w:val="single" w:sz="8" w:color="5B9BD5"/>
            </w:tcBorders>
          </w:tcPr>
          <w:p>
            <w:pPr>
              <w:jc w:val="center"/>
              <w:spacing w:after="0"/>
              <w:rPr>
                <w:sz w:val="20"/>
                <w:szCs w:val="20"/>
                <w:color w:val="auto"/>
              </w:rPr>
            </w:pPr>
            <w:r>
              <w:rPr>
                <w:rFonts w:ascii="Arial" w:cs="Arial" w:eastAsia="Arial" w:hAnsi="Arial"/>
                <w:sz w:val="13"/>
                <w:szCs w:val="13"/>
                <w:b w:val="1"/>
                <w:bCs w:val="1"/>
                <w:color w:val="auto"/>
                <w:w w:val="97"/>
              </w:rPr>
              <w:t>Disease</w:t>
            </w:r>
          </w:p>
        </w:tc>
        <w:tc>
          <w:tcPr>
            <w:tcW w:w="2480" w:type="dxa"/>
            <w:vAlign w:val="bottom"/>
            <w:tcBorders>
              <w:top w:val="single" w:sz="8" w:color="5B9BD5"/>
              <w:bottom w:val="single" w:sz="8" w:color="5B9BD5"/>
            </w:tcBorders>
          </w:tcPr>
          <w:p>
            <w:pPr>
              <w:jc w:val="center"/>
              <w:ind w:left="97"/>
              <w:spacing w:after="0"/>
              <w:rPr>
                <w:sz w:val="20"/>
                <w:szCs w:val="20"/>
                <w:color w:val="auto"/>
              </w:rPr>
            </w:pPr>
            <w:r>
              <w:rPr>
                <w:rFonts w:ascii="Arial" w:cs="Arial" w:eastAsia="Arial" w:hAnsi="Arial"/>
                <w:sz w:val="13"/>
                <w:szCs w:val="13"/>
                <w:b w:val="1"/>
                <w:bCs w:val="1"/>
                <w:color w:val="auto"/>
                <w:w w:val="96"/>
              </w:rPr>
              <w:t>Animal model (species)</w:t>
            </w:r>
          </w:p>
        </w:tc>
        <w:tc>
          <w:tcPr>
            <w:tcW w:w="1920" w:type="dxa"/>
            <w:vAlign w:val="bottom"/>
            <w:tcBorders>
              <w:top w:val="single" w:sz="8" w:color="5B9BD5"/>
              <w:bottom w:val="single" w:sz="8" w:color="5B9BD5"/>
            </w:tcBorders>
          </w:tcPr>
          <w:p>
            <w:pPr>
              <w:jc w:val="center"/>
              <w:ind w:left="237"/>
              <w:spacing w:after="0"/>
              <w:rPr>
                <w:sz w:val="20"/>
                <w:szCs w:val="20"/>
                <w:color w:val="auto"/>
              </w:rPr>
            </w:pPr>
            <w:r>
              <w:rPr>
                <w:rFonts w:ascii="Arial" w:cs="Arial" w:eastAsia="Arial" w:hAnsi="Arial"/>
                <w:sz w:val="13"/>
                <w:szCs w:val="13"/>
                <w:b w:val="1"/>
                <w:bCs w:val="1"/>
                <w:color w:val="auto"/>
                <w:w w:val="95"/>
              </w:rPr>
              <w:t>HGF Delivery Method</w:t>
            </w:r>
          </w:p>
        </w:tc>
        <w:tc>
          <w:tcPr>
            <w:tcW w:w="3420" w:type="dxa"/>
            <w:vAlign w:val="bottom"/>
            <w:tcBorders>
              <w:top w:val="single" w:sz="8" w:color="5B9BD5"/>
              <w:bottom w:val="single" w:sz="8" w:color="5B9BD5"/>
            </w:tcBorders>
          </w:tcPr>
          <w:p>
            <w:pPr>
              <w:jc w:val="center"/>
              <w:ind w:right="57"/>
              <w:spacing w:after="0"/>
              <w:rPr>
                <w:sz w:val="20"/>
                <w:szCs w:val="20"/>
                <w:color w:val="auto"/>
              </w:rPr>
            </w:pPr>
            <w:r>
              <w:rPr>
                <w:rFonts w:ascii="Arial" w:cs="Arial" w:eastAsia="Arial" w:hAnsi="Arial"/>
                <w:sz w:val="13"/>
                <w:szCs w:val="13"/>
                <w:b w:val="1"/>
                <w:bCs w:val="1"/>
                <w:color w:val="auto"/>
                <w:w w:val="97"/>
              </w:rPr>
              <w:t>Outcomes</w:t>
            </w:r>
          </w:p>
        </w:tc>
        <w:tc>
          <w:tcPr>
            <w:tcW w:w="2020" w:type="dxa"/>
            <w:vAlign w:val="bottom"/>
            <w:tcBorders>
              <w:top w:val="single" w:sz="8" w:color="5B9BD5"/>
              <w:bottom w:val="single" w:sz="8" w:color="5B9BD5"/>
            </w:tcBorders>
          </w:tcPr>
          <w:p>
            <w:pPr>
              <w:jc w:val="center"/>
              <w:ind w:right="197"/>
              <w:spacing w:after="0"/>
              <w:rPr>
                <w:sz w:val="20"/>
                <w:szCs w:val="20"/>
                <w:color w:val="auto"/>
              </w:rPr>
            </w:pPr>
            <w:r>
              <w:rPr>
                <w:rFonts w:ascii="Arial" w:cs="Arial" w:eastAsia="Arial" w:hAnsi="Arial"/>
                <w:sz w:val="13"/>
                <w:szCs w:val="13"/>
                <w:b w:val="1"/>
                <w:bCs w:val="1"/>
                <w:color w:val="auto"/>
                <w:w w:val="95"/>
              </w:rPr>
              <w:t>Reference</w:t>
            </w:r>
          </w:p>
        </w:tc>
        <w:tc>
          <w:tcPr>
            <w:tcW w:w="0" w:type="dxa"/>
            <w:vAlign w:val="bottom"/>
          </w:tcPr>
          <w:p>
            <w:pPr>
              <w:spacing w:after="0"/>
              <w:rPr>
                <w:sz w:val="1"/>
                <w:szCs w:val="1"/>
                <w:color w:val="auto"/>
              </w:rPr>
            </w:pPr>
          </w:p>
        </w:tc>
      </w:tr>
      <w:tr>
        <w:trPr>
          <w:trHeight w:val="120"/>
        </w:trPr>
        <w:tc>
          <w:tcPr>
            <w:tcW w:w="1400" w:type="dxa"/>
            <w:vAlign w:val="bottom"/>
            <w:vMerge w:val="restart"/>
            <w:shd w:val="clear" w:color="auto" w:fill="EAEFF7"/>
          </w:tcPr>
          <w:p>
            <w:pPr>
              <w:jc w:val="center"/>
              <w:spacing w:after="0"/>
              <w:rPr>
                <w:sz w:val="20"/>
                <w:szCs w:val="20"/>
                <w:color w:val="auto"/>
              </w:rPr>
            </w:pPr>
            <w:r>
              <w:rPr>
                <w:rFonts w:ascii="Arial" w:cs="Arial" w:eastAsia="Arial" w:hAnsi="Arial"/>
                <w:sz w:val="13"/>
                <w:szCs w:val="13"/>
                <w:color w:val="auto"/>
                <w:w w:val="99"/>
              </w:rPr>
              <w:t>AD</w:t>
            </w:r>
          </w:p>
        </w:tc>
        <w:tc>
          <w:tcPr>
            <w:tcW w:w="2480" w:type="dxa"/>
            <w:vAlign w:val="bottom"/>
            <w:vMerge w:val="restart"/>
            <w:shd w:val="clear" w:color="auto" w:fill="EAEFF7"/>
          </w:tcPr>
          <w:p>
            <w:pPr>
              <w:jc w:val="center"/>
              <w:ind w:left="77"/>
              <w:spacing w:after="0"/>
              <w:rPr>
                <w:sz w:val="20"/>
                <w:szCs w:val="20"/>
                <w:color w:val="auto"/>
              </w:rPr>
            </w:pPr>
            <w:r>
              <w:rPr>
                <w:rFonts w:ascii="Arial" w:cs="Arial" w:eastAsia="Arial" w:hAnsi="Arial"/>
                <w:sz w:val="13"/>
                <w:szCs w:val="13"/>
                <w:color w:val="auto"/>
                <w:w w:val="96"/>
              </w:rPr>
              <w:t>Aβ-injection</w:t>
            </w:r>
          </w:p>
        </w:tc>
        <w:tc>
          <w:tcPr>
            <w:tcW w:w="1920" w:type="dxa"/>
            <w:vAlign w:val="bottom"/>
            <w:vMerge w:val="restart"/>
            <w:shd w:val="clear" w:color="auto" w:fill="EAEFF7"/>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shd w:val="clear" w:color="auto" w:fill="EAEFF7"/>
          </w:tcPr>
          <w:p>
            <w:pPr>
              <w:jc w:val="center"/>
              <w:ind w:right="37"/>
              <w:spacing w:after="0" w:line="120" w:lineRule="exact"/>
              <w:rPr>
                <w:sz w:val="20"/>
                <w:szCs w:val="20"/>
                <w:color w:val="auto"/>
              </w:rPr>
            </w:pPr>
            <w:r>
              <w:rPr>
                <w:rFonts w:ascii="Arial" w:cs="Arial" w:eastAsia="Arial" w:hAnsi="Arial"/>
                <w:sz w:val="13"/>
                <w:szCs w:val="13"/>
                <w:color w:val="auto"/>
                <w:w w:val="96"/>
              </w:rPr>
              <w:t>Improvement in memory, increased cerebral blood</w:t>
            </w:r>
          </w:p>
        </w:tc>
        <w:tc>
          <w:tcPr>
            <w:tcW w:w="2020" w:type="dxa"/>
            <w:vAlign w:val="bottom"/>
            <w:vMerge w:val="restart"/>
            <w:shd w:val="clear" w:color="auto" w:fill="EAEFF7"/>
          </w:tcPr>
          <w:p>
            <w:pPr>
              <w:jc w:val="center"/>
              <w:ind w:right="197"/>
              <w:spacing w:after="0"/>
              <w:rPr>
                <w:sz w:val="20"/>
                <w:szCs w:val="20"/>
                <w:color w:val="auto"/>
              </w:rPr>
            </w:pPr>
            <w:r>
              <w:rPr>
                <w:rFonts w:ascii="Arial" w:cs="Arial" w:eastAsia="Arial" w:hAnsi="Arial"/>
                <w:sz w:val="13"/>
                <w:szCs w:val="13"/>
                <w:color w:val="auto"/>
                <w:w w:val="96"/>
              </w:rPr>
              <w:t>Takeuchi et. al. 2008</w:t>
            </w:r>
          </w:p>
        </w:tc>
        <w:tc>
          <w:tcPr>
            <w:tcW w:w="0" w:type="dxa"/>
            <w:vAlign w:val="bottom"/>
          </w:tcPr>
          <w:p>
            <w:pPr>
              <w:spacing w:after="0"/>
              <w:rPr>
                <w:sz w:val="1"/>
                <w:szCs w:val="1"/>
                <w:color w:val="auto"/>
              </w:rPr>
            </w:pPr>
          </w:p>
        </w:tc>
      </w:tr>
      <w:tr>
        <w:trPr>
          <w:trHeight w:val="102"/>
        </w:trPr>
        <w:tc>
          <w:tcPr>
            <w:tcW w:w="1400" w:type="dxa"/>
            <w:vAlign w:val="bottom"/>
            <w:vMerge w:val="continue"/>
            <w:shd w:val="clear" w:color="auto" w:fill="EAEFF7"/>
          </w:tcPr>
          <w:p>
            <w:pPr>
              <w:spacing w:after="0"/>
              <w:rPr>
                <w:sz w:val="8"/>
                <w:szCs w:val="8"/>
                <w:color w:val="auto"/>
              </w:rPr>
            </w:pPr>
          </w:p>
        </w:tc>
        <w:tc>
          <w:tcPr>
            <w:tcW w:w="2480" w:type="dxa"/>
            <w:vAlign w:val="bottom"/>
            <w:vMerge w:val="continue"/>
            <w:shd w:val="clear" w:color="auto" w:fill="EAEFF7"/>
          </w:tcPr>
          <w:p>
            <w:pPr>
              <w:spacing w:after="0"/>
              <w:rPr>
                <w:sz w:val="8"/>
                <w:szCs w:val="8"/>
                <w:color w:val="auto"/>
              </w:rPr>
            </w:pPr>
          </w:p>
        </w:tc>
        <w:tc>
          <w:tcPr>
            <w:tcW w:w="1920" w:type="dxa"/>
            <w:vAlign w:val="bottom"/>
            <w:vMerge w:val="continue"/>
            <w:shd w:val="clear" w:color="auto" w:fill="EAEFF7"/>
          </w:tcPr>
          <w:p>
            <w:pPr>
              <w:spacing w:after="0"/>
              <w:rPr>
                <w:sz w:val="8"/>
                <w:szCs w:val="8"/>
                <w:color w:val="auto"/>
              </w:rPr>
            </w:pPr>
          </w:p>
        </w:tc>
        <w:tc>
          <w:tcPr>
            <w:tcW w:w="3420" w:type="dxa"/>
            <w:vAlign w:val="bottom"/>
            <w:vMerge w:val="restart"/>
            <w:shd w:val="clear" w:color="auto" w:fill="EAEFF7"/>
          </w:tcPr>
          <w:p>
            <w:pPr>
              <w:jc w:val="center"/>
              <w:ind w:right="57"/>
              <w:spacing w:after="0"/>
              <w:rPr>
                <w:sz w:val="20"/>
                <w:szCs w:val="20"/>
                <w:color w:val="auto"/>
              </w:rPr>
            </w:pPr>
            <w:r>
              <w:rPr>
                <w:rFonts w:ascii="Arial" w:cs="Arial" w:eastAsia="Arial" w:hAnsi="Arial"/>
                <w:sz w:val="13"/>
                <w:szCs w:val="13"/>
                <w:color w:val="auto"/>
                <w:w w:val="96"/>
              </w:rPr>
              <w:t>flow, increased BDNF expression</w:t>
            </w:r>
          </w:p>
        </w:tc>
        <w:tc>
          <w:tcPr>
            <w:tcW w:w="2020" w:type="dxa"/>
            <w:vAlign w:val="bottom"/>
            <w:vMerge w:val="continue"/>
            <w:shd w:val="clear" w:color="auto" w:fill="EAEFF7"/>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400" w:type="dxa"/>
            <w:vAlign w:val="bottom"/>
            <w:shd w:val="clear" w:color="auto" w:fill="EAEFF7"/>
          </w:tcPr>
          <w:p>
            <w:pPr>
              <w:spacing w:after="0"/>
              <w:rPr>
                <w:sz w:val="4"/>
                <w:szCs w:val="4"/>
                <w:color w:val="auto"/>
              </w:rPr>
            </w:pPr>
          </w:p>
        </w:tc>
        <w:tc>
          <w:tcPr>
            <w:tcW w:w="2480" w:type="dxa"/>
            <w:vAlign w:val="bottom"/>
            <w:vMerge w:val="restart"/>
            <w:shd w:val="clear" w:color="auto" w:fill="EAEFF7"/>
          </w:tcPr>
          <w:p>
            <w:pPr>
              <w:jc w:val="center"/>
              <w:ind w:left="77"/>
              <w:spacing w:after="0"/>
              <w:rPr>
                <w:sz w:val="20"/>
                <w:szCs w:val="20"/>
                <w:color w:val="auto"/>
              </w:rPr>
            </w:pPr>
            <w:r>
              <w:rPr>
                <w:rFonts w:ascii="Arial" w:cs="Arial" w:eastAsia="Arial" w:hAnsi="Arial"/>
                <w:sz w:val="13"/>
                <w:szCs w:val="13"/>
                <w:color w:val="auto"/>
                <w:w w:val="96"/>
              </w:rPr>
              <w:t>(mouse)</w:t>
            </w:r>
          </w:p>
        </w:tc>
        <w:tc>
          <w:tcPr>
            <w:tcW w:w="1920" w:type="dxa"/>
            <w:vAlign w:val="bottom"/>
            <w:shd w:val="clear" w:color="auto" w:fill="EAEFF7"/>
          </w:tcPr>
          <w:p>
            <w:pPr>
              <w:spacing w:after="0"/>
              <w:rPr>
                <w:sz w:val="4"/>
                <w:szCs w:val="4"/>
                <w:color w:val="auto"/>
              </w:rPr>
            </w:pPr>
          </w:p>
        </w:tc>
        <w:tc>
          <w:tcPr>
            <w:tcW w:w="3420" w:type="dxa"/>
            <w:vAlign w:val="bottom"/>
            <w:vMerge w:val="continue"/>
            <w:shd w:val="clear" w:color="auto" w:fill="EAEFF7"/>
          </w:tcPr>
          <w:p>
            <w:pPr>
              <w:spacing w:after="0"/>
              <w:rPr>
                <w:sz w:val="4"/>
                <w:szCs w:val="4"/>
                <w:color w:val="auto"/>
              </w:rPr>
            </w:pPr>
          </w:p>
        </w:tc>
        <w:tc>
          <w:tcPr>
            <w:tcW w:w="2020" w:type="dxa"/>
            <w:vAlign w:val="bottom"/>
            <w:shd w:val="clear" w:color="auto" w:fill="EAEFF7"/>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EAEFF7"/>
          </w:tcPr>
          <w:p>
            <w:pPr>
              <w:spacing w:after="0"/>
              <w:rPr>
                <w:sz w:val="12"/>
                <w:szCs w:val="12"/>
                <w:color w:val="auto"/>
              </w:rPr>
            </w:pPr>
          </w:p>
        </w:tc>
        <w:tc>
          <w:tcPr>
            <w:tcW w:w="2480" w:type="dxa"/>
            <w:vAlign w:val="bottom"/>
            <w:vMerge w:val="continue"/>
            <w:shd w:val="clear" w:color="auto" w:fill="EAEFF7"/>
          </w:tcPr>
          <w:p>
            <w:pPr>
              <w:spacing w:after="0"/>
              <w:rPr>
                <w:sz w:val="12"/>
                <w:szCs w:val="12"/>
                <w:color w:val="auto"/>
              </w:rPr>
            </w:pPr>
          </w:p>
        </w:tc>
        <w:tc>
          <w:tcPr>
            <w:tcW w:w="1920" w:type="dxa"/>
            <w:vAlign w:val="bottom"/>
            <w:shd w:val="clear" w:color="auto" w:fill="EAEFF7"/>
          </w:tcPr>
          <w:p>
            <w:pPr>
              <w:spacing w:after="0"/>
              <w:rPr>
                <w:sz w:val="12"/>
                <w:szCs w:val="12"/>
                <w:color w:val="auto"/>
              </w:rPr>
            </w:pPr>
          </w:p>
        </w:tc>
        <w:tc>
          <w:tcPr>
            <w:tcW w:w="3420" w:type="dxa"/>
            <w:vAlign w:val="bottom"/>
            <w:shd w:val="clear" w:color="auto" w:fill="EAEFF7"/>
          </w:tcPr>
          <w:p>
            <w:pPr>
              <w:spacing w:after="0"/>
              <w:rPr>
                <w:sz w:val="12"/>
                <w:szCs w:val="12"/>
                <w:color w:val="auto"/>
              </w:rPr>
            </w:pPr>
          </w:p>
        </w:tc>
        <w:tc>
          <w:tcPr>
            <w:tcW w:w="2020" w:type="dxa"/>
            <w:vAlign w:val="bottom"/>
            <w:shd w:val="clear" w:color="auto" w:fill="EAEFF7"/>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95"/>
              </w:rPr>
              <w:t>Parkinson’s</w:t>
            </w:r>
          </w:p>
        </w:tc>
        <w:tc>
          <w:tcPr>
            <w:tcW w:w="2480" w:type="dxa"/>
            <w:vAlign w:val="bottom"/>
            <w:vMerge w:val="restart"/>
          </w:tcPr>
          <w:p>
            <w:pPr>
              <w:jc w:val="center"/>
              <w:ind w:left="97"/>
              <w:spacing w:after="0"/>
              <w:rPr>
                <w:sz w:val="20"/>
                <w:szCs w:val="20"/>
                <w:color w:val="auto"/>
              </w:rPr>
            </w:pPr>
            <w:r>
              <w:rPr>
                <w:rFonts w:ascii="Arial" w:cs="Arial" w:eastAsia="Arial" w:hAnsi="Arial"/>
                <w:sz w:val="13"/>
                <w:szCs w:val="13"/>
                <w:color w:val="auto"/>
                <w:w w:val="97"/>
              </w:rPr>
              <w:t>6-OHDA</w:t>
            </w:r>
          </w:p>
        </w:tc>
        <w:tc>
          <w:tcPr>
            <w:tcW w:w="1920" w:type="dxa"/>
            <w:vAlign w:val="bottom"/>
            <w:vMerge w:val="restart"/>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tcPr>
          <w:p>
            <w:pPr>
              <w:jc w:val="center"/>
              <w:ind w:right="37"/>
              <w:spacing w:after="0" w:line="127" w:lineRule="exact"/>
              <w:rPr>
                <w:sz w:val="20"/>
                <w:szCs w:val="20"/>
                <w:color w:val="auto"/>
              </w:rPr>
            </w:pPr>
            <w:r>
              <w:rPr>
                <w:rFonts w:ascii="Arial" w:cs="Arial" w:eastAsia="Arial" w:hAnsi="Arial"/>
                <w:sz w:val="13"/>
                <w:szCs w:val="13"/>
                <w:color w:val="auto"/>
                <w:w w:val="97"/>
              </w:rPr>
              <w:t>Improved survival of dopaminergic neurons, improved</w:t>
            </w: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4"/>
              </w:rPr>
              <w:t>Koike et. al.</w:t>
            </w:r>
          </w:p>
        </w:tc>
        <w:tc>
          <w:tcPr>
            <w:tcW w:w="0" w:type="dxa"/>
            <w:vAlign w:val="bottom"/>
          </w:tcPr>
          <w:p>
            <w:pPr>
              <w:spacing w:after="0"/>
              <w:rPr>
                <w:sz w:val="1"/>
                <w:szCs w:val="1"/>
                <w:color w:val="auto"/>
              </w:rPr>
            </w:pPr>
          </w:p>
        </w:tc>
      </w:tr>
      <w:tr>
        <w:trPr>
          <w:trHeight w:val="102"/>
        </w:trPr>
        <w:tc>
          <w:tcPr>
            <w:tcW w:w="1400" w:type="dxa"/>
            <w:vAlign w:val="bottom"/>
            <w:vMerge w:val="continue"/>
          </w:tcPr>
          <w:p>
            <w:pPr>
              <w:spacing w:after="0"/>
              <w:rPr>
                <w:sz w:val="8"/>
                <w:szCs w:val="8"/>
                <w:color w:val="auto"/>
              </w:rPr>
            </w:pPr>
          </w:p>
        </w:tc>
        <w:tc>
          <w:tcPr>
            <w:tcW w:w="2480" w:type="dxa"/>
            <w:vAlign w:val="bottom"/>
            <w:vMerge w:val="continue"/>
          </w:tcPr>
          <w:p>
            <w:pPr>
              <w:spacing w:after="0"/>
              <w:rPr>
                <w:sz w:val="8"/>
                <w:szCs w:val="8"/>
                <w:color w:val="auto"/>
              </w:rPr>
            </w:pPr>
          </w:p>
        </w:tc>
        <w:tc>
          <w:tcPr>
            <w:tcW w:w="1920" w:type="dxa"/>
            <w:vAlign w:val="bottom"/>
            <w:vMerge w:val="continue"/>
          </w:tcPr>
          <w:p>
            <w:pPr>
              <w:spacing w:after="0"/>
              <w:rPr>
                <w:sz w:val="8"/>
                <w:szCs w:val="8"/>
                <w:color w:val="auto"/>
              </w:rPr>
            </w:pPr>
          </w:p>
        </w:tc>
        <w:tc>
          <w:tcPr>
            <w:tcW w:w="3420" w:type="dxa"/>
            <w:vAlign w:val="bottom"/>
            <w:vMerge w:val="restart"/>
          </w:tcPr>
          <w:p>
            <w:pPr>
              <w:jc w:val="center"/>
              <w:ind w:right="37"/>
              <w:spacing w:after="0"/>
              <w:rPr>
                <w:sz w:val="20"/>
                <w:szCs w:val="20"/>
                <w:color w:val="auto"/>
              </w:rPr>
            </w:pPr>
            <w:r>
              <w:rPr>
                <w:rFonts w:ascii="Arial" w:cs="Arial" w:eastAsia="Arial" w:hAnsi="Arial"/>
                <w:sz w:val="13"/>
                <w:szCs w:val="13"/>
                <w:color w:val="auto"/>
                <w:w w:val="97"/>
              </w:rPr>
              <w:t>motor function</w:t>
            </w:r>
          </w:p>
        </w:tc>
        <w:tc>
          <w:tcPr>
            <w:tcW w:w="2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400" w:type="dxa"/>
            <w:vAlign w:val="bottom"/>
          </w:tcPr>
          <w:p>
            <w:pPr>
              <w:spacing w:after="0"/>
              <w:rPr>
                <w:sz w:val="5"/>
                <w:szCs w:val="5"/>
                <w:color w:val="auto"/>
              </w:rPr>
            </w:pPr>
          </w:p>
        </w:tc>
        <w:tc>
          <w:tcPr>
            <w:tcW w:w="2480" w:type="dxa"/>
            <w:vAlign w:val="bottom"/>
            <w:vMerge w:val="restart"/>
          </w:tcPr>
          <w:p>
            <w:pPr>
              <w:jc w:val="center"/>
              <w:ind w:left="97"/>
              <w:spacing w:after="0"/>
              <w:rPr>
                <w:sz w:val="20"/>
                <w:szCs w:val="20"/>
                <w:color w:val="auto"/>
              </w:rPr>
            </w:pPr>
            <w:r>
              <w:rPr>
                <w:rFonts w:ascii="Arial" w:cs="Arial" w:eastAsia="Arial" w:hAnsi="Arial"/>
                <w:sz w:val="13"/>
                <w:szCs w:val="13"/>
                <w:color w:val="auto"/>
              </w:rPr>
              <w:t>(rat)</w:t>
            </w:r>
          </w:p>
        </w:tc>
        <w:tc>
          <w:tcPr>
            <w:tcW w:w="192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6"/>
              </w:rPr>
              <w:t>2006</w:t>
            </w:r>
          </w:p>
        </w:tc>
        <w:tc>
          <w:tcPr>
            <w:tcW w:w="0" w:type="dxa"/>
            <w:vAlign w:val="bottom"/>
          </w:tcPr>
          <w:p>
            <w:pPr>
              <w:spacing w:after="0"/>
              <w:rPr>
                <w:sz w:val="1"/>
                <w:szCs w:val="1"/>
                <w:color w:val="auto"/>
              </w:rPr>
            </w:pPr>
          </w:p>
        </w:tc>
      </w:tr>
      <w:tr>
        <w:trPr>
          <w:trHeight w:val="136"/>
        </w:trPr>
        <w:tc>
          <w:tcPr>
            <w:tcW w:w="1400" w:type="dxa"/>
            <w:vAlign w:val="bottom"/>
          </w:tcPr>
          <w:p>
            <w:pPr>
              <w:spacing w:after="0"/>
              <w:rPr>
                <w:sz w:val="11"/>
                <w:szCs w:val="11"/>
                <w:color w:val="auto"/>
              </w:rPr>
            </w:pPr>
          </w:p>
        </w:tc>
        <w:tc>
          <w:tcPr>
            <w:tcW w:w="2480" w:type="dxa"/>
            <w:vAlign w:val="bottom"/>
            <w:vMerge w:val="continue"/>
          </w:tcPr>
          <w:p>
            <w:pPr>
              <w:spacing w:after="0"/>
              <w:rPr>
                <w:sz w:val="11"/>
                <w:szCs w:val="11"/>
                <w:color w:val="auto"/>
              </w:rPr>
            </w:pPr>
          </w:p>
        </w:tc>
        <w:tc>
          <w:tcPr>
            <w:tcW w:w="19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EAEFF7"/>
          </w:tcPr>
          <w:p>
            <w:pPr>
              <w:jc w:val="center"/>
              <w:spacing w:after="0"/>
              <w:rPr>
                <w:sz w:val="20"/>
                <w:szCs w:val="20"/>
                <w:color w:val="auto"/>
              </w:rPr>
            </w:pPr>
            <w:r>
              <w:rPr>
                <w:rFonts w:ascii="Arial" w:cs="Arial" w:eastAsia="Arial" w:hAnsi="Arial"/>
                <w:sz w:val="13"/>
                <w:szCs w:val="13"/>
                <w:color w:val="auto"/>
                <w:w w:val="96"/>
              </w:rPr>
              <w:t>Brain ischemia</w:t>
            </w:r>
          </w:p>
        </w:tc>
        <w:tc>
          <w:tcPr>
            <w:tcW w:w="2480" w:type="dxa"/>
            <w:vAlign w:val="bottom"/>
            <w:shd w:val="clear" w:color="auto" w:fill="EAEFF7"/>
          </w:tcPr>
          <w:p>
            <w:pPr>
              <w:jc w:val="center"/>
              <w:ind w:left="77"/>
              <w:spacing w:after="0"/>
              <w:rPr>
                <w:sz w:val="20"/>
                <w:szCs w:val="20"/>
                <w:color w:val="auto"/>
              </w:rPr>
            </w:pPr>
            <w:r>
              <w:rPr>
                <w:rFonts w:ascii="Arial" w:cs="Arial" w:eastAsia="Arial" w:hAnsi="Arial"/>
                <w:sz w:val="13"/>
                <w:szCs w:val="13"/>
                <w:color w:val="auto"/>
                <w:w w:val="97"/>
              </w:rPr>
              <w:t>Transient ischemia</w:t>
            </w:r>
          </w:p>
        </w:tc>
        <w:tc>
          <w:tcPr>
            <w:tcW w:w="1920" w:type="dxa"/>
            <w:vAlign w:val="bottom"/>
            <w:shd w:val="clear" w:color="auto" w:fill="EAEFF7"/>
          </w:tcPr>
          <w:p>
            <w:pPr>
              <w:jc w:val="center"/>
              <w:ind w:left="237"/>
              <w:spacing w:after="0"/>
              <w:rPr>
                <w:sz w:val="20"/>
                <w:szCs w:val="20"/>
                <w:color w:val="auto"/>
              </w:rPr>
            </w:pPr>
            <w:r>
              <w:rPr>
                <w:rFonts w:ascii="Arial" w:cs="Arial" w:eastAsia="Arial" w:hAnsi="Arial"/>
                <w:sz w:val="13"/>
                <w:szCs w:val="13"/>
                <w:color w:val="auto"/>
                <w:w w:val="97"/>
              </w:rPr>
              <w:t>Injection of HGF protein</w:t>
            </w:r>
          </w:p>
        </w:tc>
        <w:tc>
          <w:tcPr>
            <w:tcW w:w="3420" w:type="dxa"/>
            <w:vAlign w:val="bottom"/>
            <w:shd w:val="clear" w:color="auto" w:fill="EAEFF7"/>
          </w:tcPr>
          <w:p>
            <w:pPr>
              <w:jc w:val="center"/>
              <w:ind w:right="57"/>
              <w:spacing w:after="0"/>
              <w:rPr>
                <w:sz w:val="20"/>
                <w:szCs w:val="20"/>
                <w:color w:val="auto"/>
              </w:rPr>
            </w:pPr>
            <w:r>
              <w:rPr>
                <w:rFonts w:ascii="Arial" w:cs="Arial" w:eastAsia="Arial" w:hAnsi="Arial"/>
                <w:sz w:val="13"/>
                <w:szCs w:val="13"/>
                <w:color w:val="auto"/>
                <w:w w:val="96"/>
              </w:rPr>
              <w:t>Improved neuronal survival</w:t>
            </w:r>
          </w:p>
        </w:tc>
        <w:tc>
          <w:tcPr>
            <w:tcW w:w="2020" w:type="dxa"/>
            <w:vAlign w:val="bottom"/>
            <w:shd w:val="clear" w:color="auto" w:fill="EAEFF7"/>
          </w:tcPr>
          <w:p>
            <w:pPr>
              <w:jc w:val="center"/>
              <w:ind w:right="197"/>
              <w:spacing w:after="0"/>
              <w:rPr>
                <w:sz w:val="20"/>
                <w:szCs w:val="20"/>
                <w:color w:val="auto"/>
              </w:rPr>
            </w:pPr>
            <w:r>
              <w:rPr>
                <w:rFonts w:ascii="Arial" w:cs="Arial" w:eastAsia="Arial" w:hAnsi="Arial"/>
                <w:sz w:val="13"/>
                <w:szCs w:val="13"/>
                <w:color w:val="auto"/>
                <w:w w:val="95"/>
              </w:rPr>
              <w:t>Miyazawa et. al. 2007</w:t>
            </w:r>
          </w:p>
        </w:tc>
        <w:tc>
          <w:tcPr>
            <w:tcW w:w="0" w:type="dxa"/>
            <w:vAlign w:val="bottom"/>
          </w:tcPr>
          <w:p>
            <w:pPr>
              <w:spacing w:after="0"/>
              <w:rPr>
                <w:sz w:val="1"/>
                <w:szCs w:val="1"/>
                <w:color w:val="auto"/>
              </w:rPr>
            </w:pPr>
          </w:p>
        </w:tc>
      </w:tr>
      <w:tr>
        <w:trPr>
          <w:trHeight w:val="148"/>
        </w:trPr>
        <w:tc>
          <w:tcPr>
            <w:tcW w:w="1400" w:type="dxa"/>
            <w:vAlign w:val="bottom"/>
            <w:shd w:val="clear" w:color="auto" w:fill="EAEFF7"/>
          </w:tcPr>
          <w:p>
            <w:pPr>
              <w:spacing w:after="0"/>
              <w:rPr>
                <w:sz w:val="12"/>
                <w:szCs w:val="12"/>
                <w:color w:val="auto"/>
              </w:rPr>
            </w:pPr>
          </w:p>
        </w:tc>
        <w:tc>
          <w:tcPr>
            <w:tcW w:w="2480" w:type="dxa"/>
            <w:vAlign w:val="bottom"/>
            <w:shd w:val="clear" w:color="auto" w:fill="EAEFF7"/>
          </w:tcPr>
          <w:p>
            <w:pPr>
              <w:jc w:val="center"/>
              <w:ind w:left="97"/>
              <w:spacing w:after="0"/>
              <w:rPr>
                <w:sz w:val="20"/>
                <w:szCs w:val="20"/>
                <w:color w:val="auto"/>
              </w:rPr>
            </w:pPr>
            <w:r>
              <w:rPr>
                <w:rFonts w:ascii="Arial" w:cs="Arial" w:eastAsia="Arial" w:hAnsi="Arial"/>
                <w:sz w:val="13"/>
                <w:szCs w:val="13"/>
                <w:color w:val="auto"/>
                <w:w w:val="98"/>
              </w:rPr>
              <w:t>(gerbil)</w:t>
            </w:r>
          </w:p>
        </w:tc>
        <w:tc>
          <w:tcPr>
            <w:tcW w:w="1920" w:type="dxa"/>
            <w:vAlign w:val="bottom"/>
            <w:shd w:val="clear" w:color="auto" w:fill="EAEFF7"/>
          </w:tcPr>
          <w:p>
            <w:pPr>
              <w:spacing w:after="0"/>
              <w:rPr>
                <w:sz w:val="12"/>
                <w:szCs w:val="12"/>
                <w:color w:val="auto"/>
              </w:rPr>
            </w:pPr>
          </w:p>
        </w:tc>
        <w:tc>
          <w:tcPr>
            <w:tcW w:w="3420" w:type="dxa"/>
            <w:vAlign w:val="bottom"/>
            <w:shd w:val="clear" w:color="auto" w:fill="EAEFF7"/>
          </w:tcPr>
          <w:p>
            <w:pPr>
              <w:spacing w:after="0"/>
              <w:rPr>
                <w:sz w:val="12"/>
                <w:szCs w:val="12"/>
                <w:color w:val="auto"/>
              </w:rPr>
            </w:pPr>
          </w:p>
        </w:tc>
        <w:tc>
          <w:tcPr>
            <w:tcW w:w="2020" w:type="dxa"/>
            <w:vAlign w:val="bottom"/>
            <w:shd w:val="clear" w:color="auto" w:fill="EAEFF7"/>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97"/>
              </w:rPr>
              <w:t>ALS</w:t>
            </w:r>
          </w:p>
        </w:tc>
        <w:tc>
          <w:tcPr>
            <w:tcW w:w="2480" w:type="dxa"/>
            <w:vAlign w:val="bottom"/>
            <w:vMerge w:val="restart"/>
          </w:tcPr>
          <w:p>
            <w:pPr>
              <w:jc w:val="center"/>
              <w:ind w:left="77"/>
              <w:spacing w:after="0"/>
              <w:rPr>
                <w:sz w:val="20"/>
                <w:szCs w:val="20"/>
                <w:color w:val="auto"/>
              </w:rPr>
            </w:pPr>
            <w:r>
              <w:rPr>
                <w:rFonts w:ascii="Arial" w:cs="Arial" w:eastAsia="Arial" w:hAnsi="Arial"/>
                <w:sz w:val="13"/>
                <w:szCs w:val="13"/>
                <w:color w:val="auto"/>
                <w:w w:val="96"/>
              </w:rPr>
              <w:t>SOD1-G93)</w:t>
            </w:r>
          </w:p>
        </w:tc>
        <w:tc>
          <w:tcPr>
            <w:tcW w:w="1920" w:type="dxa"/>
            <w:vAlign w:val="bottom"/>
            <w:vMerge w:val="restart"/>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tcPr>
          <w:p>
            <w:pPr>
              <w:jc w:val="center"/>
              <w:ind w:right="37"/>
              <w:spacing w:after="0" w:line="127" w:lineRule="exact"/>
              <w:rPr>
                <w:sz w:val="20"/>
                <w:szCs w:val="20"/>
                <w:color w:val="auto"/>
              </w:rPr>
            </w:pPr>
            <w:r>
              <w:rPr>
                <w:rFonts w:ascii="Arial" w:cs="Arial" w:eastAsia="Arial" w:hAnsi="Arial"/>
                <w:sz w:val="13"/>
                <w:szCs w:val="13"/>
                <w:color w:val="auto"/>
                <w:w w:val="96"/>
              </w:rPr>
              <w:t>Improved survival of motor neurons, prolonged</w:t>
            </w: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5"/>
              </w:rPr>
              <w:t>Sun et. al.</w:t>
            </w:r>
          </w:p>
        </w:tc>
        <w:tc>
          <w:tcPr>
            <w:tcW w:w="0" w:type="dxa"/>
            <w:vAlign w:val="bottom"/>
          </w:tcPr>
          <w:p>
            <w:pPr>
              <w:spacing w:after="0"/>
              <w:rPr>
                <w:sz w:val="1"/>
                <w:szCs w:val="1"/>
                <w:color w:val="auto"/>
              </w:rPr>
            </w:pPr>
          </w:p>
        </w:tc>
      </w:tr>
      <w:tr>
        <w:trPr>
          <w:trHeight w:val="102"/>
        </w:trPr>
        <w:tc>
          <w:tcPr>
            <w:tcW w:w="1400" w:type="dxa"/>
            <w:vAlign w:val="bottom"/>
            <w:vMerge w:val="continue"/>
          </w:tcPr>
          <w:p>
            <w:pPr>
              <w:spacing w:after="0"/>
              <w:rPr>
                <w:sz w:val="8"/>
                <w:szCs w:val="8"/>
                <w:color w:val="auto"/>
              </w:rPr>
            </w:pPr>
          </w:p>
        </w:tc>
        <w:tc>
          <w:tcPr>
            <w:tcW w:w="2480" w:type="dxa"/>
            <w:vAlign w:val="bottom"/>
            <w:vMerge w:val="continue"/>
          </w:tcPr>
          <w:p>
            <w:pPr>
              <w:spacing w:after="0"/>
              <w:rPr>
                <w:sz w:val="8"/>
                <w:szCs w:val="8"/>
                <w:color w:val="auto"/>
              </w:rPr>
            </w:pPr>
          </w:p>
        </w:tc>
        <w:tc>
          <w:tcPr>
            <w:tcW w:w="1920" w:type="dxa"/>
            <w:vAlign w:val="bottom"/>
            <w:vMerge w:val="continue"/>
          </w:tcPr>
          <w:p>
            <w:pPr>
              <w:spacing w:after="0"/>
              <w:rPr>
                <w:sz w:val="8"/>
                <w:szCs w:val="8"/>
                <w:color w:val="auto"/>
              </w:rPr>
            </w:pPr>
          </w:p>
        </w:tc>
        <w:tc>
          <w:tcPr>
            <w:tcW w:w="3420" w:type="dxa"/>
            <w:vAlign w:val="bottom"/>
            <w:vMerge w:val="restart"/>
          </w:tcPr>
          <w:p>
            <w:pPr>
              <w:jc w:val="center"/>
              <w:ind w:right="37"/>
              <w:spacing w:after="0"/>
              <w:rPr>
                <w:sz w:val="20"/>
                <w:szCs w:val="20"/>
                <w:color w:val="auto"/>
              </w:rPr>
            </w:pPr>
            <w:r>
              <w:rPr>
                <w:rFonts w:ascii="Arial" w:cs="Arial" w:eastAsia="Arial" w:hAnsi="Arial"/>
                <w:sz w:val="13"/>
                <w:szCs w:val="13"/>
                <w:color w:val="auto"/>
                <w:w w:val="98"/>
              </w:rPr>
              <w:t>lifespan</w:t>
            </w:r>
          </w:p>
        </w:tc>
        <w:tc>
          <w:tcPr>
            <w:tcW w:w="2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400" w:type="dxa"/>
            <w:vAlign w:val="bottom"/>
          </w:tcPr>
          <w:p>
            <w:pPr>
              <w:spacing w:after="0"/>
              <w:rPr>
                <w:sz w:val="5"/>
                <w:szCs w:val="5"/>
                <w:color w:val="auto"/>
              </w:rPr>
            </w:pPr>
          </w:p>
        </w:tc>
        <w:tc>
          <w:tcPr>
            <w:tcW w:w="2480" w:type="dxa"/>
            <w:vAlign w:val="bottom"/>
            <w:vMerge w:val="restart"/>
          </w:tcPr>
          <w:p>
            <w:pPr>
              <w:jc w:val="center"/>
              <w:ind w:left="77"/>
              <w:spacing w:after="0"/>
              <w:rPr>
                <w:sz w:val="20"/>
                <w:szCs w:val="20"/>
                <w:color w:val="auto"/>
              </w:rPr>
            </w:pPr>
            <w:r>
              <w:rPr>
                <w:rFonts w:ascii="Arial" w:cs="Arial" w:eastAsia="Arial" w:hAnsi="Arial"/>
                <w:sz w:val="13"/>
                <w:szCs w:val="13"/>
                <w:color w:val="auto"/>
                <w:w w:val="96"/>
              </w:rPr>
              <w:t>(mouse)</w:t>
            </w:r>
          </w:p>
        </w:tc>
        <w:tc>
          <w:tcPr>
            <w:tcW w:w="192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6"/>
              </w:rPr>
              <w:t>2002</w:t>
            </w: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2480" w:type="dxa"/>
            <w:vAlign w:val="bottom"/>
            <w:vMerge w:val="continue"/>
          </w:tcPr>
          <w:p>
            <w:pPr>
              <w:spacing w:after="0"/>
              <w:rPr>
                <w:sz w:val="11"/>
                <w:szCs w:val="11"/>
                <w:color w:val="auto"/>
              </w:rPr>
            </w:pPr>
          </w:p>
        </w:tc>
        <w:tc>
          <w:tcPr>
            <w:tcW w:w="19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400" w:type="dxa"/>
            <w:vAlign w:val="bottom"/>
            <w:vMerge w:val="restart"/>
            <w:shd w:val="clear" w:color="auto" w:fill="EAEFF7"/>
          </w:tcPr>
          <w:p>
            <w:pPr>
              <w:jc w:val="center"/>
              <w:spacing w:after="0"/>
              <w:rPr>
                <w:sz w:val="20"/>
                <w:szCs w:val="20"/>
                <w:color w:val="auto"/>
              </w:rPr>
            </w:pPr>
            <w:r>
              <w:rPr>
                <w:rFonts w:ascii="Arial" w:cs="Arial" w:eastAsia="Arial" w:hAnsi="Arial"/>
                <w:sz w:val="13"/>
                <w:szCs w:val="13"/>
                <w:color w:val="auto"/>
                <w:w w:val="97"/>
              </w:rPr>
              <w:t>Cerebral infarction</w:t>
            </w:r>
          </w:p>
        </w:tc>
        <w:tc>
          <w:tcPr>
            <w:tcW w:w="2480" w:type="dxa"/>
            <w:vAlign w:val="bottom"/>
            <w:vMerge w:val="restart"/>
            <w:shd w:val="clear" w:color="auto" w:fill="EAEFF7"/>
          </w:tcPr>
          <w:p>
            <w:pPr>
              <w:jc w:val="center"/>
              <w:ind w:left="97"/>
              <w:spacing w:after="0"/>
              <w:rPr>
                <w:sz w:val="20"/>
                <w:szCs w:val="20"/>
                <w:color w:val="auto"/>
              </w:rPr>
            </w:pPr>
            <w:r>
              <w:rPr>
                <w:rFonts w:ascii="Arial" w:cs="Arial" w:eastAsia="Arial" w:hAnsi="Arial"/>
                <w:sz w:val="13"/>
                <w:szCs w:val="13"/>
                <w:color w:val="auto"/>
                <w:w w:val="98"/>
              </w:rPr>
              <w:t>Embolism</w:t>
            </w:r>
          </w:p>
        </w:tc>
        <w:tc>
          <w:tcPr>
            <w:tcW w:w="1920" w:type="dxa"/>
            <w:vAlign w:val="bottom"/>
            <w:vMerge w:val="restart"/>
            <w:shd w:val="clear" w:color="auto" w:fill="EAEFF7"/>
          </w:tcPr>
          <w:p>
            <w:pPr>
              <w:jc w:val="center"/>
              <w:ind w:left="237"/>
              <w:spacing w:after="0"/>
              <w:rPr>
                <w:sz w:val="20"/>
                <w:szCs w:val="20"/>
                <w:color w:val="auto"/>
              </w:rPr>
            </w:pPr>
            <w:r>
              <w:rPr>
                <w:rFonts w:ascii="Arial" w:cs="Arial" w:eastAsia="Arial" w:hAnsi="Arial"/>
                <w:sz w:val="13"/>
                <w:szCs w:val="13"/>
                <w:color w:val="auto"/>
                <w:w w:val="97"/>
              </w:rPr>
              <w:t>Injection of HGF protein</w:t>
            </w:r>
          </w:p>
        </w:tc>
        <w:tc>
          <w:tcPr>
            <w:tcW w:w="3420" w:type="dxa"/>
            <w:vAlign w:val="bottom"/>
            <w:shd w:val="clear" w:color="auto" w:fill="EAEFF7"/>
          </w:tcPr>
          <w:p>
            <w:pPr>
              <w:jc w:val="center"/>
              <w:ind w:right="57"/>
              <w:spacing w:after="0" w:line="127" w:lineRule="exact"/>
              <w:rPr>
                <w:sz w:val="20"/>
                <w:szCs w:val="20"/>
                <w:color w:val="auto"/>
              </w:rPr>
            </w:pPr>
            <w:r>
              <w:rPr>
                <w:rFonts w:ascii="Arial" w:cs="Arial" w:eastAsia="Arial" w:hAnsi="Arial"/>
                <w:sz w:val="13"/>
                <w:szCs w:val="13"/>
                <w:color w:val="auto"/>
                <w:w w:val="96"/>
              </w:rPr>
              <w:t>Improvement in learning and memory, improved</w:t>
            </w:r>
          </w:p>
        </w:tc>
        <w:tc>
          <w:tcPr>
            <w:tcW w:w="2020" w:type="dxa"/>
            <w:vAlign w:val="bottom"/>
            <w:vMerge w:val="restart"/>
            <w:shd w:val="clear" w:color="auto" w:fill="EAEFF7"/>
          </w:tcPr>
          <w:p>
            <w:pPr>
              <w:jc w:val="center"/>
              <w:ind w:right="197"/>
              <w:spacing w:after="0"/>
              <w:rPr>
                <w:sz w:val="20"/>
                <w:szCs w:val="20"/>
                <w:color w:val="auto"/>
              </w:rPr>
            </w:pPr>
            <w:r>
              <w:rPr>
                <w:rFonts w:ascii="Arial" w:cs="Arial" w:eastAsia="Arial" w:hAnsi="Arial"/>
                <w:sz w:val="13"/>
                <w:szCs w:val="13"/>
                <w:color w:val="auto"/>
                <w:w w:val="95"/>
              </w:rPr>
              <w:t>Date et. al.</w:t>
            </w:r>
          </w:p>
        </w:tc>
        <w:tc>
          <w:tcPr>
            <w:tcW w:w="0" w:type="dxa"/>
            <w:vAlign w:val="bottom"/>
          </w:tcPr>
          <w:p>
            <w:pPr>
              <w:spacing w:after="0"/>
              <w:rPr>
                <w:sz w:val="1"/>
                <w:szCs w:val="1"/>
                <w:color w:val="auto"/>
              </w:rPr>
            </w:pPr>
          </w:p>
        </w:tc>
      </w:tr>
      <w:tr>
        <w:trPr>
          <w:trHeight w:val="102"/>
        </w:trPr>
        <w:tc>
          <w:tcPr>
            <w:tcW w:w="1400" w:type="dxa"/>
            <w:vAlign w:val="bottom"/>
            <w:vMerge w:val="continue"/>
            <w:shd w:val="clear" w:color="auto" w:fill="EAEFF7"/>
          </w:tcPr>
          <w:p>
            <w:pPr>
              <w:spacing w:after="0"/>
              <w:rPr>
                <w:sz w:val="8"/>
                <w:szCs w:val="8"/>
                <w:color w:val="auto"/>
              </w:rPr>
            </w:pPr>
          </w:p>
        </w:tc>
        <w:tc>
          <w:tcPr>
            <w:tcW w:w="2480" w:type="dxa"/>
            <w:vAlign w:val="bottom"/>
            <w:vMerge w:val="continue"/>
            <w:shd w:val="clear" w:color="auto" w:fill="EAEFF7"/>
          </w:tcPr>
          <w:p>
            <w:pPr>
              <w:spacing w:after="0"/>
              <w:rPr>
                <w:sz w:val="8"/>
                <w:szCs w:val="8"/>
                <w:color w:val="auto"/>
              </w:rPr>
            </w:pPr>
          </w:p>
        </w:tc>
        <w:tc>
          <w:tcPr>
            <w:tcW w:w="1920" w:type="dxa"/>
            <w:vAlign w:val="bottom"/>
            <w:vMerge w:val="continue"/>
            <w:shd w:val="clear" w:color="auto" w:fill="EAEFF7"/>
          </w:tcPr>
          <w:p>
            <w:pPr>
              <w:spacing w:after="0"/>
              <w:rPr>
                <w:sz w:val="8"/>
                <w:szCs w:val="8"/>
                <w:color w:val="auto"/>
              </w:rPr>
            </w:pPr>
          </w:p>
        </w:tc>
        <w:tc>
          <w:tcPr>
            <w:tcW w:w="3420" w:type="dxa"/>
            <w:vAlign w:val="bottom"/>
            <w:vMerge w:val="restart"/>
            <w:shd w:val="clear" w:color="auto" w:fill="EAEFF7"/>
          </w:tcPr>
          <w:p>
            <w:pPr>
              <w:jc w:val="center"/>
              <w:ind w:right="57"/>
              <w:spacing w:after="0"/>
              <w:rPr>
                <w:sz w:val="20"/>
                <w:szCs w:val="20"/>
                <w:color w:val="auto"/>
              </w:rPr>
            </w:pPr>
            <w:r>
              <w:rPr>
                <w:rFonts w:ascii="Arial" w:cs="Arial" w:eastAsia="Arial" w:hAnsi="Arial"/>
                <w:sz w:val="13"/>
                <w:szCs w:val="13"/>
                <w:color w:val="auto"/>
                <w:w w:val="95"/>
              </w:rPr>
              <w:t>neuronal survival</w:t>
            </w:r>
          </w:p>
        </w:tc>
        <w:tc>
          <w:tcPr>
            <w:tcW w:w="2020" w:type="dxa"/>
            <w:vAlign w:val="bottom"/>
            <w:vMerge w:val="continue"/>
            <w:shd w:val="clear" w:color="auto" w:fill="EAEFF7"/>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1400" w:type="dxa"/>
            <w:vAlign w:val="bottom"/>
            <w:shd w:val="clear" w:color="auto" w:fill="EAEFF7"/>
          </w:tcPr>
          <w:p>
            <w:pPr>
              <w:spacing w:after="0"/>
              <w:rPr>
                <w:sz w:val="4"/>
                <w:szCs w:val="4"/>
                <w:color w:val="auto"/>
              </w:rPr>
            </w:pPr>
          </w:p>
        </w:tc>
        <w:tc>
          <w:tcPr>
            <w:tcW w:w="2480" w:type="dxa"/>
            <w:vAlign w:val="bottom"/>
            <w:vMerge w:val="restart"/>
            <w:shd w:val="clear" w:color="auto" w:fill="EAEFF7"/>
          </w:tcPr>
          <w:p>
            <w:pPr>
              <w:jc w:val="center"/>
              <w:ind w:left="97"/>
              <w:spacing w:after="0"/>
              <w:rPr>
                <w:sz w:val="20"/>
                <w:szCs w:val="20"/>
                <w:color w:val="auto"/>
              </w:rPr>
            </w:pPr>
            <w:r>
              <w:rPr>
                <w:rFonts w:ascii="Arial" w:cs="Arial" w:eastAsia="Arial" w:hAnsi="Arial"/>
                <w:sz w:val="13"/>
                <w:szCs w:val="13"/>
                <w:color w:val="auto"/>
              </w:rPr>
              <w:t>(rat)</w:t>
            </w:r>
          </w:p>
        </w:tc>
        <w:tc>
          <w:tcPr>
            <w:tcW w:w="1920" w:type="dxa"/>
            <w:vAlign w:val="bottom"/>
            <w:shd w:val="clear" w:color="auto" w:fill="EAEFF7"/>
          </w:tcPr>
          <w:p>
            <w:pPr>
              <w:spacing w:after="0"/>
              <w:rPr>
                <w:sz w:val="4"/>
                <w:szCs w:val="4"/>
                <w:color w:val="auto"/>
              </w:rPr>
            </w:pPr>
          </w:p>
        </w:tc>
        <w:tc>
          <w:tcPr>
            <w:tcW w:w="3420" w:type="dxa"/>
            <w:vAlign w:val="bottom"/>
            <w:vMerge w:val="continue"/>
            <w:shd w:val="clear" w:color="auto" w:fill="EAEFF7"/>
          </w:tcPr>
          <w:p>
            <w:pPr>
              <w:spacing w:after="0"/>
              <w:rPr>
                <w:sz w:val="4"/>
                <w:szCs w:val="4"/>
                <w:color w:val="auto"/>
              </w:rPr>
            </w:pPr>
          </w:p>
        </w:tc>
        <w:tc>
          <w:tcPr>
            <w:tcW w:w="2020" w:type="dxa"/>
            <w:vAlign w:val="bottom"/>
            <w:vMerge w:val="restart"/>
            <w:shd w:val="clear" w:color="auto" w:fill="EAEFF7"/>
          </w:tcPr>
          <w:p>
            <w:pPr>
              <w:jc w:val="center"/>
              <w:ind w:right="197"/>
              <w:spacing w:after="0"/>
              <w:rPr>
                <w:sz w:val="20"/>
                <w:szCs w:val="20"/>
                <w:color w:val="auto"/>
              </w:rPr>
            </w:pPr>
            <w:r>
              <w:rPr>
                <w:rFonts w:ascii="Arial" w:cs="Arial" w:eastAsia="Arial" w:hAnsi="Arial"/>
                <w:sz w:val="13"/>
                <w:szCs w:val="13"/>
                <w:color w:val="auto"/>
                <w:w w:val="96"/>
              </w:rPr>
              <w:t>2004</w:t>
            </w:r>
          </w:p>
        </w:tc>
        <w:tc>
          <w:tcPr>
            <w:tcW w:w="0" w:type="dxa"/>
            <w:vAlign w:val="bottom"/>
          </w:tcPr>
          <w:p>
            <w:pPr>
              <w:spacing w:after="0"/>
              <w:rPr>
                <w:sz w:val="1"/>
                <w:szCs w:val="1"/>
                <w:color w:val="auto"/>
              </w:rPr>
            </w:pPr>
          </w:p>
        </w:tc>
      </w:tr>
      <w:tr>
        <w:trPr>
          <w:trHeight w:val="148"/>
        </w:trPr>
        <w:tc>
          <w:tcPr>
            <w:tcW w:w="1400" w:type="dxa"/>
            <w:vAlign w:val="bottom"/>
            <w:shd w:val="clear" w:color="auto" w:fill="EAEFF7"/>
          </w:tcPr>
          <w:p>
            <w:pPr>
              <w:spacing w:after="0"/>
              <w:rPr>
                <w:sz w:val="12"/>
                <w:szCs w:val="12"/>
                <w:color w:val="auto"/>
              </w:rPr>
            </w:pPr>
          </w:p>
        </w:tc>
        <w:tc>
          <w:tcPr>
            <w:tcW w:w="2480" w:type="dxa"/>
            <w:vAlign w:val="bottom"/>
            <w:vMerge w:val="continue"/>
            <w:shd w:val="clear" w:color="auto" w:fill="EAEFF7"/>
          </w:tcPr>
          <w:p>
            <w:pPr>
              <w:spacing w:after="0"/>
              <w:rPr>
                <w:sz w:val="12"/>
                <w:szCs w:val="12"/>
                <w:color w:val="auto"/>
              </w:rPr>
            </w:pPr>
          </w:p>
        </w:tc>
        <w:tc>
          <w:tcPr>
            <w:tcW w:w="1920" w:type="dxa"/>
            <w:vAlign w:val="bottom"/>
            <w:shd w:val="clear" w:color="auto" w:fill="EAEFF7"/>
          </w:tcPr>
          <w:p>
            <w:pPr>
              <w:spacing w:after="0"/>
              <w:rPr>
                <w:sz w:val="12"/>
                <w:szCs w:val="12"/>
                <w:color w:val="auto"/>
              </w:rPr>
            </w:pPr>
          </w:p>
        </w:tc>
        <w:tc>
          <w:tcPr>
            <w:tcW w:w="3420" w:type="dxa"/>
            <w:vAlign w:val="bottom"/>
            <w:shd w:val="clear" w:color="auto" w:fill="EAEFF7"/>
          </w:tcPr>
          <w:p>
            <w:pPr>
              <w:spacing w:after="0"/>
              <w:rPr>
                <w:sz w:val="12"/>
                <w:szCs w:val="12"/>
                <w:color w:val="auto"/>
              </w:rPr>
            </w:pPr>
          </w:p>
        </w:tc>
        <w:tc>
          <w:tcPr>
            <w:tcW w:w="2020" w:type="dxa"/>
            <w:vAlign w:val="bottom"/>
            <w:vMerge w:val="continue"/>
            <w:shd w:val="clear" w:color="auto" w:fill="EAEFF7"/>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96"/>
              </w:rPr>
              <w:t>Spinal cord injury</w:t>
            </w:r>
          </w:p>
        </w:tc>
        <w:tc>
          <w:tcPr>
            <w:tcW w:w="2480" w:type="dxa"/>
            <w:vAlign w:val="bottom"/>
            <w:vMerge w:val="restart"/>
          </w:tcPr>
          <w:p>
            <w:pPr>
              <w:jc w:val="center"/>
              <w:ind w:left="77"/>
              <w:spacing w:after="0"/>
              <w:rPr>
                <w:sz w:val="20"/>
                <w:szCs w:val="20"/>
                <w:color w:val="auto"/>
              </w:rPr>
            </w:pPr>
            <w:r>
              <w:rPr>
                <w:rFonts w:ascii="Arial" w:cs="Arial" w:eastAsia="Arial" w:hAnsi="Arial"/>
                <w:sz w:val="13"/>
                <w:szCs w:val="13"/>
                <w:color w:val="auto"/>
                <w:w w:val="93"/>
              </w:rPr>
              <w:t>Trauma</w:t>
            </w:r>
          </w:p>
        </w:tc>
        <w:tc>
          <w:tcPr>
            <w:tcW w:w="1920" w:type="dxa"/>
            <w:vAlign w:val="bottom"/>
            <w:vMerge w:val="restart"/>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tcPr>
          <w:p>
            <w:pPr>
              <w:jc w:val="center"/>
              <w:ind w:right="37"/>
              <w:spacing w:after="0" w:line="127" w:lineRule="exact"/>
              <w:rPr>
                <w:sz w:val="20"/>
                <w:szCs w:val="20"/>
                <w:color w:val="auto"/>
              </w:rPr>
            </w:pPr>
            <w:r>
              <w:rPr>
                <w:rFonts w:ascii="Arial" w:cs="Arial" w:eastAsia="Arial" w:hAnsi="Arial"/>
                <w:sz w:val="13"/>
                <w:szCs w:val="13"/>
                <w:color w:val="auto"/>
                <w:w w:val="96"/>
              </w:rPr>
              <w:t>Promoted neuron survival and axonal regrowth,</w:t>
            </w: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6"/>
              </w:rPr>
              <w:t>Kitamura et. al. 2007</w:t>
            </w:r>
          </w:p>
        </w:tc>
        <w:tc>
          <w:tcPr>
            <w:tcW w:w="0" w:type="dxa"/>
            <w:vAlign w:val="bottom"/>
          </w:tcPr>
          <w:p>
            <w:pPr>
              <w:spacing w:after="0"/>
              <w:rPr>
                <w:sz w:val="1"/>
                <w:szCs w:val="1"/>
                <w:color w:val="auto"/>
              </w:rPr>
            </w:pPr>
          </w:p>
        </w:tc>
      </w:tr>
      <w:tr>
        <w:trPr>
          <w:trHeight w:val="102"/>
        </w:trPr>
        <w:tc>
          <w:tcPr>
            <w:tcW w:w="1400" w:type="dxa"/>
            <w:vAlign w:val="bottom"/>
            <w:vMerge w:val="continue"/>
          </w:tcPr>
          <w:p>
            <w:pPr>
              <w:spacing w:after="0"/>
              <w:rPr>
                <w:sz w:val="8"/>
                <w:szCs w:val="8"/>
                <w:color w:val="auto"/>
              </w:rPr>
            </w:pPr>
          </w:p>
        </w:tc>
        <w:tc>
          <w:tcPr>
            <w:tcW w:w="2480" w:type="dxa"/>
            <w:vAlign w:val="bottom"/>
            <w:vMerge w:val="continue"/>
          </w:tcPr>
          <w:p>
            <w:pPr>
              <w:spacing w:after="0"/>
              <w:rPr>
                <w:sz w:val="8"/>
                <w:szCs w:val="8"/>
                <w:color w:val="auto"/>
              </w:rPr>
            </w:pPr>
          </w:p>
        </w:tc>
        <w:tc>
          <w:tcPr>
            <w:tcW w:w="1920" w:type="dxa"/>
            <w:vAlign w:val="bottom"/>
            <w:vMerge w:val="continue"/>
          </w:tcPr>
          <w:p>
            <w:pPr>
              <w:spacing w:after="0"/>
              <w:rPr>
                <w:sz w:val="8"/>
                <w:szCs w:val="8"/>
                <w:color w:val="auto"/>
              </w:rPr>
            </w:pPr>
          </w:p>
        </w:tc>
        <w:tc>
          <w:tcPr>
            <w:tcW w:w="3420" w:type="dxa"/>
            <w:vAlign w:val="bottom"/>
            <w:vMerge w:val="restart"/>
          </w:tcPr>
          <w:p>
            <w:pPr>
              <w:jc w:val="center"/>
              <w:ind w:right="57"/>
              <w:spacing w:after="0"/>
              <w:rPr>
                <w:sz w:val="20"/>
                <w:szCs w:val="20"/>
                <w:color w:val="auto"/>
              </w:rPr>
            </w:pPr>
            <w:r>
              <w:rPr>
                <w:rFonts w:ascii="Arial" w:cs="Arial" w:eastAsia="Arial" w:hAnsi="Arial"/>
                <w:sz w:val="13"/>
                <w:szCs w:val="13"/>
                <w:color w:val="auto"/>
                <w:w w:val="97"/>
              </w:rPr>
              <w:t>improved functional recovery</w:t>
            </w:r>
          </w:p>
        </w:tc>
        <w:tc>
          <w:tcPr>
            <w:tcW w:w="2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400" w:type="dxa"/>
            <w:vAlign w:val="bottom"/>
          </w:tcPr>
          <w:p>
            <w:pPr>
              <w:spacing w:after="0"/>
              <w:rPr>
                <w:sz w:val="5"/>
                <w:szCs w:val="5"/>
                <w:color w:val="auto"/>
              </w:rPr>
            </w:pPr>
          </w:p>
        </w:tc>
        <w:tc>
          <w:tcPr>
            <w:tcW w:w="2480" w:type="dxa"/>
            <w:vAlign w:val="bottom"/>
            <w:vMerge w:val="restart"/>
          </w:tcPr>
          <w:p>
            <w:pPr>
              <w:jc w:val="center"/>
              <w:ind w:left="97"/>
              <w:spacing w:after="0"/>
              <w:rPr>
                <w:sz w:val="20"/>
                <w:szCs w:val="20"/>
                <w:color w:val="auto"/>
              </w:rPr>
            </w:pPr>
            <w:r>
              <w:rPr>
                <w:rFonts w:ascii="Arial" w:cs="Arial" w:eastAsia="Arial" w:hAnsi="Arial"/>
                <w:sz w:val="13"/>
                <w:szCs w:val="13"/>
                <w:color w:val="auto"/>
              </w:rPr>
              <w:t>(rat)</w:t>
            </w:r>
          </w:p>
        </w:tc>
        <w:tc>
          <w:tcPr>
            <w:tcW w:w="192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2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2480" w:type="dxa"/>
            <w:vAlign w:val="bottom"/>
            <w:vMerge w:val="continue"/>
          </w:tcPr>
          <w:p>
            <w:pPr>
              <w:spacing w:after="0"/>
              <w:rPr>
                <w:sz w:val="11"/>
                <w:szCs w:val="11"/>
                <w:color w:val="auto"/>
              </w:rPr>
            </w:pPr>
          </w:p>
        </w:tc>
        <w:tc>
          <w:tcPr>
            <w:tcW w:w="19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400" w:type="dxa"/>
            <w:vAlign w:val="bottom"/>
            <w:vMerge w:val="restart"/>
            <w:shd w:val="clear" w:color="auto" w:fill="EAEFF7"/>
          </w:tcPr>
          <w:p>
            <w:pPr>
              <w:jc w:val="center"/>
              <w:spacing w:after="0"/>
              <w:rPr>
                <w:sz w:val="20"/>
                <w:szCs w:val="20"/>
                <w:color w:val="auto"/>
              </w:rPr>
            </w:pPr>
            <w:r>
              <w:rPr>
                <w:rFonts w:ascii="Arial" w:cs="Arial" w:eastAsia="Arial" w:hAnsi="Arial"/>
                <w:sz w:val="13"/>
                <w:szCs w:val="13"/>
                <w:color w:val="auto"/>
              </w:rPr>
              <w:t>MS</w:t>
            </w:r>
          </w:p>
        </w:tc>
        <w:tc>
          <w:tcPr>
            <w:tcW w:w="2480" w:type="dxa"/>
            <w:vAlign w:val="bottom"/>
            <w:vMerge w:val="restart"/>
            <w:shd w:val="clear" w:color="auto" w:fill="EAEFF7"/>
          </w:tcPr>
          <w:p>
            <w:pPr>
              <w:jc w:val="center"/>
              <w:ind w:left="77"/>
              <w:spacing w:after="0"/>
              <w:rPr>
                <w:sz w:val="20"/>
                <w:szCs w:val="20"/>
                <w:color w:val="auto"/>
              </w:rPr>
            </w:pPr>
            <w:r>
              <w:rPr>
                <w:rFonts w:ascii="Arial" w:cs="Arial" w:eastAsia="Arial" w:hAnsi="Arial"/>
                <w:sz w:val="13"/>
                <w:szCs w:val="13"/>
                <w:color w:val="auto"/>
                <w:w w:val="99"/>
              </w:rPr>
              <w:t>EAE</w:t>
            </w:r>
          </w:p>
        </w:tc>
        <w:tc>
          <w:tcPr>
            <w:tcW w:w="1920" w:type="dxa"/>
            <w:vAlign w:val="bottom"/>
            <w:vMerge w:val="restart"/>
            <w:shd w:val="clear" w:color="auto" w:fill="EAEFF7"/>
          </w:tcPr>
          <w:p>
            <w:pPr>
              <w:jc w:val="center"/>
              <w:ind w:left="237"/>
              <w:spacing w:after="0"/>
              <w:rPr>
                <w:sz w:val="20"/>
                <w:szCs w:val="20"/>
                <w:color w:val="auto"/>
              </w:rPr>
            </w:pPr>
            <w:r>
              <w:rPr>
                <w:rFonts w:ascii="Arial" w:cs="Arial" w:eastAsia="Arial" w:hAnsi="Arial"/>
                <w:sz w:val="13"/>
                <w:szCs w:val="13"/>
                <w:color w:val="auto"/>
                <w:w w:val="97"/>
              </w:rPr>
              <w:t>Injection of HGF protein</w:t>
            </w:r>
          </w:p>
        </w:tc>
        <w:tc>
          <w:tcPr>
            <w:tcW w:w="3420" w:type="dxa"/>
            <w:vAlign w:val="bottom"/>
            <w:shd w:val="clear" w:color="auto" w:fill="EAEFF7"/>
          </w:tcPr>
          <w:p>
            <w:pPr>
              <w:jc w:val="center"/>
              <w:ind w:right="57"/>
              <w:spacing w:after="0" w:line="127" w:lineRule="exact"/>
              <w:rPr>
                <w:sz w:val="20"/>
                <w:szCs w:val="20"/>
                <w:color w:val="auto"/>
              </w:rPr>
            </w:pPr>
            <w:r>
              <w:rPr>
                <w:rFonts w:ascii="Arial" w:cs="Arial" w:eastAsia="Arial" w:hAnsi="Arial"/>
                <w:sz w:val="13"/>
                <w:szCs w:val="13"/>
                <w:color w:val="auto"/>
                <w:w w:val="96"/>
              </w:rPr>
              <w:t>Promoted remyelination of damaged axons, improved</w:t>
            </w:r>
          </w:p>
        </w:tc>
        <w:tc>
          <w:tcPr>
            <w:tcW w:w="2020" w:type="dxa"/>
            <w:vAlign w:val="bottom"/>
            <w:vMerge w:val="restart"/>
            <w:shd w:val="clear" w:color="auto" w:fill="EAEFF7"/>
          </w:tcPr>
          <w:p>
            <w:pPr>
              <w:jc w:val="center"/>
              <w:ind w:right="197"/>
              <w:spacing w:after="0"/>
              <w:rPr>
                <w:sz w:val="20"/>
                <w:szCs w:val="20"/>
                <w:color w:val="auto"/>
              </w:rPr>
            </w:pPr>
            <w:r>
              <w:rPr>
                <w:rFonts w:ascii="Arial" w:cs="Arial" w:eastAsia="Arial" w:hAnsi="Arial"/>
                <w:sz w:val="13"/>
                <w:szCs w:val="13"/>
                <w:color w:val="auto"/>
                <w:w w:val="96"/>
              </w:rPr>
              <w:t>Bai et al., 2012</w:t>
            </w:r>
          </w:p>
        </w:tc>
        <w:tc>
          <w:tcPr>
            <w:tcW w:w="0" w:type="dxa"/>
            <w:vAlign w:val="bottom"/>
          </w:tcPr>
          <w:p>
            <w:pPr>
              <w:spacing w:after="0"/>
              <w:rPr>
                <w:sz w:val="1"/>
                <w:szCs w:val="1"/>
                <w:color w:val="auto"/>
              </w:rPr>
            </w:pPr>
          </w:p>
        </w:tc>
      </w:tr>
      <w:tr>
        <w:trPr>
          <w:trHeight w:val="102"/>
        </w:trPr>
        <w:tc>
          <w:tcPr>
            <w:tcW w:w="1400" w:type="dxa"/>
            <w:vAlign w:val="bottom"/>
            <w:vMerge w:val="continue"/>
            <w:shd w:val="clear" w:color="auto" w:fill="EAEFF7"/>
          </w:tcPr>
          <w:p>
            <w:pPr>
              <w:spacing w:after="0"/>
              <w:rPr>
                <w:sz w:val="8"/>
                <w:szCs w:val="8"/>
                <w:color w:val="auto"/>
              </w:rPr>
            </w:pPr>
          </w:p>
        </w:tc>
        <w:tc>
          <w:tcPr>
            <w:tcW w:w="2480" w:type="dxa"/>
            <w:vAlign w:val="bottom"/>
            <w:vMerge w:val="continue"/>
            <w:shd w:val="clear" w:color="auto" w:fill="EAEFF7"/>
          </w:tcPr>
          <w:p>
            <w:pPr>
              <w:spacing w:after="0"/>
              <w:rPr>
                <w:sz w:val="8"/>
                <w:szCs w:val="8"/>
                <w:color w:val="auto"/>
              </w:rPr>
            </w:pPr>
          </w:p>
        </w:tc>
        <w:tc>
          <w:tcPr>
            <w:tcW w:w="1920" w:type="dxa"/>
            <w:vAlign w:val="bottom"/>
            <w:vMerge w:val="continue"/>
            <w:shd w:val="clear" w:color="auto" w:fill="EAEFF7"/>
          </w:tcPr>
          <w:p>
            <w:pPr>
              <w:spacing w:after="0"/>
              <w:rPr>
                <w:sz w:val="8"/>
                <w:szCs w:val="8"/>
                <w:color w:val="auto"/>
              </w:rPr>
            </w:pPr>
          </w:p>
        </w:tc>
        <w:tc>
          <w:tcPr>
            <w:tcW w:w="3420" w:type="dxa"/>
            <w:vAlign w:val="bottom"/>
            <w:vMerge w:val="restart"/>
            <w:shd w:val="clear" w:color="auto" w:fill="EAEFF7"/>
          </w:tcPr>
          <w:p>
            <w:pPr>
              <w:jc w:val="center"/>
              <w:ind w:right="57"/>
              <w:spacing w:after="0"/>
              <w:rPr>
                <w:sz w:val="20"/>
                <w:szCs w:val="20"/>
                <w:color w:val="auto"/>
              </w:rPr>
            </w:pPr>
            <w:r>
              <w:rPr>
                <w:rFonts w:ascii="Arial" w:cs="Arial" w:eastAsia="Arial" w:hAnsi="Arial"/>
                <w:sz w:val="13"/>
                <w:szCs w:val="13"/>
                <w:color w:val="auto"/>
                <w:w w:val="96"/>
              </w:rPr>
              <w:t>clinical scoring</w:t>
            </w:r>
          </w:p>
        </w:tc>
        <w:tc>
          <w:tcPr>
            <w:tcW w:w="2020" w:type="dxa"/>
            <w:vAlign w:val="bottom"/>
            <w:vMerge w:val="continue"/>
            <w:shd w:val="clear" w:color="auto" w:fill="EAEFF7"/>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400" w:type="dxa"/>
            <w:vAlign w:val="bottom"/>
            <w:shd w:val="clear" w:color="auto" w:fill="EAEFF7"/>
          </w:tcPr>
          <w:p>
            <w:pPr>
              <w:spacing w:after="0"/>
              <w:rPr>
                <w:sz w:val="4"/>
                <w:szCs w:val="4"/>
                <w:color w:val="auto"/>
              </w:rPr>
            </w:pPr>
          </w:p>
        </w:tc>
        <w:tc>
          <w:tcPr>
            <w:tcW w:w="2480" w:type="dxa"/>
            <w:vAlign w:val="bottom"/>
            <w:vMerge w:val="restart"/>
            <w:shd w:val="clear" w:color="auto" w:fill="EAEFF7"/>
          </w:tcPr>
          <w:p>
            <w:pPr>
              <w:jc w:val="center"/>
              <w:ind w:left="77"/>
              <w:spacing w:after="0"/>
              <w:rPr>
                <w:sz w:val="20"/>
                <w:szCs w:val="20"/>
                <w:color w:val="auto"/>
              </w:rPr>
            </w:pPr>
            <w:r>
              <w:rPr>
                <w:rFonts w:ascii="Arial" w:cs="Arial" w:eastAsia="Arial" w:hAnsi="Arial"/>
                <w:sz w:val="13"/>
                <w:szCs w:val="13"/>
                <w:color w:val="auto"/>
                <w:w w:val="96"/>
              </w:rPr>
              <w:t>(mouse)</w:t>
            </w:r>
          </w:p>
        </w:tc>
        <w:tc>
          <w:tcPr>
            <w:tcW w:w="1920" w:type="dxa"/>
            <w:vAlign w:val="bottom"/>
            <w:shd w:val="clear" w:color="auto" w:fill="EAEFF7"/>
          </w:tcPr>
          <w:p>
            <w:pPr>
              <w:spacing w:after="0"/>
              <w:rPr>
                <w:sz w:val="4"/>
                <w:szCs w:val="4"/>
                <w:color w:val="auto"/>
              </w:rPr>
            </w:pPr>
          </w:p>
        </w:tc>
        <w:tc>
          <w:tcPr>
            <w:tcW w:w="3420" w:type="dxa"/>
            <w:vAlign w:val="bottom"/>
            <w:vMerge w:val="continue"/>
            <w:shd w:val="clear" w:color="auto" w:fill="EAEFF7"/>
          </w:tcPr>
          <w:p>
            <w:pPr>
              <w:spacing w:after="0"/>
              <w:rPr>
                <w:sz w:val="4"/>
                <w:szCs w:val="4"/>
                <w:color w:val="auto"/>
              </w:rPr>
            </w:pPr>
          </w:p>
        </w:tc>
        <w:tc>
          <w:tcPr>
            <w:tcW w:w="2020" w:type="dxa"/>
            <w:vAlign w:val="bottom"/>
            <w:shd w:val="clear" w:color="auto" w:fill="EAEFF7"/>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EAEFF7"/>
          </w:tcPr>
          <w:p>
            <w:pPr>
              <w:spacing w:after="0"/>
              <w:rPr>
                <w:sz w:val="12"/>
                <w:szCs w:val="12"/>
                <w:color w:val="auto"/>
              </w:rPr>
            </w:pPr>
          </w:p>
        </w:tc>
        <w:tc>
          <w:tcPr>
            <w:tcW w:w="2480" w:type="dxa"/>
            <w:vAlign w:val="bottom"/>
            <w:vMerge w:val="continue"/>
            <w:shd w:val="clear" w:color="auto" w:fill="EAEFF7"/>
          </w:tcPr>
          <w:p>
            <w:pPr>
              <w:spacing w:after="0"/>
              <w:rPr>
                <w:sz w:val="12"/>
                <w:szCs w:val="12"/>
                <w:color w:val="auto"/>
              </w:rPr>
            </w:pPr>
          </w:p>
        </w:tc>
        <w:tc>
          <w:tcPr>
            <w:tcW w:w="1920" w:type="dxa"/>
            <w:vAlign w:val="bottom"/>
            <w:shd w:val="clear" w:color="auto" w:fill="EAEFF7"/>
          </w:tcPr>
          <w:p>
            <w:pPr>
              <w:spacing w:after="0"/>
              <w:rPr>
                <w:sz w:val="12"/>
                <w:szCs w:val="12"/>
                <w:color w:val="auto"/>
              </w:rPr>
            </w:pPr>
          </w:p>
        </w:tc>
        <w:tc>
          <w:tcPr>
            <w:tcW w:w="3420" w:type="dxa"/>
            <w:vAlign w:val="bottom"/>
            <w:shd w:val="clear" w:color="auto" w:fill="EAEFF7"/>
          </w:tcPr>
          <w:p>
            <w:pPr>
              <w:spacing w:after="0"/>
              <w:rPr>
                <w:sz w:val="12"/>
                <w:szCs w:val="12"/>
                <w:color w:val="auto"/>
              </w:rPr>
            </w:pPr>
          </w:p>
        </w:tc>
        <w:tc>
          <w:tcPr>
            <w:tcW w:w="2020" w:type="dxa"/>
            <w:vAlign w:val="bottom"/>
            <w:shd w:val="clear" w:color="auto" w:fill="EAEFF7"/>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400" w:type="dxa"/>
            <w:vAlign w:val="bottom"/>
          </w:tcPr>
          <w:p>
            <w:pPr>
              <w:spacing w:after="0"/>
              <w:rPr>
                <w:sz w:val="11"/>
                <w:szCs w:val="11"/>
                <w:color w:val="auto"/>
              </w:rPr>
            </w:pPr>
          </w:p>
        </w:tc>
        <w:tc>
          <w:tcPr>
            <w:tcW w:w="2480" w:type="dxa"/>
            <w:vAlign w:val="bottom"/>
            <w:vMerge w:val="restart"/>
          </w:tcPr>
          <w:p>
            <w:pPr>
              <w:jc w:val="center"/>
              <w:ind w:left="97"/>
              <w:spacing w:after="0"/>
              <w:rPr>
                <w:sz w:val="20"/>
                <w:szCs w:val="20"/>
                <w:color w:val="auto"/>
              </w:rPr>
            </w:pPr>
            <w:r>
              <w:rPr>
                <w:rFonts w:ascii="Arial" w:cs="Arial" w:eastAsia="Arial" w:hAnsi="Arial"/>
                <w:sz w:val="13"/>
                <w:szCs w:val="13"/>
                <w:color w:val="auto"/>
                <w:w w:val="96"/>
              </w:rPr>
              <w:t>Nerve crush</w:t>
            </w:r>
          </w:p>
        </w:tc>
        <w:tc>
          <w:tcPr>
            <w:tcW w:w="1920" w:type="dxa"/>
            <w:vAlign w:val="bottom"/>
            <w:vMerge w:val="restart"/>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tcPr>
          <w:p>
            <w:pPr>
              <w:jc w:val="center"/>
              <w:ind w:right="57"/>
              <w:spacing w:after="0" w:line="127" w:lineRule="exact"/>
              <w:rPr>
                <w:sz w:val="20"/>
                <w:szCs w:val="20"/>
                <w:color w:val="auto"/>
              </w:rPr>
            </w:pPr>
            <w:r>
              <w:rPr>
                <w:rFonts w:ascii="Arial" w:cs="Arial" w:eastAsia="Arial" w:hAnsi="Arial"/>
                <w:sz w:val="13"/>
                <w:szCs w:val="13"/>
                <w:color w:val="auto"/>
                <w:w w:val="97"/>
              </w:rPr>
              <w:t>Promoted regeneration of nerve tissue by recruitment</w:t>
            </w: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96"/>
              </w:rPr>
              <w:t>Peripheral neuropathy</w:t>
            </w:r>
          </w:p>
        </w:tc>
        <w:tc>
          <w:tcPr>
            <w:tcW w:w="2480" w:type="dxa"/>
            <w:vAlign w:val="bottom"/>
            <w:vMerge w:val="continue"/>
          </w:tcPr>
          <w:p>
            <w:pPr>
              <w:spacing w:after="0"/>
              <w:rPr>
                <w:sz w:val="8"/>
                <w:szCs w:val="8"/>
                <w:color w:val="auto"/>
              </w:rPr>
            </w:pPr>
          </w:p>
        </w:tc>
        <w:tc>
          <w:tcPr>
            <w:tcW w:w="1920" w:type="dxa"/>
            <w:vAlign w:val="bottom"/>
            <w:vMerge w:val="continue"/>
          </w:tcPr>
          <w:p>
            <w:pPr>
              <w:spacing w:after="0"/>
              <w:rPr>
                <w:sz w:val="8"/>
                <w:szCs w:val="8"/>
                <w:color w:val="auto"/>
              </w:rPr>
            </w:pPr>
          </w:p>
        </w:tc>
        <w:tc>
          <w:tcPr>
            <w:tcW w:w="3420" w:type="dxa"/>
            <w:vAlign w:val="bottom"/>
            <w:vMerge w:val="restart"/>
          </w:tcPr>
          <w:p>
            <w:pPr>
              <w:jc w:val="center"/>
              <w:ind w:right="57"/>
              <w:spacing w:after="0"/>
              <w:rPr>
                <w:sz w:val="20"/>
                <w:szCs w:val="20"/>
                <w:color w:val="auto"/>
              </w:rPr>
            </w:pPr>
            <w:r>
              <w:rPr>
                <w:rFonts w:ascii="Arial" w:cs="Arial" w:eastAsia="Arial" w:hAnsi="Arial"/>
                <w:sz w:val="13"/>
                <w:szCs w:val="13"/>
                <w:color w:val="auto"/>
                <w:w w:val="97"/>
              </w:rPr>
              <w:t>of Schwann cells and remyelination</w:t>
            </w: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5"/>
              </w:rPr>
              <w:t>Ko et al., 2018</w:t>
            </w:r>
          </w:p>
        </w:tc>
        <w:tc>
          <w:tcPr>
            <w:tcW w:w="0" w:type="dxa"/>
            <w:vAlign w:val="bottom"/>
          </w:tcPr>
          <w:p>
            <w:pPr>
              <w:spacing w:after="0"/>
              <w:rPr>
                <w:sz w:val="1"/>
                <w:szCs w:val="1"/>
                <w:color w:val="auto"/>
              </w:rPr>
            </w:pPr>
          </w:p>
        </w:tc>
      </w:tr>
      <w:tr>
        <w:trPr>
          <w:trHeight w:val="62"/>
        </w:trPr>
        <w:tc>
          <w:tcPr>
            <w:tcW w:w="1400" w:type="dxa"/>
            <w:vAlign w:val="bottom"/>
            <w:vMerge w:val="continue"/>
          </w:tcPr>
          <w:p>
            <w:pPr>
              <w:spacing w:after="0"/>
              <w:rPr>
                <w:sz w:val="5"/>
                <w:szCs w:val="5"/>
                <w:color w:val="auto"/>
              </w:rPr>
            </w:pPr>
          </w:p>
        </w:tc>
        <w:tc>
          <w:tcPr>
            <w:tcW w:w="24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2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2480"/>
        <w:spacing w:after="0"/>
        <w:rPr>
          <w:sz w:val="20"/>
          <w:szCs w:val="20"/>
          <w:color w:val="auto"/>
        </w:rPr>
      </w:pPr>
      <w:r>
        <w:rPr>
          <w:rFonts w:ascii="Arial" w:cs="Arial" w:eastAsia="Arial" w:hAnsi="Arial"/>
          <w:sz w:val="13"/>
          <w:szCs w:val="13"/>
          <w:color w:val="auto"/>
        </w:rPr>
        <w:t>(mouse)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i w:val="1"/>
          <w:iCs w:val="1"/>
          <w:color w:val="auto"/>
        </w:rPr>
        <w:t>6-OHDA: 6-hydroxydopamine; BDNF: brain-derived neurotrophic factor; EAE: experimental autoimmune encephalomyelitis</w:t>
      </w:r>
    </w:p>
    <w:p>
      <w:pPr>
        <w:spacing w:after="0" w:line="193" w:lineRule="exact"/>
        <w:rPr>
          <w:sz w:val="20"/>
          <w:szCs w:val="20"/>
          <w:color w:val="auto"/>
        </w:rPr>
      </w:pPr>
    </w:p>
    <w:p>
      <w:pPr>
        <w:ind w:right="320" w:firstLine="569"/>
        <w:spacing w:after="0" w:line="248" w:lineRule="auto"/>
        <w:rPr>
          <w:sz w:val="20"/>
          <w:szCs w:val="20"/>
          <w:color w:val="auto"/>
        </w:rPr>
      </w:pPr>
      <w:r>
        <w:rPr>
          <w:rFonts w:ascii="Arial" w:cs="Arial" w:eastAsia="Arial" w:hAnsi="Arial"/>
          <w:sz w:val="18"/>
          <w:szCs w:val="18"/>
          <w:color w:val="auto"/>
        </w:rPr>
        <w:t>As demonstrated by these studies, HGF/MET has long been known as a promising therapeutic target for CNS disorders, but the delivery of large proteins or gene therapy to the CNS to augment HGF/MET has been problematic and fraught with challenges. These approaches are not BBB-penetrating and require invasive methods to deliver to the CNS, which increases the risk of an immune reaction. Further, they are also expensive and more challenging to scale which might limit their availability to patients.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Challenges with Approved and Traditional Neuronal and AD Therapy Approaches</w:t>
      </w:r>
    </w:p>
    <w:p>
      <w:pPr>
        <w:spacing w:after="0" w:line="106" w:lineRule="exact"/>
        <w:rPr>
          <w:sz w:val="20"/>
          <w:szCs w:val="20"/>
          <w:color w:val="auto"/>
        </w:rPr>
      </w:pPr>
    </w:p>
    <w:p>
      <w:pPr>
        <w:ind w:right="100" w:firstLine="576"/>
        <w:spacing w:after="0" w:line="245" w:lineRule="auto"/>
        <w:rPr>
          <w:sz w:val="20"/>
          <w:szCs w:val="20"/>
          <w:color w:val="auto"/>
        </w:rPr>
      </w:pPr>
      <w:r>
        <w:rPr>
          <w:rFonts w:ascii="Arial" w:cs="Arial" w:eastAsia="Arial" w:hAnsi="Arial"/>
          <w:sz w:val="18"/>
          <w:szCs w:val="18"/>
          <w:color w:val="auto"/>
        </w:rPr>
        <w:t>The development of neuronal therapies presents unique challenges including: an imperfect understanding of the biology, the presence of the BBB that restricts the flow of drugs to the brain, and a lack of translatability of preclinical study results in human trials. Currently approved neuronal therapies have limited efficacy, poor side effect profiles, and minimal impact on quality of life. There remains an urgent need for new and novel approaches to address most neuronal disorders including progressive and severe conditions such as AD, PDD, MS, and others.</w:t>
      </w:r>
    </w:p>
    <w:p>
      <w:pPr>
        <w:spacing w:after="0" w:line="172"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Specific to AD, each of the currently approved therapies only works on a single neurotransmitter target with limited and transient effects on cognition and low tolerability, which negatively impacts compliance and minimally reduces the caregiver burden. Other therapies in development that target a slowdown in disease progression have a marginal benefit on clinical decline and are mainly focused on mild cognitive impairment, or MCI, and early-mild AD, and lack any immediate benefit in reducing the burden on people impacted by the disease. These approaches rely on the body’s repair mechanisms, which may be damaged, and do not promote additional activation of regenerative pathways. This can lead to variability of treatment outcomes and longer clinical development timelines.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2" w:name="page113"/>
    <w:bookmarkEnd w:id="112"/>
    <w:p>
      <w:pPr>
        <w:ind w:firstLine="576"/>
        <w:spacing w:after="0" w:line="243" w:lineRule="auto"/>
        <w:rPr>
          <w:sz w:val="20"/>
          <w:szCs w:val="20"/>
          <w:color w:val="auto"/>
        </w:rPr>
      </w:pPr>
      <w:r>
        <w:rPr>
          <w:rFonts w:ascii="Arial" w:cs="Arial" w:eastAsia="Arial" w:hAnsi="Arial"/>
          <w:sz w:val="18"/>
          <w:szCs w:val="18"/>
          <w:color w:val="auto"/>
        </w:rPr>
        <w:t>Further complicating drug development in AD has been the lack of utilization of biomarkers and measures that are able to detect early signs of efficacy and find promising candidates to take forward into larger trials. These methods have revolutionized clinical research in oncology and other therapeutic areas, but traditionally not in AD. Historically, AD testing in clinical trials has relied heavily on imaging techniques to assess changes in amyloid PET scans over several years, creating enormous costs and elongated timelines for the development process while not showing any direct correlation to cognitive functional improvement. We believe that these traditional methods can be replaced or supplemented by the use of rapid, non-invasive markers of brain activity and cognitive processing, like EEG and ERP.</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Differentiated Approach</w:t>
      </w:r>
    </w:p>
    <w:p>
      <w:pPr>
        <w:spacing w:after="0" w:line="106" w:lineRule="exact"/>
        <w:rPr>
          <w:sz w:val="20"/>
          <w:szCs w:val="20"/>
          <w:color w:val="auto"/>
        </w:rPr>
      </w:pPr>
    </w:p>
    <w:p>
      <w:pPr>
        <w:ind w:right="80" w:firstLine="576"/>
        <w:spacing w:after="0" w:line="255" w:lineRule="auto"/>
        <w:rPr>
          <w:sz w:val="20"/>
          <w:szCs w:val="20"/>
          <w:color w:val="auto"/>
        </w:rPr>
      </w:pPr>
      <w:r>
        <w:rPr>
          <w:rFonts w:ascii="Arial" w:cs="Arial" w:eastAsia="Arial" w:hAnsi="Arial"/>
          <w:sz w:val="18"/>
          <w:szCs w:val="18"/>
          <w:color w:val="auto"/>
        </w:rPr>
        <w:t>We believe our ATH platform of small molecules will promote neuronal health and function through stimulating the HGF/MET system. Our small molecules are BBB-penetrating, can be delivered non-invasively, have very low risk of an immune reaction and are more cost efficient to manufacture and distribute. Boosting the HGF/MET system leads to the following primary downstream effects:</w:t>
      </w:r>
    </w:p>
    <w:p>
      <w:pPr>
        <w:spacing w:after="0" w:line="56" w:lineRule="exact"/>
        <w:rPr>
          <w:sz w:val="20"/>
          <w:szCs w:val="20"/>
          <w:color w:val="auto"/>
        </w:rPr>
      </w:pPr>
    </w:p>
    <w:p>
      <w:pPr>
        <w:ind w:left="1300" w:hanging="442"/>
        <w:spacing w:after="0" w:line="248" w:lineRule="auto"/>
        <w:tabs>
          <w:tab w:leader="none" w:pos="1300" w:val="left"/>
        </w:tabs>
        <w:numPr>
          <w:ilvl w:val="0"/>
          <w:numId w:val="7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Modulation of NMDA neurotransmitter system by enhancing synaptic localization and signaling</w:t>
      </w:r>
      <w:r>
        <w:rPr>
          <w:rFonts w:ascii="Arial" w:cs="Arial" w:eastAsia="Arial" w:hAnsi="Arial"/>
          <w:sz w:val="18"/>
          <w:szCs w:val="18"/>
          <w:color w:val="auto"/>
        </w:rPr>
        <w:t>, leading to a rapid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brain network function. The NMDA receptor plays a key role in memory and learning. Other approaches work directly on the NMDA receptors and lack the specificity to modulate the NMDA receptor to the synaptic cleft, which is required to increase transmission of brain signals.</w:t>
      </w:r>
    </w:p>
    <w:p>
      <w:pPr>
        <w:spacing w:after="0" w:line="61" w:lineRule="exact"/>
        <w:rPr>
          <w:rFonts w:ascii="Times New Roman" w:cs="Times New Roman" w:eastAsia="Times New Roman" w:hAnsi="Times New Roman"/>
          <w:sz w:val="18"/>
          <w:szCs w:val="18"/>
          <w:color w:val="auto"/>
        </w:rPr>
      </w:pPr>
    </w:p>
    <w:p>
      <w:pPr>
        <w:ind w:left="1300" w:right="100" w:hanging="442"/>
        <w:spacing w:after="0" w:line="255" w:lineRule="auto"/>
        <w:tabs>
          <w:tab w:leader="none" w:pos="1300" w:val="left"/>
        </w:tabs>
        <w:numPr>
          <w:ilvl w:val="0"/>
          <w:numId w:val="7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Restoration of traditional neuronal growth factor pathways </w:t>
      </w:r>
      <w:r>
        <w:rPr>
          <w:rFonts w:ascii="Arial" w:cs="Arial" w:eastAsia="Arial" w:hAnsi="Arial"/>
          <w:sz w:val="18"/>
          <w:szCs w:val="18"/>
          <w:color w:val="auto"/>
        </w:rPr>
        <w:t>that are critical to neuronal survival, and activate brain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that reduce oxidative stress, which is expected to reduce damage and slow down disease progression and improve network activity. Many therapies in development are focused only on slowing disease progression.</w:t>
      </w:r>
    </w:p>
    <w:p>
      <w:pPr>
        <w:spacing w:after="0" w:line="54" w:lineRule="exact"/>
        <w:rPr>
          <w:rFonts w:ascii="Times New Roman" w:cs="Times New Roman" w:eastAsia="Times New Roman" w:hAnsi="Times New Roman"/>
          <w:sz w:val="18"/>
          <w:szCs w:val="18"/>
          <w:color w:val="auto"/>
        </w:rPr>
      </w:pPr>
    </w:p>
    <w:p>
      <w:pPr>
        <w:ind w:left="1300" w:right="140" w:hanging="442"/>
        <w:spacing w:after="0" w:line="275" w:lineRule="auto"/>
        <w:tabs>
          <w:tab w:leader="none" w:pos="1300" w:val="left"/>
        </w:tabs>
        <w:numPr>
          <w:ilvl w:val="0"/>
          <w:numId w:val="7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Improvement in cerebral blood flow, as well as reducing inflammation </w:t>
      </w:r>
      <w:r>
        <w:rPr>
          <w:rFonts w:ascii="Arial" w:cs="Arial" w:eastAsia="Arial" w:hAnsi="Arial"/>
          <w:sz w:val="18"/>
          <w:szCs w:val="18"/>
          <w:color w:val="auto"/>
        </w:rPr>
        <w:t>by modulating inflammatory cytokine expression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glia. Many other therapies only have a single mode of activity.</w:t>
      </w:r>
    </w:p>
    <w:p>
      <w:pPr>
        <w:spacing w:after="0" w:line="146" w:lineRule="exact"/>
        <w:rPr>
          <w:sz w:val="20"/>
          <w:szCs w:val="20"/>
          <w:color w:val="auto"/>
        </w:rPr>
      </w:pPr>
    </w:p>
    <w:p>
      <w:pPr>
        <w:ind w:right="180" w:firstLine="576"/>
        <w:spacing w:after="0" w:line="255" w:lineRule="auto"/>
        <w:rPr>
          <w:sz w:val="20"/>
          <w:szCs w:val="20"/>
          <w:color w:val="auto"/>
        </w:rPr>
      </w:pPr>
      <w:r>
        <w:rPr>
          <w:rFonts w:ascii="Arial" w:cs="Arial" w:eastAsia="Arial" w:hAnsi="Arial"/>
          <w:sz w:val="18"/>
          <w:szCs w:val="18"/>
          <w:color w:val="auto"/>
        </w:rPr>
        <w:t>It is our goal to establish in current and future clinical trials that our ATH platform can positively impact neuronal health and function, not only by slowing down disease progression but also by improving brain network activity and function. We believe these effects could position Athira, and initially ATH-1017, to address the complex pathology in neurodegenerative diseases.</w:t>
      </w:r>
    </w:p>
    <w:p>
      <w:pPr>
        <w:spacing w:after="0" w:line="164" w:lineRule="exact"/>
        <w:rPr>
          <w:sz w:val="20"/>
          <w:szCs w:val="20"/>
          <w:color w:val="auto"/>
        </w:rPr>
      </w:pPr>
    </w:p>
    <w:p>
      <w:pPr>
        <w:ind w:right="180" w:firstLine="576"/>
        <w:spacing w:after="0" w:line="276" w:lineRule="auto"/>
        <w:rPr>
          <w:sz w:val="20"/>
          <w:szCs w:val="20"/>
          <w:color w:val="auto"/>
        </w:rPr>
      </w:pPr>
      <w:r>
        <w:rPr>
          <w:rFonts w:ascii="Arial" w:cs="Arial" w:eastAsia="Arial" w:hAnsi="Arial"/>
          <w:sz w:val="18"/>
          <w:szCs w:val="18"/>
          <w:color w:val="auto"/>
        </w:rPr>
        <w:t>We have designed ATH-1017 to enhance the ability of HGF to activate MET. This substantially increases MET activation levels, and amplifies the beneficial effects downstream of the HGF/MET system.</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13" w:name="page114"/>
    <w:bookmarkEnd w:id="113"/>
    <w:p>
      <w:pPr>
        <w:ind w:right="360" w:firstLine="576"/>
        <w:spacing w:after="0" w:line="274" w:lineRule="auto"/>
        <w:rPr>
          <w:sz w:val="20"/>
          <w:szCs w:val="20"/>
          <w:color w:val="auto"/>
        </w:rPr>
      </w:pPr>
      <w:r>
        <w:rPr>
          <w:rFonts w:ascii="Arial" w:cs="Arial" w:eastAsia="Arial" w:hAnsi="Arial"/>
          <w:sz w:val="18"/>
          <w:szCs w:val="18"/>
          <w:i w:val="1"/>
          <w:iCs w:val="1"/>
          <w:color w:val="auto"/>
        </w:rPr>
        <w:t>Figure 5. Our ATH Small Molecule Candidates Are Designed to Enhance the HGF/MET System and Promote Multiple Beneficial Effects with the Potential to Improve Connectivity and Brain Function in Neurodegenerative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107315</wp:posOffset>
            </wp:positionV>
            <wp:extent cx="5349240" cy="40633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349240" cy="4063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By promoting endogenous pro-survival and regenerative mechanisms orchestrated by HGF/MET signaling, our ATH platform is designed to be a novel path to treat AD and neurodegeneration using a systemic approach. Activation of the HGF/MET system captures the modulation of the NMDA neurotransmitter pathway. Modulation of neurotransmitter systems serves as the basis for the four currently approved AD drugs. However, unlike these currently approved AD drugs, ATH-1017 is designed to also activate regenerative and anti-inflammatory pathways. Figure 6 below illustrates the typical timing of the different beneficial effects as an outcome of activating the HGF/MET system.</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686" w:right="459" w:bottom="1440" w:gutter="0" w:footer="0" w:header="0"/>
        </w:sectPr>
      </w:pPr>
    </w:p>
    <w:bookmarkStart w:id="114" w:name="page115"/>
    <w:bookmarkEnd w:id="114"/>
    <w:p>
      <w:pPr>
        <w:ind w:right="100" w:firstLine="576"/>
        <w:spacing w:after="0" w:line="247" w:lineRule="auto"/>
        <w:rPr>
          <w:sz w:val="20"/>
          <w:szCs w:val="20"/>
          <w:color w:val="auto"/>
        </w:rPr>
      </w:pPr>
      <w:r>
        <w:rPr>
          <w:rFonts w:ascii="Arial" w:cs="Arial" w:eastAsia="Arial" w:hAnsi="Arial"/>
          <w:sz w:val="18"/>
          <w:szCs w:val="18"/>
          <w:i w:val="1"/>
          <w:iCs w:val="1"/>
          <w:color w:val="auto"/>
        </w:rPr>
        <w:t xml:space="preserve">Figure 6. Our ATH Candidates Are Designed to Promote the HGF/MET System Which May Lead to Both Rapid and Long-term Beneficial Effects. </w:t>
      </w:r>
      <w:r>
        <w:rPr>
          <w:rFonts w:ascii="Arial" w:cs="Arial" w:eastAsia="Arial" w:hAnsi="Arial"/>
          <w:sz w:val="18"/>
          <w:szCs w:val="18"/>
          <w:color w:val="auto"/>
        </w:rPr>
        <w:t>We believe that following administration of ATH-1017, the HGF/MET system will activate and lead to several downstream</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We anticipate that these effects may rapidly boost cognition with multiple regenerative mechanisms and lead to a stable and sustained recovery of the brain network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123825</wp:posOffset>
            </wp:positionV>
            <wp:extent cx="5349240" cy="22459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34924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780" w:firstLine="576"/>
        <w:spacing w:after="0" w:line="276" w:lineRule="auto"/>
        <w:rPr>
          <w:sz w:val="20"/>
          <w:szCs w:val="20"/>
          <w:color w:val="auto"/>
        </w:rPr>
      </w:pPr>
      <w:r>
        <w:rPr>
          <w:rFonts w:ascii="Arial" w:cs="Arial" w:eastAsia="Arial" w:hAnsi="Arial"/>
          <w:sz w:val="18"/>
          <w:szCs w:val="18"/>
          <w:color w:val="auto"/>
        </w:rPr>
        <w:t>For therapeutic applications in CNS disorders, particularly AD, treatments that target neuronal growth factors can potentially accomplish several therapeutic goals including rapid cognitive improvement and sustained neuroprotective effects.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Highly Translatable and Predictive Measures to Guide Clinical Development</w:t>
      </w:r>
    </w:p>
    <w:p>
      <w:pPr>
        <w:spacing w:after="0" w:line="104" w:lineRule="exact"/>
        <w:rPr>
          <w:sz w:val="20"/>
          <w:szCs w:val="20"/>
          <w:color w:val="auto"/>
        </w:rPr>
      </w:pPr>
    </w:p>
    <w:p>
      <w:pPr>
        <w:ind w:right="320" w:firstLine="576"/>
        <w:spacing w:after="0" w:line="248" w:lineRule="auto"/>
        <w:rPr>
          <w:sz w:val="20"/>
          <w:szCs w:val="20"/>
          <w:color w:val="auto"/>
        </w:rPr>
      </w:pPr>
      <w:r>
        <w:rPr>
          <w:rFonts w:ascii="Arial" w:cs="Arial" w:eastAsia="Arial" w:hAnsi="Arial"/>
          <w:sz w:val="18"/>
          <w:szCs w:val="18"/>
          <w:color w:val="auto"/>
        </w:rPr>
        <w:t>We believe EEG and ERP have the potential to revolutionize the paradigm in AD clinical trials. EEG and ERP methods are highly translatable and predictive measures that can guide clinical dose decisions and provide predictable measures of potential clinical benefit. These methods focus on changes in cognitive processing and function, can result in more efficient and cost-effective clinical trials, and potentially provide an accelerated development path compared to traditional AD drug development programs.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EEG and ERP Methods Reflect Brain Activity and Function</w:t>
      </w:r>
    </w:p>
    <w:p>
      <w:pPr>
        <w:spacing w:after="0" w:line="102"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Our focused drug development approach aims to understand the potential clinical benefit of a product candidate at the early stages of clinical development by utilizing EEG and ERP methods. Commonly used in clinical research and clinical practice, EEG and ERP methods provide valuable insight into cognitive function but have been largely overlooked in AD clinical trials. At Athira, we are innovatively using these non-invasive methods to gain early insight into potential therapeutic effects. Improvement in the brain network, as well as changes in neurotransmitter activity, can be captured in the electrical activity of the brain. EEG methods measure the brain’s electrical activity from electrodes on the scalp. This noninvasive look at brain activity is highly informative and can give insight into the brain penetration and neuroactivity of therapeutics directed to the brain. EEG is a measure of the brain at rest, while ERP is measured from the same electrodes but only arises in response to a task-related stimulus. EEG/ERP methods can give substantial insight into the overall brain health and connectivity, as these measures are significantly altered in disorders that lead to cognitive impairment, such as AD. Certain EEG/ERP components are valuable measures of cognition, such as quantitative EEG, or qEEG, an assessment of high frequency gamma power brain waves, and the P300 latency component of ERP.</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8" w:right="379" w:bottom="1440" w:gutter="0" w:footer="0" w:header="0"/>
        </w:sectPr>
      </w:pPr>
    </w:p>
    <w:bookmarkStart w:id="115" w:name="page116"/>
    <w:bookmarkEnd w:id="115"/>
    <w:p>
      <w:pPr>
        <w:ind w:right="60" w:firstLine="576"/>
        <w:spacing w:after="0" w:line="248" w:lineRule="auto"/>
        <w:rPr>
          <w:sz w:val="20"/>
          <w:szCs w:val="20"/>
          <w:color w:val="auto"/>
        </w:rPr>
      </w:pPr>
      <w:r>
        <w:rPr>
          <w:rFonts w:ascii="Arial" w:cs="Arial" w:eastAsia="Arial" w:hAnsi="Arial"/>
          <w:sz w:val="18"/>
          <w:szCs w:val="18"/>
          <w:color w:val="auto"/>
        </w:rPr>
        <w:t>For ATH-1017, we incorporated a variety of translatable tools and measures into our clinical development plan. These measures, including both qEEG and P300 latency, have guided dose selection and provided predictive measures of cognitive improvement. By focusing on these direct measures of brain activity and cognitive processing, we believe we will be able to develop ATH-1017 more efficiently for treatment of AD and broader dementia.</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Quantitative Electroencephalogram: qEEG</w:t>
      </w:r>
    </w:p>
    <w:p>
      <w:pPr>
        <w:spacing w:after="0" w:line="102" w:lineRule="exact"/>
        <w:rPr>
          <w:sz w:val="20"/>
          <w:szCs w:val="20"/>
          <w:color w:val="auto"/>
        </w:rPr>
      </w:pPr>
    </w:p>
    <w:p>
      <w:pPr>
        <w:ind w:right="160" w:firstLine="576"/>
        <w:spacing w:after="0" w:line="243" w:lineRule="auto"/>
        <w:rPr>
          <w:sz w:val="20"/>
          <w:szCs w:val="20"/>
          <w:color w:val="auto"/>
        </w:rPr>
      </w:pPr>
      <w:r>
        <w:rPr>
          <w:rFonts w:ascii="Arial" w:cs="Arial" w:eastAsia="Arial" w:hAnsi="Arial"/>
          <w:sz w:val="18"/>
          <w:szCs w:val="18"/>
          <w:color w:val="auto"/>
        </w:rPr>
        <w:t>EEG is a way to measure the electrical activity of the brain using small electrodes placed on the scalp. Neurons communicate and perform all functions using electrical impulses. EEG captures this electrical activity through the scalp and displays these electrical impulses as waves, as illustrated in Figure 7 below. The electrical activity will present at different frequencies or waves which provide various insights into neuronal health. We are most focused on the faster, higher frequency gamma waves which are associated with learning, memory formation and higher cognitive functions. qEEG is a method to quantitatively determine the amount of electrical signal that resides in each waveform, often described as power.</w:t>
      </w:r>
    </w:p>
    <w:p>
      <w:pPr>
        <w:spacing w:after="0" w:line="28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7. Noninvasive EEG Recordings Reflect Brain Activity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147320</wp:posOffset>
            </wp:positionV>
            <wp:extent cx="5349240" cy="37719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349240"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Changes in qEEG power or shifts in the amount of activity in each waveform can be caused by several factors including response to stimulus, cognitive state (healthy or dementia), and CNS-directed therapies. Because qEEG is a non-invasive direct measure of brain activity, it represents a valuable tool for investigating therapies in AD and broader dementia. Changes in qEEG signals following administration of therapies targeting the brain indicate the therapy has reached the brain and likely engaged the intended target. Additionally, AD subjects present a general slowing of qEEG, where activity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6" w:name="page117"/>
    <w:bookmarkEnd w:id="116"/>
    <w:p>
      <w:pPr>
        <w:ind w:right="320"/>
        <w:spacing w:after="0" w:line="255" w:lineRule="auto"/>
        <w:rPr>
          <w:sz w:val="20"/>
          <w:szCs w:val="20"/>
          <w:color w:val="auto"/>
        </w:rPr>
      </w:pPr>
      <w:r>
        <w:rPr>
          <w:rFonts w:ascii="Arial" w:cs="Arial" w:eastAsia="Arial" w:hAnsi="Arial"/>
          <w:sz w:val="18"/>
          <w:szCs w:val="18"/>
          <w:color w:val="auto"/>
        </w:rPr>
        <w:t>in higher frequency waves, such as gamma, is reduced. If therapies can reverse this pattern in AD, and increase gamma power, this may suggest treatment has helped improve brain activity. We utilized qEEG in our ATH-1017 Phase 1 clinical trial in healthy young, healthy elderly, and AD subjects as a measure of CNS penetration and target engagement.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Event-related Potential: P300</w:t>
      </w:r>
    </w:p>
    <w:p>
      <w:pPr>
        <w:spacing w:after="0" w:line="102"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ERP refers to changes in the electrical activity of the brain in response to external stimuli. Recording brain activity while a subject is presented with a task reveals neural activity related to cognitive processing. Presenting subjects with a stimulus associated with a task, such as counting specific tones within a sequence, induces a series of electrical peaks that represent cognitive processing and memory access</w:t>
      </w:r>
      <w:r>
        <w:rPr>
          <w:rFonts w:ascii="Arial" w:cs="Arial" w:eastAsia="Arial" w:hAnsi="Arial"/>
          <w:sz w:val="18"/>
          <w:szCs w:val="18"/>
          <w:i w:val="1"/>
          <w:iCs w:val="1"/>
          <w:color w:val="auto"/>
        </w:rPr>
        <w:t>.</w:t>
      </w:r>
      <w:r>
        <w:rPr>
          <w:rFonts w:ascii="Arial" w:cs="Arial" w:eastAsia="Arial" w:hAnsi="Arial"/>
          <w:sz w:val="18"/>
          <w:szCs w:val="18"/>
          <w:color w:val="auto"/>
        </w:rPr>
        <w:t xml:space="preserve"> P300 is the peak positive signal which is reported to typically arise 300 milliseconds after a tone stimulus and is the most studied component of the ERP waveform.</w:t>
      </w:r>
    </w:p>
    <w:p>
      <w:pPr>
        <w:spacing w:after="0" w:line="28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8. ERP Recording with an Auditory Oddball Paradigm.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147320</wp:posOffset>
            </wp:positionV>
            <wp:extent cx="5349240" cy="37719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349240"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The latency, or the amount of time that it takes to reach the peak of the positive wave following the stimulus, is typically reported to be 300 milliseconds in healthy, cognitively normal individuals. Numerous studies have shown that P300 latency is strongly correlated with cognition. P300 latency is increased and continues to worsen as AD and cognitive decline progresses. As an example, P300 latency is expected to be increased in subjects with severe AD, compared to subjects with mild AD. The connection between P300 latency and increased cognitive decline has been characterized in a number of diseases including AD, PDD, Lewy body dementia, Huntington’s, major depressive disorder with cognitive impairment, and traumatic brain injury. Loss of synaptic connections and neuronal dysfunction are well characterized in AD, and likely are the primary causes of the increased P300 latency. Figure 9 below illustrates the latency</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00" w:right="379" w:bottom="1440" w:gutter="0" w:footer="0" w:header="0"/>
        </w:sectPr>
      </w:pPr>
    </w:p>
    <w:bookmarkStart w:id="117" w:name="page118"/>
    <w:bookmarkEnd w:id="117"/>
    <w:p>
      <w:pPr>
        <w:spacing w:after="0" w:line="255" w:lineRule="auto"/>
        <w:rPr>
          <w:sz w:val="20"/>
          <w:szCs w:val="20"/>
          <w:color w:val="auto"/>
        </w:rPr>
      </w:pPr>
      <w:r>
        <w:rPr>
          <w:rFonts w:ascii="Arial" w:cs="Arial" w:eastAsia="Arial" w:hAnsi="Arial"/>
          <w:sz w:val="18"/>
          <w:szCs w:val="18"/>
          <w:color w:val="auto"/>
        </w:rPr>
        <w:t>of cognitive processing as demonstrated by the delayed peaks in P300 in AD subjects compared to healthy, age-matched subjects. While the P300 amplitude is often reported as lower in AD subjects compared to healthy, age-matched subjects, this measure is much less consistent and not as strongly correlated to cognition as latency.</w:t>
      </w:r>
    </w:p>
    <w:p>
      <w:pPr>
        <w:spacing w:after="0" w:line="27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9. ERP Waveforms in AD Subjects Show Increased P300 Latency.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147320</wp:posOffset>
            </wp:positionV>
            <wp:extent cx="4671695" cy="30175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671695"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Insights from Approved Therapies</w:t>
      </w:r>
    </w:p>
    <w:p>
      <w:pPr>
        <w:spacing w:after="0" w:line="104"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Companies with approved therapies have demonstrated parallel improvement in P300 latency and cognition as assessed by the Alzheimer’s Disease Assessment Scale-Cognitive Subscale, or ADAS-cog, as shown in Figure 10 below. ADAS-cog is a neuropsychological assessment used to assess the severity of cognitive symptoms of dementia. While these changes induced by acetylcholinesterase inhibitors are modest and often transient, these previously published results support the correlation of P300 latency and cognition in AD subjects. The magnitude of effects in P300 latency measures for current AD treatments is shown in Figure 10 below. The studies of donepezil and rivastigmine were conducted in patient populations at similar stages of disease (mild to moderate AD with an average P300 latency of 382.7 ms for the donepezil group and 382.3 ms for the rivastigmine group). The P300 methodology used was similar to that of our ATH-1017 study. Both drugs showed a modest improvement in P300 latency, with donepezil demonstrating an improvement of 16 ms and rivastigmine demonstrating an improvement of 22 ms.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00" w:right="359" w:bottom="1440" w:gutter="0" w:footer="0" w:header="0"/>
        </w:sectPr>
      </w:pPr>
    </w:p>
    <w:bookmarkStart w:id="118" w:name="page119"/>
    <w:bookmarkEnd w:id="118"/>
    <w:p>
      <w:pPr>
        <w:ind w:left="580"/>
        <w:spacing w:after="0"/>
        <w:rPr>
          <w:sz w:val="20"/>
          <w:szCs w:val="20"/>
          <w:color w:val="auto"/>
        </w:rPr>
      </w:pPr>
      <w:r>
        <w:rPr>
          <w:rFonts w:ascii="Arial" w:cs="Arial" w:eastAsia="Arial" w:hAnsi="Arial"/>
          <w:sz w:val="18"/>
          <w:szCs w:val="18"/>
          <w:i w:val="1"/>
          <w:iCs w:val="1"/>
          <w:color w:val="auto"/>
        </w:rPr>
        <w:t>Figure 10. Changes in P300 Latency Correlate with Cognitive Outcomes with Treatment of Approved Therapies in AD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6240780" cy="55892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40780" cy="558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Source: Adapted from Thomas et al., 2001.</w:t>
      </w:r>
    </w:p>
    <w:p>
      <w:pPr>
        <w:spacing w:after="0" w:line="246" w:lineRule="exact"/>
        <w:rPr>
          <w:sz w:val="20"/>
          <w:szCs w:val="20"/>
          <w:color w:val="auto"/>
        </w:rPr>
      </w:pPr>
    </w:p>
    <w:p>
      <w:pPr>
        <w:ind w:left="5420" w:hanging="4836"/>
        <w:spacing w:after="0" w:line="526" w:lineRule="auto"/>
        <w:rPr>
          <w:sz w:val="20"/>
          <w:szCs w:val="20"/>
          <w:color w:val="auto"/>
        </w:rPr>
      </w:pPr>
      <w:r>
        <w:rPr>
          <w:rFonts w:ascii="Arial" w:cs="Arial" w:eastAsia="Arial" w:hAnsi="Arial"/>
          <w:sz w:val="18"/>
          <w:szCs w:val="18"/>
          <w:color w:val="auto"/>
        </w:rPr>
        <w:t>Figure 11, below, summarizes the correlation between P300 latency and changes in cognition in studies involving approved therapies. -117-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6" w:right="359" w:bottom="1440" w:gutter="0" w:footer="0" w:header="0"/>
        </w:sectPr>
      </w:pPr>
    </w:p>
    <w:bookmarkStart w:id="119" w:name="page120"/>
    <w:bookmarkEnd w:id="119"/>
    <w:p>
      <w:pPr>
        <w:ind w:left="580"/>
        <w:spacing w:after="0"/>
        <w:rPr>
          <w:sz w:val="20"/>
          <w:szCs w:val="20"/>
          <w:color w:val="auto"/>
        </w:rPr>
      </w:pPr>
      <w:r>
        <w:rPr>
          <w:rFonts w:ascii="Arial" w:cs="Arial" w:eastAsia="Arial" w:hAnsi="Arial"/>
          <w:sz w:val="18"/>
          <w:szCs w:val="18"/>
          <w:i w:val="1"/>
          <w:iCs w:val="1"/>
          <w:color w:val="auto"/>
        </w:rPr>
        <w:t>Figure 11. Studies Suggest Changes in P300 Latency Have Been Predictive of Changes in 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6223635" cy="19030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23635"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0"/>
        <w:spacing w:after="0" w:line="288" w:lineRule="auto"/>
        <w:rPr>
          <w:sz w:val="20"/>
          <w:szCs w:val="20"/>
          <w:color w:val="auto"/>
        </w:rPr>
      </w:pPr>
      <w:r>
        <w:rPr>
          <w:rFonts w:ascii="Arial" w:cs="Arial" w:eastAsia="Arial" w:hAnsi="Arial"/>
          <w:sz w:val="14"/>
          <w:szCs w:val="14"/>
          <w:i w:val="1"/>
          <w:iCs w:val="1"/>
          <w:color w:val="auto"/>
        </w:rPr>
        <w:t>Source: Results for donepezil and rivastigmine adapted from Thomas et al., 2001; results for memantine adapted from Sallach et al., 2011, and results for scopolamine adapted from Potter et al., 2000.</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Applications to Our ATH Platform</w:t>
      </w:r>
    </w:p>
    <w:p>
      <w:pPr>
        <w:spacing w:after="0" w:line="104"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In CNS disorders, fluid or imaging biomarkers have been extensively used in drug development. However, these can be invasive and expensive, and inconclusive in determining the connection of these biomarkers to cognition. We sought to develop a translational strategy for ATH that was highly correlated to brain function and cognition which led us to use EEG/ERP for the clinical development of ATH-1017. We believe these measures are particularly well-suited to provide insight into early therapeutic effects in AD, given that as cognitive decline progresses, subjects display a decrease in EEG gamma power, and a progressive increase in ERP P300 latency.</w:t>
      </w:r>
    </w:p>
    <w:p>
      <w:pPr>
        <w:spacing w:after="0" w:line="172" w:lineRule="exact"/>
        <w:rPr>
          <w:sz w:val="20"/>
          <w:szCs w:val="20"/>
          <w:color w:val="auto"/>
        </w:rPr>
      </w:pPr>
    </w:p>
    <w:p>
      <w:pPr>
        <w:ind w:right="60" w:firstLine="576"/>
        <w:spacing w:after="0" w:line="255" w:lineRule="auto"/>
        <w:rPr>
          <w:sz w:val="20"/>
          <w:szCs w:val="20"/>
          <w:color w:val="auto"/>
        </w:rPr>
      </w:pPr>
      <w:r>
        <w:rPr>
          <w:rFonts w:ascii="Arial" w:cs="Arial" w:eastAsia="Arial" w:hAnsi="Arial"/>
          <w:sz w:val="18"/>
          <w:szCs w:val="18"/>
          <w:color w:val="auto"/>
        </w:rPr>
        <w:t>Utilizing EEG/ERP as non-invasive and efficient translatable measures early in clinical development allows us to assess therapeutic effects and helps to inform future clinical trial design. Positive changes in EEG and ERP P300 latency potentially indicate a positive cognitive effect of our ATH treatments, which increases our confidence that these effects may translate to clinical benefit in later-stage clinical trials.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ATH-1017 for the Potential Treatment of AD and Other Neuronal Diseases</w:t>
      </w:r>
    </w:p>
    <w:p>
      <w:pPr>
        <w:spacing w:after="0" w:line="10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We are developing our lead product candidate, ATH-1017, for the treatment of neurodegenerative disorders, with an initial focus on AD. ATH-1017 is designed to improve neuronal health and promote regeneration, thereby improving symptoms in cognitively impaired subjects. As we continue to develop ATH-1017, we will plan to assess additional functional and behavioral benefits. In our Phase 1a and Phase 1b clinical trials, ATH-1017 for the treatment of AD was well tolerated with no serious adverse events across 88 subjects recruited in the study, including 11 subjects with mild-to-moderate AD, who were assigned to treatment and control groups. Additionally, ATH-1017 treatment led to improvements in brain network activity that indicated potentially positive effects on brain function. In the AD subjects, multiple dosing of ATH-1017 significantly improved P300 latency. P300 latency is a functional measure that is highly correlated with cognition; however, we have not yet established a connection between these P300 latency results and improved cognition. It is our goal to establish in current and future clinical trials that administration of ATH-1017 is effective in promoting cognitive improvement. We identified ATH-1017 in 2016 and less than five years later, we are planning to initiate our Phase 2/3 LIFT-AD trial, which has the potential to provide pivotal data in support of registration. In September 2020, we began site initiation and patient screening for our LIFT-AD clinical trial for ATH-1017 for the treatment of mild-to-moderate AD, with topline results expected by the end of 2022. In November 2020, we initiated ACT-AD, our P300 Phase 2 clinical trial, in mild-to-moderate AD to evaluate the overall effects of ATH-1017 on working memory processing speed and cognitive measurements, with topline results expected by early 2022, which will inform our strategy with respect to an additional Phase 3 clinical trial. We believe that ATH-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20" w:name="page121"/>
    <w:bookmarkEnd w:id="120"/>
    <w:p>
      <w:pPr>
        <w:ind w:right="340"/>
        <w:spacing w:after="0" w:line="276" w:lineRule="auto"/>
        <w:rPr>
          <w:sz w:val="20"/>
          <w:szCs w:val="20"/>
          <w:color w:val="auto"/>
        </w:rPr>
      </w:pPr>
      <w:r>
        <w:rPr>
          <w:rFonts w:ascii="Arial" w:cs="Arial" w:eastAsia="Arial" w:hAnsi="Arial"/>
          <w:sz w:val="18"/>
          <w:szCs w:val="18"/>
          <w:color w:val="auto"/>
        </w:rPr>
        <w:t>1017 has the potential to provide meaningful benefit to individuals impacted by AD and substantially enhance overall quality of life for the subjects and their families.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Mechanism of Action</w:t>
      </w:r>
    </w:p>
    <w:p>
      <w:pPr>
        <w:spacing w:after="0" w:line="104" w:lineRule="exact"/>
        <w:rPr>
          <w:sz w:val="20"/>
          <w:szCs w:val="20"/>
          <w:color w:val="auto"/>
        </w:rPr>
      </w:pPr>
    </w:p>
    <w:p>
      <w:pPr>
        <w:ind w:right="360" w:firstLine="576"/>
        <w:spacing w:after="0" w:line="245" w:lineRule="auto"/>
        <w:rPr>
          <w:sz w:val="20"/>
          <w:szCs w:val="20"/>
          <w:color w:val="auto"/>
        </w:rPr>
      </w:pPr>
      <w:r>
        <w:rPr>
          <w:rFonts w:ascii="Arial" w:cs="Arial" w:eastAsia="Arial" w:hAnsi="Arial"/>
          <w:sz w:val="18"/>
          <w:szCs w:val="18"/>
          <w:color w:val="auto"/>
        </w:rPr>
        <w:t>Growing evidence suggests that complex CNS disorders, such as AD, are unlikely to be caused by a single route of pathology. Modulation of a neuronal growth factor has gained considerable attention for the potential treatment of neurodegenerative disorders. Our lead candidate, ATH-1017, is a small molecule therapeutic specifically designed to promote the ability of HGF to activate MET. This promotion substantially increases MET activation levels and amplifies the beneficial downstream effects of the HGF/MET system, with several attributes relevant to AD:</w:t>
      </w:r>
    </w:p>
    <w:p>
      <w:pPr>
        <w:spacing w:after="0" w:line="64" w:lineRule="exact"/>
        <w:rPr>
          <w:sz w:val="20"/>
          <w:szCs w:val="20"/>
          <w:color w:val="auto"/>
        </w:rPr>
      </w:pPr>
    </w:p>
    <w:p>
      <w:pPr>
        <w:ind w:left="1300" w:hanging="442"/>
        <w:spacing w:after="0"/>
        <w:tabs>
          <w:tab w:leader="none" w:pos="1300" w:val="left"/>
        </w:tabs>
        <w:numPr>
          <w:ilvl w:val="0"/>
          <w:numId w:val="74"/>
        </w:numPr>
        <w:rPr>
          <w:rFonts w:ascii="Times New Roman" w:cs="Times New Roman" w:eastAsia="Times New Roman" w:hAnsi="Times New Roman"/>
          <w:sz w:val="18"/>
          <w:szCs w:val="18"/>
          <w:color w:val="auto"/>
        </w:rPr>
      </w:pPr>
      <w:r>
        <w:rPr>
          <w:rFonts w:ascii="Arial" w:cs="Arial" w:eastAsia="Arial" w:hAnsi="Arial"/>
          <w:sz w:val="18"/>
          <w:szCs w:val="18"/>
          <w:color w:val="auto"/>
        </w:rPr>
        <w:t>HGF/MET is a critical neurotrophic factor for normative brain function and it is reduced in AD subjects;</w:t>
      </w:r>
    </w:p>
    <w:p>
      <w:pPr>
        <w:spacing w:after="0" w:line="116" w:lineRule="exact"/>
        <w:rPr>
          <w:rFonts w:ascii="Times New Roman" w:cs="Times New Roman" w:eastAsia="Times New Roman" w:hAnsi="Times New Roman"/>
          <w:sz w:val="18"/>
          <w:szCs w:val="18"/>
          <w:color w:val="auto"/>
        </w:rPr>
      </w:pPr>
    </w:p>
    <w:p>
      <w:pPr>
        <w:ind w:left="1300" w:right="100" w:hanging="442"/>
        <w:spacing w:after="0" w:line="275" w:lineRule="auto"/>
        <w:tabs>
          <w:tab w:leader="none" w:pos="1300" w:val="left"/>
        </w:tabs>
        <w:numPr>
          <w:ilvl w:val="0"/>
          <w:numId w:val="74"/>
        </w:numPr>
        <w:rPr>
          <w:rFonts w:ascii="Times New Roman" w:cs="Times New Roman" w:eastAsia="Times New Roman" w:hAnsi="Times New Roman"/>
          <w:sz w:val="18"/>
          <w:szCs w:val="18"/>
          <w:color w:val="auto"/>
        </w:rPr>
      </w:pPr>
      <w:r>
        <w:rPr>
          <w:rFonts w:ascii="Arial" w:cs="Arial" w:eastAsia="Arial" w:hAnsi="Arial"/>
          <w:sz w:val="18"/>
          <w:szCs w:val="18"/>
          <w:color w:val="auto"/>
        </w:rPr>
        <w:t>promotion of the HGF/MET system has shown in several animal models the potential to directly halt neurodegeneration and induce regeneration, improve cerebral blood flow, and reduce inflammation; and</w:t>
      </w:r>
    </w:p>
    <w:p>
      <w:pPr>
        <w:spacing w:after="0" w:line="37"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74"/>
        </w:numPr>
        <w:rPr>
          <w:rFonts w:ascii="Times New Roman" w:cs="Times New Roman" w:eastAsia="Times New Roman" w:hAnsi="Times New Roman"/>
          <w:sz w:val="18"/>
          <w:szCs w:val="18"/>
          <w:color w:val="auto"/>
        </w:rPr>
      </w:pPr>
      <w:r>
        <w:rPr>
          <w:rFonts w:ascii="Arial" w:cs="Arial" w:eastAsia="Arial" w:hAnsi="Arial"/>
          <w:sz w:val="18"/>
          <w:szCs w:val="18"/>
          <w:color w:val="auto"/>
        </w:rPr>
        <w:t>we expect HGF/MET system activation to improve P300 latency, as observed in AD subjects after ATH-1017 treatment in our Phase 1a and Phase 1b clinical trials.</w:t>
      </w:r>
    </w:p>
    <w:p>
      <w:pPr>
        <w:spacing w:after="0" w:line="256" w:lineRule="exact"/>
        <w:rPr>
          <w:sz w:val="20"/>
          <w:szCs w:val="20"/>
          <w:color w:val="auto"/>
        </w:rPr>
      </w:pPr>
    </w:p>
    <w:p>
      <w:pPr>
        <w:ind w:right="160" w:firstLine="576"/>
        <w:spacing w:after="0" w:line="274" w:lineRule="auto"/>
        <w:rPr>
          <w:sz w:val="20"/>
          <w:szCs w:val="20"/>
          <w:color w:val="auto"/>
        </w:rPr>
      </w:pPr>
      <w:r>
        <w:rPr>
          <w:rFonts w:ascii="Arial" w:cs="Arial" w:eastAsia="Arial" w:hAnsi="Arial"/>
          <w:sz w:val="18"/>
          <w:szCs w:val="18"/>
          <w:i w:val="1"/>
          <w:iCs w:val="1"/>
          <w:color w:val="auto"/>
        </w:rPr>
        <w:t>Figure 12. ATH-1017 Is Designed to Increase HGF/MET Activity and May Promote Regeneration of Neurons, Reduce Inflammation, Enhance Cognitive Processing Represented by a Decreased P300 Latency, and Improve Overall Brain Health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107315</wp:posOffset>
            </wp:positionV>
            <wp:extent cx="5349240" cy="3086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34924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520" w:firstLine="576"/>
        <w:spacing w:after="0" w:line="276" w:lineRule="auto"/>
        <w:rPr>
          <w:sz w:val="20"/>
          <w:szCs w:val="20"/>
          <w:color w:val="auto"/>
        </w:rPr>
      </w:pPr>
      <w:r>
        <w:rPr>
          <w:rFonts w:ascii="Arial" w:cs="Arial" w:eastAsia="Arial" w:hAnsi="Arial"/>
          <w:sz w:val="18"/>
          <w:szCs w:val="18"/>
          <w:color w:val="auto"/>
        </w:rPr>
        <w:t>Unlike most approved or in development drugs, ATH-1017 has the potential to be regenerative, and is designed to slow, halt, or potentially reverse the effects of AD all while using a naturally modulated approach.</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i w:val="1"/>
          <w:iCs w:val="1"/>
          <w:color w:val="auto"/>
        </w:rPr>
        <w:t>Clinical Results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1a and Phase 1b Clinical Trials</w:t>
      </w:r>
    </w:p>
    <w:p>
      <w:pPr>
        <w:spacing w:after="0" w:line="102"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The IND for ATH-1017 in AD was filed in September 2017. Since then, we have completed our Phase 1a and Phase 1b clinical trials, which enrolled a total of 88 subjects, including 11 AD subjects, as illustrated below in Figure 13. The clinical trials were randomized and double-blind and consisted of daily single injections over a nine-day period. While the primary endpoints of our Phase 1a single ascending dose, or SAD, and Phase 1b multiple ascending dose, or MAD, trials were focused on safety and assessment of human pharmacokinetics, we also included qEEG and ERP as measures to evaluate effects of ATH-1017 on brain activity in AD subjects. Together, these clinical trials assessed qEEG as a measure of brain circuitry and network activity and ERP as a measure of working memory access and cognitive processes in the brain.</w:t>
      </w:r>
    </w:p>
    <w:p>
      <w:pPr>
        <w:spacing w:after="0" w:line="28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13. 88 Subjects Included in the Phase 1a and Phase 1b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147320</wp:posOffset>
            </wp:positionV>
            <wp:extent cx="5349240" cy="21259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34924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320" w:firstLine="576"/>
        <w:spacing w:after="0" w:line="248" w:lineRule="auto"/>
        <w:rPr>
          <w:sz w:val="20"/>
          <w:szCs w:val="20"/>
          <w:color w:val="auto"/>
        </w:rPr>
      </w:pPr>
      <w:r>
        <w:rPr>
          <w:rFonts w:ascii="Arial" w:cs="Arial" w:eastAsia="Arial" w:hAnsi="Arial"/>
          <w:sz w:val="18"/>
          <w:szCs w:val="18"/>
          <w:color w:val="auto"/>
        </w:rPr>
        <w:t>ATH-1017 was shown to be well tolerated with no serious adverse events across a wide dose range (2-90 mg) with single and multiple doses over 9 days. ATH-1017 demonstrated a pulsatile mode of target activation, and as shown in Figure 14, the PK profile is compelling, with linear dose relationship, no accumulation, and no sex or age effect. We did not have any subject dropout due to serious adverse events during these clinical trials.</w:t>
      </w:r>
    </w:p>
    <w:p>
      <w:pPr>
        <w:spacing w:after="0" w:line="28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14. ATH-1017 Demonstrated a Dose-Linear PK Profile and Did Not Accumulate with Multiple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164465</wp:posOffset>
            </wp:positionV>
            <wp:extent cx="5349240" cy="16630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349240"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684" w:right="4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i w:val="1"/>
          <w:iCs w:val="1"/>
          <w:color w:val="auto"/>
        </w:rPr>
        <w:t>Translation of ATH-1017 Changes in Brain Circuitry Activity</w:t>
      </w:r>
    </w:p>
    <w:p>
      <w:pPr>
        <w:spacing w:after="0" w:line="102" w:lineRule="exact"/>
        <w:rPr>
          <w:sz w:val="20"/>
          <w:szCs w:val="20"/>
          <w:color w:val="auto"/>
        </w:rPr>
      </w:pPr>
    </w:p>
    <w:p>
      <w:pPr>
        <w:jc w:val="both"/>
        <w:ind w:right="100" w:firstLine="576"/>
        <w:spacing w:after="0" w:line="255" w:lineRule="auto"/>
        <w:rPr>
          <w:sz w:val="20"/>
          <w:szCs w:val="20"/>
          <w:color w:val="auto"/>
        </w:rPr>
      </w:pPr>
      <w:r>
        <w:rPr>
          <w:rFonts w:ascii="Arial" w:cs="Arial" w:eastAsia="Arial" w:hAnsi="Arial"/>
          <w:sz w:val="18"/>
          <w:szCs w:val="18"/>
          <w:color w:val="auto"/>
        </w:rPr>
        <w:t>qEEG was used as a translational tool to recapitulate the changes in brain network activity from ATH-1017 that were observed in our preclinical models and to help guide dose selection for late-stage clinical development. We collected qEEG recordings from healthy young, healthy elderly, and AD subjects to determine qEEG changes after the administration of ATH-1017.</w:t>
      </w:r>
    </w:p>
    <w:p>
      <w:pPr>
        <w:spacing w:after="0" w:line="164"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The criteria for healthy young were male subjects who at the time of screening were between the ages of 18 and 45, met certain body mass index and weight standards, and who were determined at the investigators’ discretion to be generally in good health as determined by medical history, vital signs, and physical and clinical examination. The criteria for healthy elderly were male and female subjects, who at the time of screening were between the ages of 60 and 85, met certain body mass index and weight standards, and who were determined at the investigators’ discretion to be generally in good health as determined by medical history, vital signs, and physical and clinical examination.</w:t>
      </w:r>
    </w:p>
    <w:p>
      <w:pPr>
        <w:spacing w:after="0" w:line="172"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In the clinical trials, ATH-1017 increased the levels of the high frequency gamma power which is the frequency band that is associated with learning, memory, and cognitive function. Gamma is typically decreased in AD subjects. ATH-1017 showed dose-dependent and consistent changes in gamma brain activity signals across all treated cohorts, consistent with the changes observed in non-clinical models.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Quantitative EEG Changes Observed in the Phase 1a SAD Clinical Trial</w:t>
      </w:r>
    </w:p>
    <w:p>
      <w:pPr>
        <w:spacing w:after="0" w:line="102"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Rapid induction in the high frequency gamma power was observed after a single dose and is most likely explained by ATH-1017 promoting HGF/MET induced synaptic relocation of NMDA receptors and potentiation of NMDA receptor currents. A dose-dependent increase was observed across the low, mid, and high doses with statistically significant changes at the highest dose levels assessed. Figure 15 below shows the change in qEEG gamma power from baseline following administration of placebo, low dose ATH-1017 (2 and 6 mg, pooled), mid dose (20 and 40 mg, pooled), and high dose (60 and 90 mg, pooled).The p-value maps show the statistics based on analysis of covariance, or ANCOVA, analysis. There were 12 subjects for each of the low- and mid-dose groups, and 11 subjects for the high-dose group. A single subject from the high-dose group in the single-dose data set in Figure 15 below was excluded from analysis due to an inability to capture or analyze data as a result of technical issues such as electrode placement or subject movement. All AD subjects’ data were captured at all data points.</w:t>
      </w:r>
    </w:p>
    <w:p>
      <w:pPr>
        <w:spacing w:after="0" w:line="28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15. Single Dose of ATH-1017 Increased qEEG Gamma Power in Humans.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164465</wp:posOffset>
            </wp:positionV>
            <wp:extent cx="4612005" cy="17487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61200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10" w:right="37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i w:val="1"/>
          <w:iCs w:val="1"/>
          <w:color w:val="auto"/>
        </w:rPr>
        <w:t>Quantitative EEG Changes Observed in Phase 1b MAD Clinical Trial in Healthy Elderly Subjects</w:t>
      </w:r>
    </w:p>
    <w:p>
      <w:pPr>
        <w:spacing w:after="0" w:line="102"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The main qEEG effect of ATH-1017 administration at all doses (20, 40, and 60 mg) in the healthy elderly subjects was increased gamma power, both at 3 hours post-dose on Day 1 and across multiple data points collected on Days 4 and 8 for all assessed doses of ATH-1017. Figure 16 below shows the change in gamma power with once-daily administration of the 20 mg dose of ATH-1017 over 9 days. Similar results were observed for the 40 and 60 mg doses. All subjects completed the planned administration and data collection schedule; however, data from two of the healthy elderly subjects on Day 8 was lost due to an inability to capture or analyze that data as a result of technical issues such as electrode placement or subject movement. All AD subjects’ data were captured at all data points.</w:t>
      </w:r>
    </w:p>
    <w:p>
      <w:pPr>
        <w:spacing w:after="0" w:line="28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16. ATH-1017 Administration Increased qEEG Gamma Power in Elderly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147320</wp:posOffset>
            </wp:positionV>
            <wp:extent cx="4543425" cy="21177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543425" cy="211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We also observed increased gamma power on Days 4 and 8 at the pre-dose recording: 24 hours after the last dose of ATH-1017, ATH-1017 was measured and shown to be completely cleared from the plasma. These results suggest that the beneficial effects of ATH-1017 are sustained. The increase in gamma power was specific to the treatment groups as no increase was observed in subjects receiving placebo.</w:t>
      </w:r>
    </w:p>
    <w:p>
      <w:pPr>
        <w:spacing w:after="0" w:line="170"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The multiple dose clinical trial in AD subjects (40 mg subcutaneous injection once daily over 9 days) suggested a potential effect in AD subjects. Analysis of qEEG indicates an acute induction of gamma power (Day 4 and Day 8) after multiple doses. Figure 17 below shows emerging recovery of acute gamma power induction after 4 days of ATH-1017 treatment which continues to increase after 8 days of treatment. This pattern was not observed in subjects receiving placebo, where there was no consistent change in acute gamma power induction.</w:t>
      </w:r>
    </w:p>
    <w:p>
      <w:pPr>
        <w:spacing w:after="0" w:line="28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17. ATH-1017 Administration Rescued Acute Gamma Power Signal in AD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147320</wp:posOffset>
            </wp:positionV>
            <wp:extent cx="3051810" cy="5060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05181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10" w:right="399" w:bottom="1440" w:gutter="0" w:footer="0" w:header="0"/>
        </w:sectPr>
      </w:pPr>
    </w:p>
    <w:bookmarkStart w:id="124" w:name="page125"/>
    <w:bookmarkEnd w:id="1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1579880</wp:posOffset>
            </wp:positionH>
            <wp:positionV relativeFrom="page">
              <wp:posOffset>243205</wp:posOffset>
            </wp:positionV>
            <wp:extent cx="4354830" cy="16973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435483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60" w:firstLine="576"/>
        <w:spacing w:after="0" w:line="276" w:lineRule="auto"/>
        <w:rPr>
          <w:sz w:val="20"/>
          <w:szCs w:val="20"/>
          <w:color w:val="auto"/>
        </w:rPr>
      </w:pPr>
      <w:r>
        <w:rPr>
          <w:rFonts w:ascii="Arial" w:cs="Arial" w:eastAsia="Arial" w:hAnsi="Arial"/>
          <w:sz w:val="18"/>
          <w:szCs w:val="18"/>
          <w:color w:val="auto"/>
        </w:rPr>
        <w:t>Overall, the qEEG results in humans are indicative of CNS penetration and target engagement, suggesting an active dose range of ATH-1017 from 20 to 90 mg.</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Event-related Potential</w:t>
      </w:r>
    </w:p>
    <w:p>
      <w:pPr>
        <w:spacing w:after="0" w:line="104" w:lineRule="exact"/>
        <w:rPr>
          <w:sz w:val="20"/>
          <w:szCs w:val="20"/>
          <w:color w:val="auto"/>
        </w:rPr>
      </w:pPr>
    </w:p>
    <w:p>
      <w:pPr>
        <w:ind w:firstLine="576"/>
        <w:spacing w:after="0" w:line="253" w:lineRule="auto"/>
        <w:rPr>
          <w:sz w:val="20"/>
          <w:szCs w:val="20"/>
          <w:color w:val="auto"/>
        </w:rPr>
      </w:pPr>
      <w:r>
        <w:rPr>
          <w:rFonts w:ascii="Arial" w:cs="Arial" w:eastAsia="Arial" w:hAnsi="Arial"/>
          <w:sz w:val="17"/>
          <w:szCs w:val="17"/>
          <w:color w:val="auto"/>
        </w:rPr>
        <w:t>In our Phase 1b clinical trial, ERP P300 recordings were collected from the MAD healthy elderly and AD subjects. Analysis of these P300 data demonstrated that one daily dose of ATH-1017 improved P300 latency over an 8-day dosing period in AD subjects, as shown in Figures 18-20. P300 latency, a functional measure of working memory processing speed and executive function that highly correlates with cognition, was dramatically improved; however, we have not yet established a connection between these P300 latency results and improved cognition. After a single dose of ATH-1017, all AD subjects tested had improved P300 latency, and by the end of an 8-day treatment cycle, average P300 latency across the AD treatment group had improved by 73 milliseconds, a statistically significant change compared to placebo group that did not show any significant directional change. We also observed sustained effects on P300 latency in the pre-dose recordings on subsequent testing days (the arrows in Figure 18 show the average P300 latency value from the ATH-1017 group as a heat map). At these time points, which are 24 hours after the last dose, ATH-1017 was measured and shown to be completely cleared from the plasma, while recorded P300 latency values remained lower than baseline. These data indicate ATH-1017 treatment potentially recovered disruptions to brain function and network connectivity, which we believe are likely through several components of the mechanism, including NMDA receptor modulation, increased connectivity through recovery of synaptic density, and improved overall neuronal health and function.</w:t>
      </w:r>
    </w:p>
    <w:p>
      <w:pPr>
        <w:spacing w:after="0" w:line="281" w:lineRule="exact"/>
        <w:rPr>
          <w:sz w:val="20"/>
          <w:szCs w:val="20"/>
          <w:color w:val="auto"/>
        </w:rPr>
      </w:pPr>
    </w:p>
    <w:p>
      <w:pPr>
        <w:ind w:right="20" w:firstLine="576"/>
        <w:spacing w:after="0" w:line="276" w:lineRule="auto"/>
        <w:rPr>
          <w:sz w:val="20"/>
          <w:szCs w:val="20"/>
          <w:color w:val="auto"/>
        </w:rPr>
      </w:pPr>
      <w:r>
        <w:rPr>
          <w:rFonts w:ascii="Arial" w:cs="Arial" w:eastAsia="Arial" w:hAnsi="Arial"/>
          <w:sz w:val="18"/>
          <w:szCs w:val="18"/>
          <w:i w:val="1"/>
          <w:iCs w:val="1"/>
          <w:color w:val="auto"/>
        </w:rPr>
        <w:t xml:space="preserve">Figure 18. ATH-1017 Treatment Led to Continued and Sustained Improvement in P300 Latency in AD Subjects. </w:t>
      </w:r>
      <w:r>
        <w:rPr>
          <w:rFonts w:ascii="Arial" w:cs="Arial" w:eastAsia="Arial" w:hAnsi="Arial"/>
          <w:sz w:val="18"/>
          <w:szCs w:val="18"/>
          <w:color w:val="auto"/>
        </w:rPr>
        <w:t>The arrows highlight</w:t>
      </w:r>
      <w:r>
        <w:rPr>
          <w:rFonts w:ascii="Arial" w:cs="Arial" w:eastAsia="Arial" w:hAnsi="Arial"/>
          <w:sz w:val="18"/>
          <w:szCs w:val="18"/>
          <w:i w:val="1"/>
          <w:iCs w:val="1"/>
          <w:color w:val="auto"/>
        </w:rPr>
        <w:t xml:space="preserve"> </w:t>
      </w:r>
      <w:r>
        <w:rPr>
          <w:rFonts w:ascii="Arial" w:cs="Arial" w:eastAsia="Arial" w:hAnsi="Arial"/>
          <w:sz w:val="18"/>
          <w:szCs w:val="18"/>
          <w:color w:val="auto"/>
        </w:rPr>
        <w:t>the sustained P300 latency benefit due to ATH-1017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106680</wp:posOffset>
            </wp:positionV>
            <wp:extent cx="5349240" cy="21774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34924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25" w:name="page126"/>
    <w:bookmarkEnd w:id="125"/>
    <w:p>
      <w:pPr>
        <w:jc w:val="both"/>
        <w:ind w:firstLine="576"/>
        <w:spacing w:after="0" w:line="254" w:lineRule="auto"/>
        <w:rPr>
          <w:sz w:val="20"/>
          <w:szCs w:val="20"/>
          <w:color w:val="auto"/>
        </w:rPr>
      </w:pPr>
      <w:r>
        <w:rPr>
          <w:rFonts w:ascii="Arial" w:cs="Arial" w:eastAsia="Arial" w:hAnsi="Arial"/>
          <w:sz w:val="18"/>
          <w:szCs w:val="18"/>
          <w:i w:val="1"/>
          <w:iCs w:val="1"/>
          <w:color w:val="auto"/>
        </w:rPr>
        <w:t xml:space="preserve">Figure 19. Quantification of the Change in P300 Latency from Baseline, ATH-1017 Significantly Reduced P300 Latency Compared to the Placebo Group on Day 8 Recordings. </w:t>
      </w:r>
      <w:r>
        <w:rPr>
          <w:rFonts w:ascii="Arial" w:cs="Arial" w:eastAsia="Arial" w:hAnsi="Arial"/>
          <w:sz w:val="18"/>
          <w:szCs w:val="18"/>
          <w:color w:val="auto"/>
        </w:rPr>
        <w:t>Data show average P300 latency values of 7 AD subjects treated with ATH-1017 vs. 4 AD subjects</w:t>
      </w:r>
      <w:r>
        <w:rPr>
          <w:rFonts w:ascii="Arial" w:cs="Arial" w:eastAsia="Arial" w:hAnsi="Arial"/>
          <w:sz w:val="18"/>
          <w:szCs w:val="18"/>
          <w:i w:val="1"/>
          <w:iCs w:val="1"/>
          <w:color w:val="auto"/>
        </w:rPr>
        <w:t xml:space="preserve"> </w:t>
      </w:r>
      <w:r>
        <w:rPr>
          <w:rFonts w:ascii="Arial" w:cs="Arial" w:eastAsia="Arial" w:hAnsi="Arial"/>
          <w:sz w:val="18"/>
          <w:szCs w:val="18"/>
          <w:color w:val="auto"/>
        </w:rPr>
        <w:t>on placebo * p≤0.05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135890</wp:posOffset>
            </wp:positionV>
            <wp:extent cx="5117465" cy="2674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1746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200" w:firstLine="576"/>
        <w:spacing w:after="0" w:line="254" w:lineRule="auto"/>
        <w:rPr>
          <w:sz w:val="20"/>
          <w:szCs w:val="20"/>
          <w:color w:val="auto"/>
        </w:rPr>
      </w:pPr>
      <w:r>
        <w:rPr>
          <w:rFonts w:ascii="Arial" w:cs="Arial" w:eastAsia="Arial" w:hAnsi="Arial"/>
          <w:sz w:val="18"/>
          <w:szCs w:val="18"/>
          <w:i w:val="1"/>
          <w:iCs w:val="1"/>
          <w:color w:val="auto"/>
        </w:rPr>
        <w:t>Figure 20. Data from Each Subject in the Clinical Trial Showing the Change in P300 Latency from Baseline, What Is Clear Is that Every Subject Receiving ATH-1017 Showed a Level of Improvement in P300 Latency and Subjects Receiving Placebo Had No Consistent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118745</wp:posOffset>
            </wp:positionV>
            <wp:extent cx="3848735" cy="30003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4873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18" w:right="39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i w:val="1"/>
          <w:iCs w:val="1"/>
          <w:color w:val="auto"/>
        </w:rPr>
        <w:t>Safety</w:t>
      </w:r>
    </w:p>
    <w:p>
      <w:pPr>
        <w:spacing w:after="0" w:line="102" w:lineRule="exact"/>
        <w:rPr>
          <w:sz w:val="20"/>
          <w:szCs w:val="20"/>
          <w:color w:val="auto"/>
        </w:rPr>
      </w:pPr>
    </w:p>
    <w:p>
      <w:pPr>
        <w:ind w:right="220" w:firstLine="576"/>
        <w:spacing w:after="0" w:line="255" w:lineRule="auto"/>
        <w:rPr>
          <w:sz w:val="20"/>
          <w:szCs w:val="20"/>
          <w:color w:val="auto"/>
        </w:rPr>
      </w:pPr>
      <w:r>
        <w:rPr>
          <w:rFonts w:ascii="Arial" w:cs="Arial" w:eastAsia="Arial" w:hAnsi="Arial"/>
          <w:sz w:val="18"/>
          <w:szCs w:val="18"/>
          <w:color w:val="auto"/>
        </w:rPr>
        <w:t>ATH-1017 was well tolerated with no serious adverse events in our placebo-controlled double blind Phase 1a and Phase 1b clinical trials conducted to date where we enrolled 88 subjects recruited in the study, including 11 subjects with mild-to-moderate AD, who were assigned to treatment and control groups.</w:t>
      </w:r>
    </w:p>
    <w:p>
      <w:pPr>
        <w:spacing w:after="0" w:line="164" w:lineRule="exact"/>
        <w:rPr>
          <w:sz w:val="20"/>
          <w:szCs w:val="20"/>
          <w:color w:val="auto"/>
        </w:rPr>
      </w:pPr>
    </w:p>
    <w:p>
      <w:pPr>
        <w:ind w:right="180" w:firstLine="576"/>
        <w:spacing w:after="0" w:line="245" w:lineRule="auto"/>
        <w:rPr>
          <w:sz w:val="20"/>
          <w:szCs w:val="20"/>
          <w:color w:val="auto"/>
        </w:rPr>
      </w:pPr>
      <w:r>
        <w:rPr>
          <w:rFonts w:ascii="Arial" w:cs="Arial" w:eastAsia="Arial" w:hAnsi="Arial"/>
          <w:sz w:val="18"/>
          <w:szCs w:val="18"/>
          <w:color w:val="auto"/>
        </w:rPr>
        <w:t>Additionally, standard 26-week chronic GLP toxicology studies in rats and dogs showed no adverse findings in clinical observations, behavior, and clinical pathology laboratory parameters. Daily subcutaneous administration of ATH-1017 to rats for 26 weeks was tolerated. The only adverse finding was necrosis of the injection site subcutaneous tissue in male animals that largely resolved after the 28-day recovery period. Moreover, GLP safety pharmacology studies on rats and dogs reported no effects on cardiovascular, respiratory, or CNS function.</w:t>
      </w:r>
    </w:p>
    <w:p>
      <w:pPr>
        <w:spacing w:after="0" w:line="172" w:lineRule="exact"/>
        <w:rPr>
          <w:sz w:val="20"/>
          <w:szCs w:val="20"/>
          <w:color w:val="auto"/>
        </w:rPr>
      </w:pPr>
    </w:p>
    <w:p>
      <w:pPr>
        <w:ind w:right="200" w:firstLine="576"/>
        <w:spacing w:after="0" w:line="248" w:lineRule="auto"/>
        <w:rPr>
          <w:sz w:val="20"/>
          <w:szCs w:val="20"/>
          <w:color w:val="auto"/>
        </w:rPr>
      </w:pPr>
      <w:r>
        <w:rPr>
          <w:rFonts w:ascii="Arial" w:cs="Arial" w:eastAsia="Arial" w:hAnsi="Arial"/>
          <w:sz w:val="18"/>
          <w:szCs w:val="18"/>
          <w:color w:val="auto"/>
        </w:rPr>
        <w:t>In summary, human exposures from the planned dose range of 20-80 mg for the Phase 2 clinical trials are well below the animal no observable adverse event level, or NOAEL, exposures. Furthermore, the NOAEL from the 26-week GLP toxicity study was defined by injection site reactions, which are monitorable and reversible, and may be less of a risk in humans due to greater surface area, a higher number of injection sites, and a lower volume of injection relative to body size.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10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ATH-1017 is delivered by once-daily subcutaneous injection. The ATH-1017 formulation is non-viscous, with a neutral pH, and is expected to be dispensed and administered at room temperature. These attributes and the use of small-gauge needles, and minimal volumes (≤ 1 mL) significantly optimize the ATH-1017 product profile for a subcutaneous route of administration. Subcutaneous injections are a common route of administration of chronic therapies, including those for diabetic or MS patients, and are easy to administer for patients and/or caregivers while being generally well tolerated. With the progression of neurodegenerative disorders, oral administration can become challenging as:</w:t>
      </w:r>
    </w:p>
    <w:p>
      <w:pPr>
        <w:spacing w:after="0" w:line="66" w:lineRule="exact"/>
        <w:rPr>
          <w:sz w:val="20"/>
          <w:szCs w:val="20"/>
          <w:color w:val="auto"/>
        </w:rPr>
      </w:pPr>
    </w:p>
    <w:p>
      <w:pPr>
        <w:ind w:left="1300" w:hanging="442"/>
        <w:spacing w:after="0"/>
        <w:tabs>
          <w:tab w:leader="none" w:pos="1300" w:val="left"/>
        </w:tabs>
        <w:numPr>
          <w:ilvl w:val="0"/>
          <w:numId w:val="75"/>
        </w:numPr>
        <w:rPr>
          <w:rFonts w:ascii="Times New Roman" w:cs="Times New Roman" w:eastAsia="Times New Roman" w:hAnsi="Times New Roman"/>
          <w:sz w:val="18"/>
          <w:szCs w:val="18"/>
          <w:color w:val="auto"/>
        </w:rPr>
      </w:pPr>
      <w:r>
        <w:rPr>
          <w:rFonts w:ascii="Arial" w:cs="Arial" w:eastAsia="Arial" w:hAnsi="Arial"/>
          <w:sz w:val="18"/>
          <w:szCs w:val="18"/>
          <w:color w:val="auto"/>
        </w:rPr>
        <w:t>safe swallowing often becomes increasingly difficult;</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5"/>
        </w:numPr>
        <w:rPr>
          <w:rFonts w:ascii="Times New Roman" w:cs="Times New Roman" w:eastAsia="Times New Roman" w:hAnsi="Times New Roman"/>
          <w:sz w:val="18"/>
          <w:szCs w:val="18"/>
          <w:color w:val="auto"/>
        </w:rPr>
      </w:pPr>
      <w:r>
        <w:rPr>
          <w:rFonts w:ascii="Arial" w:cs="Arial" w:eastAsia="Arial" w:hAnsi="Arial"/>
          <w:sz w:val="18"/>
          <w:szCs w:val="18"/>
          <w:color w:val="auto"/>
        </w:rPr>
        <w:t>daily trays of multiple solid oral dosage forms add to patient/caregiver burden;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5"/>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resistance to care can also impact compliance.</w:t>
      </w:r>
    </w:p>
    <w:p>
      <w:pPr>
        <w:spacing w:after="0" w:line="224"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Subcutaneous injectables are expected to improve compliance and overall treatment outcomes. We have conducted a medication management research initiative, where we surveyed a number of caregivers and medical professionals to understand compliance challenges in the AD population. Top issues impeding compliance included forgetfulness, resistance to care, pill handling, and swallowing. The results of this study combined with the potential for a subcutaneous product profile to address several of these challenges, support ATH-1017 to be advanced as a once-daily subcutaneous injectable therapy for AD and dementia patients.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Plans for Alternative Delivery Devices for ATH-1017</w:t>
      </w:r>
    </w:p>
    <w:p>
      <w:pPr>
        <w:spacing w:after="0" w:line="102" w:lineRule="exact"/>
        <w:rPr>
          <w:sz w:val="20"/>
          <w:szCs w:val="20"/>
          <w:color w:val="auto"/>
        </w:rPr>
      </w:pPr>
    </w:p>
    <w:p>
      <w:pPr>
        <w:jc w:val="both"/>
        <w:ind w:right="100" w:firstLine="576"/>
        <w:spacing w:after="0" w:line="255" w:lineRule="auto"/>
        <w:rPr>
          <w:sz w:val="20"/>
          <w:szCs w:val="20"/>
          <w:color w:val="auto"/>
        </w:rPr>
      </w:pPr>
      <w:r>
        <w:rPr>
          <w:rFonts w:ascii="Arial" w:cs="Arial" w:eastAsia="Arial" w:hAnsi="Arial"/>
          <w:sz w:val="18"/>
          <w:szCs w:val="18"/>
          <w:color w:val="auto"/>
        </w:rPr>
        <w:t>ATH-1017 is initially being developed to be delivered via pre-filled syringes for Phase 2/3 clinical trials and initial market penetration. We are exploring the development of alternative delivery devices, including multi-dose pen injectors, to increase patient comfort and ease of use for patients and caregivers, with a view towards improving patient compliance and outcomes.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Strategy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LIFT-AD Trial: A 26-Week Phase 2/3 Clinical Trial in Mild-to-Moderate AD Subjects</w:t>
      </w:r>
    </w:p>
    <w:p>
      <w:pPr>
        <w:spacing w:after="0" w:line="102"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Based on the safety and translational Phase 1a and Phase 1b clinical trial results, including AD subjects, we have initiated LIFT-AD, a Phase 2/3 randomized, double-blind, placebo-controlled clinical trial. This clinical trial is designed to assess the efficacy, safety, and tolerability of two dose levels of ATH-</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10" w:right="359" w:bottom="1440" w:gutter="0" w:footer="0" w:header="0"/>
        </w:sectPr>
      </w:pPr>
    </w:p>
    <w:bookmarkStart w:id="127" w:name="page128"/>
    <w:bookmarkEnd w:id="127"/>
    <w:p>
      <w:pPr>
        <w:ind w:right="80"/>
        <w:spacing w:after="0" w:line="241" w:lineRule="auto"/>
        <w:rPr>
          <w:sz w:val="20"/>
          <w:szCs w:val="20"/>
          <w:color w:val="auto"/>
        </w:rPr>
      </w:pPr>
      <w:r>
        <w:rPr>
          <w:rFonts w:ascii="Arial" w:cs="Arial" w:eastAsia="Arial" w:hAnsi="Arial"/>
          <w:sz w:val="18"/>
          <w:szCs w:val="18"/>
          <w:color w:val="auto"/>
        </w:rPr>
        <w:t>1017 (low and high) in subjects with mild-to-moderate AD compared to placebo. The clinical trial is intended to enroll approximately 240 to 300 AD subjects. Subjects enrolled in the clinical trial will have a severity range within the conventional boundaries for mild-to-moderate AD, based on MMSE 14-24 inclusive. Clinical dementia rating, or CDR, is a 5-point scale used to assess cognitive processing and function in AD and related dementias. CDR 1 or 2 are an additional inclusion criterion to ensure overt dementia. In September 2020, we began the site initiation and patient screening for the LIFT-AD trial and anticipate topline results by the end of 2022. These topline results may provide pivotal data in support of registration, but the FDA or other regulators may still require additional trials even if results from the LIFT-AD trial are positive.</w:t>
      </w:r>
    </w:p>
    <w:p>
      <w:pPr>
        <w:spacing w:after="0" w:line="179" w:lineRule="exact"/>
        <w:rPr>
          <w:sz w:val="20"/>
          <w:szCs w:val="20"/>
          <w:color w:val="auto"/>
        </w:rPr>
      </w:pPr>
    </w:p>
    <w:p>
      <w:pPr>
        <w:jc w:val="both"/>
        <w:ind w:right="80" w:firstLine="576"/>
        <w:spacing w:after="0" w:line="255" w:lineRule="auto"/>
        <w:rPr>
          <w:sz w:val="20"/>
          <w:szCs w:val="20"/>
          <w:color w:val="auto"/>
        </w:rPr>
      </w:pPr>
      <w:r>
        <w:rPr>
          <w:rFonts w:ascii="Arial" w:cs="Arial" w:eastAsia="Arial" w:hAnsi="Arial"/>
          <w:sz w:val="18"/>
          <w:szCs w:val="18"/>
          <w:color w:val="auto"/>
        </w:rPr>
        <w:t>Compared to therapies focused on AD progression, which traditionally require multi-year clinical trials to measure changes in disease progression, we believe that ATH-1017 may induce a rapid boost in cognition, which enables us to design our trial with a 26-week treatment period and potentially accelerate the clinical development of ATH-1017.</w:t>
      </w:r>
    </w:p>
    <w:p>
      <w:pPr>
        <w:spacing w:after="0" w:line="16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The primary endpoint in this clinical trial will be the Global Statistical Test, or GST, and this outcome will provide proof-of-concept data. GST is based on actual psychometric performance tests of ADAS-cog-11 and ADCS-CGIC, both of which are key secondary endpoints and will potentially provide pivotal evidence to support registration. ADAS-cog-11 refers to the 11 tasks that make up the ADAS-cog neuropsychological assessment. ADCS-CGIC refers to the Alzheimer’s Disease Cooperative Study-Clinical Global Impression of Change, a systematic method for assessing clinically significant change in a clinical trial. GST provides a more sensitive endpoint to the overall treatment effect of multiple variables and increases our chances of understanding the full impact of ATH-1017 clinical outcomes. If each of the key secondary endpoints – ADAS-cog-11 and ADCS-CGIC – is positive, then GST will also be positive. Positive GST data will support proof of concept and positive results from the key secondary endpoints will potentially provide pivotal evidence to support regulatory approval.</w:t>
      </w:r>
    </w:p>
    <w:p>
      <w:pPr>
        <w:spacing w:after="0" w:line="176" w:lineRule="exact"/>
        <w:rPr>
          <w:sz w:val="20"/>
          <w:szCs w:val="20"/>
          <w:color w:val="auto"/>
        </w:rPr>
      </w:pPr>
    </w:p>
    <w:p>
      <w:pPr>
        <w:ind w:right="300" w:firstLine="576"/>
        <w:spacing w:after="0" w:line="255" w:lineRule="auto"/>
        <w:rPr>
          <w:sz w:val="20"/>
          <w:szCs w:val="20"/>
          <w:color w:val="auto"/>
        </w:rPr>
      </w:pPr>
      <w:r>
        <w:rPr>
          <w:rFonts w:ascii="Arial" w:cs="Arial" w:eastAsia="Arial" w:hAnsi="Arial"/>
          <w:sz w:val="18"/>
          <w:szCs w:val="18"/>
          <w:color w:val="auto"/>
        </w:rPr>
        <w:t>Further secondary endpoints will include the Controlled Oral Word Association Test, or COWAT, to specifically assess changes in executive memory function, the Disability Assessment for Dementia, or DAD, scale to assess instrumental activities of daily living, and the Neuropsychiatric Inventory, or NPI, to assess any changes in behavior.</w:t>
      </w:r>
    </w:p>
    <w:p>
      <w:pPr>
        <w:spacing w:after="0" w:line="164" w:lineRule="exact"/>
        <w:rPr>
          <w:sz w:val="20"/>
          <w:szCs w:val="20"/>
          <w:color w:val="auto"/>
        </w:rPr>
      </w:pPr>
    </w:p>
    <w:p>
      <w:pPr>
        <w:ind w:right="680" w:firstLine="576"/>
        <w:spacing w:after="0" w:line="276" w:lineRule="auto"/>
        <w:rPr>
          <w:sz w:val="20"/>
          <w:szCs w:val="20"/>
          <w:color w:val="auto"/>
        </w:rPr>
      </w:pPr>
      <w:r>
        <w:rPr>
          <w:rFonts w:ascii="Arial" w:cs="Arial" w:eastAsia="Arial" w:hAnsi="Arial"/>
          <w:sz w:val="18"/>
          <w:szCs w:val="18"/>
          <w:color w:val="auto"/>
        </w:rPr>
        <w:t>Exploratory pharmaco-economic outcomes will be comprised of validated scales to capture resource utilization (RUD-lite 3.3), caregiver burden (Zarit Burden Interview) and the EQ-5D-5L.</w:t>
      </w:r>
    </w:p>
    <w:p>
      <w:pPr>
        <w:spacing w:after="0" w:line="145" w:lineRule="exact"/>
        <w:rPr>
          <w:sz w:val="20"/>
          <w:szCs w:val="20"/>
          <w:color w:val="auto"/>
        </w:rPr>
      </w:pPr>
    </w:p>
    <w:p>
      <w:pPr>
        <w:ind w:right="800" w:firstLine="576"/>
        <w:spacing w:after="0" w:line="255" w:lineRule="auto"/>
        <w:rPr>
          <w:sz w:val="20"/>
          <w:szCs w:val="20"/>
          <w:color w:val="auto"/>
        </w:rPr>
      </w:pPr>
      <w:r>
        <w:rPr>
          <w:rFonts w:ascii="Arial" w:cs="Arial" w:eastAsia="Arial" w:hAnsi="Arial"/>
          <w:sz w:val="18"/>
          <w:szCs w:val="18"/>
          <w:color w:val="auto"/>
        </w:rPr>
        <w:t>The clinical trial design for LIFT-AD was informed by our previous interactions and discussions with the FDA. In order to be considered a pivotal trial supportive of FDA approval for mild to moderate AD, LIFT-AD will need to achieve a statistically significant improvement separately on both the ADAS-Cog11 and ADCS-CGIC.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ACT-AD P300 Trial: A 26-Week Phase 2 Clinical Trial in Mild-to-Moderate AD Subjects</w:t>
      </w:r>
    </w:p>
    <w:p>
      <w:pPr>
        <w:spacing w:after="0" w:line="77" w:lineRule="exact"/>
        <w:rPr>
          <w:sz w:val="20"/>
          <w:szCs w:val="20"/>
          <w:color w:val="auto"/>
        </w:rPr>
      </w:pPr>
    </w:p>
    <w:p>
      <w:pPr>
        <w:ind w:firstLine="576"/>
        <w:spacing w:after="0" w:line="219" w:lineRule="exact"/>
        <w:rPr>
          <w:sz w:val="20"/>
          <w:szCs w:val="20"/>
          <w:color w:val="auto"/>
        </w:rPr>
      </w:pPr>
      <w:r>
        <w:rPr>
          <w:rFonts w:ascii="Arial" w:cs="Arial" w:eastAsia="Arial" w:hAnsi="Arial"/>
          <w:sz w:val="18"/>
          <w:szCs w:val="18"/>
          <w:color w:val="auto"/>
        </w:rPr>
        <w:t>In addition to LIFT-AD, in November 2020 we initiated ACT</w:t>
      </w:r>
      <w:r>
        <w:rPr>
          <w:rFonts w:ascii="MS PGothic" w:cs="MS PGothic" w:eastAsia="MS PGothic" w:hAnsi="MS PGothic"/>
          <w:sz w:val="18"/>
          <w:szCs w:val="18"/>
          <w:color w:val="auto"/>
        </w:rPr>
        <w:t>‑</w:t>
      </w:r>
      <w:r>
        <w:rPr>
          <w:rFonts w:ascii="Arial" w:cs="Arial" w:eastAsia="Arial" w:hAnsi="Arial"/>
          <w:sz w:val="18"/>
          <w:szCs w:val="18"/>
          <w:color w:val="auto"/>
        </w:rPr>
        <w:t>AD, a randomized, placebo-controlled P300 Phase 2 clinical trial designed to test the same dose levels of ATH-1017 (low and high) in subjects with mild-to-moderate AD compared to placebo. We intend to enroll approximately 60 to 75 mild-to-moderate AD subjects using the same enrollment criteria as described above and include a 26-week treatment period.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28" w:name="page129"/>
    <w:bookmarkEnd w:id="128"/>
    <w:p>
      <w:pPr>
        <w:ind w:firstLine="576"/>
        <w:spacing w:after="0" w:line="207" w:lineRule="exact"/>
        <w:rPr>
          <w:sz w:val="20"/>
          <w:szCs w:val="20"/>
          <w:color w:val="auto"/>
        </w:rPr>
      </w:pPr>
      <w:r>
        <w:rPr>
          <w:rFonts w:ascii="Arial" w:cs="Arial" w:eastAsia="Arial" w:hAnsi="Arial"/>
          <w:sz w:val="18"/>
          <w:szCs w:val="18"/>
          <w:color w:val="auto"/>
        </w:rPr>
        <w:t>The primary endpoint of this clinical trial is to establish the correlation of P300 latency changes due to ATH-1017 treatment to cognitive benefits, as previously shown for cholinergic drugs and cognitive therapies. Secondary endpoints include the GST as well as psychometric performance tests of ADAS-cog-11 and ADCS-CGIC, which are the primary endpoint and key secondary endpoints of LIFT-AD. This clinical trial will help define the safety profile and effect size of ATH-1017 in mild-to-moderate AD. Additionally, because this clinical trial is expected to have a faster readout due to a smaller sample size than LIFT-AD, it will help support strategic decisions around additional clinical trials, including any additional pivotal trials that we may initiate in parallel to the LIFT-AD trial if the results from the ACT</w:t>
      </w:r>
      <w:r>
        <w:rPr>
          <w:rFonts w:ascii="MS PGothic" w:cs="MS PGothic" w:eastAsia="MS PGothic" w:hAnsi="MS PGothic"/>
          <w:sz w:val="18"/>
          <w:szCs w:val="18"/>
          <w:color w:val="auto"/>
        </w:rPr>
        <w:t>‑</w:t>
      </w:r>
      <w:r>
        <w:rPr>
          <w:rFonts w:ascii="Arial" w:cs="Arial" w:eastAsia="Arial" w:hAnsi="Arial"/>
          <w:sz w:val="18"/>
          <w:szCs w:val="18"/>
          <w:color w:val="auto"/>
        </w:rPr>
        <w:t>AD P300 Phase 2 clinical trial do not meet our expectations. In November 2020, we initiated the ACT</w:t>
      </w:r>
      <w:r>
        <w:rPr>
          <w:rFonts w:ascii="MS PGothic" w:cs="MS PGothic" w:eastAsia="MS PGothic" w:hAnsi="MS PGothic"/>
          <w:sz w:val="18"/>
          <w:szCs w:val="18"/>
          <w:color w:val="auto"/>
        </w:rPr>
        <w:t>‑</w:t>
      </w:r>
      <w:r>
        <w:rPr>
          <w:rFonts w:ascii="Arial" w:cs="Arial" w:eastAsia="Arial" w:hAnsi="Arial"/>
          <w:sz w:val="18"/>
          <w:szCs w:val="18"/>
          <w:color w:val="auto"/>
        </w:rPr>
        <w:t>AD P300 Phase 2 clinical trial in mild-to-moderate AD to better understand the overall effects of ATH-1017 on working memory processing speed and cognitive measures, with topline results expected by early 2022.</w:t>
      </w:r>
    </w:p>
    <w:p>
      <w:pPr>
        <w:spacing w:after="0" w:line="28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Expand Development of ATH-1017 to Include Additional Indications.</w:t>
      </w:r>
    </w:p>
    <w:p>
      <w:pPr>
        <w:spacing w:after="0" w:line="102" w:lineRule="exact"/>
        <w:rPr>
          <w:sz w:val="20"/>
          <w:szCs w:val="20"/>
          <w:color w:val="auto"/>
        </w:rPr>
      </w:pPr>
    </w:p>
    <w:p>
      <w:pPr>
        <w:ind w:right="20" w:firstLine="576"/>
        <w:spacing w:after="0" w:line="276" w:lineRule="auto"/>
        <w:rPr>
          <w:sz w:val="20"/>
          <w:szCs w:val="20"/>
          <w:color w:val="auto"/>
        </w:rPr>
      </w:pPr>
      <w:r>
        <w:rPr>
          <w:rFonts w:ascii="Arial" w:cs="Arial" w:eastAsia="Arial" w:hAnsi="Arial"/>
          <w:sz w:val="18"/>
          <w:szCs w:val="18"/>
          <w:color w:val="auto"/>
        </w:rPr>
        <w:t>We are developing ATH-1017 as a treatment for mild-to-moderate AD patients, but over time, we aim to expand development to cover all stages of AD. Ultimately, we believe that ATH-1017 can address the broader dementia patient population.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 Proof-of-Concept Clinical Trial in PDD Subjects</w:t>
      </w:r>
    </w:p>
    <w:p>
      <w:pPr>
        <w:spacing w:after="0" w:line="102"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In addition to the two AD clinical trials, we are also planning to test the effects of ATH-1017 in PDD subjects. PDD is a disease that impacts neuronal health and leads to a progressive damage of the brain network, ultimately impacting function and cognition. Like AD, PDD subjects demonstrate an increase in their P300 latency, which increases the likelihood that ATH-1017 can potentially address dementia in PDD subjects. This clinical trial will be a randomized, placebo-controlled, Phase 2 proof-of-concept clinical trial in PDD subjects with a planned start by the end of 2021. The population severity will include Hoehn-Yahr stages 1 through 4, inclusive, who will receive high and low doses of ATH-1017 versus placebo. Endpoints will include Parkinson’s Disease-Cognitive Rating Scale, or PD-CRS.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Results</w:t>
      </w:r>
    </w:p>
    <w:p>
      <w:pPr>
        <w:spacing w:after="0" w:line="104" w:lineRule="exact"/>
        <w:rPr>
          <w:sz w:val="20"/>
          <w:szCs w:val="20"/>
          <w:color w:val="auto"/>
        </w:rPr>
      </w:pPr>
    </w:p>
    <w:p>
      <w:pPr>
        <w:ind w:right="120" w:firstLine="576"/>
        <w:spacing w:after="0" w:line="243" w:lineRule="auto"/>
        <w:rPr>
          <w:sz w:val="20"/>
          <w:szCs w:val="20"/>
          <w:color w:val="auto"/>
        </w:rPr>
      </w:pPr>
      <w:r>
        <w:rPr>
          <w:rFonts w:ascii="Arial" w:cs="Arial" w:eastAsia="Arial" w:hAnsi="Arial"/>
          <w:sz w:val="18"/>
          <w:szCs w:val="18"/>
          <w:color w:val="auto"/>
        </w:rPr>
        <w:t xml:space="preserve">ATH-1017 was assessed in multiple preclinical studies, including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and several animal models of memory deficits. ATH-1017 promoted the formation of new spines and functional synapses in hippocampal neurons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(neuronal cultures). ATH-1017 also activated HGF/MET, which in turn has been shown to enhance long-term potentiation. Long-term potentiation refers to a process at the individual neuron level, where memory formation is thought to involve a sustained increase in synaptic efficiency following repeated stimulation. In the aged animal model of dementia, ATH-1017 increased synaptic density and in multiple models of dementia improved performance in tests of spatial memory.</w:t>
      </w:r>
    </w:p>
    <w:p>
      <w:pPr>
        <w:spacing w:after="0" w:line="174" w:lineRule="exact"/>
        <w:rPr>
          <w:sz w:val="20"/>
          <w:szCs w:val="20"/>
          <w:color w:val="auto"/>
        </w:rPr>
      </w:pPr>
    </w:p>
    <w:p>
      <w:pPr>
        <w:ind w:right="80" w:firstLine="576"/>
        <w:spacing w:after="0" w:line="255" w:lineRule="auto"/>
        <w:rPr>
          <w:sz w:val="20"/>
          <w:szCs w:val="20"/>
          <w:color w:val="auto"/>
        </w:rPr>
      </w:pPr>
      <w:r>
        <w:rPr>
          <w:rFonts w:ascii="Arial" w:cs="Arial" w:eastAsia="Arial" w:hAnsi="Arial"/>
          <w:sz w:val="18"/>
          <w:szCs w:val="18"/>
          <w:color w:val="auto"/>
        </w:rPr>
        <w:t>Similar to the clinical findings, ATH-1017 treatment also increased the qEEG gamma power that is associated with cognitive processing and memory in a non-clinical AD animal model (APP1/PS1), as shown in Figure 21. Changes in gamma brain activity signals are highly translatable which helped guide our selection of the clinical doses.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29" w:name="page130"/>
    <w:bookmarkEnd w:id="129"/>
    <w:p>
      <w:pPr>
        <w:ind w:right="580" w:firstLine="576"/>
        <w:spacing w:after="0" w:line="274" w:lineRule="auto"/>
        <w:rPr>
          <w:sz w:val="20"/>
          <w:szCs w:val="20"/>
          <w:color w:val="auto"/>
        </w:rPr>
      </w:pPr>
      <w:r>
        <w:rPr>
          <w:rFonts w:ascii="Arial" w:cs="Arial" w:eastAsia="Arial" w:hAnsi="Arial"/>
          <w:sz w:val="18"/>
          <w:szCs w:val="18"/>
          <w:i w:val="1"/>
          <w:iCs w:val="1"/>
          <w:color w:val="auto"/>
        </w:rPr>
        <w:t>Figure 21. ATH-1017 Treatment Induces Acute Increases in Gamma Power within One Hour of Administration (left); and Daily Treatment for Two Weeks Followed by a Seven-Day Washout Shows a Sustained Effect on Gamma Power (right).</w:t>
      </w:r>
    </w:p>
    <w:p>
      <w:pPr>
        <w:sectPr>
          <w:pgSz w:w="11900" w:h="16838" w:orient="portrait"/>
          <w:cols w:equalWidth="0" w:num="1">
            <w:col w:w="11140"/>
          </w:cols>
          <w:pgMar w:left="320" w:top="362" w:right="439" w:bottom="1440" w:gutter="0" w:footer="0" w:header="0"/>
        </w:sectPr>
      </w:pPr>
    </w:p>
    <w:p>
      <w:pPr>
        <w:spacing w:after="0" w:line="144" w:lineRule="exact"/>
        <w:rPr>
          <w:sz w:val="20"/>
          <w:szCs w:val="20"/>
          <w:color w:val="auto"/>
        </w:rPr>
      </w:pPr>
    </w:p>
    <w:p>
      <w:pPr>
        <w:jc w:val="center"/>
        <w:ind w:left="60"/>
        <w:spacing w:after="0" w:line="287" w:lineRule="auto"/>
        <w:rPr>
          <w:sz w:val="20"/>
          <w:szCs w:val="20"/>
          <w:color w:val="auto"/>
        </w:rPr>
      </w:pPr>
      <w:r>
        <w:rPr>
          <w:rFonts w:ascii="Arial" w:cs="Arial" w:eastAsia="Arial" w:hAnsi="Arial"/>
          <w:sz w:val="18"/>
          <w:szCs w:val="18"/>
          <w:b w:val="1"/>
          <w:bCs w:val="1"/>
          <w:color w:val="auto"/>
        </w:rPr>
        <w:t>ATH-1017 Induces an Acute Dose-Dependent Increase in Gamma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95885</wp:posOffset>
            </wp:positionV>
            <wp:extent cx="2245995" cy="19202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245995" cy="1920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ind w:right="100"/>
        <w:spacing w:after="0" w:line="287" w:lineRule="auto"/>
        <w:rPr>
          <w:sz w:val="20"/>
          <w:szCs w:val="20"/>
          <w:color w:val="auto"/>
        </w:rPr>
      </w:pPr>
      <w:r>
        <w:rPr>
          <w:rFonts w:ascii="Arial" w:cs="Arial" w:eastAsia="Arial" w:hAnsi="Arial"/>
          <w:sz w:val="18"/>
          <w:szCs w:val="18"/>
          <w:b w:val="1"/>
          <w:bCs w:val="1"/>
          <w:color w:val="auto"/>
        </w:rPr>
        <w:t>Two Weeks of ATH-1017 Treatment Induced Increased Gamma Power That Was Sustained After Seven Days of Washout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95885</wp:posOffset>
            </wp:positionV>
            <wp:extent cx="2880360" cy="19030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880360" cy="19030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80" w:space="260"/>
            <w:col w:w="6000"/>
          </w:cols>
          <w:pgMar w:left="320" w:top="362"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ATH Platform</w:t>
      </w:r>
    </w:p>
    <w:p>
      <w:pPr>
        <w:spacing w:after="0" w:line="106" w:lineRule="exact"/>
        <w:rPr>
          <w:sz w:val="20"/>
          <w:szCs w:val="20"/>
          <w:color w:val="auto"/>
        </w:rPr>
      </w:pPr>
    </w:p>
    <w:p>
      <w:pPr>
        <w:jc w:val="both"/>
        <w:ind w:right="160" w:firstLine="576"/>
        <w:spacing w:after="0" w:line="245" w:lineRule="auto"/>
        <w:rPr>
          <w:sz w:val="20"/>
          <w:szCs w:val="20"/>
          <w:color w:val="auto"/>
        </w:rPr>
      </w:pPr>
      <w:r>
        <w:rPr>
          <w:rFonts w:ascii="Arial" w:cs="Arial" w:eastAsia="Arial" w:hAnsi="Arial"/>
          <w:sz w:val="18"/>
          <w:szCs w:val="18"/>
          <w:color w:val="auto"/>
        </w:rPr>
        <w:t>Our ATH platform leverages the activity of a validated regenerative pathway, the HGF/MET system, that is critical for normal brain function. It is our goal to establish in current and future clinical trials that our ATH platform, which is designed to enhance the body’s repair mechanism of HGF/MET, can potentially address a wide range of clinical applications ranging from CNS disorders, such as AD, PDD, MS, and ALS, to more peripheral conditions such as neuropathy. In addition, we believe that HGF/MET biology plays a role in neuropsychiatric indications such as depression and anxiety.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Aspects of Our ATH Platform</w:t>
      </w:r>
    </w:p>
    <w:p>
      <w:pPr>
        <w:spacing w:after="0" w:line="104" w:lineRule="exact"/>
        <w:rPr>
          <w:sz w:val="20"/>
          <w:szCs w:val="20"/>
          <w:color w:val="auto"/>
        </w:rPr>
      </w:pPr>
    </w:p>
    <w:p>
      <w:pPr>
        <w:jc w:val="both"/>
        <w:ind w:right="320" w:firstLine="576"/>
        <w:spacing w:after="0" w:line="255" w:lineRule="auto"/>
        <w:rPr>
          <w:sz w:val="20"/>
          <w:szCs w:val="20"/>
          <w:color w:val="auto"/>
        </w:rPr>
      </w:pPr>
      <w:r>
        <w:rPr>
          <w:rFonts w:ascii="Arial" w:cs="Arial" w:eastAsia="Arial" w:hAnsi="Arial"/>
          <w:sz w:val="18"/>
          <w:szCs w:val="18"/>
          <w:color w:val="auto"/>
        </w:rPr>
        <w:t>Our ATH platform utilizes proprietary technology to target and enhance the activity of a vital neuronal growth factor that promotes neuronal health and regeneration. We believe that our ATH platform has multiple advantages compared to previous strategies that have targeted growth factors, including:</w:t>
      </w:r>
    </w:p>
    <w:p>
      <w:pPr>
        <w:spacing w:after="0" w:line="56" w:lineRule="exact"/>
        <w:rPr>
          <w:sz w:val="20"/>
          <w:szCs w:val="20"/>
          <w:color w:val="auto"/>
        </w:rPr>
      </w:pPr>
    </w:p>
    <w:p>
      <w:pPr>
        <w:ind w:left="1300" w:right="60" w:hanging="442"/>
        <w:spacing w:after="0" w:line="255" w:lineRule="auto"/>
        <w:tabs>
          <w:tab w:leader="none" w:pos="1300" w:val="left"/>
        </w:tabs>
        <w:numPr>
          <w:ilvl w:val="0"/>
          <w:numId w:val="7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Small molecules</w:t>
      </w:r>
      <w:r>
        <w:rPr>
          <w:rFonts w:ascii="Arial" w:cs="Arial" w:eastAsia="Arial" w:hAnsi="Arial"/>
          <w:sz w:val="18"/>
          <w:szCs w:val="18"/>
          <w:color w:val="auto"/>
        </w:rPr>
        <w:t>. Previous attempts to promote neurotrophic factor activity with recombinant proteins or stem cells involved</w:t>
      </w:r>
      <w:r>
        <w:rPr>
          <w:rFonts w:ascii="Arial" w:cs="Arial" w:eastAsia="Arial" w:hAnsi="Arial"/>
          <w:sz w:val="18"/>
          <w:szCs w:val="18"/>
          <w:i w:val="1"/>
          <w:iCs w:val="1"/>
          <w:color w:val="auto"/>
        </w:rPr>
        <w:t xml:space="preserve"> </w:t>
      </w:r>
      <w:r>
        <w:rPr>
          <w:rFonts w:ascii="Arial" w:cs="Arial" w:eastAsia="Arial" w:hAnsi="Arial"/>
          <w:sz w:val="18"/>
          <w:szCs w:val="18"/>
          <w:color w:val="auto"/>
        </w:rPr>
        <w:t>invasive surgeries or risked immune response. Our small molecules overcome these challenges, allowing for non-invasive systemic drug delivery through subcutaneous or oral routes that distribute to the nervous system.</w:t>
      </w:r>
    </w:p>
    <w:p>
      <w:pPr>
        <w:spacing w:after="0" w:line="54" w:lineRule="exact"/>
        <w:rPr>
          <w:rFonts w:ascii="Times New Roman" w:cs="Times New Roman" w:eastAsia="Times New Roman" w:hAnsi="Times New Roman"/>
          <w:sz w:val="18"/>
          <w:szCs w:val="18"/>
          <w:color w:val="auto"/>
        </w:rPr>
      </w:pPr>
    </w:p>
    <w:p>
      <w:pPr>
        <w:ind w:left="1300" w:right="60" w:hanging="442"/>
        <w:spacing w:after="0" w:line="275" w:lineRule="auto"/>
        <w:tabs>
          <w:tab w:leader="none" w:pos="1300" w:val="left"/>
        </w:tabs>
        <w:numPr>
          <w:ilvl w:val="0"/>
          <w:numId w:val="7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Efficient and scalable manufacturing process</w:t>
      </w:r>
      <w:r>
        <w:rPr>
          <w:rFonts w:ascii="Arial" w:cs="Arial" w:eastAsia="Arial" w:hAnsi="Arial"/>
          <w:sz w:val="18"/>
          <w:szCs w:val="18"/>
          <w:color w:val="auto"/>
        </w:rPr>
        <w:t>. Small molecules are manufactured using scalable chemical synthesis routes,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a cost and time efficient process that does not require custom manufacturing infrastructure.</w:t>
      </w:r>
    </w:p>
    <w:p>
      <w:pPr>
        <w:spacing w:after="0" w:line="37" w:lineRule="exact"/>
        <w:rPr>
          <w:rFonts w:ascii="Times New Roman" w:cs="Times New Roman" w:eastAsia="Times New Roman" w:hAnsi="Times New Roman"/>
          <w:sz w:val="18"/>
          <w:szCs w:val="18"/>
          <w:color w:val="auto"/>
        </w:rPr>
      </w:pPr>
    </w:p>
    <w:p>
      <w:pPr>
        <w:ind w:left="1300" w:hanging="442"/>
        <w:spacing w:after="0" w:line="255" w:lineRule="auto"/>
        <w:tabs>
          <w:tab w:leader="none" w:pos="1300" w:val="left"/>
        </w:tabs>
        <w:numPr>
          <w:ilvl w:val="0"/>
          <w:numId w:val="7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Avoids alteration of target system regulation</w:t>
      </w:r>
      <w:r>
        <w:rPr>
          <w:rFonts w:ascii="Arial" w:cs="Arial" w:eastAsia="Arial" w:hAnsi="Arial"/>
          <w:sz w:val="18"/>
          <w:szCs w:val="18"/>
          <w:color w:val="auto"/>
        </w:rPr>
        <w:t>. ATH compounds are designed to enhance the activity of the target system with</w:t>
      </w:r>
      <w:r>
        <w:rPr>
          <w:rFonts w:ascii="Arial" w:cs="Arial" w:eastAsia="Arial" w:hAnsi="Arial"/>
          <w:sz w:val="18"/>
          <w:szCs w:val="18"/>
          <w:i w:val="1"/>
          <w:iCs w:val="1"/>
          <w:color w:val="auto"/>
        </w:rPr>
        <w:t xml:space="preserve"> </w:t>
      </w:r>
      <w:r>
        <w:rPr>
          <w:rFonts w:ascii="Arial" w:cs="Arial" w:eastAsia="Arial" w:hAnsi="Arial"/>
          <w:sz w:val="18"/>
          <w:szCs w:val="18"/>
          <w:color w:val="auto"/>
        </w:rPr>
        <w:t>neither disruption to nor evasion of the normal regulatory processes that are in place to prevent hypo- or hyper-activation. This design aims to reduce safety risks.</w:t>
      </w:r>
    </w:p>
    <w:p>
      <w:pPr>
        <w:spacing w:after="0" w:line="163" w:lineRule="exact"/>
        <w:rPr>
          <w:sz w:val="20"/>
          <w:szCs w:val="20"/>
          <w:color w:val="auto"/>
        </w:rPr>
      </w:pPr>
    </w:p>
    <w:p>
      <w:pPr>
        <w:ind w:right="340" w:firstLine="576"/>
        <w:spacing w:after="0" w:line="276" w:lineRule="auto"/>
        <w:rPr>
          <w:sz w:val="20"/>
          <w:szCs w:val="20"/>
          <w:color w:val="auto"/>
        </w:rPr>
      </w:pPr>
      <w:r>
        <w:rPr>
          <w:rFonts w:ascii="Arial" w:cs="Arial" w:eastAsia="Arial" w:hAnsi="Arial"/>
          <w:sz w:val="18"/>
          <w:szCs w:val="18"/>
          <w:color w:val="auto"/>
        </w:rPr>
        <w:t>We believe that the ATH platform represents a significant opportunity to develop therapeutics for the treatment of diseases of the nervous system and has the potential to drive significant advancement in regenerative medicine.</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362" w:right="439" w:bottom="1440" w:gutter="0" w:footer="0" w:header="0"/>
          <w:type w:val="continuous"/>
        </w:sectPr>
      </w:pPr>
    </w:p>
    <w:bookmarkStart w:id="130" w:name="page131"/>
    <w:bookmarkEnd w:id="130"/>
    <w:p>
      <w:pPr>
        <w:spacing w:after="0"/>
        <w:rPr>
          <w:sz w:val="20"/>
          <w:szCs w:val="20"/>
          <w:color w:val="auto"/>
        </w:rPr>
      </w:pPr>
      <w:r>
        <w:rPr>
          <w:rFonts w:ascii="Arial" w:cs="Arial" w:eastAsia="Arial" w:hAnsi="Arial"/>
          <w:sz w:val="18"/>
          <w:szCs w:val="18"/>
          <w:b w:val="1"/>
          <w:bCs w:val="1"/>
          <w:i w:val="1"/>
          <w:iCs w:val="1"/>
          <w:color w:val="auto"/>
        </w:rPr>
        <w:t>Our Therapeutic Discovery Process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utilize a rigorous process to identify small-molecule compounds that activate regenerative systems.</w:t>
      </w:r>
    </w:p>
    <w:p>
      <w:pPr>
        <w:spacing w:after="0" w:line="104" w:lineRule="exact"/>
        <w:rPr>
          <w:sz w:val="20"/>
          <w:szCs w:val="20"/>
          <w:color w:val="auto"/>
        </w:rPr>
      </w:pPr>
    </w:p>
    <w:p>
      <w:pPr>
        <w:ind w:left="800" w:hanging="225"/>
        <w:spacing w:after="0" w:line="255" w:lineRule="auto"/>
        <w:tabs>
          <w:tab w:leader="none" w:pos="800" w:val="left"/>
        </w:tabs>
        <w:numPr>
          <w:ilvl w:val="0"/>
          <w:numId w:val="7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Focus on activity</w:t>
      </w:r>
      <w:r>
        <w:rPr>
          <w:rFonts w:ascii="Arial" w:cs="Arial" w:eastAsia="Arial" w:hAnsi="Arial"/>
          <w:sz w:val="18"/>
          <w:szCs w:val="18"/>
          <w:color w:val="auto"/>
        </w:rPr>
        <w:t>. Our drug screening process is an efficient blend of modern and traditional methods, starting with extensive</w:t>
      </w:r>
      <w:r>
        <w:rPr>
          <w:rFonts w:ascii="Arial" w:cs="Arial" w:eastAsia="Arial" w:hAnsi="Arial"/>
          <w:sz w:val="18"/>
          <w:szCs w:val="18"/>
          <w:i w:val="1"/>
          <w:iCs w:val="1"/>
          <w:color w:val="auto"/>
        </w:rPr>
        <w:t xml:space="preserve"> </w:t>
      </w:r>
      <w:r>
        <w:rPr>
          <w:rFonts w:ascii="Arial" w:cs="Arial" w:eastAsia="Arial" w:hAnsi="Arial"/>
          <w:sz w:val="18"/>
          <w:szCs w:val="18"/>
          <w:color w:val="auto"/>
        </w:rPr>
        <w:t>modeling to create compound libraries. In our process, focus is placed on early activity assays, in which potential hits are advanced to further discovery.</w:t>
      </w:r>
    </w:p>
    <w:p>
      <w:pPr>
        <w:spacing w:after="0" w:line="54" w:lineRule="exact"/>
        <w:rPr>
          <w:rFonts w:ascii="Times New Roman" w:cs="Times New Roman" w:eastAsia="Times New Roman" w:hAnsi="Times New Roman"/>
          <w:sz w:val="18"/>
          <w:szCs w:val="18"/>
          <w:color w:val="auto"/>
        </w:rPr>
      </w:pPr>
    </w:p>
    <w:p>
      <w:pPr>
        <w:ind w:left="800" w:right="40" w:hanging="225"/>
        <w:spacing w:after="0" w:line="255" w:lineRule="auto"/>
        <w:tabs>
          <w:tab w:leader="none" w:pos="800" w:val="left"/>
        </w:tabs>
        <w:numPr>
          <w:ilvl w:val="0"/>
          <w:numId w:val="7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Maximize hit potential</w:t>
      </w:r>
      <w:r>
        <w:rPr>
          <w:rFonts w:ascii="Arial" w:cs="Arial" w:eastAsia="Arial" w:hAnsi="Arial"/>
          <w:sz w:val="18"/>
          <w:szCs w:val="18"/>
          <w:color w:val="auto"/>
        </w:rPr>
        <w:t>. When hits are identified, we employ a comprehensive set of studies to collect compound characteristics and</w:t>
      </w:r>
      <w:r>
        <w:rPr>
          <w:rFonts w:ascii="Arial" w:cs="Arial" w:eastAsia="Arial" w:hAnsi="Arial"/>
          <w:sz w:val="18"/>
          <w:szCs w:val="18"/>
          <w:i w:val="1"/>
          <w:iCs w:val="1"/>
          <w:color w:val="auto"/>
        </w:rPr>
        <w:t xml:space="preserve"> </w:t>
      </w:r>
      <w:r>
        <w:rPr>
          <w:rFonts w:ascii="Arial" w:cs="Arial" w:eastAsia="Arial" w:hAnsi="Arial"/>
          <w:sz w:val="18"/>
          <w:szCs w:val="18"/>
          <w:color w:val="auto"/>
        </w:rPr>
        <w:t>optimize for drug-like characteristics with medicinal chemistry and structure-activity relationship studies to produce candidates ready for further development.</w:t>
      </w:r>
    </w:p>
    <w:p>
      <w:pPr>
        <w:spacing w:after="0" w:line="54" w:lineRule="exact"/>
        <w:rPr>
          <w:rFonts w:ascii="Times New Roman" w:cs="Times New Roman" w:eastAsia="Times New Roman" w:hAnsi="Times New Roman"/>
          <w:sz w:val="18"/>
          <w:szCs w:val="18"/>
          <w:color w:val="auto"/>
        </w:rPr>
      </w:pPr>
    </w:p>
    <w:p>
      <w:pPr>
        <w:jc w:val="both"/>
        <w:ind w:left="800" w:right="800" w:hanging="225"/>
        <w:spacing w:after="0" w:line="305" w:lineRule="auto"/>
        <w:tabs>
          <w:tab w:leader="none" w:pos="800" w:val="left"/>
        </w:tabs>
        <w:numPr>
          <w:ilvl w:val="0"/>
          <w:numId w:val="77"/>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Gain insight to inform future therapeutic development</w:t>
      </w:r>
      <w:r>
        <w:rPr>
          <w:rFonts w:ascii="Arial" w:cs="Arial" w:eastAsia="Arial" w:hAnsi="Arial"/>
          <w:sz w:val="17"/>
          <w:szCs w:val="17"/>
          <w:color w:val="auto"/>
        </w:rPr>
        <w:t>. We consider the drug discovery process as a cycle, with past work</w:t>
      </w:r>
      <w:r>
        <w:rPr>
          <w:rFonts w:ascii="Arial" w:cs="Arial" w:eastAsia="Arial" w:hAnsi="Arial"/>
          <w:sz w:val="17"/>
          <w:szCs w:val="17"/>
          <w:i w:val="1"/>
          <w:iCs w:val="1"/>
          <w:color w:val="auto"/>
        </w:rPr>
        <w:t xml:space="preserve"> </w:t>
      </w:r>
      <w:r>
        <w:rPr>
          <w:rFonts w:ascii="Arial" w:cs="Arial" w:eastAsia="Arial" w:hAnsi="Arial"/>
          <w:sz w:val="17"/>
          <w:szCs w:val="17"/>
          <w:color w:val="auto"/>
        </w:rPr>
        <w:t>continuously informing future drug design, ultimately optimizing the process as we advance our knowledge and expertise.</w:t>
      </w:r>
    </w:p>
    <w:p>
      <w:pPr>
        <w:spacing w:after="0" w:line="123" w:lineRule="exact"/>
        <w:rPr>
          <w:sz w:val="20"/>
          <w:szCs w:val="20"/>
          <w:color w:val="auto"/>
        </w:rPr>
      </w:pPr>
    </w:p>
    <w:p>
      <w:pPr>
        <w:ind w:right="80" w:firstLine="576"/>
        <w:spacing w:after="0" w:line="248" w:lineRule="auto"/>
        <w:rPr>
          <w:sz w:val="20"/>
          <w:szCs w:val="20"/>
          <w:color w:val="auto"/>
        </w:rPr>
      </w:pPr>
      <w:r>
        <w:rPr>
          <w:rFonts w:ascii="Arial" w:cs="Arial" w:eastAsia="Arial" w:hAnsi="Arial"/>
          <w:sz w:val="18"/>
          <w:szCs w:val="18"/>
          <w:color w:val="auto"/>
        </w:rPr>
        <w:t>This system has supported the identification of several candidates for development, including ATH-1017. We are using our ATH platform and discovery engine to explore potential development of therapeutic candidates in additional nervous system disorders including ALS, MS, and neuropsychiatric indications, as well as in peripheral indications such as peripheral neuropathy. We are also actively exploring the potential of expanding the focus of our discovery engine to multiple molecular targets relevant to nervous system disorders.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Additional Development Opportunities</w:t>
      </w:r>
    </w:p>
    <w:p>
      <w:pPr>
        <w:spacing w:after="0" w:line="8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Our Neuropsychiatric Program (ATH-1019 / ATH</w:t>
      </w:r>
      <w:r>
        <w:rPr>
          <w:rFonts w:ascii="MS PGothic" w:cs="MS PGothic" w:eastAsia="MS PGothic" w:hAnsi="MS PGothic"/>
          <w:sz w:val="18"/>
          <w:szCs w:val="18"/>
          <w:i w:val="1"/>
          <w:iCs w:val="1"/>
          <w:color w:val="auto"/>
        </w:rPr>
        <w:t>‑</w:t>
      </w:r>
      <w:r>
        <w:rPr>
          <w:rFonts w:ascii="Arial" w:cs="Arial" w:eastAsia="Arial" w:hAnsi="Arial"/>
          <w:sz w:val="18"/>
          <w:szCs w:val="18"/>
          <w:b w:val="1"/>
          <w:bCs w:val="1"/>
          <w:i w:val="1"/>
          <w:iCs w:val="1"/>
          <w:color w:val="auto"/>
        </w:rPr>
        <w:t>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2596515</wp:posOffset>
            </wp:positionH>
            <wp:positionV relativeFrom="paragraph">
              <wp:posOffset>-38735</wp:posOffset>
            </wp:positionV>
            <wp:extent cx="38735" cy="139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8735" cy="13970"/>
                    </a:xfrm>
                    <a:prstGeom prst="rect">
                      <a:avLst/>
                    </a:prstGeom>
                    <a:noFill/>
                  </pic:spPr>
                </pic:pic>
              </a:graphicData>
            </a:graphic>
          </wp:anchor>
        </w:drawing>
      </w:r>
    </w:p>
    <w:p>
      <w:pPr>
        <w:spacing w:after="0" w:line="108"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We are currently developing ATH compounds for neuropsychiatric conditions. The HGF/MET system is relevant for multiple neuropsychiatric indications including depression, anxiety and schizophrenia, as well as cognitive impairment often associated with these conditions. The lifetime prevalence of common mental disorders is reported to be almost 30% and, despite the sizable number of available treatments, a large portion of subjects show an unsatisfactory or a lack of response to treatment. This context, combined with slow responses to common treatments, results in a major burden for patients, public healthcare, and disability systems. ATH compounds represent a novel mechanism for the treatment of neuropsychiatric conditions.</w:t>
      </w:r>
    </w:p>
    <w:p>
      <w:pPr>
        <w:spacing w:after="0" w:line="41" w:lineRule="exact"/>
        <w:rPr>
          <w:sz w:val="20"/>
          <w:szCs w:val="20"/>
          <w:color w:val="auto"/>
        </w:rPr>
      </w:pPr>
    </w:p>
    <w:p>
      <w:pPr>
        <w:ind w:right="60" w:firstLine="576"/>
        <w:spacing w:after="0" w:line="212" w:lineRule="exact"/>
        <w:rPr>
          <w:sz w:val="20"/>
          <w:szCs w:val="20"/>
          <w:color w:val="auto"/>
        </w:rPr>
      </w:pPr>
      <w:r>
        <w:rPr>
          <w:rFonts w:ascii="Arial" w:cs="Arial" w:eastAsia="Arial" w:hAnsi="Arial"/>
          <w:sz w:val="18"/>
          <w:szCs w:val="18"/>
          <w:color w:val="auto"/>
        </w:rPr>
        <w:t>Our lead product candidates for the neuropsychiatric program are ATH-1019 and ATH</w:t>
      </w:r>
      <w:r>
        <w:rPr>
          <w:rFonts w:ascii="MS PGothic" w:cs="MS PGothic" w:eastAsia="MS PGothic" w:hAnsi="MS PGothic"/>
          <w:sz w:val="18"/>
          <w:szCs w:val="18"/>
          <w:color w:val="auto"/>
        </w:rPr>
        <w:t>‑</w:t>
      </w:r>
      <w:r>
        <w:rPr>
          <w:rFonts w:ascii="Arial" w:cs="Arial" w:eastAsia="Arial" w:hAnsi="Arial"/>
          <w:sz w:val="18"/>
          <w:szCs w:val="18"/>
          <w:color w:val="auto"/>
        </w:rPr>
        <w:t>1020. ATH-1020 is a new compound that recently was moved from the discovery stage to the development stage. ATH-1019 and ATH-1020 are novel, small molecule compounds designed to be an orally available once-daily treatment, to activate the HGF/MET system, and to distribute to the CNS. In vivo testing has demonstrated that following oral delivery, ATH</w:t>
      </w:r>
      <w:r>
        <w:rPr>
          <w:rFonts w:ascii="MS PGothic" w:cs="MS PGothic" w:eastAsia="MS PGothic" w:hAnsi="MS PGothic"/>
          <w:sz w:val="18"/>
          <w:szCs w:val="18"/>
          <w:color w:val="auto"/>
        </w:rPr>
        <w:t>‑</w:t>
      </w:r>
      <w:r>
        <w:rPr>
          <w:rFonts w:ascii="Arial" w:cs="Arial" w:eastAsia="Arial" w:hAnsi="Arial"/>
          <w:sz w:val="18"/>
          <w:szCs w:val="18"/>
          <w:color w:val="auto"/>
        </w:rPr>
        <w:t>1019 and ATH</w:t>
      </w:r>
      <w:r>
        <w:rPr>
          <w:rFonts w:ascii="MS PGothic" w:cs="MS PGothic" w:eastAsia="MS PGothic" w:hAnsi="MS PGothic"/>
          <w:sz w:val="18"/>
          <w:szCs w:val="18"/>
          <w:color w:val="auto"/>
        </w:rPr>
        <w:t>‑</w:t>
      </w:r>
      <w:r>
        <w:rPr>
          <w:rFonts w:ascii="Arial" w:cs="Arial" w:eastAsia="Arial" w:hAnsi="Arial"/>
          <w:sz w:val="18"/>
          <w:szCs w:val="18"/>
          <w:color w:val="auto"/>
        </w:rPr>
        <w:t>1020 distribute to the brain and are neuroactive in animals, and have demonstrated anti -depressant effects in the forced swim model of depression, as shown in Figure 22. ATH-1019 has also been shown to improve cognitive function in the rat scopolamine amnesia model of dementia, and testing of ATH-1020 is ongoing. ATH-1019 and ATH-1020 are currently in IND-enabling studies with IND submission targeted by the end of 2021.</w:t>
      </w:r>
    </w:p>
    <w:p>
      <w:pPr>
        <w:spacing w:after="0" w:line="287" w:lineRule="exact"/>
        <w:rPr>
          <w:sz w:val="20"/>
          <w:szCs w:val="20"/>
          <w:color w:val="auto"/>
        </w:rPr>
      </w:pPr>
    </w:p>
    <w:p>
      <w:pPr>
        <w:ind w:right="100" w:firstLine="576"/>
        <w:spacing w:after="0" w:line="248" w:lineRule="auto"/>
        <w:rPr>
          <w:sz w:val="20"/>
          <w:szCs w:val="20"/>
          <w:color w:val="auto"/>
        </w:rPr>
      </w:pPr>
      <w:r>
        <w:rPr>
          <w:rFonts w:ascii="Arial" w:cs="Arial" w:eastAsia="Arial" w:hAnsi="Arial"/>
          <w:sz w:val="18"/>
          <w:szCs w:val="18"/>
          <w:i w:val="1"/>
          <w:iCs w:val="1"/>
          <w:color w:val="auto"/>
        </w:rPr>
        <w:t xml:space="preserve">Figure 22. ATH-1019 and ATH-1020 Improve Depressive-like Behaviors in Rats in the Forced Swim Model of Depression. </w:t>
      </w:r>
      <w:r>
        <w:rPr>
          <w:rFonts w:ascii="Arial" w:cs="Arial" w:eastAsia="Arial" w:hAnsi="Arial"/>
          <w:sz w:val="18"/>
          <w:szCs w:val="18"/>
          <w:color w:val="auto"/>
        </w:rPr>
        <w:t>Data show</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frequency of behaviors normalized to vehicle for ten rats per group. ATH-1019 and ATH-1020 significantly improved performance in the forced swim test, by reducing immobility, a depressive-like behavior, and increasing swimming, commonly interpreted as an antidepressant effect, compared to vehicle (*p&lt;0.05).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53975</wp:posOffset>
            </wp:positionV>
            <wp:extent cx="5349240" cy="19627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349240"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60" w:firstLine="569"/>
        <w:spacing w:after="0" w:line="276" w:lineRule="auto"/>
        <w:rPr>
          <w:sz w:val="20"/>
          <w:szCs w:val="20"/>
          <w:color w:val="auto"/>
        </w:rPr>
      </w:pPr>
      <w:r>
        <w:rPr>
          <w:rFonts w:ascii="Arial" w:cs="Arial" w:eastAsia="Arial" w:hAnsi="Arial"/>
          <w:sz w:val="18"/>
          <w:szCs w:val="18"/>
          <w:color w:val="auto"/>
        </w:rPr>
        <w:t>We believe the stimulating activity of ATH compounds on the HGF/MET system is well-suited to address neuropsychiatric conditions because:</w:t>
      </w:r>
    </w:p>
    <w:p>
      <w:pPr>
        <w:spacing w:after="0" w:line="37" w:lineRule="exact"/>
        <w:rPr>
          <w:sz w:val="20"/>
          <w:szCs w:val="20"/>
          <w:color w:val="auto"/>
        </w:rPr>
      </w:pPr>
    </w:p>
    <w:p>
      <w:pPr>
        <w:ind w:left="1300" w:hanging="442"/>
        <w:spacing w:after="0"/>
        <w:tabs>
          <w:tab w:leader="none" w:pos="1300" w:val="left"/>
        </w:tabs>
        <w:numPr>
          <w:ilvl w:val="0"/>
          <w:numId w:val="78"/>
        </w:numPr>
        <w:rPr>
          <w:rFonts w:ascii="Times New Roman" w:cs="Times New Roman" w:eastAsia="Times New Roman" w:hAnsi="Times New Roman"/>
          <w:sz w:val="18"/>
          <w:szCs w:val="18"/>
          <w:color w:val="auto"/>
        </w:rPr>
      </w:pPr>
      <w:r>
        <w:rPr>
          <w:rFonts w:ascii="Arial" w:cs="Arial" w:eastAsia="Arial" w:hAnsi="Arial"/>
          <w:sz w:val="18"/>
          <w:szCs w:val="18"/>
          <w:color w:val="auto"/>
        </w:rPr>
        <w:t>HGF/MET signaling is deficient in neuropsychiatric patients and negatively correlated to disease severity;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8"/>
        </w:numPr>
        <w:rPr>
          <w:rFonts w:ascii="Times New Roman" w:cs="Times New Roman" w:eastAsia="Times New Roman" w:hAnsi="Times New Roman"/>
          <w:sz w:val="18"/>
          <w:szCs w:val="18"/>
          <w:color w:val="auto"/>
        </w:rPr>
      </w:pPr>
      <w:r>
        <w:rPr>
          <w:rFonts w:ascii="Arial" w:cs="Arial" w:eastAsia="Arial" w:hAnsi="Arial"/>
          <w:sz w:val="18"/>
          <w:szCs w:val="18"/>
          <w:color w:val="auto"/>
        </w:rPr>
        <w:t>reductions in HGF/MET signaling is a causative agent of depression and anxiety behaviors in rodents;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8"/>
        </w:numPr>
        <w:rPr>
          <w:rFonts w:ascii="Times New Roman" w:cs="Times New Roman" w:eastAsia="Times New Roman" w:hAnsi="Times New Roman"/>
          <w:sz w:val="18"/>
          <w:szCs w:val="18"/>
          <w:color w:val="auto"/>
        </w:rPr>
      </w:pPr>
      <w:r>
        <w:rPr>
          <w:rFonts w:ascii="Arial" w:cs="Arial" w:eastAsia="Arial" w:hAnsi="Arial"/>
          <w:sz w:val="18"/>
          <w:szCs w:val="18"/>
          <w:color w:val="auto"/>
        </w:rPr>
        <w:t>enhancement of HGF concentrations in the brain has anti-depressive and anxiolytic effects in rodent models.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32" w:name="page133"/>
    <w:bookmarkEnd w:id="132"/>
    <w:p>
      <w:pPr>
        <w:ind w:right="1320" w:firstLine="576"/>
        <w:spacing w:after="0" w:line="235" w:lineRule="exact"/>
        <w:rPr>
          <w:sz w:val="20"/>
          <w:szCs w:val="20"/>
          <w:color w:val="auto"/>
        </w:rPr>
      </w:pPr>
      <w:r>
        <w:rPr>
          <w:rFonts w:ascii="Arial" w:cs="Arial" w:eastAsia="Arial" w:hAnsi="Arial"/>
          <w:sz w:val="18"/>
          <w:szCs w:val="18"/>
          <w:i w:val="1"/>
          <w:iCs w:val="1"/>
          <w:color w:val="auto"/>
        </w:rPr>
        <w:t>Figure 23. ATH-1019 / ATH</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1020 Have the Potential to Rescue HGF/MET Signaling and Promote Activity to Address Neuropsychiatric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126365</wp:posOffset>
            </wp:positionV>
            <wp:extent cx="5006340" cy="36087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006340" cy="3608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firstLine="576"/>
        <w:spacing w:after="0" w:line="206" w:lineRule="exact"/>
        <w:rPr>
          <w:sz w:val="20"/>
          <w:szCs w:val="20"/>
          <w:color w:val="auto"/>
        </w:rPr>
      </w:pPr>
      <w:r>
        <w:rPr>
          <w:rFonts w:ascii="Arial" w:cs="Arial" w:eastAsia="Arial" w:hAnsi="Arial"/>
          <w:sz w:val="18"/>
          <w:szCs w:val="18"/>
          <w:color w:val="auto"/>
        </w:rPr>
        <w:t>Further, patients suffering from major depression display reduced function and connectivity of neural pathways, resulting in prolonged P300 latency compared to healthy controls. This effect is particularly apparent in those experiencing cognitive dysfunction. The extent of P300 latency slowing is strongly correlated with the severity of depression, and a normalization of P300 latency is associated with response to treatment. A similar correlation is observed in patients suffering from other neuropsychiatric disorders. Our HGF activator for the treatment of AD, ATH-1017, reduced the P300 latency of AD subjects in a Phase 1b clinical trial within 8 days of treatment. While the patient populations in neuropsychiatric conditions and AD are substantially different, the root cause of the diseases may not be, and properties of P300 latency have been shown to be conserved across many diseases. These results highlight the ability of HGF/MET activators to impact P300 latency, which when combined with the preexisting research on the effects of activating the HGF/MET system in neuropsychiatric disorders indicates that treatment with HGF/MET activating compounds may be capable of improving patient outcomes in neuropsychiatric indications. We are advancing ATH-1019 and ATH</w:t>
      </w:r>
      <w:r>
        <w:rPr>
          <w:rFonts w:ascii="MS PGothic" w:cs="MS PGothic" w:eastAsia="MS PGothic" w:hAnsi="MS PGothic"/>
          <w:sz w:val="18"/>
          <w:szCs w:val="18"/>
          <w:color w:val="auto"/>
        </w:rPr>
        <w:t>‑</w:t>
      </w:r>
      <w:r>
        <w:rPr>
          <w:rFonts w:ascii="Arial" w:cs="Arial" w:eastAsia="Arial" w:hAnsi="Arial"/>
          <w:sz w:val="18"/>
          <w:szCs w:val="18"/>
          <w:color w:val="auto"/>
        </w:rPr>
        <w:t>1020 to further development for neuropsychiatric indications and are targeting an IND submission to the FDA by the end of 2021. Late-stage non-clinical development work and potentially early clinical studies will support decisions on selection of the lead product candidate and indication moving forward.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Peripheral Indication Program (ATH-1018)</w:t>
      </w:r>
    </w:p>
    <w:p>
      <w:pPr>
        <w:spacing w:after="0" w:line="104" w:lineRule="exact"/>
        <w:rPr>
          <w:sz w:val="20"/>
          <w:szCs w:val="20"/>
          <w:color w:val="auto"/>
        </w:rPr>
      </w:pPr>
    </w:p>
    <w:p>
      <w:pPr>
        <w:ind w:right="180" w:firstLine="576"/>
        <w:spacing w:after="0" w:line="243" w:lineRule="auto"/>
        <w:rPr>
          <w:sz w:val="20"/>
          <w:szCs w:val="20"/>
          <w:color w:val="auto"/>
        </w:rPr>
      </w:pPr>
      <w:r>
        <w:rPr>
          <w:rFonts w:ascii="Arial" w:cs="Arial" w:eastAsia="Arial" w:hAnsi="Arial"/>
          <w:sz w:val="18"/>
          <w:szCs w:val="18"/>
          <w:color w:val="auto"/>
        </w:rPr>
        <w:t>We have initiated a discovery program to evaluate ATH compounds for peripheral nervous system disorders, such as neuropathy. ATH-1018 is a novel, orally active candidate that has demonstrated ability to significantly promote the activity of the HGF/MET system. We are planning to administer ATH-1018 at doses that are expected to largely relegate its activity to the periphery. ATH-1018 potentially represents a new strategy to address peripheral nervous system disorders by promoting the regenerative power of the HGF/MET system with a small molecule therapy. Consideration of HGF/MET activators as a therapeutic approach for peripheral nervous system disorders including neuropathy was initiated following review of</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59" w:right="39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t>studies demonstrating that HGF/MET activating treatment repaired peripheral nerve injury and reduced neuropathy.</w:t>
      </w:r>
    </w:p>
    <w:p>
      <w:pPr>
        <w:spacing w:after="0" w:line="212" w:lineRule="exact"/>
        <w:rPr>
          <w:sz w:val="20"/>
          <w:szCs w:val="20"/>
          <w:color w:val="auto"/>
        </w:rPr>
      </w:pPr>
    </w:p>
    <w:p>
      <w:pPr>
        <w:ind w:right="580" w:firstLine="576"/>
        <w:spacing w:after="0" w:line="276" w:lineRule="auto"/>
        <w:rPr>
          <w:sz w:val="20"/>
          <w:szCs w:val="20"/>
          <w:color w:val="auto"/>
        </w:rPr>
      </w:pPr>
      <w:r>
        <w:rPr>
          <w:rFonts w:ascii="Arial" w:cs="Arial" w:eastAsia="Arial" w:hAnsi="Arial"/>
          <w:sz w:val="18"/>
          <w:szCs w:val="18"/>
          <w:color w:val="auto"/>
        </w:rPr>
        <w:t>We believe the activity of ATH compounds, through enhancement of the HGF/MET system, is well-suited to address peripheral nervous system disorders including neuropathy given that HGF/MET signaling has been shown to:</w:t>
      </w:r>
    </w:p>
    <w:p>
      <w:pPr>
        <w:spacing w:after="0" w:line="37" w:lineRule="exact"/>
        <w:rPr>
          <w:sz w:val="20"/>
          <w:szCs w:val="20"/>
          <w:color w:val="auto"/>
        </w:rPr>
      </w:pPr>
    </w:p>
    <w:p>
      <w:pPr>
        <w:ind w:left="1300" w:hanging="442"/>
        <w:spacing w:after="0"/>
        <w:tabs>
          <w:tab w:leader="none" w:pos="130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color w:val="auto"/>
        </w:rPr>
        <w:t>protect nerve cells from damage and death;</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color w:val="auto"/>
        </w:rPr>
        <w:t>promote regeneration of damaged peripheral nerves, mediated through Schwann cell activity;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color w:val="auto"/>
        </w:rPr>
        <w:t>inhibit inflammation by reduction of the expression of pro-inflammatory cytokines;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color w:val="auto"/>
        </w:rPr>
        <w:t>down-regulate the expression of pain-related genes in damaged peripheral neurons, including ATF3.</w:t>
      </w:r>
    </w:p>
    <w:p>
      <w:pPr>
        <w:spacing w:after="0" w:line="265"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Furthermore, previous clinical trials have shown that with HGF plasmid therapy, designed to increase circulating HGF, promoting the HGF/MET system significantly reduced pain in patients with diabetic peripheral neuropathy. We believe these clinical trials provide a proof of concept for the therapeutic target. However, our oral small-molecule candidates offer distinct advantages over plasmid therapies, including controlled dose and ease of administration. Targeting HGF/MET signaling for the treatment of peripheral nervous system disorders is supported by both preclinical and clinical research, and we are evaluating the next generation oral ATH compounds for peripheral activity. We are advancing ATH-1018 to further discovery and development for peripheral nervous system indications and are targeting an IND submission to the FDA by the end of 2022.</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 and Dementia</w:t>
      </w:r>
    </w:p>
    <w:p>
      <w:pPr>
        <w:spacing w:after="0" w:line="104" w:lineRule="exact"/>
        <w:rPr>
          <w:sz w:val="20"/>
          <w:szCs w:val="20"/>
          <w:color w:val="auto"/>
        </w:rPr>
      </w:pPr>
    </w:p>
    <w:p>
      <w:pPr>
        <w:ind w:right="120" w:firstLine="576"/>
        <w:spacing w:after="0" w:line="243" w:lineRule="auto"/>
        <w:rPr>
          <w:sz w:val="20"/>
          <w:szCs w:val="20"/>
          <w:color w:val="auto"/>
        </w:rPr>
      </w:pPr>
      <w:r>
        <w:rPr>
          <w:rFonts w:ascii="Arial" w:cs="Arial" w:eastAsia="Arial" w:hAnsi="Arial"/>
          <w:sz w:val="18"/>
          <w:szCs w:val="18"/>
          <w:color w:val="auto"/>
        </w:rPr>
        <w:t>ATH-1017 is being advanced for mild-to-moderate AD patients initially. The AD dementia market today in 2020 is reported to be 5.8 million Americans and is projected to reach nearly 14 million by 2050 in the U.S. Worldwide, as many as 35 million people are estimated to have AD and the patient population was projected in 2007 to grow to over 100 million by 2050. Our strategy is to ultimately position ATH-1017 as a treatment for dementia broadly. Spanning all dementias globally, an estimated 50 million people are reported to be affected today in 2020 and this number is projected to be 150 million by 2050. Many factors contribute to the growing numbers of the potentially treatable population, including “baby boomers” reaching age 65 and increasing life expectancy beyond 80.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Target Indications</w:t>
      </w:r>
    </w:p>
    <w:p>
      <w:pPr>
        <w:spacing w:after="0" w:line="104" w:lineRule="exact"/>
        <w:rPr>
          <w:sz w:val="20"/>
          <w:szCs w:val="20"/>
          <w:color w:val="auto"/>
        </w:rPr>
      </w:pPr>
    </w:p>
    <w:p>
      <w:pPr>
        <w:ind w:right="240" w:firstLine="576"/>
        <w:spacing w:after="0" w:line="245" w:lineRule="auto"/>
        <w:rPr>
          <w:sz w:val="20"/>
          <w:szCs w:val="20"/>
          <w:color w:val="auto"/>
        </w:rPr>
      </w:pPr>
      <w:r>
        <w:rPr>
          <w:rFonts w:ascii="Arial" w:cs="Arial" w:eastAsia="Arial" w:hAnsi="Arial"/>
          <w:sz w:val="18"/>
          <w:szCs w:val="18"/>
          <w:color w:val="auto"/>
        </w:rPr>
        <w:t>Our immediate next pipeline opportunities include: ATH-1019 for neuropsychiatry and ATH-1018 for neuropathy. Neuropsychiatric indications, specifically depression, are estimated to affect 7% of all U.S. adults 18 and older representing an estimated addressable potential patient population of approximately 17 million adults as of 2017, and was projected in 2008 to reach approximately 37 million by 2050. Beyond depression, and with a reported lifetime prevalence of nearly 30% for all neuropsychiatric indications, the addressable 2020 patient population of adults 18 and older is reported to reach nearly 50 million in the U.S. alone.</w:t>
      </w:r>
    </w:p>
    <w:p>
      <w:pPr>
        <w:spacing w:after="0" w:line="172" w:lineRule="exact"/>
        <w:rPr>
          <w:sz w:val="20"/>
          <w:szCs w:val="20"/>
          <w:color w:val="auto"/>
        </w:rPr>
      </w:pPr>
    </w:p>
    <w:p>
      <w:pPr>
        <w:ind w:right="280" w:firstLine="576"/>
        <w:spacing w:after="0" w:line="248" w:lineRule="auto"/>
        <w:rPr>
          <w:sz w:val="20"/>
          <w:szCs w:val="20"/>
          <w:color w:val="auto"/>
        </w:rPr>
      </w:pPr>
      <w:r>
        <w:rPr>
          <w:rFonts w:ascii="Arial" w:cs="Arial" w:eastAsia="Arial" w:hAnsi="Arial"/>
          <w:sz w:val="18"/>
          <w:szCs w:val="18"/>
          <w:color w:val="auto"/>
        </w:rPr>
        <w:t>The estimated prevalence of neuropathy in the U.S. averages approximately 10% but could be higher due to a larger undiagnosed population. Conservatively, and with nearly 10% of the U.S. population over 30 years old estimated to be diagnosed with some form of neuropathy, the reported addressable patient population today is approximately 30 million patients for peripheral neuropathy, a type of neuropathic pain, alone.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i w:val="1"/>
          <w:iCs w:val="1"/>
          <w:color w:val="auto"/>
        </w:rPr>
        <w:t>Potential Commercialization Plan</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ATH-1017 is initially being developed as a regenerative medicine for AD. For the initial target patient population of mild-to-moderate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AD patients, our commercialization strategy of ATH-1017 will consider the following key elements:</w:t>
      </w:r>
    </w:p>
    <w:p>
      <w:pPr>
        <w:spacing w:after="0" w:line="82" w:lineRule="exact"/>
        <w:rPr>
          <w:sz w:val="20"/>
          <w:szCs w:val="20"/>
          <w:color w:val="auto"/>
        </w:rPr>
      </w:pPr>
    </w:p>
    <w:p>
      <w:pPr>
        <w:ind w:left="1300" w:hanging="442"/>
        <w:spacing w:after="0"/>
        <w:tabs>
          <w:tab w:leader="none" w:pos="130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color w:val="auto"/>
        </w:rPr>
        <w:t>an add-on therapy for patients on existing therapies;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color w:val="auto"/>
        </w:rPr>
        <w:t>a monotherapy for patients who are not suitable for acetylcholinesterase inhibitors, or AChEIs;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color w:val="auto"/>
        </w:rPr>
        <w:t>a monotherapy for patients who have stopped AChEIs due to loss of effect or side effects;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color w:val="auto"/>
        </w:rPr>
        <w:t>a treatment to other dementias such as PDD, Lewy body dementia and Frontal temporal dementia over time.</w:t>
      </w:r>
    </w:p>
    <w:p>
      <w:pPr>
        <w:spacing w:after="0" w:line="224" w:lineRule="exact"/>
        <w:rPr>
          <w:sz w:val="20"/>
          <w:szCs w:val="20"/>
          <w:color w:val="auto"/>
        </w:rPr>
      </w:pPr>
    </w:p>
    <w:p>
      <w:pPr>
        <w:ind w:right="80" w:firstLine="576"/>
        <w:spacing w:after="0" w:line="255" w:lineRule="auto"/>
        <w:rPr>
          <w:sz w:val="20"/>
          <w:szCs w:val="20"/>
          <w:color w:val="auto"/>
        </w:rPr>
      </w:pPr>
      <w:r>
        <w:rPr>
          <w:rFonts w:ascii="Arial" w:cs="Arial" w:eastAsia="Arial" w:hAnsi="Arial"/>
          <w:sz w:val="18"/>
          <w:szCs w:val="18"/>
          <w:color w:val="auto"/>
        </w:rPr>
        <w:t>We aim to demonstrate the unique short- and long-term value provided by ATH-1017 by linking the core symptoms of dementia (cognition and behavioral and psychological symptoms of dementia) to both improved outcomes and reduced costs and the benefits of ATH-1017 through increased compliance rates in our initial indications.</w:t>
      </w:r>
    </w:p>
    <w:p>
      <w:pPr>
        <w:spacing w:after="0" w:line="164"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We anticipate exploring two distribution strategies for ATH-1017, traditional wholesaler and specialty pharmacy. While the traditional wholesaler could be a suitable option, we believe that the additional patient services that could be provided through specialty pharmacy may offer more value to patients, caregivers, and their providers. Such services could include training on subcutaneous administration, patient counseling and assistance with reimbursement or insurance issues. This could also allow us to reduce the need for costly in house or field-based resources such as patient training or reimbursement support specialists.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06" w:lineRule="exact"/>
        <w:rPr>
          <w:sz w:val="20"/>
          <w:szCs w:val="20"/>
          <w:color w:val="auto"/>
        </w:rPr>
      </w:pPr>
    </w:p>
    <w:p>
      <w:pPr>
        <w:ind w:right="100" w:firstLine="576"/>
        <w:spacing w:after="0" w:line="243" w:lineRule="auto"/>
        <w:rPr>
          <w:sz w:val="20"/>
          <w:szCs w:val="20"/>
          <w:color w:val="auto"/>
        </w:rPr>
      </w:pPr>
      <w:r>
        <w:rPr>
          <w:rFonts w:ascii="Arial" w:cs="Arial" w:eastAsia="Arial" w:hAnsi="Arial"/>
          <w:sz w:val="18"/>
          <w:szCs w:val="18"/>
          <w:color w:val="auto"/>
        </w:rPr>
        <w:t>We are focused on the development of small molecule therapeutics which enables us to use well-established and widely available manufacturing processes and infrastructure, formulation compositions, and drug administration technologies or devices. We do not currently operate our own facilities for manufacturing, storing, or distributing our product candidates. We utilize third-party contract development and manufacturing organizations, or CDMOs, to manufacture and supply our preclinical and clinical materials during the development of our product candidates. We and various regulatory bodies have audited the CDMOs we contract with, and they have a proven track record of FDA-compliant manufacturing with an infrastructure to support large and commercial scale manufacturing.</w:t>
      </w:r>
    </w:p>
    <w:p>
      <w:pPr>
        <w:spacing w:after="0" w:line="149" w:lineRule="exact"/>
        <w:rPr>
          <w:sz w:val="20"/>
          <w:szCs w:val="20"/>
          <w:color w:val="auto"/>
        </w:rPr>
      </w:pPr>
    </w:p>
    <w:p>
      <w:pPr>
        <w:ind w:firstLine="576"/>
        <w:spacing w:after="0" w:line="215" w:lineRule="exact"/>
        <w:rPr>
          <w:sz w:val="20"/>
          <w:szCs w:val="20"/>
          <w:color w:val="auto"/>
        </w:rPr>
      </w:pPr>
      <w:r>
        <w:rPr>
          <w:rFonts w:ascii="Arial" w:cs="Arial" w:eastAsia="Arial" w:hAnsi="Arial"/>
          <w:sz w:val="18"/>
          <w:szCs w:val="18"/>
          <w:color w:val="auto"/>
        </w:rPr>
        <w:t>We have enough ATH-1017 supply to begin our LIFT-AD and our ACT</w:t>
      </w:r>
      <w:r>
        <w:rPr>
          <w:rFonts w:ascii="MS PGothic" w:cs="MS PGothic" w:eastAsia="MS PGothic" w:hAnsi="MS PGothic"/>
          <w:sz w:val="18"/>
          <w:szCs w:val="18"/>
          <w:color w:val="auto"/>
        </w:rPr>
        <w:t>‑</w:t>
      </w:r>
      <w:r>
        <w:rPr>
          <w:rFonts w:ascii="Arial" w:cs="Arial" w:eastAsia="Arial" w:hAnsi="Arial"/>
          <w:sz w:val="18"/>
          <w:szCs w:val="18"/>
          <w:color w:val="auto"/>
        </w:rPr>
        <w:t>AD P300 Phase 2 clinical trials in AD. We believe the synthesis of ATH-1017 is reliable and reproducible and the synthetic routes can be further optimized to enable large-scale production that continues to avoid use of toxic materials or specialized equipment or handling during the manufacturing process. We continue to optimize the manufacturing process to support future large-scale and commercial supply. ATH-1017 is purified as a stable solid and then released to additional CDMOs for formulation and packaging into final drug product for use in clinical testing.</w:t>
      </w:r>
    </w:p>
    <w:p>
      <w:pPr>
        <w:spacing w:after="0" w:line="179" w:lineRule="exact"/>
        <w:rPr>
          <w:sz w:val="20"/>
          <w:szCs w:val="20"/>
          <w:color w:val="auto"/>
        </w:rPr>
      </w:pPr>
    </w:p>
    <w:p>
      <w:pPr>
        <w:ind w:right="100" w:firstLine="576"/>
        <w:spacing w:after="0" w:line="243" w:lineRule="auto"/>
        <w:rPr>
          <w:sz w:val="20"/>
          <w:szCs w:val="20"/>
          <w:color w:val="auto"/>
        </w:rPr>
      </w:pPr>
      <w:r>
        <w:rPr>
          <w:rFonts w:ascii="Arial" w:cs="Arial" w:eastAsia="Arial" w:hAnsi="Arial"/>
          <w:sz w:val="18"/>
          <w:szCs w:val="18"/>
          <w:color w:val="auto"/>
        </w:rPr>
        <w:t>The final drug product profile is a ready-to-use pre-filled syringe with a clear, non-viscous aqueous solution of ATH-1017. The syringes utilize materials and components that are readily available commercially. The ATH-1017 drug product has shown extended stability (at least 2 years) under storage conditions when stored in vials that were composed of identical materials to the syringes. Confirmatory stability studies in syringes are ongoing and data collected thus far support the translation of the extended stability from vials to syringes under refrigerated conditions as well as short-term dispensation and at-home storage in ambient conditions. Room temperature storage allows patients to avoid cumbersome storage requirements and reduces overall burden.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35" w:name="page136"/>
    <w:bookmarkEnd w:id="135"/>
    <w:p>
      <w:pPr>
        <w:ind w:right="440" w:firstLine="576"/>
        <w:spacing w:after="0" w:line="276" w:lineRule="auto"/>
        <w:rPr>
          <w:sz w:val="20"/>
          <w:szCs w:val="20"/>
          <w:color w:val="auto"/>
        </w:rPr>
      </w:pPr>
      <w:r>
        <w:rPr>
          <w:rFonts w:ascii="Arial" w:cs="Arial" w:eastAsia="Arial" w:hAnsi="Arial"/>
          <w:sz w:val="18"/>
          <w:szCs w:val="18"/>
          <w:color w:val="auto"/>
        </w:rPr>
        <w:t>We plan to maintain our focus to identify and develop small molecule product candidates that are expected to have cost-effective manufacturing using third party CDMOs.</w:t>
      </w:r>
    </w:p>
    <w:p>
      <w:pPr>
        <w:spacing w:after="0" w:line="145" w:lineRule="exact"/>
        <w:rPr>
          <w:sz w:val="20"/>
          <w:szCs w:val="20"/>
          <w:color w:val="auto"/>
        </w:rPr>
      </w:pPr>
    </w:p>
    <w:p>
      <w:pPr>
        <w:ind w:right="60" w:firstLine="576"/>
        <w:spacing w:after="0" w:line="276" w:lineRule="auto"/>
        <w:rPr>
          <w:sz w:val="20"/>
          <w:szCs w:val="20"/>
          <w:color w:val="auto"/>
        </w:rPr>
      </w:pPr>
      <w:r>
        <w:rPr>
          <w:rFonts w:ascii="Arial" w:cs="Arial" w:eastAsia="Arial" w:hAnsi="Arial"/>
          <w:sz w:val="18"/>
          <w:szCs w:val="18"/>
          <w:color w:val="auto"/>
        </w:rPr>
        <w:t>We expect to use similar contract resources for commercialization of our products, at least until our resources and operations are at a scale that justifies investment in internal manufacturing capabilities.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6"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The biotechnology and biopharmaceuticals industries are characterized by rapid technological advancement, significant competition, and an emphasis on intellectual property. As a clinical-stage biopharmaceutical company developing small molecules to restore neuronal health and stop neurodegeneration, with our most advanced product candidates focused on the treatment of AD and dementia, we face, and in the future may face increased, competitive pressures from both large and small pharmaceutical companies and from established and emerging biotechnology companies, as well as academic, government, and public and private research institutions. Any product candidates that we successfully develop and commercialize will compete with current treatments and new treatments that may become available in the future. With the advancement of ATH-1017 as a novel small molecule therapeutic activating a neurotrophic factor pathway, the HGF/MET system, and its liquid formulation as a subcutaneous deliverable, we also consider as competitors companies developing small molecule AD therapies targeting neurotrophic factors with or without a subcutaneous route of administration. Despite the immediate commercialization plan to launch ATH-1017, if approved, in pre-filled syringes with future plans for device innovation, including potentially smart multi-dose pen injectors, we do not view the medical device industry as competition but rather potential partners enabling the manufacture and commercialization of ATH-1017.</w:t>
      </w:r>
    </w:p>
    <w:p>
      <w:pPr>
        <w:spacing w:after="0" w:line="183"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Because of the range of potential competitors, many of our competitors, alone or with strategic partners, have greater access to financial resources, market presence, and resources and expertise in development, preclinical and clinical testing, manufacturing, commercialization, the regulatory approval process, and/or marketing and sales than we do. In addition, these same competitors, who may be in a clinical development stage, could also be competing with us for patient recruitment, clinical research organization, and operational resources. These entities also compete with us in the recruitment and retaining of qualified scientific and management personnel, as well as the acquisition of enabling or complementary technologies for advancing ATH-1017 across all competitors. Merger and acquisition activity in the biotechnology and biopharmaceutical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Our commercial opportunity could be substantially limited if our competitors develop and commercialize products that are more effective, safer, more convenient or less expensive than our comparable products. In geographies that are critical to our commercial success, competitors may also obtain regulatory approvals before us, resulting in our competitors building a strong market position in advance of the entry of our products. In addition, our ability to compete may be affected in many cases by insurers or other third-party payors seeking to encourage the use of other treatments.</w:t>
      </w:r>
    </w:p>
    <w:p>
      <w:pPr>
        <w:spacing w:after="0" w:line="180"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Key competitive forces that could potentially affect the success of our products, if approved, are safety, efficacy, price, adoption, convenience, time-to-market, level of promotional activity, intellectual property protection, and reimbursement likelihood from government and private payors. Despite these forces, we view our competitive advantage in not only our lead product candidate, ATH-1017, but also our novel pipeline of therapeutics with a focus on overall neuronal health. In particular, the following summarizes certain categories of our potential competition.</w:t>
      </w:r>
    </w:p>
    <w:p>
      <w:pPr>
        <w:spacing w:after="0" w:line="172"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As a small molecule therapeutic targeting the HGF/MET system, we are aware of a number of potential competitors in this space, including ANG-3777, an HGF mimetic, developed by Angion for the treatment of kidney injury and Collategene developed by Mitsubishi Tanabe and AnGes as a gene therapy for the treatment of critical limb ischemia. ANG-3777 is currently in Phase 3 clinical trials while Collategene was launched in Japan in the third quarter of 2019. In addition, we are aware of p75 ligands being developed by PharmatrophiX for the treatment of neurodegenerative and other disorders, including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6" w:name="page137"/>
    <w:bookmarkEnd w:id="136"/>
    <w:p>
      <w:pPr>
        <w:ind w:right="180"/>
        <w:spacing w:after="0" w:line="276" w:lineRule="auto"/>
        <w:rPr>
          <w:sz w:val="20"/>
          <w:szCs w:val="20"/>
          <w:color w:val="auto"/>
        </w:rPr>
      </w:pPr>
      <w:r>
        <w:rPr>
          <w:rFonts w:ascii="Arial" w:cs="Arial" w:eastAsia="Arial" w:hAnsi="Arial"/>
          <w:sz w:val="18"/>
          <w:szCs w:val="18"/>
          <w:color w:val="auto"/>
        </w:rPr>
        <w:t>AD, as well as VM-202, a regenerative plasmid DNA therapy candidate in development by Helixmith for the treatment of diabetic peripheral neuropathy. We are not aware of any direct competitors currently targeting the HGF/MET system for neurological conditions.</w:t>
      </w:r>
    </w:p>
    <w:p>
      <w:pPr>
        <w:spacing w:after="0" w:line="145" w:lineRule="exact"/>
        <w:rPr>
          <w:sz w:val="20"/>
          <w:szCs w:val="20"/>
          <w:color w:val="auto"/>
        </w:rPr>
      </w:pPr>
    </w:p>
    <w:p>
      <w:pPr>
        <w:ind w:right="120" w:firstLine="576"/>
        <w:spacing w:after="0" w:line="245" w:lineRule="auto"/>
        <w:rPr>
          <w:sz w:val="20"/>
          <w:szCs w:val="20"/>
          <w:color w:val="auto"/>
        </w:rPr>
      </w:pPr>
      <w:r>
        <w:rPr>
          <w:rFonts w:ascii="Arial" w:cs="Arial" w:eastAsia="Arial" w:hAnsi="Arial"/>
          <w:sz w:val="18"/>
          <w:szCs w:val="18"/>
          <w:color w:val="auto"/>
        </w:rPr>
        <w:t>ATH-1017 is being advanced as either a monotherapy or an add-on therapy for patients on AChEIs. In addition to being a potential add-on therapy to currently approved therapies, we do not anticipate ATH-1017 to be a direct competitor to, but rather complementary to, other therapeutic developments focused on Aβ, pTau, AChE, BACE inhibitors, inflammation and others. Similarly, because ATH-1017 presents a novel mechanism of action, we do not view monoclonal antibody therapies currently under development by large pharmaceutical companies of which we are aware, including Biogen, Eli Lilly and Roche, as competitors, but potentially as complementary to our approach.</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6" w:lineRule="exact"/>
        <w:rPr>
          <w:sz w:val="20"/>
          <w:szCs w:val="20"/>
          <w:color w:val="auto"/>
        </w:rPr>
      </w:pPr>
    </w:p>
    <w:p>
      <w:pPr>
        <w:ind w:right="120" w:firstLine="576"/>
        <w:spacing w:after="0" w:line="276" w:lineRule="auto"/>
        <w:rPr>
          <w:sz w:val="20"/>
          <w:szCs w:val="20"/>
          <w:color w:val="auto"/>
        </w:rPr>
      </w:pPr>
      <w:r>
        <w:rPr>
          <w:rFonts w:ascii="Arial" w:cs="Arial" w:eastAsia="Arial" w:hAnsi="Arial"/>
          <w:sz w:val="18"/>
          <w:szCs w:val="18"/>
          <w:color w:val="auto"/>
        </w:rPr>
        <w:t>We own or have in-licensed numerous patents and patent applications and possess substantial know-how and trade secrets relating to the development and commercialization of our product candidates, including related manufacturing processes and technologies.</w:t>
      </w:r>
    </w:p>
    <w:p>
      <w:pPr>
        <w:spacing w:after="0" w:line="145"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As of December 31, 2020, our patent portfolio consisted of eight owned or in-licensed U.S. issued patents, two owned or in-licensed U.S. pending patent applications, 13 owned or in-licensed patents issued in jurisdictions outside of the United States, and eight owned or in-licensed pending patent applications in jurisdictions outside of the United States. The patents and patent applications issued and pending outside the United States are generally counterparts to the foregoing U.S. patents and patent applications and are held primarily in Europe, Canada, Japan, Australia, Hong Kong, India, and China. Our solely-owned and in-licensed patents and patent applications include, among others, claims directed to:</w:t>
      </w:r>
    </w:p>
    <w:p>
      <w:pPr>
        <w:spacing w:after="0" w:line="66" w:lineRule="exact"/>
        <w:rPr>
          <w:sz w:val="20"/>
          <w:szCs w:val="20"/>
          <w:color w:val="auto"/>
        </w:rPr>
      </w:pPr>
    </w:p>
    <w:p>
      <w:pPr>
        <w:ind w:left="1300" w:hanging="442"/>
        <w:spacing w:after="0"/>
        <w:tabs>
          <w:tab w:leader="none" w:pos="1300"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color w:val="auto"/>
        </w:rPr>
        <w:t>ATH-1017 and related compounds, including but not limited to ATH-1019 and ATH-1020;</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color w:val="auto"/>
        </w:rPr>
        <w:t>methods of using ATH-1017;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color w:val="auto"/>
        </w:rPr>
        <w:t>methods of using related compounds, including but not limited to ATH-1019 and ATH-1020.</w:t>
      </w:r>
    </w:p>
    <w:p>
      <w:pPr>
        <w:spacing w:after="0" w:line="224" w:lineRule="exact"/>
        <w:rPr>
          <w:sz w:val="20"/>
          <w:szCs w:val="20"/>
          <w:color w:val="auto"/>
        </w:rPr>
      </w:pPr>
    </w:p>
    <w:p>
      <w:pPr>
        <w:ind w:right="40" w:firstLine="576"/>
        <w:spacing w:after="0" w:line="255" w:lineRule="auto"/>
        <w:rPr>
          <w:sz w:val="20"/>
          <w:szCs w:val="20"/>
          <w:color w:val="auto"/>
        </w:rPr>
      </w:pPr>
      <w:r>
        <w:rPr>
          <w:rFonts w:ascii="Arial" w:cs="Arial" w:eastAsia="Arial" w:hAnsi="Arial"/>
          <w:sz w:val="18"/>
          <w:szCs w:val="18"/>
          <w:color w:val="auto"/>
        </w:rPr>
        <w:t>We intend to pursue, when possible, further composition, method of use, dosing, formulation, and device patent protection directed to the neuroregenerative products and processes we develop. We may also pursue patent protection with respect to manufacturing and drug development processes and technology.</w:t>
      </w:r>
    </w:p>
    <w:p>
      <w:pPr>
        <w:spacing w:after="0" w:line="164" w:lineRule="exact"/>
        <w:rPr>
          <w:sz w:val="20"/>
          <w:szCs w:val="20"/>
          <w:color w:val="auto"/>
        </w:rPr>
      </w:pPr>
    </w:p>
    <w:p>
      <w:pPr>
        <w:ind w:right="80" w:firstLine="576"/>
        <w:spacing w:after="0" w:line="239" w:lineRule="auto"/>
        <w:rPr>
          <w:sz w:val="20"/>
          <w:szCs w:val="20"/>
          <w:color w:val="auto"/>
        </w:rPr>
      </w:pPr>
      <w:r>
        <w:rPr>
          <w:rFonts w:ascii="Arial" w:cs="Arial" w:eastAsia="Arial" w:hAnsi="Arial"/>
          <w:sz w:val="18"/>
          <w:szCs w:val="18"/>
          <w:color w:val="auto"/>
        </w:rPr>
        <w:t>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nonprovisional filing date. In addition, in certain instances, a patent term can be adjusted or extended to recapture a portion of the term effectively lost as a result of the USPTO delay and the FDA regulatory review period. The restoration period for FDA delay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nonprovisional filing date. Our in-licensed issued patents will expire on dates ranging from 2023 to 2035, exclusive of any patent term adjustment or patent term extension. If patents are issued on our pending patent applications, the resulting patents are projected to expire on dates ranging from 2032 to 2037, exclusive of any patent term adjustment or patent term extension.</w:t>
      </w:r>
    </w:p>
    <w:p>
      <w:pPr>
        <w:spacing w:after="0" w:line="180"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We further seek to protect our technology and product candidates, in part, as trade secrets,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37" w:name="page138"/>
    <w:bookmarkEnd w:id="137"/>
    <w:p>
      <w:pPr>
        <w:ind w:right="680" w:firstLine="576"/>
        <w:spacing w:after="0" w:line="276" w:lineRule="auto"/>
        <w:rPr>
          <w:sz w:val="20"/>
          <w:szCs w:val="20"/>
          <w:color w:val="auto"/>
        </w:rPr>
      </w:pPr>
      <w:r>
        <w:rPr>
          <w:rFonts w:ascii="Arial" w:cs="Arial" w:eastAsia="Arial" w:hAnsi="Arial"/>
          <w:sz w:val="18"/>
          <w:szCs w:val="18"/>
          <w:color w:val="auto"/>
        </w:rPr>
        <w:t>Our trademark portfolio currently consists of two pending trademark applications in the United States, two pending trademark applications in Australia, and two issued trademark registrations in the European Union.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Collaboration and Grant Agreements</w:t>
      </w:r>
    </w:p>
    <w:p>
      <w:pPr>
        <w:spacing w:after="0" w:line="106" w:lineRule="exact"/>
        <w:rPr>
          <w:sz w:val="20"/>
          <w:szCs w:val="20"/>
          <w:color w:val="auto"/>
        </w:rPr>
      </w:pPr>
    </w:p>
    <w:p>
      <w:pPr>
        <w:ind w:right="280"/>
        <w:spacing w:after="0" w:line="274" w:lineRule="auto"/>
        <w:rPr>
          <w:sz w:val="20"/>
          <w:szCs w:val="20"/>
          <w:color w:val="auto"/>
        </w:rPr>
      </w:pPr>
      <w:r>
        <w:rPr>
          <w:rFonts w:ascii="Arial" w:cs="Arial" w:eastAsia="Arial" w:hAnsi="Arial"/>
          <w:sz w:val="18"/>
          <w:szCs w:val="18"/>
          <w:i w:val="1"/>
          <w:iCs w:val="1"/>
          <w:color w:val="auto"/>
        </w:rPr>
        <w:t>Washington State University Research Foundation License Agreement and Amended and Restated Washington State University License Agreement</w:t>
      </w:r>
    </w:p>
    <w:p>
      <w:pPr>
        <w:spacing w:after="0" w:line="38" w:lineRule="exact"/>
        <w:rPr>
          <w:sz w:val="20"/>
          <w:szCs w:val="20"/>
          <w:color w:val="auto"/>
        </w:rPr>
      </w:pPr>
    </w:p>
    <w:p>
      <w:pPr>
        <w:ind w:right="80" w:firstLine="576"/>
        <w:spacing w:after="0" w:line="241" w:lineRule="auto"/>
        <w:rPr>
          <w:sz w:val="20"/>
          <w:szCs w:val="20"/>
          <w:color w:val="auto"/>
        </w:rPr>
      </w:pPr>
      <w:r>
        <w:rPr>
          <w:rFonts w:ascii="Arial" w:cs="Arial" w:eastAsia="Arial" w:hAnsi="Arial"/>
          <w:sz w:val="18"/>
          <w:szCs w:val="18"/>
          <w:color w:val="auto"/>
        </w:rPr>
        <w:t>In December 2011, we entered into an exclusive license agreement with Washington State University Research Fund, or WSURF, which, after the dissolution of WSURF in 2013, was superseded by an amended and restated exclusive license agreement with Washington State University, or WSU, in September of 2015. Under this agreement, WSU granted us an exclusive license to make, use, sell, and offer for sale licensed products and licensed processes that embody the licensed patents (including WSU’s rights to a patent jointly owned with Pacific Northwest Biotechnology, Inc.) and that form the underlying technology of the drug therapies we are developing. We do not expect WSU’s joint ownership of the patent with Pacific Northwest Biotechnology, Inc. will materially affect our license of such patent or the development of any of our product candidates to which the patent relates.</w:t>
      </w:r>
    </w:p>
    <w:p>
      <w:pPr>
        <w:spacing w:after="0" w:line="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initiation of our first Phase 2 clinical trial in September 2020 triggered a $50,000 liability to WSU.</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may also be obligated to pay to WSU the following if the related milestones are reached:</w:t>
      </w:r>
    </w:p>
    <w:p>
      <w:pPr>
        <w:spacing w:after="0" w:line="104" w:lineRule="exact"/>
        <w:rPr>
          <w:sz w:val="20"/>
          <w:szCs w:val="20"/>
          <w:color w:val="auto"/>
        </w:rPr>
      </w:pPr>
    </w:p>
    <w:p>
      <w:pPr>
        <w:ind w:left="1300" w:right="200" w:hanging="442"/>
        <w:spacing w:after="0" w:line="275" w:lineRule="auto"/>
        <w:tabs>
          <w:tab w:leader="none" w:pos="1300" w:val="left"/>
        </w:tabs>
        <w:numPr>
          <w:ilvl w:val="0"/>
          <w:numId w:val="82"/>
        </w:numPr>
        <w:rPr>
          <w:rFonts w:ascii="Times New Roman" w:cs="Times New Roman" w:eastAsia="Times New Roman" w:hAnsi="Times New Roman"/>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2"/>
        </w:numPr>
        <w:rPr>
          <w:rFonts w:ascii="Times New Roman" w:cs="Times New Roman" w:eastAsia="Times New Roman" w:hAnsi="Times New Roman"/>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are obligated to pay WSU a royalty in the mid-single digits of net sales.</w:t>
      </w:r>
    </w:p>
    <w:p>
      <w:pPr>
        <w:spacing w:after="0" w:line="212" w:lineRule="exact"/>
        <w:rPr>
          <w:sz w:val="20"/>
          <w:szCs w:val="20"/>
          <w:color w:val="auto"/>
        </w:rPr>
      </w:pPr>
    </w:p>
    <w:p>
      <w:pPr>
        <w:ind w:right="140" w:firstLine="576"/>
        <w:spacing w:after="0" w:line="255" w:lineRule="auto"/>
        <w:rPr>
          <w:sz w:val="20"/>
          <w:szCs w:val="20"/>
          <w:color w:val="auto"/>
        </w:rPr>
      </w:pPr>
      <w:r>
        <w:rPr>
          <w:rFonts w:ascii="Arial" w:cs="Arial" w:eastAsia="Arial" w:hAnsi="Arial"/>
          <w:sz w:val="18"/>
          <w:szCs w:val="18"/>
          <w:color w:val="auto"/>
        </w:rPr>
        <w:t>Additionally, under the agreement we have the right to sublicense the licensed rights, subject to additional payments to WSU for sublicense consideration received. Such amounts are dependent on the terms of the underlying sublicense, and range from the mid-single digits to mid tens of any non-sales based payments received, and low twenties of net sales-based sublicense royalties.</w:t>
      </w:r>
    </w:p>
    <w:p>
      <w:pPr>
        <w:spacing w:after="0" w:line="164"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The term of the agreement will continue until the earlier of the date that no valid claim in a licensed patent remains enforceable or payment of earned royalties, once such payments begin, ceases for more than four consecutive calendar quarters. We have not yet commenced payment of royalties to WSU pursuant to the terms of the agreement, since, as of the date of this prospectus, we do not have any approved products with respect to which we may generate revenue. If any of our product candidates to which the patents relate are approved for commercial sale, our obligations to pay royalties would commence upon net sales of such approved product candidates and cease no later than the date that no valid claim in a licensed patent remains enforceable. Such licensed patents in major markets with respect to indications we are currently pursuing will expire on dates ranging from 2023 to 2032, exclusive of any patent term adjustment or patent term extension. We may terminate this agreement with 90 days’ prior written notice to WSU. WSU may terminate this agreement with 90 days’ prior written notice if we fail to achieve certain performance milestones by the agreed upon dates. WSU may also terminate this agreement with 90 days’ prior written notice (or thirty days’ prior written notice in the case of our failure to make a timely payment owed to WSU) following our failure to conduct certain development activities for two consecutive calendar quarters or upon our material breach of the agreement and our failure to cure any such breach within 90 days of our receipt of notice of such breach from WSU (or within 30 days in the case of our failure to make a timely payment owed to WSU).</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i w:val="1"/>
          <w:iCs w:val="1"/>
          <w:color w:val="auto"/>
        </w:rPr>
        <w:t>Grant Liability</w:t>
      </w:r>
    </w:p>
    <w:p>
      <w:pPr>
        <w:spacing w:after="0" w:line="102"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In 2014 and 2015, we received $250,000 and $500,000, respectively, from the Washington Life Sciences Discovery Fund, or LSDF, under the terms of two matching grant award agreements. The consummation of the Company’s initial public offering in September 2020 was a triggering event under the terms of the grant and the liability was remeasured to the pay-off amount of $1.5 million as of September 30, 2020.</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National Institutes of Health Grant</w:t>
      </w:r>
    </w:p>
    <w:p>
      <w:pPr>
        <w:spacing w:after="0" w:line="102" w:lineRule="exact"/>
        <w:rPr>
          <w:sz w:val="20"/>
          <w:szCs w:val="20"/>
          <w:color w:val="auto"/>
        </w:rPr>
      </w:pPr>
    </w:p>
    <w:p>
      <w:pPr>
        <w:ind w:right="20" w:firstLine="576"/>
        <w:spacing w:after="0" w:line="239" w:lineRule="auto"/>
        <w:rPr>
          <w:sz w:val="20"/>
          <w:szCs w:val="20"/>
          <w:color w:val="auto"/>
        </w:rPr>
      </w:pPr>
      <w:r>
        <w:rPr>
          <w:rFonts w:ascii="Arial" w:cs="Arial" w:eastAsia="Arial" w:hAnsi="Arial"/>
          <w:sz w:val="18"/>
          <w:szCs w:val="18"/>
          <w:color w:val="auto"/>
        </w:rPr>
        <w:t>In December 2020, we determined that we would accept a grant from the National Institutes of Health, or NIH, for Alzheimer’s research in the amount of approximately $7.8 million with the potential for an additional $7.4 million up to an aggregate of $15.2 million, subject to the availability of funds and satisfactory progress of the research. As this grant involves federally funded research, per the Bayh-Dole Act, we will be obligated to (1) report each new invention to the government, (2) decide whether to retain ownership, (3) file for patent protection to retain title, and (4) provide a license to the government to practice the invention. The “march-in” rights provided by the Bayh-Dole Act would apply to new subject matter arising from the use of the NIH funds, but would exclude pre-existing subject matter such as our product candidates existing prior to the receipt of such grant. We also are expected to commercialize any inventions we file patent protection on for the benefit of public health. For more information see the section of this prospectus titled “Risk Factors—Risks Relating to Our Intellectual Property—Intellectual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06"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Government authorities in the United States, at the federal, state, and local level, and other countries extensively regulate, among other things, the research, development, nonclinical and clinical testing, manufacture, quality control, approval, labeling, packaging, storage, record-keeping, promotion, advertising, distribution, post-approval monitoring and reporting, marketing, and export and import of products such as those we are developing. Generally, before a new drug can be marketed, considerable data must be generated, which demonstrate the drug’s quality, safety, and efficacy. Such data must then be organized into a format specific for each regulatory authority, submitted for review and approved by the regulatory authority.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04"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the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104" w:lineRule="exact"/>
        <w:rPr>
          <w:sz w:val="20"/>
          <w:szCs w:val="20"/>
          <w:color w:val="auto"/>
        </w:rPr>
      </w:pPr>
    </w:p>
    <w:p>
      <w:pPr>
        <w:ind w:left="1300" w:right="120" w:hanging="442"/>
        <w:spacing w:after="0" w:line="275" w:lineRule="auto"/>
        <w:tabs>
          <w:tab w:leader="none" w:pos="130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8"/>
          <w:szCs w:val="18"/>
          <w:color w:val="auto"/>
        </w:rPr>
        <w:t>completion of nonclinical laboratory tests, animal studies, and formulation studies in accordance with FDA’s good laboratory practice requirements and other applicable regulations;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6" w:right="359" w:bottom="1440" w:gutter="0" w:footer="0" w:header="0"/>
        </w:sectPr>
      </w:pPr>
    </w:p>
    <w:bookmarkStart w:id="139" w:name="page140"/>
    <w:bookmarkEnd w:id="139"/>
    <w:p>
      <w:pPr>
        <w:ind w:left="1300" w:hanging="442"/>
        <w:spacing w:after="0"/>
        <w:tabs>
          <w:tab w:leader="none" w:pos="1300" w:val="left"/>
        </w:tabs>
        <w:numPr>
          <w:ilvl w:val="0"/>
          <w:numId w:val="84"/>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16" w:lineRule="exact"/>
        <w:rPr>
          <w:rFonts w:ascii="Times New Roman" w:cs="Times New Roman" w:eastAsia="Times New Roman" w:hAnsi="Times New Roman"/>
          <w:sz w:val="18"/>
          <w:szCs w:val="18"/>
          <w:color w:val="auto"/>
        </w:rPr>
      </w:pPr>
    </w:p>
    <w:p>
      <w:pPr>
        <w:ind w:left="1300" w:right="40" w:hanging="442"/>
        <w:spacing w:after="0" w:line="275" w:lineRule="auto"/>
        <w:tabs>
          <w:tab w:leader="none" w:pos="1300" w:val="left"/>
        </w:tabs>
        <w:numPr>
          <w:ilvl w:val="0"/>
          <w:numId w:val="84"/>
        </w:numPr>
        <w:rPr>
          <w:rFonts w:ascii="Times New Roman" w:cs="Times New Roman" w:eastAsia="Times New Roman" w:hAnsi="Times New Roman"/>
          <w:sz w:val="18"/>
          <w:szCs w:val="18"/>
          <w:color w:val="auto"/>
        </w:rPr>
      </w:pPr>
      <w:r>
        <w:rPr>
          <w:rFonts w:ascii="Arial" w:cs="Arial" w:eastAsia="Arial" w:hAnsi="Arial"/>
          <w:sz w:val="18"/>
          <w:szCs w:val="18"/>
          <w:color w:val="auto"/>
        </w:rPr>
        <w:t>approval by an independent IRB ethics committee, either centralized or with respect to each clinical site, before each clinical trial may be initiated;</w:t>
      </w:r>
    </w:p>
    <w:p>
      <w:pPr>
        <w:spacing w:after="0" w:line="37" w:lineRule="exact"/>
        <w:rPr>
          <w:rFonts w:ascii="Times New Roman" w:cs="Times New Roman" w:eastAsia="Times New Roman" w:hAnsi="Times New Roman"/>
          <w:sz w:val="18"/>
          <w:szCs w:val="18"/>
          <w:color w:val="auto"/>
        </w:rPr>
      </w:pPr>
    </w:p>
    <w:p>
      <w:pPr>
        <w:ind w:left="1300" w:right="380" w:hanging="442"/>
        <w:spacing w:after="0" w:line="275" w:lineRule="auto"/>
        <w:tabs>
          <w:tab w:leader="none" w:pos="1300" w:val="left"/>
        </w:tabs>
        <w:numPr>
          <w:ilvl w:val="0"/>
          <w:numId w:val="84"/>
        </w:numPr>
        <w:rPr>
          <w:rFonts w:ascii="Times New Roman" w:cs="Times New Roman" w:eastAsia="Times New Roman" w:hAnsi="Times New Roman"/>
          <w:sz w:val="18"/>
          <w:szCs w:val="18"/>
          <w:color w:val="auto"/>
        </w:rPr>
      </w:pPr>
      <w:r>
        <w:rPr>
          <w:rFonts w:ascii="Arial" w:cs="Arial" w:eastAsia="Arial" w:hAnsi="Arial"/>
          <w:sz w:val="18"/>
          <w:szCs w:val="18"/>
          <w:color w:val="auto"/>
        </w:rPr>
        <w:t>performance of adequate and well-controlled human clinical trials in accordance with GCP requirements to establish the safety and efficacy of the proposed drug for its intended use;</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4"/>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an NDA after completion of all pivotal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4"/>
        </w:numPr>
        <w:rPr>
          <w:rFonts w:ascii="Times New Roman" w:cs="Times New Roman" w:eastAsia="Times New Roman" w:hAnsi="Times New Roman"/>
          <w:sz w:val="18"/>
          <w:szCs w:val="18"/>
          <w:color w:val="auto"/>
        </w:rPr>
      </w:pPr>
      <w:r>
        <w:rPr>
          <w:rFonts w:ascii="Arial" w:cs="Arial" w:eastAsia="Arial" w:hAnsi="Arial"/>
          <w:sz w:val="18"/>
          <w:szCs w:val="18"/>
          <w:color w:val="auto"/>
        </w:rPr>
        <w:t>determination by the FDA within 60 days of its receipt of an NDA to accept the filing for substantive review;</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4"/>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advisory committee review, if applicable;</w:t>
      </w:r>
    </w:p>
    <w:p>
      <w:pPr>
        <w:spacing w:after="0" w:line="116" w:lineRule="exact"/>
        <w:rPr>
          <w:rFonts w:ascii="Times New Roman" w:cs="Times New Roman" w:eastAsia="Times New Roman" w:hAnsi="Times New Roman"/>
          <w:sz w:val="18"/>
          <w:szCs w:val="18"/>
          <w:color w:val="auto"/>
        </w:rPr>
      </w:pPr>
    </w:p>
    <w:p>
      <w:pPr>
        <w:ind w:left="1300" w:hanging="442"/>
        <w:spacing w:after="0" w:line="255" w:lineRule="auto"/>
        <w:tabs>
          <w:tab w:leader="none" w:pos="1300" w:val="left"/>
        </w:tabs>
        <w:numPr>
          <w:ilvl w:val="0"/>
          <w:numId w:val="84"/>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cGMP requirements to ensure that the facilities, methods and controls are adequate to preserve the drug’s identity, strength, quality, and purity, and of selected clinical investigation sites to assess compliance with GCPs; and</w:t>
      </w:r>
    </w:p>
    <w:p>
      <w:pPr>
        <w:spacing w:after="0" w:line="54" w:lineRule="exact"/>
        <w:rPr>
          <w:rFonts w:ascii="Times New Roman" w:cs="Times New Roman" w:eastAsia="Times New Roman" w:hAnsi="Times New Roman"/>
          <w:sz w:val="18"/>
          <w:szCs w:val="18"/>
          <w:color w:val="auto"/>
        </w:rPr>
      </w:pPr>
    </w:p>
    <w:p>
      <w:pPr>
        <w:ind w:left="1300" w:right="200" w:hanging="442"/>
        <w:spacing w:after="0" w:line="275" w:lineRule="auto"/>
        <w:tabs>
          <w:tab w:leader="none" w:pos="1300" w:val="left"/>
        </w:tabs>
        <w:numPr>
          <w:ilvl w:val="0"/>
          <w:numId w:val="84"/>
        </w:numPr>
        <w:rPr>
          <w:rFonts w:ascii="Times New Roman" w:cs="Times New Roman" w:eastAsia="Times New Roman" w:hAnsi="Times New Roman"/>
          <w:sz w:val="18"/>
          <w:szCs w:val="18"/>
          <w:color w:val="auto"/>
        </w:rPr>
      </w:pPr>
      <w:r>
        <w:rPr>
          <w:rFonts w:ascii="Arial" w:cs="Arial" w:eastAsia="Arial" w:hAnsi="Arial"/>
          <w:sz w:val="18"/>
          <w:szCs w:val="18"/>
          <w:color w:val="auto"/>
        </w:rPr>
        <w:t>FDA review and approval of the NDA to permit commercial marketing of the product for particular indications for use in the United States.</w:t>
      </w:r>
    </w:p>
    <w:p>
      <w:pPr>
        <w:spacing w:after="0" w:line="146"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 xml:space="preserve">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76"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clinical trial is unlikely to meet its stated objectives. Some studies also include oversight by an independent group of qualified experts organized by the clinical study sponsor, known as a data safety monitoring board, which may review data and endpoints at designated check points, make recommendations and/or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40" w:name="page141"/>
    <w:bookmarkEnd w:id="140"/>
    <w:p>
      <w:pPr>
        <w:ind w:left="58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04" w:lineRule="exact"/>
        <w:rPr>
          <w:sz w:val="20"/>
          <w:szCs w:val="20"/>
          <w:color w:val="auto"/>
        </w:rPr>
      </w:pPr>
    </w:p>
    <w:p>
      <w:pPr>
        <w:ind w:left="1300" w:right="100" w:hanging="442"/>
        <w:spacing w:after="0" w:line="262" w:lineRule="auto"/>
        <w:tabs>
          <w:tab w:leader="none" w:pos="1300" w:val="left"/>
        </w:tabs>
        <w:numPr>
          <w:ilvl w:val="0"/>
          <w:numId w:val="8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Phase 1</w:t>
      </w:r>
      <w:r>
        <w:rPr>
          <w:rFonts w:ascii="Arial" w:cs="Arial" w:eastAsia="Arial" w:hAnsi="Arial"/>
          <w:sz w:val="17"/>
          <w:szCs w:val="17"/>
          <w:color w:val="auto"/>
        </w:rPr>
        <w:t>: The product candidate is initially introduced into healthy human subjects or patients with the target disease or</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especially when the product may be too inherently toxic to ethically administer to healthy volunteers, the initial human testing is often conducted in patients.</w:t>
      </w:r>
    </w:p>
    <w:p>
      <w:pPr>
        <w:spacing w:after="0" w:line="52" w:lineRule="exact"/>
        <w:rPr>
          <w:rFonts w:ascii="Times New Roman" w:cs="Times New Roman" w:eastAsia="Times New Roman" w:hAnsi="Times New Roman"/>
          <w:sz w:val="17"/>
          <w:szCs w:val="17"/>
          <w:color w:val="auto"/>
        </w:rPr>
      </w:pPr>
    </w:p>
    <w:p>
      <w:pPr>
        <w:ind w:left="1300" w:right="320" w:hanging="442"/>
        <w:spacing w:after="0" w:line="248" w:lineRule="auto"/>
        <w:tabs>
          <w:tab w:leader="none" w:pos="1300" w:val="left"/>
        </w:tabs>
        <w:numPr>
          <w:ilvl w:val="0"/>
          <w:numId w:val="8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 product candidate is administered to a limited patient population with a specified disease or condition to</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61" w:lineRule="exact"/>
        <w:rPr>
          <w:rFonts w:ascii="Times New Roman" w:cs="Times New Roman" w:eastAsia="Times New Roman" w:hAnsi="Times New Roman"/>
          <w:sz w:val="18"/>
          <w:szCs w:val="18"/>
          <w:color w:val="auto"/>
        </w:rPr>
      </w:pPr>
    </w:p>
    <w:p>
      <w:pPr>
        <w:ind w:left="1300" w:hanging="442"/>
        <w:spacing w:after="0" w:line="248" w:lineRule="auto"/>
        <w:tabs>
          <w:tab w:leader="none" w:pos="1300" w:val="left"/>
        </w:tabs>
        <w:numPr>
          <w:ilvl w:val="0"/>
          <w:numId w:val="8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The product candidate is administered to an expanded patient population to further evaluate dosage,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70" w:lineRule="exact"/>
        <w:rPr>
          <w:sz w:val="20"/>
          <w:szCs w:val="20"/>
          <w:color w:val="auto"/>
        </w:rPr>
      </w:pPr>
    </w:p>
    <w:p>
      <w:pPr>
        <w:ind w:right="40" w:firstLine="576"/>
        <w:spacing w:after="0" w:line="255" w:lineRule="auto"/>
        <w:rPr>
          <w:sz w:val="20"/>
          <w:szCs w:val="20"/>
          <w:color w:val="auto"/>
        </w:rPr>
      </w:pPr>
      <w:r>
        <w:rPr>
          <w:rFonts w:ascii="Arial" w:cs="Arial" w:eastAsia="Arial" w:hAnsi="Arial"/>
          <w:sz w:val="18"/>
          <w:szCs w:val="18"/>
          <w:color w:val="auto"/>
        </w:rPr>
        <w:t>Post-approval clinical trials, sometimes referred to as Phase 4 studies, may be conducted after initial marketing approval. These clinical trials are used to gain additional experience from the treatment of patients in the intended therapeutic indication. In certain instances, the FDA may mandate the performance of Phase 4 clinical trials as a condition of approval of an NDA.</w:t>
      </w:r>
    </w:p>
    <w:p>
      <w:pPr>
        <w:spacing w:after="0" w:line="164"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clinical trial may move forward at designated check points based on access to certain data from the clinical trial.</w:t>
      </w:r>
    </w:p>
    <w:p>
      <w:pPr>
        <w:spacing w:after="0" w:line="17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clinical trial to discuss Phase 2 clinical results and present plans for the pivotal Phase 3 clinical trials that they believe will support approval of the new drug.</w:t>
      </w:r>
    </w:p>
    <w:p>
      <w:pPr>
        <w:spacing w:after="0" w:line="174" w:lineRule="exact"/>
        <w:rPr>
          <w:sz w:val="20"/>
          <w:szCs w:val="20"/>
          <w:color w:val="auto"/>
        </w:rPr>
      </w:pPr>
    </w:p>
    <w:p>
      <w:pPr>
        <w:ind w:right="100" w:firstLine="576"/>
        <w:spacing w:after="0" w:line="243"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74"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141" w:name="page142"/>
    <w:bookmarkEnd w:id="141"/>
    <w:p>
      <w:pPr>
        <w:jc w:val="both"/>
        <w:ind w:right="320"/>
        <w:spacing w:after="0" w:line="255" w:lineRule="auto"/>
        <w:rPr>
          <w:sz w:val="20"/>
          <w:szCs w:val="20"/>
          <w:color w:val="auto"/>
        </w:rPr>
      </w:pPr>
      <w:r>
        <w:rPr>
          <w:rFonts w:ascii="Arial" w:cs="Arial" w:eastAsia="Arial" w:hAnsi="Arial"/>
          <w:sz w:val="18"/>
          <w:szCs w:val="18"/>
          <w:color w:val="auto"/>
        </w:rPr>
        <w:t xml:space="preserve">unexpected suspected adverse events, findings from other studies suggesting a significant risk to humans exposed to the same or similar drugs, findings from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 Review and Approval Process</w:t>
      </w:r>
    </w:p>
    <w:p>
      <w:pPr>
        <w:spacing w:after="0" w:line="104" w:lineRule="exact"/>
        <w:rPr>
          <w:sz w:val="20"/>
          <w:szCs w:val="20"/>
          <w:color w:val="auto"/>
        </w:rPr>
      </w:pPr>
    </w:p>
    <w:p>
      <w:pPr>
        <w:ind w:right="220" w:firstLine="576"/>
        <w:spacing w:after="0" w:line="243"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17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The FDA reviews an NDA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ten months from the date of “filing” of a standard NDA for a new molecular entity to review and act on the submission. This review typically takes 12 months from the date the NDA is submitted to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is also subject to review before the FDA accepts it for filing.</w:t>
      </w:r>
    </w:p>
    <w:p>
      <w:pPr>
        <w:spacing w:after="0" w:line="176" w:lineRule="exact"/>
        <w:rPr>
          <w:sz w:val="20"/>
          <w:szCs w:val="20"/>
          <w:color w:val="auto"/>
        </w:rPr>
      </w:pPr>
    </w:p>
    <w:p>
      <w:pPr>
        <w:ind w:right="180" w:firstLine="576"/>
        <w:spacing w:after="0" w:line="248"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0"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color w:val="auto"/>
        </w:rPr>
        <w:t>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an NDA,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79" w:lineRule="exact"/>
        <w:rPr>
          <w:sz w:val="20"/>
          <w:szCs w:val="20"/>
          <w:color w:val="auto"/>
        </w:rPr>
      </w:pPr>
    </w:p>
    <w:p>
      <w:pPr>
        <w:ind w:right="120" w:firstLine="576"/>
        <w:spacing w:after="0"/>
        <w:rPr>
          <w:sz w:val="20"/>
          <w:szCs w:val="20"/>
          <w:color w:val="auto"/>
        </w:rPr>
      </w:pPr>
      <w:r>
        <w:rPr>
          <w:rFonts w:ascii="Arial" w:cs="Arial" w:eastAsia="Arial" w:hAnsi="Arial"/>
          <w:sz w:val="18"/>
          <w:szCs w:val="18"/>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clinical trial or other significant and time-consuming requirements related to clinical trials, nonclinical studies, or manufacturing. If a Complete Response Letter is issued, the sponsor must resubmit the NDA, addressing all of the deficiencies identified in the letter, or withdraw the application. Even if such data and information are submitted, the FDA may decide that the NDA does not satisfy the criteria for approval.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2" w:name="page143"/>
    <w:bookmarkEnd w:id="142"/>
    <w:p>
      <w:pPr>
        <w:ind w:right="40" w:firstLine="576"/>
        <w:spacing w:after="0" w:line="238"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NDA with a REMS to ensure the benefits of the product outweigh its risks. A REMS is a safety strategy to manage a known or potential serious risk associated with a medicine and to enable patients to have continued access to such medicines by managing their safe use. It could include medication guides, physician communication plans, or elements to assure safe use, such as restricted distribution methods, patient registries, and other risk minimization tools. The FDA also may offer conditional approval subject to,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04"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The FDA has a fast track designation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74" w:lineRule="exact"/>
        <w:rPr>
          <w:sz w:val="20"/>
          <w:szCs w:val="20"/>
          <w:color w:val="auto"/>
        </w:rPr>
      </w:pPr>
    </w:p>
    <w:p>
      <w:pPr>
        <w:ind w:right="200" w:firstLine="576"/>
        <w:spacing w:after="0" w:line="241" w:lineRule="auto"/>
        <w:rPr>
          <w:sz w:val="20"/>
          <w:szCs w:val="20"/>
          <w:color w:val="auto"/>
        </w:rPr>
      </w:pPr>
      <w:r>
        <w:rPr>
          <w:rFonts w:ascii="Arial" w:cs="Arial" w:eastAsia="Arial" w:hAnsi="Arial"/>
          <w:sz w:val="18"/>
          <w:szCs w:val="18"/>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79" w:lineRule="exact"/>
        <w:rPr>
          <w:sz w:val="20"/>
          <w:szCs w:val="20"/>
          <w:color w:val="auto"/>
        </w:rPr>
      </w:pPr>
    </w:p>
    <w:p>
      <w:pPr>
        <w:ind w:right="120" w:firstLine="576"/>
        <w:spacing w:after="0"/>
        <w:rPr>
          <w:sz w:val="20"/>
          <w:szCs w:val="20"/>
          <w:color w:val="auto"/>
        </w:rPr>
      </w:pPr>
      <w:r>
        <w:rPr>
          <w:rFonts w:ascii="Arial" w:cs="Arial" w:eastAsia="Arial" w:hAnsi="Arial"/>
          <w:sz w:val="18"/>
          <w:szCs w:val="18"/>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w:t>
      </w:r>
    </w:p>
    <w:p>
      <w:pPr>
        <w:spacing w:after="0" w:line="180"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The Food and Drug Administration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3" w:name="page144"/>
    <w:bookmarkEnd w:id="143"/>
    <w:p>
      <w:pPr>
        <w:ind w:right="20"/>
        <w:spacing w:after="0" w:line="255" w:lineRule="auto"/>
        <w:rPr>
          <w:sz w:val="20"/>
          <w:szCs w:val="20"/>
          <w:color w:val="auto"/>
        </w:rPr>
      </w:pPr>
      <w:r>
        <w:rPr>
          <w:rFonts w:ascii="Arial" w:cs="Arial" w:eastAsia="Arial" w:hAnsi="Arial"/>
          <w:sz w:val="18"/>
          <w:szCs w:val="18"/>
          <w:color w:val="auto"/>
        </w:rPr>
        <w:t>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spacing w:after="0" w:line="164" w:lineRule="exact"/>
        <w:rPr>
          <w:sz w:val="20"/>
          <w:szCs w:val="20"/>
          <w:color w:val="auto"/>
        </w:rPr>
      </w:pPr>
    </w:p>
    <w:p>
      <w:pPr>
        <w:ind w:right="160" w:firstLine="576"/>
        <w:spacing w:after="0" w:line="248" w:lineRule="auto"/>
        <w:rPr>
          <w:sz w:val="20"/>
          <w:szCs w:val="20"/>
          <w:color w:val="auto"/>
        </w:rPr>
      </w:pPr>
      <w:r>
        <w:rPr>
          <w:rFonts w:ascii="Arial" w:cs="Arial" w:eastAsia="Arial" w:hAnsi="Arial"/>
          <w:sz w:val="18"/>
          <w:szCs w:val="18"/>
          <w:color w:val="auto"/>
        </w:rPr>
        <w:t>Fast track designation, priority review, accelerated approval,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04"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76" w:lineRule="exact"/>
        <w:rPr>
          <w:sz w:val="20"/>
          <w:szCs w:val="20"/>
          <w:color w:val="auto"/>
        </w:rPr>
      </w:pPr>
    </w:p>
    <w:p>
      <w:pPr>
        <w:ind w:right="240" w:firstLine="576"/>
        <w:spacing w:after="0" w:line="243"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66" w:lineRule="exact"/>
        <w:rPr>
          <w:sz w:val="20"/>
          <w:szCs w:val="20"/>
          <w:color w:val="auto"/>
        </w:rPr>
      </w:pPr>
    </w:p>
    <w:p>
      <w:pPr>
        <w:ind w:left="1300" w:right="40" w:hanging="442"/>
        <w:spacing w:after="0" w:line="275" w:lineRule="auto"/>
        <w:tabs>
          <w:tab w:leader="none" w:pos="130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8"/>
          <w:szCs w:val="18"/>
          <w:color w:val="auto"/>
        </w:rPr>
        <w:t>fines, warning letters, or untitled letters;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8"/>
          <w:szCs w:val="18"/>
          <w:color w:val="auto"/>
        </w:rPr>
        <w:t>clinical holds on post-approval or Phase IV clinical studies, if applicable;</w:t>
      </w:r>
    </w:p>
    <w:p>
      <w:pPr>
        <w:spacing w:after="0" w:line="116" w:lineRule="exact"/>
        <w:rPr>
          <w:rFonts w:ascii="Times New Roman" w:cs="Times New Roman" w:eastAsia="Times New Roman" w:hAnsi="Times New Roman"/>
          <w:sz w:val="18"/>
          <w:szCs w:val="18"/>
          <w:color w:val="auto"/>
        </w:rPr>
      </w:pPr>
    </w:p>
    <w:p>
      <w:pPr>
        <w:ind w:left="1300" w:right="80" w:hanging="442"/>
        <w:spacing w:after="0" w:line="275" w:lineRule="auto"/>
        <w:tabs>
          <w:tab w:leader="none" w:pos="130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16" w:lineRule="exact"/>
        <w:rPr>
          <w:rFonts w:ascii="Times New Roman" w:cs="Times New Roman" w:eastAsia="Times New Roman" w:hAnsi="Times New Roman"/>
          <w:sz w:val="18"/>
          <w:szCs w:val="18"/>
          <w:color w:val="auto"/>
        </w:rPr>
      </w:pPr>
    </w:p>
    <w:p>
      <w:pPr>
        <w:ind w:left="1300" w:right="660" w:hanging="442"/>
        <w:spacing w:after="0" w:line="275" w:lineRule="auto"/>
        <w:tabs>
          <w:tab w:leader="none" w:pos="130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144" w:name="page145"/>
    <w:bookmarkEnd w:id="144"/>
    <w:p>
      <w:pPr>
        <w:ind w:firstLine="576"/>
        <w:spacing w:after="0" w:line="238" w:lineRule="auto"/>
        <w:rPr>
          <w:sz w:val="20"/>
          <w:szCs w:val="20"/>
          <w:color w:val="auto"/>
        </w:rPr>
      </w:pPr>
      <w:r>
        <w:rPr>
          <w:rFonts w:ascii="Arial" w:cs="Arial" w:eastAsia="Arial" w:hAnsi="Arial"/>
          <w:sz w:val="18"/>
          <w:szCs w:val="18"/>
          <w:color w:val="auto"/>
        </w:rPr>
        <w:t>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104"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Market exclusivity provisions authorized under the FDCA can delay the submission and approval of certain marketing applications for products containing the same active ingredient. The FDCA permits patent term restoration of up to five years as compensation for a patent term lost during product development and FDA regulatory review process to the first applicant to obtain approval of an NDA for a new chemical entity in the United States. Patent-term restoration, however, cannot extend the remaining term of a patent beyond a total of 14 years from the product’s approval date.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76"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nonclinical studies and adequate and well-controlled clinical trials necessary to demonstrate safety and effectiveness.</w:t>
      </w:r>
    </w:p>
    <w:p>
      <w:pPr>
        <w:spacing w:after="0" w:line="180" w:lineRule="exact"/>
        <w:rPr>
          <w:sz w:val="20"/>
          <w:szCs w:val="20"/>
          <w:color w:val="auto"/>
        </w:rPr>
      </w:pPr>
    </w:p>
    <w:p>
      <w:pPr>
        <w:jc w:val="both"/>
        <w:ind w:right="440" w:firstLine="576"/>
        <w:spacing w:after="0" w:line="245" w:lineRule="auto"/>
        <w:rPr>
          <w:sz w:val="20"/>
          <w:szCs w:val="20"/>
          <w:color w:val="auto"/>
        </w:rPr>
      </w:pPr>
      <w:r>
        <w:rPr>
          <w:rFonts w:ascii="Arial" w:cs="Arial" w:eastAsia="Arial" w:hAnsi="Arial"/>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04"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Pharmaceutical manufacturers are subject to additional healthcare laws, regulation, and enforcement by the federal government and by authorities in the states and foreign jurisdictions in which they conduct their business. Such laws include, without limitation, U.S. federal anti-kickback, anti-self-referral, false claims, transparency, including the federal Physician Payments Sunshine Act, consumer fraud, pricing reporting, data privacy, data protection, and security laws and regulations as well as similar foreign laws in the jurisdictions outside the U.S. 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state and local laws which require the tracking of gifts and other remuneration and any transfer of value provided to physicians, other healthcare providers and entities; and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The risk of our being found in violation of these or other laws and regulations is increased by the fact that many have not been fully interpreted by the regulatory authorities or the courts and their provisions are open to various interpretations. 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Actual or alleged violation of any such laws or regulations may lead to investigations and other claims and proceedings by regulatory authorities and in certain cases, private actors, and violation of any of such laws or any other governmental regulations that apply may result in penalties, including, without limitation, significant administrative, civil and criminal penalties, damages, fines, additional reporting obligations, and oversight if we become subject to a corporate integrity agreement or other agreement to resolve allegations of non-compliance with these laws, the curtailment or restructuring of operations, exclusion from participation in government healthcare programs and imprisonment.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0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details, information on cost-effectiveness, and clinical support for the use of a product to each payor separately. This can be a time-consuming process, with no assurance that coverage and adequate reimbursement will be applied consistently or obtained in the first instance.</w:t>
      </w:r>
    </w:p>
    <w:p>
      <w:pPr>
        <w:spacing w:after="0" w:line="180" w:lineRule="exact"/>
        <w:rPr>
          <w:sz w:val="20"/>
          <w:szCs w:val="20"/>
          <w:color w:val="auto"/>
        </w:rPr>
      </w:pPr>
    </w:p>
    <w:p>
      <w:pPr>
        <w:ind w:right="140" w:firstLine="576"/>
        <w:spacing w:after="0" w:line="255" w:lineRule="auto"/>
        <w:rPr>
          <w:sz w:val="20"/>
          <w:szCs w:val="20"/>
          <w:color w:val="auto"/>
        </w:rPr>
      </w:pPr>
      <w:r>
        <w:rPr>
          <w:rFonts w:ascii="Arial" w:cs="Arial" w:eastAsia="Arial" w:hAnsi="Arial"/>
          <w:sz w:val="18"/>
          <w:szCs w:val="18"/>
          <w:color w:val="auto"/>
        </w:rPr>
        <w:t>In addition, third-party payors are increasingly reducing reimbursements for pharmaceutical products and related services. The U.S. government and state legislatures have continued implementing cost-containment programs, including price controls, restrictions on coverage and reimbursement and requirements for substitution of generic products. Third-party payors are increasingly challenging the</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84" w:right="399" w:bottom="1440" w:gutter="0" w:footer="0" w:header="0"/>
        </w:sectPr>
      </w:pPr>
    </w:p>
    <w:bookmarkStart w:id="146" w:name="page147"/>
    <w:bookmarkEnd w:id="146"/>
    <w:p>
      <w:pPr>
        <w:ind w:right="100"/>
        <w:spacing w:after="0" w:line="248" w:lineRule="auto"/>
        <w:rPr>
          <w:sz w:val="20"/>
          <w:szCs w:val="20"/>
          <w:color w:val="auto"/>
        </w:rPr>
      </w:pPr>
      <w:r>
        <w:rPr>
          <w:rFonts w:ascii="Arial" w:cs="Arial" w:eastAsia="Arial" w:hAnsi="Arial"/>
          <w:sz w:val="18"/>
          <w:szCs w:val="18"/>
          <w:color w:val="auto"/>
        </w:rPr>
        <w:t>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spacing w:after="0" w:line="170" w:lineRule="exact"/>
        <w:rPr>
          <w:sz w:val="20"/>
          <w:szCs w:val="20"/>
          <w:color w:val="auto"/>
        </w:rPr>
      </w:pPr>
    </w:p>
    <w:p>
      <w:pPr>
        <w:ind w:right="80" w:firstLine="576"/>
        <w:spacing w:after="0" w:line="239" w:lineRule="auto"/>
        <w:rPr>
          <w:sz w:val="20"/>
          <w:szCs w:val="20"/>
          <w:color w:val="auto"/>
        </w:rPr>
      </w:pPr>
      <w:r>
        <w:rPr>
          <w:rFonts w:ascii="Arial" w:cs="Arial" w:eastAsia="Arial" w:hAnsi="Arial"/>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that it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04"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In the United States and certain foreign jurisdictions, there have been, and we expect there will continue to be, a number of legislative and regulatory changes to the healthcare system. In March 2010, the Patient Protection and Affordable Care Act, as amended by the Health Care and Education Reconciliation Act of 2010, or collectively, the ACA, was signed into law, which substantially changed the way healthcare is financed by both governmental and private insurers in the United States. By way of example, the ACA increased the minimum level of Medicaid rebates payable by manufacturers of brand name drugs from 15.1% to 23.1%; it required collection of rebates for drugs paid by Medicaid managed care organizations; imposed a non-deductible annual fee on pharmaceutical manufacturers or importers who sell certain “branded prescription drugs” to specified federal government programs; it implemented a new methodology under which rebates owed by manufacturers under the Medicaid Drug Rebate Program are calculated for drugs that are inhaled, infused, instilled, implanted, or injected; it expanded the eligibility criteria for Medicaid programs; it created a new Patient-Centered Outcomes Research Institute to oversee, identify priorities in, and conduct comparative clinical effectiveness research, along with funding for such research; and it established a Center for Medicare Innovation at the Centers for Medicare &amp; Medicaid Services, or CMS, to test innovative payment and service delivery models to lower Medicare and Medicaid spending, potentially including prescription drug spending.</w:t>
      </w:r>
    </w:p>
    <w:p>
      <w:pPr>
        <w:spacing w:after="0" w:line="183" w:lineRule="exact"/>
        <w:rPr>
          <w:sz w:val="20"/>
          <w:szCs w:val="20"/>
          <w:color w:val="auto"/>
        </w:rPr>
      </w:pPr>
    </w:p>
    <w:p>
      <w:pPr>
        <w:ind w:right="60" w:firstLine="576"/>
        <w:spacing w:after="0" w:line="253" w:lineRule="auto"/>
        <w:rPr>
          <w:sz w:val="20"/>
          <w:szCs w:val="20"/>
          <w:color w:val="auto"/>
        </w:rPr>
      </w:pPr>
      <w:r>
        <w:rPr>
          <w:rFonts w:ascii="Arial" w:cs="Arial" w:eastAsia="Arial" w:hAnsi="Arial"/>
          <w:sz w:val="17"/>
          <w:szCs w:val="17"/>
          <w:color w:val="auto"/>
        </w:rPr>
        <w:t>Since its enactment, there have been executive, judicial and Congressional challenges to certain aspects of the ACA, and we expect there will be additional challenges and amendments to the ACA in the future. Since January 2017, President Trump has signed several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several bills affecting the implementation of certain taxes under the ACA have passed. For example, in 2017, Congress enacted the Tax Act, which eliminated the tax-based shared responsibility payment imposed by the ACA on certain individuals who fail to maintain qualifying health coverage for all or part of a year, a process that is commonly referred to as the “individual mandate.” In addition, the 2020 federal spending package permanently eliminated, effective January 1, 2020, the ACA-mandated “Cadillac” tax on high-cost employer-sponsored health coverage and medical device tax and, effective January 1, 2021, also eliminates the health insurer tax. On December 14, 2018, a Texas U.S. District Court Judge ruled that the individual mandate is a critical and inseverable feature of the ACA, and therefore, because it was repealed as part of the Tax Act, the remaining provisions of the ACA are invalid as well. On December 18, 2019, the U.S. Court of Appeals for the 5th Circuit ruled that</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47" w:name="page148"/>
    <w:bookmarkEnd w:id="147"/>
    <w:p>
      <w:pPr>
        <w:ind w:right="60"/>
        <w:spacing w:after="0" w:line="245" w:lineRule="auto"/>
        <w:rPr>
          <w:sz w:val="20"/>
          <w:szCs w:val="20"/>
          <w:color w:val="auto"/>
        </w:rPr>
      </w:pPr>
      <w:r>
        <w:rPr>
          <w:rFonts w:ascii="Arial" w:cs="Arial" w:eastAsia="Arial" w:hAnsi="Arial"/>
          <w:sz w:val="18"/>
          <w:szCs w:val="18"/>
          <w:color w:val="auto"/>
        </w:rPr>
        <w:t>the individual mandate was unconstitutional and remanded the case back to the District Court to determine whether the remaining provisions of the ACA are invalid as well. On March 2, 2020, the U.S. Supreme Court granted the petitions for writs of certiorari to review the case and held oral arguments in November 2020, although it is unclear when a decision will be made or how the Supreme Court will rule. In addition, there may be other efforts to challenge, repeal, or replace the ACA. We are continuing to monitor any changes to the ACA that, in turn, may potentially impact our business in the future.</w:t>
      </w:r>
    </w:p>
    <w:p>
      <w:pPr>
        <w:spacing w:after="0" w:line="172"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Other legislative changes have been proposed and adopted since the ACA was enacted. These changes include aggregate reductions to Medicare payments to providers of up to 2% per fiscal year, effective April 1, 2013, which, due to subsequent legislative amendments, will stay in effect through 2030 with the exception of a temporary suspension implemented under various COVID-19 relief legislation from May 1, 2020 through March 31, 2021, unless additional congressional action is taken. 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 programs, and to reform government program reimbursement methodologies for pharmaceutical products. For example, at the federal level, the Trump administration released a “Blueprint”, designed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the Trump administration’s budget proposal for the fiscal year 2021 includes a $135 billion allowance to support legislative proposals seeking to reduce drug prices, increase competition, lower out-of-pocket drug costs for patients, and increase patient access to lower-cost generic drugs. Although a number of these and other measures may require additional authorization to become effective, Congress and the Trump administration have each indicated that they will continue to seek new legislative and/or administrative measures to control drug costs. 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It is possible that additional governmental action may be taken to address the COVID-19 pandemic. Furthermore, there has been increased interest by third party payors and governmental authorities in reference to pricing systems and publication of discounts and list prices.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06" w:lineRule="exact"/>
        <w:rPr>
          <w:sz w:val="20"/>
          <w:szCs w:val="20"/>
          <w:color w:val="auto"/>
        </w:rPr>
      </w:pPr>
    </w:p>
    <w:p>
      <w:pPr>
        <w:ind w:right="120" w:firstLine="576"/>
        <w:spacing w:after="0" w:line="248" w:lineRule="auto"/>
        <w:rPr>
          <w:sz w:val="20"/>
          <w:szCs w:val="20"/>
          <w:color w:val="auto"/>
        </w:rPr>
      </w:pPr>
      <w:r>
        <w:rPr>
          <w:rFonts w:ascii="Arial" w:cs="Arial" w:eastAsia="Arial" w:hAnsi="Arial"/>
          <w:sz w:val="18"/>
          <w:szCs w:val="18"/>
          <w:color w:val="auto"/>
        </w:rPr>
        <w:t>As of September 30, 2020, we had 22 employees, 20 of whom were full-time and nine of whom were engaged in research and development activities. Nine of our employees hold Ph.D. or M.D. degrees. Substantially all our employees are located in or around Seattle, Washington. None of our employees are represented by a labor union or covered under a collective bargaining agreement. We consider our relationship with our employees to be good.</w:t>
      </w:r>
    </w:p>
    <w:p>
      <w:pPr>
        <w:spacing w:after="0" w:line="170" w:lineRule="exact"/>
        <w:rPr>
          <w:sz w:val="20"/>
          <w:szCs w:val="20"/>
          <w:color w:val="auto"/>
        </w:rPr>
      </w:pPr>
    </w:p>
    <w:p>
      <w:pPr>
        <w:ind w:right="40" w:firstLine="576"/>
        <w:spacing w:after="0" w:line="248"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Facilities</w:t>
      </w:r>
    </w:p>
    <w:p>
      <w:pPr>
        <w:spacing w:after="0" w:line="106"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Our corporate headquarters is located in Bothell, Washington, where we currently lease approximately 11,163 square feet of laboratory and office space. This lease expires in August 2027. In July 2020, we entered into an operating lease to rent two additional suites in Bothell, Washington with 6,169 and 1,994 square feet. The lease terms for these suites commence on the date that the landlord delivers the premises to us for construction of certain tenant improvements. Rent obligations for these suites begin four months thereafter, and the leases expire in August 2027. We also lease approximately 1,270 square feet of laboratory and office space in Seattle, Washington, pursuant to a lease expiring in June 2021. We believe these facilities will be adequate for the foreseeable future and that suitable additional or substitute space will be available as and when needed.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06" w:lineRule="exact"/>
        <w:rPr>
          <w:sz w:val="20"/>
          <w:szCs w:val="20"/>
          <w:color w:val="auto"/>
        </w:rPr>
      </w:pPr>
    </w:p>
    <w:p>
      <w:pPr>
        <w:ind w:right="360" w:firstLine="576"/>
        <w:spacing w:after="0" w:line="248" w:lineRule="auto"/>
        <w:rPr>
          <w:sz w:val="20"/>
          <w:szCs w:val="20"/>
          <w:color w:val="auto"/>
        </w:rPr>
      </w:pPr>
      <w:r>
        <w:rPr>
          <w:rFonts w:ascii="Arial" w:cs="Arial" w:eastAsia="Arial" w:hAnsi="Arial"/>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MANAGEMENT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December 31,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Age</w:t>
            </w:r>
          </w:p>
        </w:tc>
        <w:tc>
          <w:tcPr>
            <w:tcW w:w="4880" w:type="dxa"/>
            <w:vAlign w:val="bottom"/>
          </w:tcPr>
          <w:p>
            <w:pPr>
              <w:ind w:left="214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4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Executive Officers</w:t>
            </w:r>
          </w:p>
        </w:tc>
        <w:tc>
          <w:tcPr>
            <w:tcW w:w="180" w:type="dxa"/>
            <w:vAlign w:val="bottom"/>
            <w:tcBorders>
              <w:top w:val="single" w:sz="8" w:color="CFF0FC"/>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880" w:type="dxa"/>
            <w:vAlign w:val="bottom"/>
            <w:tcBorders>
              <w:top w:val="single" w:sz="8" w:color="auto"/>
            </w:tcBorders>
            <w:shd w:val="clear" w:color="auto" w:fill="CFF0FC"/>
          </w:tcPr>
          <w:p>
            <w:pPr>
              <w:spacing w:after="0"/>
              <w:rPr>
                <w:sz w:val="18"/>
                <w:szCs w:val="18"/>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Leen Kawas, Ph.D.</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35</w:t>
            </w:r>
          </w:p>
        </w:tc>
        <w:tc>
          <w:tcPr>
            <w:tcW w:w="1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Glenna Mileson</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62</w:t>
            </w:r>
          </w:p>
        </w:tc>
        <w:tc>
          <w:tcPr>
            <w:tcW w:w="180" w:type="dxa"/>
            <w:vAlign w:val="bottom"/>
            <w:shd w:val="clear" w:color="auto" w:fill="CFF0FC"/>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Chief Financial Officer and Corporate Secretary</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Mark Litton, Ph.D.</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52</w:t>
            </w:r>
          </w:p>
        </w:tc>
        <w:tc>
          <w:tcPr>
            <w:tcW w:w="1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Hans Moebius, M.D, Ph.D.</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64</w:t>
            </w:r>
          </w:p>
        </w:tc>
        <w:tc>
          <w:tcPr>
            <w:tcW w:w="180" w:type="dxa"/>
            <w:vAlign w:val="bottom"/>
            <w:shd w:val="clear" w:color="auto" w:fill="CFF0FC"/>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Chief Medical Officer</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Kevin Church, Ph.D.</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36</w:t>
            </w:r>
          </w:p>
        </w:tc>
        <w:tc>
          <w:tcPr>
            <w:tcW w:w="1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Vice President of Discovery</w:t>
            </w:r>
          </w:p>
        </w:tc>
      </w:tr>
      <w:tr>
        <w:trPr>
          <w:trHeight w:val="216"/>
        </w:trPr>
        <w:tc>
          <w:tcPr>
            <w:tcW w:w="4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80" w:type="dxa"/>
            <w:vAlign w:val="bottom"/>
            <w:shd w:val="clear" w:color="auto" w:fill="CFF0FC"/>
          </w:tcPr>
          <w:p>
            <w:pPr>
              <w:spacing w:after="0"/>
              <w:rPr>
                <w:sz w:val="18"/>
                <w:szCs w:val="18"/>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80" w:type="dxa"/>
            <w:vAlign w:val="bottom"/>
          </w:tcPr>
          <w:p>
            <w:pPr>
              <w:spacing w:after="0"/>
              <w:rPr>
                <w:sz w:val="18"/>
                <w:szCs w:val="18"/>
                <w:color w:val="auto"/>
              </w:rPr>
            </w:pPr>
          </w:p>
        </w:tc>
      </w:tr>
      <w:tr>
        <w:trPr>
          <w:trHeight w:val="216"/>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Tadataka Yamada, M.D.</w:t>
            </w:r>
            <w:r>
              <w:rPr>
                <w:rFonts w:ascii="Arial" w:cs="Arial" w:eastAsia="Arial" w:hAnsi="Arial"/>
                <w:sz w:val="15"/>
                <w:szCs w:val="15"/>
                <w:color w:val="auto"/>
              </w:rPr>
              <w:t>(2)(3)</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75</w:t>
            </w:r>
          </w:p>
        </w:tc>
        <w:tc>
          <w:tcPr>
            <w:tcW w:w="180" w:type="dxa"/>
            <w:vAlign w:val="bottom"/>
            <w:shd w:val="clear" w:color="auto" w:fill="CFF0FC"/>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(2)(3)</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65</w:t>
            </w:r>
          </w:p>
        </w:tc>
        <w:tc>
          <w:tcPr>
            <w:tcW w:w="1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John M. Fluke, Jr.</w:t>
            </w:r>
            <w:r>
              <w:rPr>
                <w:rFonts w:ascii="Arial" w:cs="Arial" w:eastAsia="Arial" w:hAnsi="Arial"/>
                <w:sz w:val="15"/>
                <w:szCs w:val="15"/>
                <w:color w:val="auto"/>
              </w:rPr>
              <w:t>(1)(3)</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78</w:t>
            </w:r>
          </w:p>
        </w:tc>
        <w:tc>
          <w:tcPr>
            <w:tcW w:w="180" w:type="dxa"/>
            <w:vAlign w:val="bottom"/>
            <w:shd w:val="clear" w:color="auto" w:fill="CFF0FC"/>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Director</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James A. Johnson</w:t>
            </w:r>
            <w:r>
              <w:rPr>
                <w:rFonts w:ascii="Arial" w:cs="Arial" w:eastAsia="Arial" w:hAnsi="Arial"/>
                <w:sz w:val="15"/>
                <w:szCs w:val="15"/>
                <w:color w:val="auto"/>
              </w:rPr>
              <w:t>(1)(2)</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64</w:t>
            </w:r>
          </w:p>
        </w:tc>
        <w:tc>
          <w:tcPr>
            <w:tcW w:w="1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Kelly A. Romano</w:t>
            </w:r>
            <w:r>
              <w:rPr>
                <w:rFonts w:ascii="Arial" w:cs="Arial" w:eastAsia="Arial" w:hAnsi="Arial"/>
                <w:sz w:val="15"/>
                <w:szCs w:val="15"/>
                <w:color w:val="auto"/>
              </w:rPr>
              <w:t>(1)</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58</w:t>
            </w:r>
          </w:p>
        </w:tc>
        <w:tc>
          <w:tcPr>
            <w:tcW w:w="180" w:type="dxa"/>
            <w:vAlign w:val="bottom"/>
            <w:shd w:val="clear" w:color="auto" w:fill="CFF0FC"/>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34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56" w:lineRule="exact"/>
        <w:rPr>
          <w:sz w:val="20"/>
          <w:szCs w:val="20"/>
          <w:color w:val="auto"/>
        </w:rPr>
      </w:pPr>
    </w:p>
    <w:p>
      <w:pPr>
        <w:ind w:left="480" w:hanging="472"/>
        <w:spacing w:after="0"/>
        <w:tabs>
          <w:tab w:leader="none" w:pos="4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87"/>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06"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i w:val="1"/>
          <w:iCs w:val="1"/>
          <w:color w:val="auto"/>
        </w:rPr>
        <w:t>Leen Kawas, Ph.D.</w:t>
      </w:r>
      <w:r>
        <w:rPr>
          <w:rFonts w:ascii="Arial" w:cs="Arial" w:eastAsia="Arial" w:hAnsi="Arial"/>
          <w:sz w:val="18"/>
          <w:szCs w:val="18"/>
          <w:color w:val="auto"/>
        </w:rPr>
        <w:t>, has served as our chief executive officer and as a member of our board of directors since January 2014.</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Dr. Kawas served as our vice president. Dr. Kawas serves on multiple boards, including the Washington Governor’s Life Science Advisory Board, Scientific Review Board for the Alzheimer’s Drug Discovery Foundation, and Alzheimer’s Association – Washington Chapter Board. She also served as the co-chair of the International Alzheimer's Association Business Consortium. Dr. Kawas earned a Ph.D. in molecular pharmacology from Washington State University in 2011 and a pharmacy degree from the University of Jordan in 2008. We believe Dr. Kawas’s scientific and professional training, her instrumental role in building Athira Pharma, Inc., and her extensive understanding of our business, operations and strategy qualify her to serve on our board of directors.</w:t>
      </w:r>
    </w:p>
    <w:p>
      <w:pPr>
        <w:spacing w:after="0" w:line="179" w:lineRule="exact"/>
        <w:rPr>
          <w:sz w:val="20"/>
          <w:szCs w:val="20"/>
          <w:color w:val="auto"/>
        </w:rPr>
      </w:pPr>
    </w:p>
    <w:p>
      <w:pPr>
        <w:ind w:right="60" w:firstLine="576"/>
        <w:spacing w:after="0"/>
        <w:rPr>
          <w:sz w:val="20"/>
          <w:szCs w:val="20"/>
          <w:color w:val="auto"/>
        </w:rPr>
      </w:pPr>
      <w:r>
        <w:rPr>
          <w:rFonts w:ascii="Arial" w:cs="Arial" w:eastAsia="Arial" w:hAnsi="Arial"/>
          <w:sz w:val="18"/>
          <w:szCs w:val="18"/>
          <w:i w:val="1"/>
          <w:iCs w:val="1"/>
          <w:color w:val="auto"/>
        </w:rPr>
        <w:t xml:space="preserve">Glenna Mileson </w:t>
      </w:r>
      <w:r>
        <w:rPr>
          <w:rFonts w:ascii="Arial" w:cs="Arial" w:eastAsia="Arial" w:hAnsi="Arial"/>
          <w:sz w:val="18"/>
          <w:szCs w:val="18"/>
          <w:color w:val="auto"/>
        </w:rPr>
        <w:t>has served as our chief financial officer since October 2015. Before she served as our chief financial officer, Ms.</w:t>
      </w:r>
      <w:r>
        <w:rPr>
          <w:rFonts w:ascii="Arial" w:cs="Arial" w:eastAsia="Arial" w:hAnsi="Arial"/>
          <w:sz w:val="18"/>
          <w:szCs w:val="18"/>
          <w:i w:val="1"/>
          <w:iCs w:val="1"/>
          <w:color w:val="auto"/>
        </w:rPr>
        <w:t xml:space="preserve"> </w:t>
      </w:r>
      <w:r>
        <w:rPr>
          <w:rFonts w:ascii="Arial" w:cs="Arial" w:eastAsia="Arial" w:hAnsi="Arial"/>
          <w:sz w:val="18"/>
          <w:szCs w:val="18"/>
          <w:color w:val="auto"/>
        </w:rPr>
        <w:t>Mileson provided outsourced financial management services to us as a partner at B2B CFO Partners LLC. While at B2B CFO Partners LLC from May 2008 until July 2020, Ms. Mileson also provided financial management services to a variety of mid-size companies, including to Precision Genome Engineering, Inc. (Pregenen), a biotech company developing gene editing and cell signaling technologies, from 2012 to 2014. Before that, Ms. Mileson held a variety of accounting and finance leadership positions including vice president of finance at POP, a marketing and advertising company, from 2006 to 2008 and chief financial officer/director of finance at DDB Seattle, an advertising firm owned by Omnicom Group Inc., from 1997 to 2006. Ms. Mileson began her career as an auditor and information systems consultant with Laventhol &amp; Horwath, a national public accounting firm, where she earned certification as a certified public accountant. Ms. Mileson earned a B.A. in business administration from the University of Washington in 1980.</w:t>
      </w:r>
    </w:p>
    <w:p>
      <w:pPr>
        <w:spacing w:after="0" w:line="176" w:lineRule="exact"/>
        <w:rPr>
          <w:sz w:val="20"/>
          <w:szCs w:val="20"/>
          <w:color w:val="auto"/>
        </w:rPr>
      </w:pPr>
    </w:p>
    <w:p>
      <w:pPr>
        <w:ind w:right="220" w:firstLine="576"/>
        <w:spacing w:after="0" w:line="255" w:lineRule="auto"/>
        <w:rPr>
          <w:sz w:val="20"/>
          <w:szCs w:val="20"/>
          <w:color w:val="auto"/>
        </w:rPr>
      </w:pPr>
      <w:r>
        <w:rPr>
          <w:rFonts w:ascii="Arial" w:cs="Arial" w:eastAsia="Arial" w:hAnsi="Arial"/>
          <w:sz w:val="18"/>
          <w:szCs w:val="18"/>
          <w:i w:val="1"/>
          <w:iCs w:val="1"/>
          <w:color w:val="auto"/>
        </w:rPr>
        <w:t>Mark Litton, M.B.A., Ph.D.</w:t>
      </w:r>
      <w:r>
        <w:rPr>
          <w:rFonts w:ascii="Arial" w:cs="Arial" w:eastAsia="Arial" w:hAnsi="Arial"/>
          <w:sz w:val="18"/>
          <w:szCs w:val="18"/>
          <w:color w:val="auto"/>
        </w:rPr>
        <w:t>, has served as our chief operating officer since July 2019. Prior to joining Athira Pharma, Inc., Dr. Litton</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the president and chief operating officer of Alpine Immune Sciences, Inc., a publicly traded biotechnology company, from August 2018 to April 2019. Dr. Litton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50" w:name="page151"/>
    <w:bookmarkEnd w:id="150"/>
    <w:p>
      <w:pPr>
        <w:spacing w:after="0" w:line="239" w:lineRule="auto"/>
        <w:rPr>
          <w:sz w:val="20"/>
          <w:szCs w:val="20"/>
          <w:color w:val="auto"/>
        </w:rPr>
      </w:pPr>
      <w:r>
        <w:rPr>
          <w:rFonts w:ascii="Arial" w:cs="Arial" w:eastAsia="Arial" w:hAnsi="Arial"/>
          <w:sz w:val="18"/>
          <w:szCs w:val="18"/>
          <w:color w:val="auto"/>
        </w:rPr>
        <w:t>served as the chief business officer, treasurer, and secretary from 2004 to 2018 of Alder BioPharmaceuticals, Inc., a publicly traded biopharmaceutical company co-founded by Dr. Litton in 2004, which was acquired by Lundbeck A/S in October 2019. From 1999 to 2004, Dr. Litton served as vice president of business development for Celltech Group, where he was responsible for securing, commercializing, and partnering on numerous novel discoveries and therapeutic programs. In 1999, Dr. Litton joined Celltech Group as an employee of Chiroscience Group plc and was later promoted to vice president of business development after Chiroscience’s merger with Celltech Group in 1999. From 1997 to 1999, Dr. Litton served as the manager of business development for Ribozyme Pharmaceuticals Inc. (now Sirna Therapeutics, Inc.), a biopharmaceutical company and wholly owned subsidiary of Alnylam Pharmaceuticals, Inc., where he helped form relationships with Eli Lilly and Company, Roche Bioscience and GlaxoWellcome plc (now GlaxoSmithKline plc) a biopharmaceutical company. From 1991 to 1994, Dr. Litton served as a research associate for DNAX Research Institute, a research facility of Schering-Plough (now Merck &amp; Co., a publicly traded pharmaceutical company). Dr. Litton earned a Ph.D. in immunology from Stockholm University in 1997, an M.B.A. from Santa Clara University in 1994 and a B.S. in biochemistry from the University of California Santa Cruz in 1990.</w:t>
      </w:r>
    </w:p>
    <w:p>
      <w:pPr>
        <w:spacing w:after="0" w:line="176"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i w:val="1"/>
          <w:iCs w:val="1"/>
          <w:color w:val="auto"/>
        </w:rPr>
        <w:t xml:space="preserve">Hans Moebius, M.D., Ph.D., </w:t>
      </w:r>
      <w:r>
        <w:rPr>
          <w:rFonts w:ascii="Arial" w:cs="Arial" w:eastAsia="Arial" w:hAnsi="Arial"/>
          <w:sz w:val="18"/>
          <w:szCs w:val="18"/>
          <w:color w:val="auto"/>
        </w:rPr>
        <w:t>has served as our chief medical officer since April 2019. Prior to joining Athira Pharma, Inc., Dr. Moebius</w:t>
      </w:r>
      <w:r>
        <w:rPr>
          <w:rFonts w:ascii="Arial" w:cs="Arial" w:eastAsia="Arial" w:hAnsi="Arial"/>
          <w:sz w:val="18"/>
          <w:szCs w:val="18"/>
          <w:i w:val="1"/>
          <w:iCs w:val="1"/>
          <w:color w:val="auto"/>
        </w:rPr>
        <w:t xml:space="preserve"> </w:t>
      </w:r>
      <w:r>
        <w:rPr>
          <w:rFonts w:ascii="Arial" w:cs="Arial" w:eastAsia="Arial" w:hAnsi="Arial"/>
          <w:sz w:val="18"/>
          <w:szCs w:val="18"/>
          <w:color w:val="auto"/>
        </w:rPr>
        <w:t>co-founded Exciva GmbH, a company focusing on targeted drug rescue, and served as its chief executive officer and chief medical officer from 2016 to 2019, and again as acting chief medical officer from April 2020 to September 2020. Dr. Moebius also served as scientific advisory board member at Rodin Therapeutics from October 2016 until the company was sold to Alkermes in December 2019. At Rodin Therapeutics, he also served as acting chief medical officer from December 2016 to April 2018. Prior to that, Dr. Moebius served as executive vice president of clinical research at CHASE Pharmaceuticals, until the company was acquired by Allergan in 2016. Dr. Moebius earned his Ph.D. in experimental pharmacology from the University of Heidelberg in 1983 and a B.S. in chemistry from the University of Kaiserslautern, Germany, in 1976. Dr. Moebius completed his medical studies at the Karls University of Heidelberg in 1982 and was board certified in neurology and psychiatry after completion of residencies at the Goethe University Frankfurt/Main from 1986-1991. During his research tenure at the Max-Planck-Institute for Brain Research from 1984-1986, he lectured in neuropathology and neuroscience. Dr. Moebius also holds the European Certificate in Pharmaceutical Medicine (ECPM) from the EUCOR Universities Basel/Switzerland, Freiburg/Germany and Strasbourg/France.</w:t>
      </w:r>
    </w:p>
    <w:p>
      <w:pPr>
        <w:spacing w:after="0" w:line="183"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i w:val="1"/>
          <w:iCs w:val="1"/>
          <w:color w:val="auto"/>
        </w:rPr>
        <w:t>Kevin Church, Ph.D.</w:t>
      </w:r>
      <w:r>
        <w:rPr>
          <w:rFonts w:ascii="Arial" w:cs="Arial" w:eastAsia="Arial" w:hAnsi="Arial"/>
          <w:sz w:val="18"/>
          <w:szCs w:val="18"/>
          <w:color w:val="auto"/>
        </w:rPr>
        <w:t>, has served in various roles at Athira since 2016, including research scientist, director of discovery, now 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discovery. Dr. Church has research experience in diverse fields of study including neurodegenerative diseases, wound healing, and cancer. Dr. Church earned his Ph.D. in molecular biosciences from Washington State University in 2016, and prior to that earned his B.S. in microbiology from the University of Idaho in 2006. While in graduate school, Dr. Church was recognized for excellence in his graduate teaching assistantships. Dr. Church’s graduate work primarily focused on the development of novel therapeutics for the treatment of pancreatic cancer, but also included research relating to the treatment of diabetic ulcers and neurodegenerative diseases such as Parkinson’s disease dementia and Alzheimer’s disease.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Board of Directors</w:t>
      </w:r>
    </w:p>
    <w:p>
      <w:pPr>
        <w:spacing w:after="0" w:line="106" w:lineRule="exact"/>
        <w:rPr>
          <w:sz w:val="20"/>
          <w:szCs w:val="20"/>
          <w:color w:val="auto"/>
        </w:rPr>
      </w:pPr>
    </w:p>
    <w:p>
      <w:pPr>
        <w:ind w:right="20" w:firstLine="576"/>
        <w:spacing w:after="0"/>
        <w:rPr>
          <w:sz w:val="20"/>
          <w:szCs w:val="20"/>
          <w:color w:val="auto"/>
        </w:rPr>
      </w:pPr>
      <w:r>
        <w:rPr>
          <w:rFonts w:ascii="Arial" w:cs="Arial" w:eastAsia="Arial" w:hAnsi="Arial"/>
          <w:sz w:val="18"/>
          <w:szCs w:val="18"/>
          <w:i w:val="1"/>
          <w:iCs w:val="1"/>
          <w:color w:val="auto"/>
        </w:rPr>
        <w:t>Tadataka Yamada, M.D.</w:t>
      </w:r>
      <w:r>
        <w:rPr>
          <w:rFonts w:ascii="Arial" w:cs="Arial" w:eastAsia="Arial" w:hAnsi="Arial"/>
          <w:sz w:val="18"/>
          <w:szCs w:val="18"/>
          <w:color w:val="auto"/>
        </w:rPr>
        <w:t>, has served on our board of directors since June 2019 and as the chair of our board of directors since</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2020. He is also a venture partner at Frazier Healthcare and co-founder of, and currently serves on the board of directors for, Phathom Pharmaceuticals, Passage Bio, Scout Bio, and Outpost Medicine. Dr. Yamada also serves on the board of directors of Agilent Technologies, Inc., as board of directors chair at the Clinton Health Access Initiative and is a member of the Council of the National Academy of Medicine. He is also a fellow of the Imperial College of Medicine, a master of the American College of Physicians, a fellow of the Royal College of Physicians, a member of the American Academy of Arts and Sciences and a past-president of the American Gastroenterological Association and the Association of American Physicians. Previously, Dr. Yamada held executive leadership roles at Takeda Pharmaceuticals, the Bill and Melinda Gates Foundation, GlaxoSmithKline, and at the University of Michigan in Ann Arbor. Dr. Yamada received his M.D. from New York University</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color w:val="auto"/>
        </w:rPr>
        <w:t>School of Medicine in 1971 and a B.A. in history from Stanford University 1967. In recognition of his contributions to medicine and science he has been elected to membership in the National Academy of Medicine (U.S.), the Academy of Medical Sciences (U.K.) and the National Academy of Medicine (Mexico). He has been awarded the Order of the Rising Sun, Gold and Silver Star by the Government of Japan, received an honorary appointment as Knight Commander of the Most Excellent Order of the British Empire (KBE), and been conferred the degree of D.Sc. h.c. from five universities. He has also been the recipient of numerous awards including the Distinguished Achievement Award in Gastrointestinal Physiology from the American Physiological Society, the Friedenwald Medal from the American Gastroenterological Association, and the Watanabe Prize in Translational Research from Indiana University and Eli Lilly &amp; Co. We believe that Dr. Yamada’s extensive background in medical and biopharmaceutical research, as well as his service as a director or officer of other healthcare companies, qualifies him to serve as chair of our board of directors.</w:t>
      </w:r>
    </w:p>
    <w:p>
      <w:pPr>
        <w:spacing w:after="0" w:line="176" w:lineRule="exact"/>
        <w:rPr>
          <w:sz w:val="20"/>
          <w:szCs w:val="20"/>
          <w:color w:val="auto"/>
        </w:rPr>
      </w:pPr>
    </w:p>
    <w:p>
      <w:pPr>
        <w:ind w:right="60" w:firstLine="576"/>
        <w:spacing w:after="0" w:line="241" w:lineRule="auto"/>
        <w:rPr>
          <w:sz w:val="20"/>
          <w:szCs w:val="20"/>
          <w:color w:val="auto"/>
        </w:rPr>
      </w:pPr>
      <w:r>
        <w:rPr>
          <w:rFonts w:ascii="Arial" w:cs="Arial" w:eastAsia="Arial" w:hAnsi="Arial"/>
          <w:sz w:val="18"/>
          <w:szCs w:val="18"/>
          <w:i w:val="1"/>
          <w:iCs w:val="1"/>
          <w:color w:val="auto"/>
        </w:rPr>
        <w:t xml:space="preserve">Joseph Edelman </w:t>
      </w:r>
      <w:r>
        <w:rPr>
          <w:rFonts w:ascii="Arial" w:cs="Arial" w:eastAsia="Arial" w:hAnsi="Arial"/>
          <w:sz w:val="18"/>
          <w:szCs w:val="18"/>
          <w:color w:val="auto"/>
        </w:rPr>
        <w:t>has served on our board of directors since May 2020. Mr. Edelman is founder, chief executive officer, and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of Perceptive Advisors. Prior to founding Perceptive Advisors, Mr. Edelman was a senior analyst at Aries Fund, a Paramount Capital Asset Management biotechnology hedge fund, from 1994 through 1998. Prior to that position, Mr. Edelman was a senior biotechnology analyst at Prudential Securities from 1990 to 1994. Mr. Edelman started his career in the healthcare sector of the securities industry as a biotechnology analyst at Labe, Simpson from 1987 to 1990. Mr. Edelman earned an M.B.A. from New York University in 1986 and a B.A., magna cum laude, in psychology from the University of California San Diego in 1978. We believe Mr. Edelman’s experience as a board member and investor in many successful biotechnology companies qualifies him to serve on our board of directors.</w:t>
      </w:r>
    </w:p>
    <w:p>
      <w:pPr>
        <w:spacing w:after="0" w:line="179" w:lineRule="exact"/>
        <w:rPr>
          <w:sz w:val="20"/>
          <w:szCs w:val="20"/>
          <w:color w:val="auto"/>
        </w:rPr>
      </w:pPr>
    </w:p>
    <w:p>
      <w:pPr>
        <w:ind w:right="40" w:firstLine="576"/>
        <w:spacing w:after="0" w:line="239" w:lineRule="auto"/>
        <w:rPr>
          <w:sz w:val="20"/>
          <w:szCs w:val="20"/>
          <w:color w:val="auto"/>
        </w:rPr>
      </w:pPr>
      <w:r>
        <w:rPr>
          <w:rFonts w:ascii="Arial" w:cs="Arial" w:eastAsia="Arial" w:hAnsi="Arial"/>
          <w:sz w:val="18"/>
          <w:szCs w:val="18"/>
          <w:i w:val="1"/>
          <w:iCs w:val="1"/>
          <w:color w:val="auto"/>
        </w:rPr>
        <w:t xml:space="preserve">John M. Fluke, Jr. </w:t>
      </w:r>
      <w:r>
        <w:rPr>
          <w:rFonts w:ascii="Arial" w:cs="Arial" w:eastAsia="Arial" w:hAnsi="Arial"/>
          <w:sz w:val="18"/>
          <w:szCs w:val="18"/>
          <w:color w:val="auto"/>
        </w:rPr>
        <w:t>has served on our board of directors since December 2014. Mr. Fluke is chairman of Fluke Capital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L.P., which he founded in 1976, and was chairman and chief executive officer of the John Fluke Manufacturing Co. until 1990. Mr. Fluke previously served on the boards of PACCAR Inc., CellCyte Genetics Corporation, Cell Therapeutics, Primus International, and American Seafoods Group. Mr. Fluke is a current trustee of the Greater Seattle Chamber of Commerce (formerly serving as its chairman) and previously served as chairman of the Washington State China Relations Council and a trustee emeritus of the Museum of Flight. He also previously served as chairman of the Washington Technology Center at the University of Washington, which is an organization responsible for managing technology transfers from public universities in Washington state to the private sector for commercialization. Mr. Fluke has also served as chairman of the trustees of Junior Achievement of Washington and president of the Seattle Council of Boy Scouts of America. Mr. Fluke earned an M.S. in electrical engineering from Stanford University in 1966 and a B.S. in electrical engineering from the University of Washington in 1964. We believe Mr. Fluke’s extensive leadership experience and background as an investor in many successful companies qualifies him to serve on our board of directors.</w:t>
      </w:r>
    </w:p>
    <w:p>
      <w:pPr>
        <w:spacing w:after="0" w:line="176"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i w:val="1"/>
          <w:iCs w:val="1"/>
          <w:color w:val="auto"/>
        </w:rPr>
        <w:t xml:space="preserve">James A. Johnson </w:t>
      </w:r>
      <w:r>
        <w:rPr>
          <w:rFonts w:ascii="Arial" w:cs="Arial" w:eastAsia="Arial" w:hAnsi="Arial"/>
          <w:sz w:val="18"/>
          <w:szCs w:val="18"/>
          <w:color w:val="auto"/>
        </w:rPr>
        <w:t>has served on our board of directors since August 2020. Mr. Johnson previously served as the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Nohla Therapeutics, a cell therapy company. Prior to Nohla, Mr. Johnson served for five years as the chief financial officer of NanoString Technologies, a publicly held provider of life science tools for translational research and molecular diagnostics. During his tenure as chief financial officer at NanoString, Mr. Johnson oversaw strategic and corporate finance activities from private stage through the company’s initial public offering and additional rounds of financing, marking the third initial public offering in his career as a chief financial officer. Prior to joining NanoString, Mr. Johnson served as chief financial officer of Relypsa, Inc., a clinical-stage biopharmaceutical company. Prior to Relypsa, Mr. Johnson served for nearly 10 years as chief financial officer of ZymoGenetics, Inc., until the company was acquired by Bristol-Myers Squibb in October 2010. Previously, he served for seven years as chief financial officer of Targeted Genetics Corporation (now Armata Pharmaceuticals) and as Vice President of Finance at Immunex Corporation during its evolution from product development to commercial operations. Mr. Johnson received a B.A. in business administration from the University of Washington in 1979. We believe Mr. Johnson’s depth of experience in the biopharmaceuticals industry, including as chief financial officer of a number of publicly traded biopharmaceutical companies, qualifies him to serve on our board of directors.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52" w:name="page153"/>
    <w:bookmarkEnd w:id="152"/>
    <w:p>
      <w:pPr>
        <w:ind w:right="120" w:firstLine="576"/>
        <w:spacing w:after="0" w:line="238" w:lineRule="auto"/>
        <w:rPr>
          <w:sz w:val="20"/>
          <w:szCs w:val="20"/>
          <w:color w:val="auto"/>
        </w:rPr>
      </w:pPr>
      <w:r>
        <w:rPr>
          <w:rFonts w:ascii="Arial" w:cs="Arial" w:eastAsia="Arial" w:hAnsi="Arial"/>
          <w:sz w:val="18"/>
          <w:szCs w:val="18"/>
          <w:i w:val="1"/>
          <w:iCs w:val="1"/>
          <w:color w:val="auto"/>
        </w:rPr>
        <w:t xml:space="preserve">Kelly A. Romano </w:t>
      </w:r>
      <w:r>
        <w:rPr>
          <w:rFonts w:ascii="Arial" w:cs="Arial" w:eastAsia="Arial" w:hAnsi="Arial"/>
          <w:sz w:val="18"/>
          <w:szCs w:val="18"/>
          <w:color w:val="auto"/>
        </w:rPr>
        <w:t>has served on our board of directors since December 2020.</w:t>
      </w:r>
      <w:r>
        <w:rPr>
          <w:rFonts w:ascii="Arial" w:cs="Arial" w:eastAsia="Arial" w:hAnsi="Arial"/>
          <w:sz w:val="18"/>
          <w:szCs w:val="18"/>
          <w:i w:val="1"/>
          <w:iCs w:val="1"/>
          <w:color w:val="auto"/>
        </w:rPr>
        <w:t xml:space="preserve"> </w:t>
      </w:r>
      <w:r>
        <w:rPr>
          <w:rFonts w:ascii="Arial" w:cs="Arial" w:eastAsia="Arial" w:hAnsi="Arial"/>
          <w:sz w:val="18"/>
          <w:szCs w:val="18"/>
          <w:color w:val="0A0A0A"/>
        </w:rPr>
        <w:t>Ms. Romano brings over 30 years of executive</w:t>
      </w:r>
      <w:r>
        <w:rPr>
          <w:rFonts w:ascii="Arial" w:cs="Arial" w:eastAsia="Arial" w:hAnsi="Arial"/>
          <w:sz w:val="18"/>
          <w:szCs w:val="18"/>
          <w:i w:val="1"/>
          <w:iCs w:val="1"/>
          <w:color w:val="auto"/>
        </w:rPr>
        <w:t xml:space="preserve"> </w:t>
      </w:r>
      <w:r>
        <w:rPr>
          <w:rFonts w:ascii="Arial" w:cs="Arial" w:eastAsia="Arial" w:hAnsi="Arial"/>
          <w:sz w:val="18"/>
          <w:szCs w:val="18"/>
          <w:color w:val="0A0A0A"/>
        </w:rPr>
        <w:t>operating experience in technology, with a background in commercial buildings and aerospace. Ms. Romano is the chief executive officer of BlueRipple Capital, LLC, a consultancy firm she founded in May 2018. In addition to her role at BlueRipple Capital, LLC, Ms. Romano is an operating partner at AE Industrial Partners. Ms. Romano has also served as senior advisory partner at Sand Oak Capital Partners, LLC, a private equity firm focused on industrial and manufacturing investments, since May 2016. Previously, she spent 32 years working at United Technologies Corp. (UTC) in various positions of increasing responsibility, most recently as president of intelligent building technologies in UTC Building &amp; Industrial Systems. Ms. Romano is also a member of several boards of directors, including UGI Corporation and Dorman Products, Inc., and is co-chair of the board of directors at Potter Electric Signal. Ms. Romano holds a bachelor's degree in business administration from the State University of New York at Buffalo, an MBA degree from Syracuse University, and is a graduate of the Northwestern University Kellogg School of Management's Corporate Board Governance Executive Program, as well as senior executive programs at Darden School of Management, University of Virginia. We believe Ms. Romano’s executive operating experience and aptitude for understanding growing companies qualifies her to serve on our board of directors.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Risk Oversight</w:t>
      </w:r>
    </w:p>
    <w:p>
      <w:pPr>
        <w:spacing w:after="0" w:line="106"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Our board of directors is currently composed of six members. Each of our directors other than Dr. Kawas is independent within the meaning of the independent director guidelines of the Nasdaq Global Select Market. All of the directors other than Dr. Kawas and Ms. Romano were elected to our board of directors pursuant to a voting agreement that terminated in connection with our initial public offering. Our certificate of incorporation and bylaws provide that the number of our directors shall be at least one and will be fixed from time to time by resolution of our board of directors.</w:t>
      </w:r>
    </w:p>
    <w:p>
      <w:pPr>
        <w:spacing w:after="0" w:line="172"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Our board of directors is divided into three classes of directors. At each annual meeting of stockholders, a class of directors will be elected for a three-year term to succeed the class whose terms are then expiring. The terms of the directors will expire upon the election and qualification of successor directors at the annual meeting of stockholders to be held during the years 2021 for the Class I directors, 2022 for the Class II directors and 2023 for the Class III director.</w:t>
      </w:r>
    </w:p>
    <w:p>
      <w:pPr>
        <w:spacing w:after="0" w:line="62" w:lineRule="exact"/>
        <w:rPr>
          <w:sz w:val="20"/>
          <w:szCs w:val="20"/>
          <w:color w:val="auto"/>
        </w:rPr>
      </w:pPr>
    </w:p>
    <w:p>
      <w:pPr>
        <w:ind w:left="1300" w:hanging="442"/>
        <w:spacing w:after="0"/>
        <w:tabs>
          <w:tab w:leader="none" w:pos="1300" w:val="left"/>
        </w:tabs>
        <w:numPr>
          <w:ilvl w:val="0"/>
          <w:numId w:val="88"/>
        </w:numPr>
        <w:rPr>
          <w:rFonts w:ascii="Times New Roman" w:cs="Times New Roman" w:eastAsia="Times New Roman" w:hAnsi="Times New Roman"/>
          <w:sz w:val="18"/>
          <w:szCs w:val="18"/>
          <w:color w:val="auto"/>
        </w:rPr>
      </w:pPr>
      <w:r>
        <w:rPr>
          <w:rFonts w:ascii="Arial" w:cs="Arial" w:eastAsia="Arial" w:hAnsi="Arial"/>
          <w:sz w:val="18"/>
          <w:szCs w:val="18"/>
          <w:color w:val="auto"/>
        </w:rPr>
        <w:t>Our Class I directors are Tadataka Yamada and Leen Kawas.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8"/>
        </w:numPr>
        <w:rPr>
          <w:rFonts w:ascii="Times New Roman" w:cs="Times New Roman" w:eastAsia="Times New Roman" w:hAnsi="Times New Roman"/>
          <w:sz w:val="18"/>
          <w:szCs w:val="18"/>
          <w:color w:val="auto"/>
        </w:rPr>
      </w:pPr>
      <w:r>
        <w:rPr>
          <w:rFonts w:ascii="Arial" w:cs="Arial" w:eastAsia="Arial" w:hAnsi="Arial"/>
          <w:sz w:val="18"/>
          <w:szCs w:val="18"/>
          <w:color w:val="auto"/>
        </w:rPr>
        <w:t>Our Class II directors are Joseph Edelman and John M. Fluke, Jr.</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8"/>
        </w:numPr>
        <w:rPr>
          <w:rFonts w:ascii="Times New Roman" w:cs="Times New Roman" w:eastAsia="Times New Roman" w:hAnsi="Times New Roman"/>
          <w:sz w:val="18"/>
          <w:szCs w:val="18"/>
          <w:color w:val="auto"/>
        </w:rPr>
      </w:pPr>
      <w:r>
        <w:rPr>
          <w:rFonts w:ascii="Arial" w:cs="Arial" w:eastAsia="Arial" w:hAnsi="Arial"/>
          <w:sz w:val="18"/>
          <w:szCs w:val="18"/>
          <w:color w:val="auto"/>
        </w:rPr>
        <w:t>Our Class III directors are James A. Johnson and Kelly A. Romano.</w:t>
      </w:r>
    </w:p>
    <w:p>
      <w:pPr>
        <w:spacing w:after="0" w:line="224" w:lineRule="exact"/>
        <w:rPr>
          <w:sz w:val="20"/>
          <w:szCs w:val="20"/>
          <w:color w:val="auto"/>
        </w:rPr>
      </w:pPr>
    </w:p>
    <w:p>
      <w:pPr>
        <w:ind w:right="220" w:firstLine="576"/>
        <w:spacing w:after="0" w:line="248" w:lineRule="auto"/>
        <w:rPr>
          <w:sz w:val="20"/>
          <w:szCs w:val="20"/>
          <w:color w:val="auto"/>
        </w:rPr>
      </w:pPr>
      <w:r>
        <w:rPr>
          <w:rFonts w:ascii="Arial" w:cs="Arial" w:eastAsia="Arial" w:hAnsi="Arial"/>
          <w:sz w:val="18"/>
          <w:szCs w:val="18"/>
          <w:color w:val="auto"/>
        </w:rPr>
        <w:t>The division of our board of directors into three classes with staggered three-year terms may delay or prevent a change of our management or a change in control. See the section of this prospectus titled “Description of Capital Stock—Anti-Takeover Effects of Delaware and Washington Law and Our Certificate of Incorporation and Bylaws” for a discussion of other anti-takeover provisions found in our certificate of incorporation.</w:t>
      </w:r>
    </w:p>
    <w:p>
      <w:pPr>
        <w:spacing w:after="0" w:line="170"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Our board of directors has an active role, as a whole and also at the committee level, in overseeing the management of our risks. The board of directors is responsible for general oversight of risks and regular review of information regarding our risks, including credit risks, liquidity risks and operational risks. Our compensation committee is responsible for overseeing the management of risks relating to our executive compensation plans and arrangements. Our audit committee is responsible for overseeing the management of our risks relating to accounting matters and financial reporting. Our nominating and corporate governance committee is responsible for overseeing the management of our risks associated with the independence of our board of directors and potential conflicts of interest. While each committee is responsible for evaluating certain risks and overseeing the management of such risks, our entire board</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153" w:name="page154"/>
    <w:bookmarkEnd w:id="153"/>
    <w:p>
      <w:pPr>
        <w:ind w:right="800"/>
        <w:spacing w:after="0" w:line="276" w:lineRule="auto"/>
        <w:rPr>
          <w:sz w:val="20"/>
          <w:szCs w:val="20"/>
          <w:color w:val="auto"/>
        </w:rPr>
      </w:pPr>
      <w:r>
        <w:rPr>
          <w:rFonts w:ascii="Arial" w:cs="Arial" w:eastAsia="Arial" w:hAnsi="Arial"/>
          <w:sz w:val="18"/>
          <w:szCs w:val="18"/>
          <w:color w:val="auto"/>
        </w:rPr>
        <w:t>of directors is regularly informed through discussions from committee members about such risks. Our board of directors believes its administration of its risk oversight function has not affected the board of directors’ leadership structure.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06"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Our common stock is listed on the Nasdaq Global Select Market. Under the rules of the Nasdaq Global Select Market, independent directors must comprise a majority of a listed company’s board of directors within a specified period of the completion of this offering. In addition, the rules of the Nasdaq Global Select Market require that, subject to specified exceptions, each member of a listed company’s audit, compensation and nominating and corporate governance committees be independent. Audit committee members must also satisfy the independence criteria set forth in Rule 10A-3 under the Exchange Act. Under the rules of the Nasdaq Global Select Market,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79" w:lineRule="exact"/>
        <w:rPr>
          <w:sz w:val="20"/>
          <w:szCs w:val="20"/>
          <w:color w:val="auto"/>
        </w:rPr>
      </w:pPr>
    </w:p>
    <w:p>
      <w:pPr>
        <w:ind w:right="80" w:firstLine="576"/>
        <w:spacing w:after="0" w:line="248" w:lineRule="auto"/>
        <w:rPr>
          <w:sz w:val="20"/>
          <w:szCs w:val="20"/>
          <w:color w:val="auto"/>
        </w:rPr>
      </w:pPr>
      <w:r>
        <w:rPr>
          <w:rFonts w:ascii="Arial" w:cs="Arial" w:eastAsia="Arial" w:hAnsi="Arial"/>
          <w:sz w:val="18"/>
          <w:szCs w:val="18"/>
          <w:color w:val="auto"/>
        </w:rPr>
        <w:t>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70"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Our board of directors has undertaken a review of its composition, the composition of its committees and the independence of our directors and considered whether any director has a material relationship with us that could compromise his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other than Dr. Kawas, none of our directors has a relationship that would interfere with the exercise of independent judgment in carrying out the responsibilities of a director and that each of these directors is “independent” as that term is defined under the rules of the Nasdaq Global Select Market. Our board of directors also determined that Messrs. Johnson and Fluke and Ms. Romano, who comprise our audit committee; Dr. Yamada and Messrs. Edelman and Johnson, who comprise our compensation committee; and Dr. Yamada and Messrs. Edelman and Fluke, who comprise our nominating and corporate governance committee, satisfy the independence standards for those committees established by applicable SEC rules and the rules of the Nasdaq Global Select Market. In making this determination, our board of directors considered the relationships that each non-employee director has with us and all other facts and circumstances our board of directors deemed relevant in determining their independence, including the beneficial ownership of our capital stock by each non-employee director.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06" w:lineRule="exact"/>
        <w:rPr>
          <w:sz w:val="20"/>
          <w:szCs w:val="20"/>
          <w:color w:val="auto"/>
        </w:rPr>
      </w:pPr>
    </w:p>
    <w:p>
      <w:pPr>
        <w:ind w:right="100" w:firstLine="576"/>
        <w:spacing w:after="0" w:line="241" w:lineRule="auto"/>
        <w:rPr>
          <w:sz w:val="20"/>
          <w:szCs w:val="20"/>
          <w:color w:val="auto"/>
        </w:rPr>
      </w:pPr>
      <w:r>
        <w:rPr>
          <w:rFonts w:ascii="Arial" w:cs="Arial" w:eastAsia="Arial" w:hAnsi="Arial"/>
          <w:sz w:val="18"/>
          <w:szCs w:val="18"/>
          <w:color w:val="auto"/>
        </w:rPr>
        <w:t>Dr. Yamada serves as the chairman of the board of directors, and Dr. Kawas serves as our president and chief executive officer. The roles of chief executive officer and chairman of the board of directors are currently separated in recognition of the differences between the two roles. We believe that it is in the best interests of our stockholders for the board of directors to make a determination regarding the separation or combination of these roles each time it elects a new chairman or appoints a chief executive officer, based on the relevant facts and circumstances applicable at such time. In 2014, when Dr. Kawas was first appointed as our president and chief executive officer, the Board determined it was in the best interests of our stockholders to continue to maintain an independent chairman to allow Dr. Kawas to focus on her primary responsibility for the operational leadership and strategic direction of our company.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t>Board Committees</w:t>
      </w:r>
    </w:p>
    <w:p>
      <w:pPr>
        <w:spacing w:after="0" w:line="106" w:lineRule="exact"/>
        <w:rPr>
          <w:sz w:val="20"/>
          <w:szCs w:val="20"/>
          <w:color w:val="auto"/>
        </w:rPr>
      </w:pPr>
    </w:p>
    <w:p>
      <w:pPr>
        <w:ind w:right="240" w:firstLine="576"/>
        <w:spacing w:after="0" w:line="276" w:lineRule="auto"/>
        <w:rPr>
          <w:sz w:val="20"/>
          <w:szCs w:val="20"/>
          <w:color w:val="auto"/>
        </w:rPr>
      </w:pPr>
      <w:r>
        <w:rPr>
          <w:rFonts w:ascii="Arial" w:cs="Arial" w:eastAsia="Arial" w:hAnsi="Arial"/>
          <w:sz w:val="18"/>
          <w:szCs w:val="18"/>
          <w:color w:val="auto"/>
        </w:rPr>
        <w:t>Our board of directors has an audit committee, a compensation committee and a nominating and corporate governance committee, each of which has the composition and the responsibilities described below.</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04"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The members of our audit committee are Messrs. Johnson and Fluke and Ms. Romano, each of whom is a non-employee member of our board of directors. Our audit committee chairman, Mr. Johnson, is our audit committee financial expert, as that term is defined under the SEC rules implementing Section 407 of the Sarbanes-Oxley Act of 2002, and possesses financial sophistication, as defined under the rules of the Nasdaq Global Select Market. Our audit committee oversees our corporate accounting and financial reporting process and assists our board of directors in monitoring our financial systems. Our audit committee operates under a written charter that specifies its duties and responsibilities and satisfies the applicable listing standards of the Nasdaq Global Select Market. Our board of directors has determined that each of Messrs. Johnson and Fluke and Ms. Romano is independent for audit committee purposes, as that term is defined in the rules of the SEC and the applicable Nasdaq rules, and have sufficient knowledge in financial and auditing matters to serve on the audit committee.</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audit committee:</w:t>
      </w:r>
    </w:p>
    <w:p>
      <w:pPr>
        <w:spacing w:after="0" w:line="104" w:lineRule="exact"/>
        <w:rPr>
          <w:sz w:val="20"/>
          <w:szCs w:val="20"/>
          <w:color w:val="auto"/>
        </w:rPr>
      </w:pPr>
    </w:p>
    <w:p>
      <w:pPr>
        <w:ind w:left="1300" w:right="320" w:hanging="442"/>
        <w:spacing w:after="0" w:line="275" w:lineRule="auto"/>
        <w:tabs>
          <w:tab w:leader="none" w:pos="1300" w:val="left"/>
        </w:tabs>
        <w:numPr>
          <w:ilvl w:val="0"/>
          <w:numId w:val="89"/>
        </w:numPr>
        <w:rPr>
          <w:rFonts w:ascii="Times New Roman" w:cs="Times New Roman" w:eastAsia="Times New Roman" w:hAnsi="Times New Roman"/>
          <w:sz w:val="18"/>
          <w:szCs w:val="18"/>
          <w:color w:val="auto"/>
        </w:rPr>
      </w:pPr>
      <w:r>
        <w:rPr>
          <w:rFonts w:ascii="Arial" w:cs="Arial" w:eastAsia="Arial" w:hAnsi="Arial"/>
          <w:sz w:val="18"/>
          <w:szCs w:val="18"/>
          <w:color w:val="auto"/>
        </w:rPr>
        <w:t>selects, retains, compensates, evaluates, oversees and, where appropriate, terminates our independent registered public accounting firm;</w:t>
      </w:r>
    </w:p>
    <w:p>
      <w:pPr>
        <w:spacing w:after="0" w:line="37" w:lineRule="exact"/>
        <w:rPr>
          <w:rFonts w:ascii="Times New Roman" w:cs="Times New Roman" w:eastAsia="Times New Roman" w:hAnsi="Times New Roman"/>
          <w:sz w:val="18"/>
          <w:szCs w:val="18"/>
          <w:color w:val="auto"/>
        </w:rPr>
      </w:pPr>
    </w:p>
    <w:p>
      <w:pPr>
        <w:ind w:left="1300" w:right="240" w:hanging="442"/>
        <w:spacing w:after="0" w:line="275" w:lineRule="auto"/>
        <w:tabs>
          <w:tab w:leader="none" w:pos="1300" w:val="left"/>
        </w:tabs>
        <w:numPr>
          <w:ilvl w:val="0"/>
          <w:numId w:val="89"/>
        </w:numPr>
        <w:rPr>
          <w:rFonts w:ascii="Times New Roman" w:cs="Times New Roman" w:eastAsia="Times New Roman" w:hAnsi="Times New Roman"/>
          <w:sz w:val="18"/>
          <w:szCs w:val="18"/>
          <w:color w:val="auto"/>
        </w:rPr>
      </w:pPr>
      <w:r>
        <w:rPr>
          <w:rFonts w:ascii="Arial" w:cs="Arial" w:eastAsia="Arial" w:hAnsi="Arial"/>
          <w:sz w:val="18"/>
          <w:szCs w:val="18"/>
          <w:color w:val="auto"/>
        </w:rPr>
        <w:t>reviews and approves the scope and plans for the audits and the audit fees and approves all non-audit and tax services to be performed by the independent audit;</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9"/>
        </w:numPr>
        <w:rPr>
          <w:rFonts w:ascii="Times New Roman" w:cs="Times New Roman" w:eastAsia="Times New Roman" w:hAnsi="Times New Roman"/>
          <w:sz w:val="18"/>
          <w:szCs w:val="18"/>
          <w:color w:val="auto"/>
        </w:rPr>
      </w:pPr>
      <w:r>
        <w:rPr>
          <w:rFonts w:ascii="Arial" w:cs="Arial" w:eastAsia="Arial" w:hAnsi="Arial"/>
          <w:sz w:val="18"/>
          <w:szCs w:val="18"/>
          <w:color w:val="auto"/>
        </w:rPr>
        <w:t>evaluates the independence and qualification of the independent registered public accounting firm;</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9"/>
        </w:numPr>
        <w:rPr>
          <w:rFonts w:ascii="Times New Roman" w:cs="Times New Roman" w:eastAsia="Times New Roman" w:hAnsi="Times New Roman"/>
          <w:sz w:val="18"/>
          <w:szCs w:val="18"/>
          <w:color w:val="auto"/>
        </w:rPr>
      </w:pPr>
      <w:r>
        <w:rPr>
          <w:rFonts w:ascii="Arial" w:cs="Arial" w:eastAsia="Arial" w:hAnsi="Arial"/>
          <w:sz w:val="18"/>
          <w:szCs w:val="18"/>
          <w:color w:val="auto"/>
        </w:rPr>
        <w:t>reviews internal controls and integrity of financial statements;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9"/>
        </w:numPr>
        <w:rPr>
          <w:rFonts w:ascii="Times New Roman" w:cs="Times New Roman" w:eastAsia="Times New Roman" w:hAnsi="Times New Roman"/>
          <w:sz w:val="18"/>
          <w:szCs w:val="18"/>
          <w:color w:val="auto"/>
        </w:rPr>
      </w:pPr>
      <w:r>
        <w:rPr>
          <w:rFonts w:ascii="Arial" w:cs="Arial" w:eastAsia="Arial" w:hAnsi="Arial"/>
          <w:sz w:val="18"/>
          <w:szCs w:val="18"/>
          <w:color w:val="auto"/>
        </w:rPr>
        <w:t>reviews financial information presentation, earnings press releases and guidance;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9"/>
        </w:numPr>
        <w:rPr>
          <w:rFonts w:ascii="Times New Roman" w:cs="Times New Roman" w:eastAsia="Times New Roman" w:hAnsi="Times New Roman"/>
          <w:sz w:val="18"/>
          <w:szCs w:val="18"/>
          <w:color w:val="auto"/>
        </w:rPr>
      </w:pPr>
      <w:r>
        <w:rPr>
          <w:rFonts w:ascii="Arial" w:cs="Arial" w:eastAsia="Arial" w:hAnsi="Arial"/>
          <w:sz w:val="18"/>
          <w:szCs w:val="18"/>
          <w:color w:val="auto"/>
        </w:rPr>
        <w:t>oversees the design, implementation and performance of our internal audit function, if any;</w:t>
      </w:r>
    </w:p>
    <w:p>
      <w:pPr>
        <w:spacing w:after="0" w:line="116" w:lineRule="exact"/>
        <w:rPr>
          <w:rFonts w:ascii="Times New Roman" w:cs="Times New Roman" w:eastAsia="Times New Roman" w:hAnsi="Times New Roman"/>
          <w:sz w:val="18"/>
          <w:szCs w:val="18"/>
          <w:color w:val="auto"/>
        </w:rPr>
      </w:pPr>
    </w:p>
    <w:p>
      <w:pPr>
        <w:ind w:left="1300" w:right="300" w:hanging="442"/>
        <w:spacing w:after="0" w:line="275" w:lineRule="auto"/>
        <w:tabs>
          <w:tab w:leader="none" w:pos="1300" w:val="left"/>
        </w:tabs>
        <w:numPr>
          <w:ilvl w:val="0"/>
          <w:numId w:val="89"/>
        </w:numPr>
        <w:rPr>
          <w:rFonts w:ascii="Times New Roman" w:cs="Times New Roman" w:eastAsia="Times New Roman" w:hAnsi="Times New Roman"/>
          <w:sz w:val="18"/>
          <w:szCs w:val="18"/>
          <w:color w:val="auto"/>
        </w:rPr>
      </w:pPr>
      <w:r>
        <w:rPr>
          <w:rFonts w:ascii="Arial" w:cs="Arial" w:eastAsia="Arial" w:hAnsi="Arial"/>
          <w:sz w:val="18"/>
          <w:szCs w:val="18"/>
          <w:color w:val="auto"/>
        </w:rPr>
        <w:t>sets hiring policies with regard to the hiring of employees and former employees of our independent auditor and oversees compliance with such policies;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9"/>
        </w:numPr>
        <w:rPr>
          <w:rFonts w:ascii="Times New Roman" w:cs="Times New Roman" w:eastAsia="Times New Roman" w:hAnsi="Times New Roman"/>
          <w:sz w:val="18"/>
          <w:szCs w:val="18"/>
          <w:color w:val="auto"/>
        </w:rPr>
      </w:pPr>
      <w:r>
        <w:rPr>
          <w:rFonts w:ascii="Arial" w:cs="Arial" w:eastAsia="Arial" w:hAnsi="Arial"/>
          <w:sz w:val="18"/>
          <w:szCs w:val="18"/>
          <w:color w:val="auto"/>
        </w:rPr>
        <w:t>reviews, approves and monitors related party transactions;</w:t>
      </w:r>
    </w:p>
    <w:p>
      <w:pPr>
        <w:spacing w:after="0" w:line="116" w:lineRule="exact"/>
        <w:rPr>
          <w:rFonts w:ascii="Times New Roman" w:cs="Times New Roman" w:eastAsia="Times New Roman" w:hAnsi="Times New Roman"/>
          <w:sz w:val="18"/>
          <w:szCs w:val="18"/>
          <w:color w:val="auto"/>
        </w:rPr>
      </w:pPr>
    </w:p>
    <w:p>
      <w:pPr>
        <w:ind w:left="1300" w:right="620" w:hanging="442"/>
        <w:spacing w:after="0" w:line="275" w:lineRule="auto"/>
        <w:tabs>
          <w:tab w:leader="none" w:pos="1300" w:val="left"/>
        </w:tabs>
        <w:numPr>
          <w:ilvl w:val="0"/>
          <w:numId w:val="89"/>
        </w:numPr>
        <w:rPr>
          <w:rFonts w:ascii="Times New Roman" w:cs="Times New Roman" w:eastAsia="Times New Roman" w:hAnsi="Times New Roman"/>
          <w:sz w:val="18"/>
          <w:szCs w:val="18"/>
          <w:color w:val="auto"/>
        </w:rPr>
      </w:pPr>
      <w:r>
        <w:rPr>
          <w:rFonts w:ascii="Arial" w:cs="Arial" w:eastAsia="Arial" w:hAnsi="Arial"/>
          <w:sz w:val="18"/>
          <w:szCs w:val="18"/>
          <w:color w:val="auto"/>
        </w:rPr>
        <w:t>adopts and oversees procedures to address complaints regarding accounting, internal accounting controls or auditing matters;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9"/>
        </w:numPr>
        <w:rPr>
          <w:rFonts w:ascii="Times New Roman" w:cs="Times New Roman" w:eastAsia="Times New Roman" w:hAnsi="Times New Roman"/>
          <w:sz w:val="18"/>
          <w:szCs w:val="18"/>
          <w:color w:val="auto"/>
        </w:rPr>
      </w:pPr>
      <w:r>
        <w:rPr>
          <w:rFonts w:ascii="Arial" w:cs="Arial" w:eastAsia="Arial" w:hAnsi="Arial"/>
          <w:sz w:val="18"/>
          <w:szCs w:val="18"/>
          <w:color w:val="auto"/>
        </w:rPr>
        <w:t>reviews and discusses with our management and the independent auditor our compliance with various laws;</w:t>
      </w:r>
    </w:p>
    <w:p>
      <w:pPr>
        <w:spacing w:after="0" w:line="116" w:lineRule="exact"/>
        <w:rPr>
          <w:rFonts w:ascii="Times New Roman" w:cs="Times New Roman" w:eastAsia="Times New Roman" w:hAnsi="Times New Roman"/>
          <w:sz w:val="18"/>
          <w:szCs w:val="18"/>
          <w:color w:val="auto"/>
        </w:rPr>
      </w:pPr>
    </w:p>
    <w:p>
      <w:pPr>
        <w:ind w:left="1300" w:right="280" w:hanging="442"/>
        <w:spacing w:after="0" w:line="275" w:lineRule="auto"/>
        <w:tabs>
          <w:tab w:leader="none" w:pos="1300" w:val="left"/>
        </w:tabs>
        <w:numPr>
          <w:ilvl w:val="0"/>
          <w:numId w:val="89"/>
        </w:numPr>
        <w:rPr>
          <w:rFonts w:ascii="Times New Roman" w:cs="Times New Roman" w:eastAsia="Times New Roman" w:hAnsi="Times New Roman"/>
          <w:sz w:val="18"/>
          <w:szCs w:val="18"/>
          <w:color w:val="auto"/>
        </w:rPr>
      </w:pPr>
      <w:r>
        <w:rPr>
          <w:rFonts w:ascii="Arial" w:cs="Arial" w:eastAsia="Arial" w:hAnsi="Arial"/>
          <w:sz w:val="18"/>
          <w:szCs w:val="18"/>
          <w:color w:val="auto"/>
        </w:rPr>
        <w:t>reviews and discusses with management our independent auditor guidelines and policies to identify, monitor, and address enterprise risks;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9"/>
        </w:numPr>
        <w:rPr>
          <w:rFonts w:ascii="Times New Roman" w:cs="Times New Roman" w:eastAsia="Times New Roman" w:hAnsi="Times New Roman"/>
          <w:sz w:val="18"/>
          <w:szCs w:val="18"/>
          <w:color w:val="auto"/>
        </w:rPr>
      </w:pPr>
      <w:r>
        <w:rPr>
          <w:rFonts w:ascii="Arial" w:cs="Arial" w:eastAsia="Arial" w:hAnsi="Arial"/>
          <w:sz w:val="18"/>
          <w:szCs w:val="18"/>
          <w:color w:val="auto"/>
        </w:rPr>
        <w:t>engages independent legal, accounting and other advisors;</w:t>
      </w:r>
    </w:p>
    <w:p>
      <w:pPr>
        <w:spacing w:after="0" w:line="116" w:lineRule="exact"/>
        <w:rPr>
          <w:rFonts w:ascii="Times New Roman" w:cs="Times New Roman" w:eastAsia="Times New Roman" w:hAnsi="Times New Roman"/>
          <w:sz w:val="18"/>
          <w:szCs w:val="18"/>
          <w:color w:val="auto"/>
        </w:rPr>
      </w:pPr>
    </w:p>
    <w:p>
      <w:pPr>
        <w:ind w:left="1300" w:right="280" w:hanging="442"/>
        <w:spacing w:after="0" w:line="275" w:lineRule="auto"/>
        <w:tabs>
          <w:tab w:leader="none" w:pos="1300" w:val="left"/>
        </w:tabs>
        <w:numPr>
          <w:ilvl w:val="0"/>
          <w:numId w:val="89"/>
        </w:numPr>
        <w:rPr>
          <w:rFonts w:ascii="Times New Roman" w:cs="Times New Roman" w:eastAsia="Times New Roman" w:hAnsi="Times New Roman"/>
          <w:sz w:val="18"/>
          <w:szCs w:val="18"/>
          <w:color w:val="auto"/>
        </w:rPr>
      </w:pPr>
      <w:r>
        <w:rPr>
          <w:rFonts w:ascii="Arial" w:cs="Arial" w:eastAsia="Arial" w:hAnsi="Arial"/>
          <w:sz w:val="18"/>
          <w:szCs w:val="18"/>
          <w:color w:val="auto"/>
        </w:rPr>
        <w:t>provides appropriate funding for compensation to independent registered accounting firm, advisors and related expenses; and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9"/>
        </w:numPr>
        <w:rPr>
          <w:rFonts w:ascii="Times New Roman" w:cs="Times New Roman" w:eastAsia="Times New Roman" w:hAnsi="Times New Roman"/>
          <w:sz w:val="18"/>
          <w:szCs w:val="18"/>
          <w:color w:val="auto"/>
        </w:rPr>
      </w:pPr>
      <w:r>
        <w:rPr>
          <w:rFonts w:ascii="Arial" w:cs="Arial" w:eastAsia="Arial" w:hAnsi="Arial"/>
          <w:sz w:val="18"/>
          <w:szCs w:val="18"/>
          <w:color w:val="auto"/>
        </w:rPr>
        <w:t>reviews the adequacy of the audit committee charter and recommend any proposed changes to our board of directors.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04" w:lineRule="exact"/>
        <w:rPr>
          <w:sz w:val="20"/>
          <w:szCs w:val="20"/>
          <w:color w:val="auto"/>
        </w:rPr>
      </w:pPr>
    </w:p>
    <w:p>
      <w:pPr>
        <w:ind w:firstLine="576"/>
        <w:spacing w:after="0" w:line="276" w:lineRule="auto"/>
        <w:rPr>
          <w:sz w:val="20"/>
          <w:szCs w:val="20"/>
          <w:color w:val="auto"/>
        </w:rPr>
      </w:pPr>
      <w:r>
        <w:rPr>
          <w:rFonts w:ascii="Arial" w:cs="Arial" w:eastAsia="Arial" w:hAnsi="Arial"/>
          <w:sz w:val="18"/>
          <w:szCs w:val="18"/>
          <w:color w:val="auto"/>
        </w:rPr>
        <w:t>The members of our compensation committee are Dr. Yamada and Messrs. Edelman and Johnson. Dr. Yamada is the chairman of our compensation committee. Our compensation committee oversees our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55" w:name="page156"/>
    <w:bookmarkEnd w:id="155"/>
    <w:p>
      <w:pPr>
        <w:ind w:right="140"/>
        <w:spacing w:after="0" w:line="276" w:lineRule="auto"/>
        <w:rPr>
          <w:sz w:val="20"/>
          <w:szCs w:val="20"/>
          <w:color w:val="auto"/>
        </w:rPr>
      </w:pPr>
      <w:r>
        <w:rPr>
          <w:rFonts w:ascii="Arial" w:cs="Arial" w:eastAsia="Arial" w:hAnsi="Arial"/>
          <w:sz w:val="18"/>
          <w:szCs w:val="18"/>
          <w:color w:val="auto"/>
        </w:rPr>
        <w:t>compensation policies, plans and benefits programs. Our compensation committee operates under a written charter that specifies its duties and responsibilities and satisfies the applicable listing standards of the Nasdaq Global Select Market. The compensation committee:</w:t>
      </w:r>
    </w:p>
    <w:p>
      <w:pPr>
        <w:spacing w:after="0" w:line="37" w:lineRule="exact"/>
        <w:rPr>
          <w:sz w:val="20"/>
          <w:szCs w:val="20"/>
          <w:color w:val="auto"/>
        </w:rPr>
      </w:pPr>
    </w:p>
    <w:p>
      <w:pPr>
        <w:ind w:left="1300" w:hanging="442"/>
        <w:spacing w:after="0"/>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reviews and approves the corporate goals and objectives applicable to the compensation of our chief executive officer;</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reviews and approves the compensation and benefits for our executive officers;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reviews, approves, and administers employee compensation plans;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advises on proposals to stockholders on executive compensation matters;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oversees compensation plans and programs;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reviews and discusses our compensation policies and practices and the risks related thereto;</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monitors compliance with any stock ownership guidelines;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approves the creation or revision of any clawback policy allowing us to recoup compensation paid to employees;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oversees regulatory compliance with respect to compensation matters;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retains or obtains the advice of compensation consultants; and</w:t>
      </w:r>
    </w:p>
    <w:p>
      <w:pPr>
        <w:spacing w:after="0" w:line="116" w:lineRule="exact"/>
        <w:rPr>
          <w:rFonts w:ascii="Times New Roman" w:cs="Times New Roman" w:eastAsia="Times New Roman" w:hAnsi="Times New Roman"/>
          <w:sz w:val="18"/>
          <w:szCs w:val="18"/>
          <w:color w:val="auto"/>
        </w:rPr>
      </w:pPr>
    </w:p>
    <w:p>
      <w:pPr>
        <w:ind w:left="1300" w:right="480" w:hanging="442"/>
        <w:spacing w:after="0" w:line="275" w:lineRule="auto"/>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reviews the adequacy of the compensation committee charter and recommends any proposed changes to our board of directors.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04"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The members of our nominating and corporate governance committee are Dr. Yamada and Messrs. Edelman and Fluke. Dr. Yamada is the chairman of our nominating and corporate governance committee. Our nominating and corporate governance committee oversees and assists our board of directors in reviewing and recommending nominees for election as directors. Our nominating and corporate governance committee operates under a written charter that specifies its duties and responsibilities and satisfies the applicable listing standards of the Nasdaq Global Select Market. The nominating and corporate governance committee:</w:t>
      </w:r>
    </w:p>
    <w:p>
      <w:pPr>
        <w:spacing w:after="0" w:line="64" w:lineRule="exact"/>
        <w:rPr>
          <w:sz w:val="20"/>
          <w:szCs w:val="20"/>
          <w:color w:val="auto"/>
        </w:rPr>
      </w:pPr>
    </w:p>
    <w:p>
      <w:pPr>
        <w:ind w:left="800" w:hanging="225"/>
        <w:spacing w:after="0"/>
        <w:tabs>
          <w:tab w:leader="none" w:pos="800" w:val="left"/>
        </w:tabs>
        <w:numPr>
          <w:ilvl w:val="0"/>
          <w:numId w:val="91"/>
        </w:numPr>
        <w:rPr>
          <w:rFonts w:ascii="Times New Roman" w:cs="Times New Roman" w:eastAsia="Times New Roman" w:hAnsi="Times New Roman"/>
          <w:sz w:val="18"/>
          <w:szCs w:val="18"/>
          <w:color w:val="auto"/>
        </w:rPr>
      </w:pPr>
      <w:r>
        <w:rPr>
          <w:rFonts w:ascii="Arial" w:cs="Arial" w:eastAsia="Arial" w:hAnsi="Arial"/>
          <w:sz w:val="18"/>
          <w:szCs w:val="18"/>
          <w:color w:val="auto"/>
        </w:rPr>
        <w:t>establishes procedures for the submission of candidates for election to our board of directors;</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91"/>
        </w:numPr>
        <w:rPr>
          <w:rFonts w:ascii="Times New Roman" w:cs="Times New Roman" w:eastAsia="Times New Roman" w:hAnsi="Times New Roman"/>
          <w:sz w:val="18"/>
          <w:szCs w:val="18"/>
          <w:color w:val="auto"/>
        </w:rPr>
      </w:pPr>
      <w:r>
        <w:rPr>
          <w:rFonts w:ascii="Arial" w:cs="Arial" w:eastAsia="Arial" w:hAnsi="Arial"/>
          <w:sz w:val="18"/>
          <w:szCs w:val="18"/>
          <w:color w:val="auto"/>
        </w:rPr>
        <w:t>conducts a periodic review of our succession planning process for the executive management team;</w:t>
      </w:r>
    </w:p>
    <w:p>
      <w:pPr>
        <w:spacing w:after="0" w:line="116" w:lineRule="exact"/>
        <w:rPr>
          <w:rFonts w:ascii="Times New Roman" w:cs="Times New Roman" w:eastAsia="Times New Roman" w:hAnsi="Times New Roman"/>
          <w:sz w:val="18"/>
          <w:szCs w:val="18"/>
          <w:color w:val="auto"/>
        </w:rPr>
      </w:pPr>
    </w:p>
    <w:p>
      <w:pPr>
        <w:ind w:left="800" w:hanging="225"/>
        <w:spacing w:after="0" w:line="275" w:lineRule="auto"/>
        <w:tabs>
          <w:tab w:leader="none" w:pos="800" w:val="left"/>
        </w:tabs>
        <w:numPr>
          <w:ilvl w:val="0"/>
          <w:numId w:val="91"/>
        </w:numPr>
        <w:rPr>
          <w:rFonts w:ascii="Times New Roman" w:cs="Times New Roman" w:eastAsia="Times New Roman" w:hAnsi="Times New Roman"/>
          <w:sz w:val="18"/>
          <w:szCs w:val="18"/>
          <w:color w:val="auto"/>
        </w:rPr>
      </w:pPr>
      <w:r>
        <w:rPr>
          <w:rFonts w:ascii="Arial" w:cs="Arial" w:eastAsia="Arial" w:hAnsi="Arial"/>
          <w:sz w:val="18"/>
          <w:szCs w:val="18"/>
          <w:color w:val="auto"/>
        </w:rPr>
        <w:t>reviews the structure and composition of each committee of our board of directors and makes recommendations for changes to the committees;</w:t>
      </w:r>
    </w:p>
    <w:p>
      <w:pPr>
        <w:spacing w:after="0" w:line="37" w:lineRule="exact"/>
        <w:rPr>
          <w:rFonts w:ascii="Times New Roman" w:cs="Times New Roman" w:eastAsia="Times New Roman" w:hAnsi="Times New Roman"/>
          <w:sz w:val="18"/>
          <w:szCs w:val="18"/>
          <w:color w:val="auto"/>
        </w:rPr>
      </w:pPr>
    </w:p>
    <w:p>
      <w:pPr>
        <w:ind w:left="800" w:right="780" w:hanging="225"/>
        <w:spacing w:after="0" w:line="275" w:lineRule="auto"/>
        <w:tabs>
          <w:tab w:leader="none" w:pos="800" w:val="left"/>
        </w:tabs>
        <w:numPr>
          <w:ilvl w:val="0"/>
          <w:numId w:val="91"/>
        </w:numPr>
        <w:rPr>
          <w:rFonts w:ascii="Times New Roman" w:cs="Times New Roman" w:eastAsia="Times New Roman" w:hAnsi="Times New Roman"/>
          <w:sz w:val="18"/>
          <w:szCs w:val="18"/>
          <w:color w:val="auto"/>
        </w:rPr>
      </w:pPr>
      <w:r>
        <w:rPr>
          <w:rFonts w:ascii="Arial" w:cs="Arial" w:eastAsia="Arial" w:hAnsi="Arial"/>
          <w:sz w:val="18"/>
          <w:szCs w:val="18"/>
          <w:color w:val="auto"/>
        </w:rPr>
        <w:t>develops and recommends to the board of directors corporate governance guidelines and annually reviews the corporate governance guidelines and their application;</w:t>
      </w:r>
    </w:p>
    <w:p>
      <w:pPr>
        <w:spacing w:after="0" w:line="37"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91"/>
        </w:numPr>
        <w:rPr>
          <w:rFonts w:ascii="Times New Roman" w:cs="Times New Roman" w:eastAsia="Times New Roman" w:hAnsi="Times New Roman"/>
          <w:sz w:val="18"/>
          <w:szCs w:val="18"/>
          <w:color w:val="auto"/>
        </w:rPr>
      </w:pPr>
      <w:r>
        <w:rPr>
          <w:rFonts w:ascii="Arial" w:cs="Arial" w:eastAsia="Arial" w:hAnsi="Arial"/>
          <w:sz w:val="18"/>
          <w:szCs w:val="18"/>
          <w:color w:val="auto"/>
        </w:rPr>
        <w:t>oversees governance practices;</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91"/>
        </w:numPr>
        <w:rPr>
          <w:rFonts w:ascii="Times New Roman" w:cs="Times New Roman" w:eastAsia="Times New Roman" w:hAnsi="Times New Roman"/>
          <w:sz w:val="18"/>
          <w:szCs w:val="18"/>
          <w:color w:val="auto"/>
        </w:rPr>
      </w:pPr>
      <w:r>
        <w:rPr>
          <w:rFonts w:ascii="Arial" w:cs="Arial" w:eastAsia="Arial" w:hAnsi="Arial"/>
          <w:sz w:val="18"/>
          <w:szCs w:val="18"/>
          <w:color w:val="auto"/>
        </w:rPr>
        <w:t>oversees our director orientation and continuing education;</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91"/>
        </w:numPr>
        <w:rPr>
          <w:rFonts w:ascii="Times New Roman" w:cs="Times New Roman" w:eastAsia="Times New Roman" w:hAnsi="Times New Roman"/>
          <w:sz w:val="18"/>
          <w:szCs w:val="18"/>
          <w:color w:val="auto"/>
        </w:rPr>
      </w:pPr>
      <w:r>
        <w:rPr>
          <w:rFonts w:ascii="Arial" w:cs="Arial" w:eastAsia="Arial" w:hAnsi="Arial"/>
          <w:sz w:val="18"/>
          <w:szCs w:val="18"/>
          <w:color w:val="auto"/>
        </w:rPr>
        <w:t>oversees the evaluation of our board of directors and its committees;</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91"/>
        </w:numPr>
        <w:rPr>
          <w:rFonts w:ascii="Times New Roman" w:cs="Times New Roman" w:eastAsia="Times New Roman" w:hAnsi="Times New Roman"/>
          <w:sz w:val="18"/>
          <w:szCs w:val="18"/>
          <w:color w:val="auto"/>
        </w:rPr>
      </w:pPr>
      <w:r>
        <w:rPr>
          <w:rFonts w:ascii="Arial" w:cs="Arial" w:eastAsia="Arial" w:hAnsi="Arial"/>
          <w:sz w:val="18"/>
          <w:szCs w:val="18"/>
          <w:color w:val="auto"/>
        </w:rPr>
        <w:t>develops, approves, reviews and monitors compliance with our Code of Business Conduct and Ethics;</w:t>
      </w:r>
    </w:p>
    <w:p>
      <w:pPr>
        <w:spacing w:after="0" w:line="116" w:lineRule="exact"/>
        <w:rPr>
          <w:rFonts w:ascii="Times New Roman" w:cs="Times New Roman" w:eastAsia="Times New Roman" w:hAnsi="Times New Roman"/>
          <w:sz w:val="18"/>
          <w:szCs w:val="18"/>
          <w:color w:val="auto"/>
        </w:rPr>
      </w:pPr>
    </w:p>
    <w:p>
      <w:pPr>
        <w:ind w:left="800" w:right="20" w:hanging="225"/>
        <w:spacing w:after="0" w:line="275" w:lineRule="auto"/>
        <w:tabs>
          <w:tab w:leader="none" w:pos="800" w:val="left"/>
        </w:tabs>
        <w:numPr>
          <w:ilvl w:val="0"/>
          <w:numId w:val="91"/>
        </w:numPr>
        <w:rPr>
          <w:rFonts w:ascii="Times New Roman" w:cs="Times New Roman" w:eastAsia="Times New Roman" w:hAnsi="Times New Roman"/>
          <w:sz w:val="18"/>
          <w:szCs w:val="18"/>
          <w:color w:val="auto"/>
        </w:rPr>
      </w:pPr>
      <w:r>
        <w:rPr>
          <w:rFonts w:ascii="Arial" w:cs="Arial" w:eastAsia="Arial" w:hAnsi="Arial"/>
          <w:sz w:val="18"/>
          <w:szCs w:val="18"/>
          <w:color w:val="auto"/>
        </w:rPr>
        <w:t>administers policies and procedures for various constituencies that are involved with us to communicate with the non-management members of our board of directors; and</w:t>
      </w:r>
    </w:p>
    <w:p>
      <w:pPr>
        <w:spacing w:after="0" w:line="37" w:lineRule="exact"/>
        <w:rPr>
          <w:rFonts w:ascii="Times New Roman" w:cs="Times New Roman" w:eastAsia="Times New Roman" w:hAnsi="Times New Roman"/>
          <w:sz w:val="18"/>
          <w:szCs w:val="18"/>
          <w:color w:val="auto"/>
        </w:rPr>
      </w:pPr>
    </w:p>
    <w:p>
      <w:pPr>
        <w:ind w:left="800" w:right="80" w:hanging="225"/>
        <w:spacing w:after="0" w:line="275" w:lineRule="auto"/>
        <w:tabs>
          <w:tab w:leader="none" w:pos="800" w:val="left"/>
        </w:tabs>
        <w:numPr>
          <w:ilvl w:val="0"/>
          <w:numId w:val="91"/>
        </w:numPr>
        <w:rPr>
          <w:rFonts w:ascii="Times New Roman" w:cs="Times New Roman" w:eastAsia="Times New Roman" w:hAnsi="Times New Roman"/>
          <w:sz w:val="18"/>
          <w:szCs w:val="18"/>
          <w:color w:val="auto"/>
        </w:rPr>
      </w:pPr>
      <w:r>
        <w:rPr>
          <w:rFonts w:ascii="Arial" w:cs="Arial" w:eastAsia="Arial" w:hAnsi="Arial"/>
          <w:sz w:val="18"/>
          <w:szCs w:val="18"/>
          <w:color w:val="auto"/>
        </w:rPr>
        <w:t>reviews the adequacy of the nominating and corporate governance committee charter and recommends any proposed changes to our board of directors.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56" w:name="page157"/>
    <w:bookmarkEnd w:id="156"/>
    <w:p>
      <w:pPr>
        <w:ind w:left="580"/>
        <w:spacing w:after="0"/>
        <w:rPr>
          <w:sz w:val="20"/>
          <w:szCs w:val="20"/>
          <w:color w:val="auto"/>
        </w:rPr>
      </w:pPr>
      <w:r>
        <w:rPr>
          <w:rFonts w:ascii="Arial" w:cs="Arial" w:eastAsia="Arial" w:hAnsi="Arial"/>
          <w:sz w:val="18"/>
          <w:szCs w:val="18"/>
          <w:color w:val="auto"/>
        </w:rPr>
        <w:t>Our board of directors may from time to time establish other committees.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1" w:lineRule="exact"/>
        <w:rPr>
          <w:sz w:val="20"/>
          <w:szCs w:val="20"/>
          <w:color w:val="auto"/>
        </w:rPr>
      </w:pPr>
    </w:p>
    <w:p>
      <w:pPr>
        <w:ind w:right="60" w:firstLine="576"/>
        <w:spacing w:after="0" w:line="219" w:lineRule="exact"/>
        <w:rPr>
          <w:sz w:val="20"/>
          <w:szCs w:val="20"/>
          <w:color w:val="auto"/>
        </w:rPr>
      </w:pPr>
      <w:r>
        <w:rPr>
          <w:rFonts w:ascii="Arial" w:cs="Arial" w:eastAsia="Arial" w:hAnsi="Arial"/>
          <w:sz w:val="18"/>
          <w:szCs w:val="18"/>
          <w:color w:val="auto"/>
        </w:rPr>
        <w:t>Prior to our initial public offering, we did not have a formal policy with respect to compensation payable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for their service as directors. From time to time, we have granted equity awards to attract them to join our board of directors and for their continued service on our board of directors. We also have reimbursed our directors for expenses associated with attending meetings of our board of directors and its committees.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Director Compensation</w:t>
      </w:r>
    </w:p>
    <w:p>
      <w:pPr>
        <w:spacing w:after="0" w:line="106" w:lineRule="exact"/>
        <w:rPr>
          <w:sz w:val="20"/>
          <w:szCs w:val="20"/>
          <w:color w:val="auto"/>
        </w:rPr>
      </w:pPr>
    </w:p>
    <w:p>
      <w:pPr>
        <w:ind w:right="240" w:firstLine="576"/>
        <w:spacing w:after="0" w:line="276" w:lineRule="auto"/>
        <w:rPr>
          <w:sz w:val="20"/>
          <w:szCs w:val="20"/>
          <w:color w:val="auto"/>
        </w:rPr>
      </w:pPr>
      <w:r>
        <w:rPr>
          <w:rFonts w:ascii="Arial" w:cs="Arial" w:eastAsia="Arial" w:hAnsi="Arial"/>
          <w:sz w:val="18"/>
          <w:szCs w:val="18"/>
          <w:color w:val="auto"/>
        </w:rPr>
        <w:t>The following table provides information regarding compensation of our non-employee directors for service as directors for the year ended December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Fees Earned or</w:t>
            </w: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Option Awards</w:t>
            </w:r>
          </w:p>
        </w:tc>
        <w:tc>
          <w:tcPr>
            <w:tcW w:w="1440" w:type="dxa"/>
            <w:vAlign w:val="bottom"/>
            <w:gridSpan w:val="2"/>
          </w:tcPr>
          <w:p>
            <w:pPr>
              <w:ind w:left="500"/>
              <w:spacing w:after="0"/>
              <w:rPr>
                <w:sz w:val="20"/>
                <w:szCs w:val="20"/>
                <w:color w:val="auto"/>
              </w:rPr>
            </w:pPr>
            <w:r>
              <w:rPr>
                <w:rFonts w:ascii="Arial" w:cs="Arial" w:eastAsia="Arial" w:hAnsi="Arial"/>
                <w:sz w:val="14"/>
                <w:szCs w:val="14"/>
                <w:b w:val="1"/>
                <w:bCs w:val="1"/>
                <w:color w:val="auto"/>
              </w:rPr>
              <w:t>Total</w:t>
            </w:r>
          </w:p>
        </w:tc>
      </w:tr>
      <w:tr>
        <w:trPr>
          <w:trHeight w:val="177"/>
        </w:trPr>
        <w:tc>
          <w:tcPr>
            <w:tcW w:w="6660" w:type="dxa"/>
            <w:vAlign w:val="bottom"/>
            <w:gridSpan w:val="2"/>
          </w:tcPr>
          <w:p>
            <w:pPr>
              <w:ind w:left="3060"/>
              <w:spacing w:after="0"/>
              <w:rPr>
                <w:sz w:val="20"/>
                <w:szCs w:val="20"/>
                <w:color w:val="auto"/>
              </w:rPr>
            </w:pPr>
            <w:r>
              <w:rPr>
                <w:rFonts w:ascii="Arial" w:cs="Arial" w:eastAsia="Arial" w:hAnsi="Arial"/>
                <w:sz w:val="14"/>
                <w:szCs w:val="14"/>
                <w:b w:val="1"/>
                <w:bCs w:val="1"/>
                <w:color w:val="auto"/>
              </w:rPr>
              <w:t>Name</w:t>
            </w: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Paid in Cash ($)</w:t>
            </w:r>
          </w:p>
        </w:tc>
        <w:tc>
          <w:tcPr>
            <w:tcW w:w="1340" w:type="dxa"/>
            <w:vAlign w:val="bottom"/>
          </w:tcPr>
          <w:p>
            <w:pPr>
              <w:jc w:val="right"/>
              <w:ind w:right="415"/>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5"/>
                <w:szCs w:val="15"/>
                <w:color w:val="auto"/>
              </w:rPr>
            </w:pPr>
          </w:p>
        </w:tc>
        <w:tc>
          <w:tcPr>
            <w:tcW w:w="1340" w:type="dxa"/>
            <w:vAlign w:val="bottom"/>
          </w:tcPr>
          <w:p>
            <w:pPr>
              <w:jc w:val="right"/>
              <w:ind w:right="49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r>
      <w:tr>
        <w:trPr>
          <w:trHeight w:val="209"/>
        </w:trPr>
        <w:tc>
          <w:tcPr>
            <w:tcW w:w="6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Tadataka Yamada, M.D.</w:t>
            </w:r>
            <w:r>
              <w:rPr>
                <w:rFonts w:ascii="Arial" w:cs="Arial" w:eastAsia="Arial" w:hAnsi="Arial"/>
                <w:sz w:val="15"/>
                <w:szCs w:val="15"/>
                <w:color w:val="auto"/>
              </w:rPr>
              <w:t>(2)</w:t>
            </w:r>
          </w:p>
        </w:tc>
        <w:tc>
          <w:tcPr>
            <w:tcW w:w="14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23,714</w:t>
            </w:r>
          </w:p>
        </w:tc>
        <w:tc>
          <w:tcPr>
            <w:tcW w:w="24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110,777</w:t>
            </w:r>
          </w:p>
        </w:tc>
        <w:tc>
          <w:tcPr>
            <w:tcW w:w="24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134,491</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(3)</w:t>
            </w:r>
          </w:p>
        </w:tc>
        <w:tc>
          <w:tcPr>
            <w:tcW w:w="1320" w:type="dxa"/>
            <w:vAlign w:val="bottom"/>
          </w:tcPr>
          <w:p>
            <w:pPr>
              <w:jc w:val="right"/>
              <w:spacing w:after="0"/>
              <w:rPr>
                <w:sz w:val="20"/>
                <w:szCs w:val="20"/>
                <w:color w:val="auto"/>
              </w:rPr>
            </w:pPr>
            <w:r>
              <w:rPr>
                <w:rFonts w:ascii="Arial" w:cs="Arial" w:eastAsia="Arial" w:hAnsi="Arial"/>
                <w:sz w:val="18"/>
                <w:szCs w:val="18"/>
                <w:color w:val="auto"/>
              </w:rPr>
              <w:t>12,571</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82,385</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94,956</w:t>
            </w:r>
          </w:p>
        </w:tc>
        <w:tc>
          <w:tcPr>
            <w:tcW w:w="100" w:type="dxa"/>
            <w:vAlign w:val="bottom"/>
          </w:tcPr>
          <w:p>
            <w:pPr>
              <w:spacing w:after="0"/>
              <w:rPr>
                <w:sz w:val="18"/>
                <w:szCs w:val="18"/>
                <w:color w:val="auto"/>
              </w:rPr>
            </w:pPr>
          </w:p>
        </w:tc>
      </w:tr>
      <w:tr>
        <w:trPr>
          <w:trHeight w:val="216"/>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John M. Fluke</w:t>
            </w:r>
            <w:r>
              <w:rPr>
                <w:rFonts w:ascii="Arial" w:cs="Arial" w:eastAsia="Arial" w:hAnsi="Arial"/>
                <w:sz w:val="15"/>
                <w:szCs w:val="15"/>
                <w:color w:val="auto"/>
              </w:rPr>
              <w:t>(4)</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13,285</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85,644</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98,929</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James A. Johnson</w:t>
            </w:r>
            <w:r>
              <w:rPr>
                <w:rFonts w:ascii="Arial" w:cs="Arial" w:eastAsia="Arial" w:hAnsi="Arial"/>
                <w:sz w:val="15"/>
                <w:szCs w:val="15"/>
                <w:color w:val="auto"/>
              </w:rPr>
              <w:t>(5)</w:t>
            </w:r>
          </w:p>
        </w:tc>
        <w:tc>
          <w:tcPr>
            <w:tcW w:w="1320" w:type="dxa"/>
            <w:vAlign w:val="bottom"/>
          </w:tcPr>
          <w:p>
            <w:pPr>
              <w:jc w:val="right"/>
              <w:spacing w:after="0"/>
              <w:rPr>
                <w:sz w:val="20"/>
                <w:szCs w:val="20"/>
                <w:color w:val="auto"/>
              </w:rPr>
            </w:pPr>
            <w:r>
              <w:rPr>
                <w:rFonts w:ascii="Arial" w:cs="Arial" w:eastAsia="Arial" w:hAnsi="Arial"/>
                <w:sz w:val="18"/>
                <w:szCs w:val="18"/>
                <w:color w:val="auto"/>
              </w:rPr>
              <w:t>15,714</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82,075</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97,789</w:t>
            </w:r>
          </w:p>
        </w:tc>
        <w:tc>
          <w:tcPr>
            <w:tcW w:w="100" w:type="dxa"/>
            <w:vAlign w:val="bottom"/>
          </w:tcPr>
          <w:p>
            <w:pPr>
              <w:spacing w:after="0"/>
              <w:rPr>
                <w:sz w:val="18"/>
                <w:szCs w:val="18"/>
                <w:color w:val="auto"/>
              </w:rPr>
            </w:pPr>
          </w:p>
        </w:tc>
      </w:tr>
      <w:tr>
        <w:trPr>
          <w:trHeight w:val="216"/>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Joseph Harding</w:t>
            </w:r>
            <w:r>
              <w:rPr>
                <w:rFonts w:ascii="Arial" w:cs="Arial" w:eastAsia="Arial" w:hAnsi="Arial"/>
                <w:sz w:val="15"/>
                <w:szCs w:val="15"/>
                <w:color w:val="auto"/>
              </w:rPr>
              <w:t>(6)</w:t>
            </w: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74,412</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74,412</w:t>
            </w:r>
          </w:p>
        </w:tc>
        <w:tc>
          <w:tcPr>
            <w:tcW w:w="100" w:type="dxa"/>
            <w:vAlign w:val="bottom"/>
            <w:shd w:val="clear" w:color="auto" w:fill="CFF0FC"/>
          </w:tcPr>
          <w:p>
            <w:pPr>
              <w:spacing w:after="0"/>
              <w:rPr>
                <w:sz w:val="18"/>
                <w:szCs w:val="18"/>
                <w:color w:val="auto"/>
              </w:rPr>
            </w:pPr>
          </w:p>
        </w:tc>
      </w:tr>
      <w:tr>
        <w:trPr>
          <w:trHeight w:val="243"/>
        </w:trPr>
        <w:tc>
          <w:tcPr>
            <w:tcW w:w="6660" w:type="dxa"/>
            <w:vAlign w:val="bottom"/>
            <w:gridSpan w:val="2"/>
          </w:tcPr>
          <w:p>
            <w:pPr>
              <w:spacing w:after="0"/>
              <w:rPr>
                <w:sz w:val="20"/>
                <w:szCs w:val="20"/>
                <w:color w:val="auto"/>
              </w:rPr>
            </w:pPr>
            <w:r>
              <w:rPr>
                <w:rFonts w:ascii="Arial" w:cs="Arial" w:eastAsia="Arial" w:hAnsi="Arial"/>
                <w:sz w:val="18"/>
                <w:szCs w:val="18"/>
                <w:color w:val="auto"/>
              </w:rPr>
              <w:t>Kelly A. Romano</w:t>
            </w:r>
            <w:r>
              <w:rPr>
                <w:rFonts w:ascii="Arial" w:cs="Arial" w:eastAsia="Arial" w:hAnsi="Arial"/>
                <w:sz w:val="15"/>
                <w:szCs w:val="15"/>
                <w:color w:val="auto"/>
              </w:rPr>
              <w:t>(7)</w:t>
            </w:r>
          </w:p>
        </w:tc>
        <w:tc>
          <w:tcPr>
            <w:tcW w:w="1320" w:type="dxa"/>
            <w:vAlign w:val="bottom"/>
          </w:tcPr>
          <w:p>
            <w:pPr>
              <w:jc w:val="right"/>
              <w:spacing w:after="0"/>
              <w:rPr>
                <w:sz w:val="20"/>
                <w:szCs w:val="20"/>
                <w:color w:val="auto"/>
              </w:rPr>
            </w:pPr>
            <w:r>
              <w:rPr>
                <w:rFonts w:ascii="Arial" w:cs="Arial" w:eastAsia="Arial" w:hAnsi="Arial"/>
                <w:sz w:val="18"/>
                <w:szCs w:val="18"/>
                <w:color w:val="auto"/>
              </w:rPr>
              <w:t>1,518</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582,382</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583,900</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34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29" w:lineRule="exact"/>
        <w:rPr>
          <w:sz w:val="20"/>
          <w:szCs w:val="20"/>
          <w:color w:val="auto"/>
        </w:rPr>
      </w:pPr>
    </w:p>
    <w:p>
      <w:pPr>
        <w:jc w:val="both"/>
        <w:ind w:left="480" w:right="140" w:hanging="472"/>
        <w:spacing w:after="0" w:line="261" w:lineRule="auto"/>
        <w:tabs>
          <w:tab w:leader="none" w:pos="4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In accordance with SEC rules, the amount in this column reflects the aggregate grant date fair value of stock options granted during 2020 computed in accordance with Accounting Standards Codification (ASC) Topic 718, rather than the amount paid or realized by the director. We provide information regarding the assumptions used to calculate the value of all stock options granted to our directors in Note 12 to our audited financial statements included elsewhere in this prospectus.</w:t>
      </w:r>
    </w:p>
    <w:p>
      <w:pPr>
        <w:spacing w:after="0" w:line="1" w:lineRule="exact"/>
        <w:rPr>
          <w:rFonts w:ascii="Arial" w:cs="Arial" w:eastAsia="Arial" w:hAnsi="Arial"/>
          <w:sz w:val="14"/>
          <w:szCs w:val="14"/>
          <w:color w:val="auto"/>
        </w:rPr>
      </w:pPr>
    </w:p>
    <w:p>
      <w:pPr>
        <w:ind w:left="480" w:right="380" w:hanging="472"/>
        <w:spacing w:after="0" w:line="271" w:lineRule="auto"/>
        <w:tabs>
          <w:tab w:leader="none" w:pos="4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Dr. Yamada became a member of our board of directors in June 2019. As of December 31, 2020, Dr. Yamada held stock options to purchase 109,707 shares of our common stock.</w:t>
      </w:r>
    </w:p>
    <w:p>
      <w:pPr>
        <w:ind w:left="480" w:right="380" w:hanging="472"/>
        <w:spacing w:after="0" w:line="271" w:lineRule="auto"/>
        <w:tabs>
          <w:tab w:leader="none" w:pos="4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Mr. Edelman became a member of our board of directors in May 2020. As of December 31, 2020, Mr. Edelman held stock options to purchase 27,742 shares of our common stock.</w:t>
      </w:r>
    </w:p>
    <w:p>
      <w:pPr>
        <w:ind w:left="480" w:right="420" w:hanging="472"/>
        <w:spacing w:after="0" w:line="271" w:lineRule="auto"/>
        <w:tabs>
          <w:tab w:leader="none" w:pos="4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Mr. Fluke became a member of our board of directors in December 2014. As of December 31, 2020, Mr. Fluke held stock options to purchase 56,745 shares of our common stock.</w:t>
      </w:r>
    </w:p>
    <w:p>
      <w:pPr>
        <w:ind w:left="480" w:right="260" w:hanging="472"/>
        <w:spacing w:after="0" w:line="271" w:lineRule="auto"/>
        <w:tabs>
          <w:tab w:leader="none" w:pos="4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Mr. Johnson became a member of our board of directors in August 2020. As of December 31, 2020, Mr. Johnson held stock options to purchase 27,742 shares of our common stock.</w:t>
      </w:r>
    </w:p>
    <w:p>
      <w:pPr>
        <w:ind w:left="480" w:right="260" w:hanging="472"/>
        <w:spacing w:after="0" w:line="271" w:lineRule="auto"/>
        <w:tabs>
          <w:tab w:leader="none" w:pos="4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Dr. Harding resigned from our board of directors in August 2020. As of December 31, 2020, Dr. Harding held stock options to purchase 25,220 shares of our common stock.</w:t>
      </w:r>
    </w:p>
    <w:p>
      <w:pPr>
        <w:ind w:left="480" w:right="240" w:hanging="472"/>
        <w:spacing w:after="0" w:line="291" w:lineRule="auto"/>
        <w:tabs>
          <w:tab w:leader="none" w:pos="4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Ms. Romano was appointed to our board of directors in December 2020. As of December 31, 2020, Ms. Romano held stock options to purchase 27,742 shares of our common stock.</w:t>
      </w:r>
    </w:p>
    <w:p>
      <w:pPr>
        <w:spacing w:after="0" w:line="140" w:lineRule="exact"/>
        <w:rPr>
          <w:sz w:val="20"/>
          <w:szCs w:val="20"/>
          <w:color w:val="auto"/>
        </w:rPr>
      </w:pPr>
    </w:p>
    <w:p>
      <w:pPr>
        <w:ind w:right="80" w:firstLine="576"/>
        <w:spacing w:after="0" w:line="214" w:lineRule="exact"/>
        <w:rPr>
          <w:sz w:val="20"/>
          <w:szCs w:val="20"/>
          <w:color w:val="auto"/>
        </w:rPr>
      </w:pPr>
      <w:r>
        <w:rPr>
          <w:rFonts w:ascii="Arial" w:cs="Arial" w:eastAsia="Arial" w:hAnsi="Arial"/>
          <w:sz w:val="18"/>
          <w:szCs w:val="18"/>
          <w:color w:val="auto"/>
        </w:rPr>
        <w:t>In 2020, our compensation committee retained Radford, a third-party compensation consultant, to provide our board of directors and its compensation committee with an analysis of publicly available market data and assistance in determining compensation to be provided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on and after the effective date of the registration statement relating to our initial public offering. Based on the discussions with and assistance from Radford, in September 2020 our board of directors adopted, and our stockholders approved, an Outside Director Compensation Policy providing for certain compensation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on and after September 17, 2020.</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w:t>
      </w:r>
    </w:p>
    <w:p>
      <w:pPr>
        <w:spacing w:after="0" w:line="77" w:lineRule="exact"/>
        <w:rPr>
          <w:sz w:val="20"/>
          <w:szCs w:val="20"/>
          <w:color w:val="auto"/>
        </w:rPr>
      </w:pPr>
    </w:p>
    <w:p>
      <w:pPr>
        <w:ind w:right="380" w:firstLine="576"/>
        <w:spacing w:after="0" w:line="235" w:lineRule="exact"/>
        <w:rPr>
          <w:sz w:val="20"/>
          <w:szCs w:val="20"/>
          <w:color w:val="auto"/>
        </w:rPr>
      </w:pPr>
      <w:r>
        <w:rPr>
          <w:rFonts w:ascii="Arial" w:cs="Arial" w:eastAsia="Arial" w:hAnsi="Arial"/>
          <w:sz w:val="18"/>
          <w:szCs w:val="18"/>
          <w:color w:val="auto"/>
        </w:rPr>
        <w:t>The Outside Director Compensation Policy provides for the following cash compensation program for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starting on September 17, 2020:</w:t>
      </w:r>
    </w:p>
    <w:p>
      <w:pPr>
        <w:spacing w:after="0" w:line="44" w:lineRule="exact"/>
        <w:rPr>
          <w:sz w:val="20"/>
          <w:szCs w:val="20"/>
          <w:color w:val="auto"/>
        </w:rPr>
      </w:pPr>
    </w:p>
    <w:p>
      <w:pPr>
        <w:ind w:left="1300" w:hanging="442"/>
        <w:spacing w:after="0" w:line="208" w:lineRule="exact"/>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$35,000 per year for service as a non</w:t>
      </w:r>
      <w:r>
        <w:rPr>
          <w:rFonts w:ascii="MS PGothic" w:cs="MS PGothic" w:eastAsia="MS PGothic" w:hAnsi="MS PGothic"/>
          <w:sz w:val="18"/>
          <w:szCs w:val="18"/>
          <w:color w:val="auto"/>
        </w:rPr>
        <w:t>‑</w:t>
      </w:r>
      <w:r>
        <w:rPr>
          <w:rFonts w:ascii="Arial" w:cs="Arial" w:eastAsia="Arial" w:hAnsi="Arial"/>
          <w:sz w:val="18"/>
          <w:szCs w:val="18"/>
          <w:color w:val="auto"/>
        </w:rPr>
        <w:t>employee director;</w:t>
      </w:r>
    </w:p>
    <w:p>
      <w:pPr>
        <w:spacing w:after="0" w:line="140"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$30,000 per year for service as chair of the board of directors;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$15,000 per year for service as chair of the audit committee;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7" w:name="page158"/>
    <w:bookmarkEnd w:id="157"/>
    <w:p>
      <w:pPr>
        <w:ind w:left="1300" w:hanging="442"/>
        <w:spacing w:after="0"/>
        <w:tabs>
          <w:tab w:leader="none" w:pos="130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$7,500 per year for service as a member of the audit committee;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$10,000 per year for service as chair of the compensation committee;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$5,000 per year for service as a member of the compensation committee;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$8,000 per year for service as chair of the nominating and corporate governance committee;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4"/>
        </w:numPr>
        <w:rPr>
          <w:rFonts w:ascii="Times New Roman" w:cs="Times New Roman" w:eastAsia="Times New Roman" w:hAnsi="Times New Roman"/>
          <w:sz w:val="18"/>
          <w:szCs w:val="18"/>
          <w:color w:val="auto"/>
        </w:rPr>
      </w:pPr>
      <w:r>
        <w:rPr>
          <w:rFonts w:ascii="Arial" w:cs="Arial" w:eastAsia="Arial" w:hAnsi="Arial"/>
          <w:sz w:val="18"/>
          <w:szCs w:val="18"/>
          <w:color w:val="auto"/>
        </w:rPr>
        <w:t>$4,000 per year for service as a member of the nominating and corporate governance committee.</w:t>
      </w:r>
    </w:p>
    <w:p>
      <w:pPr>
        <w:spacing w:after="0" w:line="200" w:lineRule="exact"/>
        <w:rPr>
          <w:sz w:val="20"/>
          <w:szCs w:val="20"/>
          <w:color w:val="auto"/>
        </w:rPr>
      </w:pPr>
    </w:p>
    <w:p>
      <w:pPr>
        <w:ind w:right="280" w:firstLine="576"/>
        <w:spacing w:after="0" w:line="215" w:lineRule="exact"/>
        <w:rPr>
          <w:sz w:val="20"/>
          <w:szCs w:val="20"/>
          <w:color w:val="auto"/>
        </w:rPr>
      </w:pPr>
      <w:r>
        <w:rPr>
          <w:rFonts w:ascii="Arial" w:cs="Arial" w:eastAsia="Arial" w:hAnsi="Arial"/>
          <w:sz w:val="18"/>
          <w:szCs w:val="18"/>
          <w:color w:val="auto"/>
        </w:rPr>
        <w:t>Each non</w:t>
      </w:r>
      <w:r>
        <w:rPr>
          <w:rFonts w:ascii="MS PGothic" w:cs="MS PGothic" w:eastAsia="MS PGothic" w:hAnsi="MS PGothic"/>
          <w:sz w:val="18"/>
          <w:szCs w:val="18"/>
          <w:color w:val="auto"/>
        </w:rPr>
        <w:t>‑</w:t>
      </w:r>
      <w:r>
        <w:rPr>
          <w:rFonts w:ascii="Arial" w:cs="Arial" w:eastAsia="Arial" w:hAnsi="Arial"/>
          <w:sz w:val="18"/>
          <w:szCs w:val="18"/>
          <w:color w:val="auto"/>
        </w:rPr>
        <w:t>employee director who serves as a committee chair receives only the cash retainer fee as the chair of the committee but not the cash retainer fee as a member of that committee. These fees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are paid quarterly in arrears on a prorated basis. Under our Outside Director Compensation Policy, we also reimburse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for reasonable travel expenses to attend meetings of our board of directors and its committees. The above-listed fees for service as chair or members of committees are payable in addition to the non-employee director retainer.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102"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i w:val="1"/>
          <w:iCs w:val="1"/>
          <w:color w:val="auto"/>
        </w:rPr>
        <w:t>IPO Award</w:t>
      </w:r>
      <w:r>
        <w:rPr>
          <w:rFonts w:ascii="Arial" w:cs="Arial" w:eastAsia="Arial" w:hAnsi="Arial"/>
          <w:sz w:val="18"/>
          <w:szCs w:val="18"/>
          <w:color w:val="auto"/>
        </w:rPr>
        <w:t>. Pursuant to our Outside Director Compensation Policy, each then-serving non-employee director received, on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17, 2020, an award, or the IPO Award, of stock options to purchase 27,742 shares of our common stock. For each non-employee director other than Mr. Johnson, each IPO Award vests in equal installments as to 1/36</w:t>
      </w:r>
      <w:r>
        <w:rPr>
          <w:rFonts w:ascii="Arial" w:cs="Arial" w:eastAsia="Arial" w:hAnsi="Arial"/>
          <w:sz w:val="15"/>
          <w:szCs w:val="15"/>
          <w:color w:val="auto"/>
        </w:rPr>
        <w:t>th</w:t>
      </w:r>
      <w:r>
        <w:rPr>
          <w:rFonts w:ascii="Arial" w:cs="Arial" w:eastAsia="Arial" w:hAnsi="Arial"/>
          <w:sz w:val="18"/>
          <w:szCs w:val="18"/>
          <w:color w:val="auto"/>
        </w:rPr>
        <w:t xml:space="preserve"> of the shares of our common stock subject to the IPO Award on a monthly basis following the IPO Award’s grant date, on the same day of the month as the grant date, subject to continued services to us through the applicable vesting dates. Mr. Johnson’s IPO Award vests in equal installments as to 1/36</w:t>
      </w:r>
      <w:r>
        <w:rPr>
          <w:rFonts w:ascii="Arial" w:cs="Arial" w:eastAsia="Arial" w:hAnsi="Arial"/>
          <w:sz w:val="15"/>
          <w:szCs w:val="15"/>
          <w:color w:val="auto"/>
        </w:rPr>
        <w:t>th</w:t>
      </w:r>
      <w:r>
        <w:rPr>
          <w:rFonts w:ascii="Arial" w:cs="Arial" w:eastAsia="Arial" w:hAnsi="Arial"/>
          <w:sz w:val="18"/>
          <w:szCs w:val="18"/>
          <w:color w:val="auto"/>
        </w:rPr>
        <w:t xml:space="preserve"> of the shares of our common stock subject to the IPO Award on a monthly basis following August 26, 2020, the date Mr. Johnson joined our board of directors, on the same day of the month, subject to his continued service to us through the applicable vesting dates.</w:t>
      </w:r>
    </w:p>
    <w:p>
      <w:pPr>
        <w:spacing w:after="0" w:line="154" w:lineRule="exact"/>
        <w:rPr>
          <w:sz w:val="20"/>
          <w:szCs w:val="20"/>
          <w:color w:val="auto"/>
        </w:rPr>
      </w:pPr>
    </w:p>
    <w:p>
      <w:pPr>
        <w:ind w:right="100" w:firstLine="576"/>
        <w:spacing w:after="0" w:line="212" w:lineRule="exact"/>
        <w:rPr>
          <w:sz w:val="20"/>
          <w:szCs w:val="20"/>
          <w:color w:val="auto"/>
        </w:rPr>
      </w:pPr>
      <w:r>
        <w:rPr>
          <w:rFonts w:ascii="Arial" w:cs="Arial" w:eastAsia="Arial" w:hAnsi="Arial"/>
          <w:sz w:val="18"/>
          <w:szCs w:val="18"/>
          <w:i w:val="1"/>
          <w:iCs w:val="1"/>
          <w:color w:val="auto"/>
        </w:rPr>
        <w:t>Initial Award</w:t>
      </w:r>
      <w:r>
        <w:rPr>
          <w:rFonts w:ascii="Arial" w:cs="Arial" w:eastAsia="Arial" w:hAnsi="Arial"/>
          <w:sz w:val="18"/>
          <w:szCs w:val="18"/>
          <w:color w:val="auto"/>
        </w:rPr>
        <w:t>. Pursuant to our Outside Director Compensation Policy, each person who first becomes a non</w:t>
      </w:r>
      <w:r>
        <w:rPr>
          <w:rFonts w:ascii="MS PGothic" w:cs="MS PGothic" w:eastAsia="MS PGothic" w:hAnsi="MS PGothic"/>
          <w:sz w:val="18"/>
          <w:szCs w:val="18"/>
          <w:color w:val="auto"/>
        </w:rPr>
        <w:t>‑</w:t>
      </w:r>
      <w:r>
        <w:rPr>
          <w:rFonts w:ascii="Arial" w:cs="Arial" w:eastAsia="Arial" w:hAnsi="Arial"/>
          <w:sz w:val="18"/>
          <w:szCs w:val="18"/>
          <w:color w:val="auto"/>
        </w:rPr>
        <w:t>employee director after</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17, 2020 will receive, on the first trading day on or after the date that the person first becomes a non</w:t>
      </w:r>
      <w:r>
        <w:rPr>
          <w:rFonts w:ascii="MS PGothic" w:cs="MS PGothic" w:eastAsia="MS PGothic" w:hAnsi="MS PGothic"/>
          <w:sz w:val="18"/>
          <w:szCs w:val="18"/>
          <w:color w:val="auto"/>
        </w:rPr>
        <w:t>‑</w:t>
      </w:r>
      <w:r>
        <w:rPr>
          <w:rFonts w:ascii="Arial" w:cs="Arial" w:eastAsia="Arial" w:hAnsi="Arial"/>
          <w:sz w:val="18"/>
          <w:szCs w:val="18"/>
          <w:color w:val="auto"/>
        </w:rPr>
        <w:t>employee director, an initial award (or, the Initial Award) of stock options to purchase 27,742 shares of our common stock. The Initial Award vests in equal installments as to 1/36</w:t>
      </w:r>
      <w:r>
        <w:rPr>
          <w:rFonts w:ascii="Arial" w:cs="Arial" w:eastAsia="Arial" w:hAnsi="Arial"/>
          <w:sz w:val="15"/>
          <w:szCs w:val="15"/>
          <w:color w:val="auto"/>
        </w:rPr>
        <w:t>th</w:t>
      </w:r>
      <w:r>
        <w:rPr>
          <w:rFonts w:ascii="Arial" w:cs="Arial" w:eastAsia="Arial" w:hAnsi="Arial"/>
          <w:sz w:val="18"/>
          <w:szCs w:val="18"/>
          <w:color w:val="auto"/>
        </w:rPr>
        <w:t xml:space="preserve"> of the shares of our common stock subject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w:t>
      </w:r>
      <w:r>
        <w:rPr>
          <w:rFonts w:ascii="MS PGothic" w:cs="MS PGothic" w:eastAsia="MS PGothic" w:hAnsi="MS PGothic"/>
          <w:sz w:val="18"/>
          <w:szCs w:val="18"/>
          <w:color w:val="auto"/>
        </w:rPr>
        <w:t>‑</w:t>
      </w:r>
      <w:r>
        <w:rPr>
          <w:rFonts w:ascii="Arial" w:cs="Arial" w:eastAsia="Arial" w:hAnsi="Arial"/>
          <w:sz w:val="18"/>
          <w:szCs w:val="18"/>
          <w:color w:val="auto"/>
        </w:rPr>
        <w:t>employee director due to termination of employment will not entitle the person to an Initial Award.</w:t>
      </w:r>
    </w:p>
    <w:p>
      <w:pPr>
        <w:spacing w:after="0" w:line="154" w:lineRule="exact"/>
        <w:rPr>
          <w:sz w:val="20"/>
          <w:szCs w:val="20"/>
          <w:color w:val="auto"/>
        </w:rPr>
      </w:pPr>
    </w:p>
    <w:p>
      <w:pPr>
        <w:ind w:right="20" w:firstLine="576"/>
        <w:spacing w:after="0" w:line="214" w:lineRule="exact"/>
        <w:rPr>
          <w:sz w:val="20"/>
          <w:szCs w:val="20"/>
          <w:color w:val="auto"/>
        </w:rPr>
      </w:pPr>
      <w:r>
        <w:rPr>
          <w:rFonts w:ascii="Arial" w:cs="Arial" w:eastAsia="Arial" w:hAnsi="Arial"/>
          <w:sz w:val="18"/>
          <w:szCs w:val="18"/>
          <w:i w:val="1"/>
          <w:iCs w:val="1"/>
          <w:color w:val="auto"/>
        </w:rPr>
        <w:t>Annual Award</w:t>
      </w:r>
      <w:r>
        <w:rPr>
          <w:rFonts w:ascii="Arial" w:cs="Arial" w:eastAsia="Arial" w:hAnsi="Arial"/>
          <w:sz w:val="18"/>
          <w:szCs w:val="18"/>
          <w:color w:val="auto"/>
        </w:rPr>
        <w:t>. Each non</w:t>
      </w:r>
      <w:r>
        <w:rPr>
          <w:rFonts w:ascii="MS PGothic" w:cs="MS PGothic" w:eastAsia="MS PGothic" w:hAnsi="MS PGothic"/>
          <w:sz w:val="18"/>
          <w:szCs w:val="18"/>
          <w:color w:val="auto"/>
        </w:rPr>
        <w:t>‑</w:t>
      </w:r>
      <w:r>
        <w:rPr>
          <w:rFonts w:ascii="Arial" w:cs="Arial" w:eastAsia="Arial" w:hAnsi="Arial"/>
          <w:sz w:val="18"/>
          <w:szCs w:val="18"/>
          <w:color w:val="auto"/>
        </w:rPr>
        <w:t>employee director who has completed at least six months of continuous service as a non</w:t>
      </w:r>
      <w:r>
        <w:rPr>
          <w:rFonts w:ascii="MS PGothic" w:cs="MS PGothic" w:eastAsia="MS PGothic" w:hAnsi="MS PGothic"/>
          <w:sz w:val="18"/>
          <w:szCs w:val="18"/>
          <w:color w:val="auto"/>
        </w:rPr>
        <w:t>‑</w:t>
      </w:r>
      <w:r>
        <w:rPr>
          <w:rFonts w:ascii="Arial" w:cs="Arial" w:eastAsia="Arial" w:hAnsi="Arial"/>
          <w:sz w:val="18"/>
          <w:szCs w:val="18"/>
          <w:color w:val="auto"/>
        </w:rPr>
        <w:t>employee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automatically receives, on the first trading day immediately after the date of each annual meeting of our stockholders that occurs following September 17, 2020, an annual award (or, the Annual Award) of stock options to purchase 13,871 shares of our common stock. Each Annual Award vests on the earlier of the one-year anniversary of the grant date, or the day immediately before the day of the next annual meeting of our stockholders that occurs after the grant date of the Annual Award, subject to continued services to us through the applicable vesting date.</w:t>
      </w:r>
    </w:p>
    <w:p>
      <w:pPr>
        <w:spacing w:after="0" w:line="153" w:lineRule="exact"/>
        <w:rPr>
          <w:sz w:val="20"/>
          <w:szCs w:val="20"/>
          <w:color w:val="auto"/>
        </w:rPr>
      </w:pPr>
    </w:p>
    <w:p>
      <w:pPr>
        <w:ind w:right="100" w:firstLine="576"/>
        <w:spacing w:after="0" w:line="229" w:lineRule="exact"/>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our change in control, as defined in our 2020 Equity Incentive Plan, each non</w:t>
      </w:r>
      <w:r>
        <w:rPr>
          <w:rFonts w:ascii="MS PGothic" w:cs="MS PGothic" w:eastAsia="MS PGothic" w:hAnsi="MS PGothic"/>
          <w:sz w:val="18"/>
          <w:szCs w:val="18"/>
          <w:color w:val="auto"/>
        </w:rPr>
        <w:t>‑</w:t>
      </w:r>
      <w:r>
        <w:rPr>
          <w:rFonts w:ascii="Arial" w:cs="Arial" w:eastAsia="Arial" w:hAnsi="Arial"/>
          <w:sz w:val="18"/>
          <w:szCs w:val="18"/>
          <w:color w:val="auto"/>
        </w:rPr>
        <w:t>employee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then outstanding equity awards covering shares of our common stock will accelerate vesting in full, provided that he or she remains a non</w:t>
      </w:r>
      <w:r>
        <w:rPr>
          <w:rFonts w:ascii="MS PGothic" w:cs="MS PGothic" w:eastAsia="MS PGothic" w:hAnsi="MS PGothic"/>
          <w:sz w:val="18"/>
          <w:szCs w:val="18"/>
          <w:color w:val="auto"/>
        </w:rPr>
        <w:t>‑</w:t>
      </w:r>
      <w:r>
        <w:rPr>
          <w:rFonts w:ascii="Arial" w:cs="Arial" w:eastAsia="Arial" w:hAnsi="Arial"/>
          <w:sz w:val="18"/>
          <w:szCs w:val="18"/>
          <w:color w:val="auto"/>
        </w:rPr>
        <w:t>employee director through the date of our change in control.</w:t>
      </w:r>
    </w:p>
    <w:p>
      <w:pPr>
        <w:spacing w:after="0" w:line="162" w:lineRule="exact"/>
        <w:rPr>
          <w:sz w:val="20"/>
          <w:szCs w:val="20"/>
          <w:color w:val="auto"/>
        </w:rPr>
      </w:pPr>
    </w:p>
    <w:p>
      <w:pPr>
        <w:jc w:val="both"/>
        <w:ind w:right="180" w:firstLine="576"/>
        <w:spacing w:after="0" w:line="248" w:lineRule="auto"/>
        <w:rPr>
          <w:sz w:val="20"/>
          <w:szCs w:val="20"/>
          <w:color w:val="auto"/>
        </w:rPr>
      </w:pPr>
      <w:r>
        <w:rPr>
          <w:rFonts w:ascii="Arial" w:cs="Arial" w:eastAsia="Arial" w:hAnsi="Arial"/>
          <w:sz w:val="18"/>
          <w:szCs w:val="18"/>
          <w:i w:val="1"/>
          <w:iCs w:val="1"/>
          <w:color w:val="auto"/>
        </w:rPr>
        <w:t>Other Award Terms</w:t>
      </w:r>
      <w:r>
        <w:rPr>
          <w:rFonts w:ascii="Arial" w:cs="Arial" w:eastAsia="Arial" w:hAnsi="Arial"/>
          <w:sz w:val="18"/>
          <w:szCs w:val="18"/>
          <w:color w:val="auto"/>
        </w:rPr>
        <w:t>. Each IPO Award, Initial Award and Annual Award will be granted under our 2020 Equity Incentive Plan (or its</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plan, as applicable) and form of award agreement under such plan. These awards will have a maximum term to expiration of 10 years from their grant and a per share exercise price equal to 100% of the fair market value of a share of our common stock on the award’s grant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8" w:name="page159"/>
    <w:bookmarkEnd w:id="158"/>
    <w:p>
      <w:pPr>
        <w:ind w:left="580"/>
        <w:spacing w:after="0" w:line="207" w:lineRule="exact"/>
        <w:rPr>
          <w:sz w:val="20"/>
          <w:szCs w:val="20"/>
          <w:color w:val="auto"/>
        </w:rPr>
      </w:pPr>
      <w:r>
        <w:rPr>
          <w:rFonts w:ascii="Arial" w:cs="Arial" w:eastAsia="Arial" w:hAnsi="Arial"/>
          <w:sz w:val="18"/>
          <w:szCs w:val="18"/>
          <w:i w:val="1"/>
          <w:iCs w:val="1"/>
          <w:color w:val="auto"/>
        </w:rPr>
        <w:t>Director Compensation Limits</w:t>
      </w:r>
      <w:r>
        <w:rPr>
          <w:rFonts w:ascii="Arial" w:cs="Arial" w:eastAsia="Arial" w:hAnsi="Arial"/>
          <w:sz w:val="18"/>
          <w:szCs w:val="18"/>
          <w:color w:val="auto"/>
        </w:rPr>
        <w:t>. Our Outside Director Compensation Policy provides that in any fiscal year, a non</w:t>
      </w:r>
      <w:r>
        <w:rPr>
          <w:rFonts w:ascii="MS PGothic" w:cs="MS PGothic" w:eastAsia="MS PGothic" w:hAnsi="MS PGothic"/>
          <w:sz w:val="18"/>
          <w:szCs w:val="18"/>
          <w:color w:val="auto"/>
        </w:rPr>
        <w:t>‑</w:t>
      </w:r>
      <w:r>
        <w:rPr>
          <w:rFonts w:ascii="Arial" w:cs="Arial" w:eastAsia="Arial" w:hAnsi="Arial"/>
          <w:sz w:val="18"/>
          <w:szCs w:val="18"/>
          <w:color w:val="auto"/>
        </w:rPr>
        <w:t>employee director</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may be paid cash compensation and granted equity awards with an aggregate value of no more than $500,000 (with the value of equity</w:t>
      </w:r>
    </w:p>
    <w:p>
      <w:pPr>
        <w:spacing w:after="0" w:line="234" w:lineRule="auto"/>
        <w:rPr>
          <w:sz w:val="20"/>
          <w:szCs w:val="20"/>
          <w:color w:val="auto"/>
        </w:rPr>
      </w:pPr>
      <w:r>
        <w:rPr>
          <w:rFonts w:ascii="Arial" w:cs="Arial" w:eastAsia="Arial" w:hAnsi="Arial"/>
          <w:sz w:val="18"/>
          <w:szCs w:val="18"/>
          <w:color w:val="auto"/>
        </w:rPr>
        <w:t>awards based on their grant date fair value determined in accordance with U.S. Generally Accepted Accounting Principles for purposes of</w:t>
      </w:r>
    </w:p>
    <w:p>
      <w:pPr>
        <w:spacing w:after="0" w:line="203" w:lineRule="exact"/>
        <w:rPr>
          <w:sz w:val="20"/>
          <w:szCs w:val="20"/>
          <w:color w:val="auto"/>
        </w:rPr>
      </w:pPr>
      <w:r>
        <w:rPr>
          <w:rFonts w:ascii="Arial" w:cs="Arial" w:eastAsia="Arial" w:hAnsi="Arial"/>
          <w:sz w:val="18"/>
          <w:szCs w:val="18"/>
          <w:color w:val="auto"/>
        </w:rPr>
        <w:t>this limit), with such limit increased to $750,000 for the fiscal year of his or her initial service as a non</w:t>
      </w:r>
      <w:r>
        <w:rPr>
          <w:rFonts w:ascii="MS PGothic" w:cs="MS PGothic" w:eastAsia="MS PGothic" w:hAnsi="MS PGothic"/>
          <w:sz w:val="18"/>
          <w:szCs w:val="18"/>
          <w:color w:val="auto"/>
        </w:rPr>
        <w:t>‑</w:t>
      </w:r>
      <w:r>
        <w:rPr>
          <w:rFonts w:ascii="Arial" w:cs="Arial" w:eastAsia="Arial" w:hAnsi="Arial"/>
          <w:sz w:val="18"/>
          <w:szCs w:val="18"/>
          <w:color w:val="auto"/>
        </w:rPr>
        <w:t>employee director. Equity awards</w:t>
      </w:r>
    </w:p>
    <w:p>
      <w:pPr>
        <w:spacing w:after="0" w:line="203" w:lineRule="exact"/>
        <w:rPr>
          <w:sz w:val="20"/>
          <w:szCs w:val="20"/>
          <w:color w:val="auto"/>
        </w:rPr>
      </w:pPr>
      <w:r>
        <w:rPr>
          <w:rFonts w:ascii="Arial" w:cs="Arial" w:eastAsia="Arial" w:hAnsi="Arial"/>
          <w:sz w:val="18"/>
          <w:szCs w:val="18"/>
          <w:color w:val="auto"/>
        </w:rPr>
        <w:t>granted or other compensation provided to a non</w:t>
      </w:r>
      <w:r>
        <w:rPr>
          <w:rFonts w:ascii="MS PGothic" w:cs="MS PGothic" w:eastAsia="MS PGothic" w:hAnsi="MS PGothic"/>
          <w:sz w:val="18"/>
          <w:szCs w:val="18"/>
          <w:color w:val="auto"/>
        </w:rPr>
        <w:t>‑</w:t>
      </w:r>
      <w:r>
        <w:rPr>
          <w:rFonts w:ascii="Arial" w:cs="Arial" w:eastAsia="Arial" w:hAnsi="Arial"/>
          <w:sz w:val="18"/>
          <w:szCs w:val="18"/>
          <w:color w:val="auto"/>
        </w:rPr>
        <w:t>employee director while he or she was an employee or consultant (other than a</w:t>
      </w:r>
    </w:p>
    <w:p>
      <w:pPr>
        <w:spacing w:after="0" w:line="203"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employee director), or granted or provided prior to the effective date of the registration statement relating to our initial public offering, do</w:t>
      </w:r>
    </w:p>
    <w:p>
      <w:pPr>
        <w:spacing w:after="0"/>
        <w:rPr>
          <w:sz w:val="20"/>
          <w:szCs w:val="20"/>
          <w:color w:val="auto"/>
        </w:rPr>
      </w:pPr>
      <w:r>
        <w:rPr>
          <w:rFonts w:ascii="Arial" w:cs="Arial" w:eastAsia="Arial" w:hAnsi="Arial"/>
          <w:sz w:val="18"/>
          <w:szCs w:val="18"/>
          <w:color w:val="auto"/>
        </w:rPr>
        <w:t>not count toward this annual limit.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06" w:lineRule="exact"/>
        <w:rPr>
          <w:sz w:val="20"/>
          <w:szCs w:val="20"/>
          <w:color w:val="auto"/>
        </w:rPr>
      </w:pPr>
    </w:p>
    <w:p>
      <w:pPr>
        <w:ind w:right="140" w:firstLine="576"/>
        <w:spacing w:after="0" w:line="255" w:lineRule="auto"/>
        <w:rPr>
          <w:sz w:val="20"/>
          <w:szCs w:val="20"/>
          <w:color w:val="auto"/>
        </w:rPr>
      </w:pPr>
      <w:r>
        <w:rPr>
          <w:rFonts w:ascii="Arial" w:cs="Arial" w:eastAsia="Arial" w:hAnsi="Arial"/>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on the investor section of our website.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6" w:lineRule="exact"/>
        <w:rPr>
          <w:sz w:val="20"/>
          <w:szCs w:val="20"/>
          <w:color w:val="auto"/>
        </w:rPr>
      </w:pPr>
    </w:p>
    <w:p>
      <w:pPr>
        <w:ind w:right="160" w:firstLine="576"/>
        <w:spacing w:after="0" w:line="245" w:lineRule="auto"/>
        <w:rPr>
          <w:sz w:val="20"/>
          <w:szCs w:val="20"/>
          <w:color w:val="auto"/>
        </w:rPr>
      </w:pPr>
      <w:r>
        <w:rPr>
          <w:rFonts w:ascii="Arial" w:cs="Arial" w:eastAsia="Arial" w:hAnsi="Arial"/>
          <w:sz w:val="18"/>
          <w:szCs w:val="18"/>
          <w:color w:val="auto"/>
        </w:rPr>
        <w:t>The members of our compensation committee are Dr. Yamada and Messrs. Edelman and Johnson. None of the members of our compensation committee is an officer or employee of our company. None of our executive officers currently serves, or in the past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106"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Our certificate of incorporation and bylaws provide for the indemnification of our directors and officers to the fullest extent permitted under the Delaware General Corporation Law. In addition, our certificate of incorporation provides that our directors shall not be personally liable to us or our stockholders for monetary damages for breach of fiduciary duty as a director and that if the Delaware General Corporation Law is amended to authorize corporate action further limiting the personal liability of directors, then the liability of our directors shall be limited to the fullest extent permitted by the Delaware General Corporation Law, as so amended.</w:t>
      </w:r>
    </w:p>
    <w:p>
      <w:pPr>
        <w:spacing w:after="0" w:line="172" w:lineRule="exact"/>
        <w:rPr>
          <w:sz w:val="20"/>
          <w:szCs w:val="20"/>
          <w:color w:val="auto"/>
        </w:rPr>
      </w:pPr>
    </w:p>
    <w:p>
      <w:pPr>
        <w:ind w:right="120" w:firstLine="576"/>
        <w:spacing w:after="0" w:line="241" w:lineRule="auto"/>
        <w:rPr>
          <w:sz w:val="20"/>
          <w:szCs w:val="20"/>
          <w:color w:val="auto"/>
        </w:rPr>
      </w:pPr>
      <w:r>
        <w:rPr>
          <w:rFonts w:ascii="Arial" w:cs="Arial" w:eastAsia="Arial" w:hAnsi="Arial"/>
          <w:sz w:val="18"/>
          <w:szCs w:val="18"/>
          <w:color w:val="auto"/>
        </w:rPr>
        <w:t>As permitted by the Delaware General Corporation Law, we have entered into separate indemnification agreements with each of our directors and certain of our officers that require us, among other things, to indemnify them against certain liabilities which may arise by reason of their status as directors or officers. We expect to obtain and maintain insurance policies under which our directors and officers are insured, within the limits and subject to the limitations of those policies, against certain expenses in connection with the defense of, and certain liabilities that might be imposed as a result of, actions, suits or proceedings to which they are parties by reason of being or having been directors or officers. The coverage provided by these policies may apply whether or not we would have the power to indemnify such person against such liability under the provisions of the Delaware General Corporation Law.</w:t>
      </w:r>
    </w:p>
    <w:p>
      <w:pPr>
        <w:spacing w:after="0" w:line="179" w:lineRule="exact"/>
        <w:rPr>
          <w:sz w:val="20"/>
          <w:szCs w:val="20"/>
          <w:color w:val="auto"/>
        </w:rPr>
      </w:pPr>
    </w:p>
    <w:p>
      <w:pPr>
        <w:jc w:val="both"/>
        <w:ind w:right="200" w:firstLine="576"/>
        <w:spacing w:after="0" w:line="255" w:lineRule="auto"/>
        <w:rPr>
          <w:sz w:val="20"/>
          <w:szCs w:val="20"/>
          <w:color w:val="auto"/>
        </w:rPr>
      </w:pPr>
      <w:r>
        <w:rPr>
          <w:rFonts w:ascii="Arial" w:cs="Arial" w:eastAsia="Arial" w:hAnsi="Arial"/>
          <w:sz w:val="18"/>
          <w:szCs w:val="18"/>
          <w:color w:val="auto"/>
        </w:rPr>
        <w:t>We believe that these provisions and agreements are necessary to attract and retain qualified persons as our officers and directors. At present, there is no pending litigation or proceeding involving our directors or officers for whom indemnification is required or permitted, and we are not aware of any threatened litigation or proceeding that may result in a claim for indemnification.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14" w:lineRule="exact"/>
        <w:rPr>
          <w:sz w:val="20"/>
          <w:szCs w:val="20"/>
          <w:color w:val="auto"/>
        </w:rPr>
      </w:pPr>
    </w:p>
    <w:p>
      <w:pPr>
        <w:ind w:right="140" w:firstLine="576"/>
        <w:spacing w:after="0" w:line="255" w:lineRule="auto"/>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subsection titled “— 2019 – 2020 Summary Compensation Table” below. For 2020, our “named executive officers” and their positions were as follows:</w:t>
      </w:r>
    </w:p>
    <w:p>
      <w:pPr>
        <w:spacing w:after="0" w:line="56" w:lineRule="exact"/>
        <w:rPr>
          <w:sz w:val="20"/>
          <w:szCs w:val="20"/>
          <w:color w:val="auto"/>
        </w:rPr>
      </w:pPr>
    </w:p>
    <w:p>
      <w:pPr>
        <w:ind w:left="1300" w:hanging="442"/>
        <w:spacing w:after="0"/>
        <w:tabs>
          <w:tab w:leader="none" w:pos="1300" w:val="left"/>
        </w:tabs>
        <w:numPr>
          <w:ilvl w:val="0"/>
          <w:numId w:val="95"/>
        </w:numPr>
        <w:rPr>
          <w:rFonts w:ascii="Times New Roman" w:cs="Times New Roman" w:eastAsia="Times New Roman" w:hAnsi="Times New Roman"/>
          <w:sz w:val="18"/>
          <w:szCs w:val="18"/>
          <w:color w:val="auto"/>
        </w:rPr>
      </w:pPr>
      <w:r>
        <w:rPr>
          <w:rFonts w:ascii="Arial" w:cs="Arial" w:eastAsia="Arial" w:hAnsi="Arial"/>
          <w:sz w:val="18"/>
          <w:szCs w:val="18"/>
          <w:color w:val="auto"/>
        </w:rPr>
        <w:t>Leen Kawas, Ph.D., our president and chief executive officer;</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5"/>
        </w:numPr>
        <w:rPr>
          <w:rFonts w:ascii="Times New Roman" w:cs="Times New Roman" w:eastAsia="Times New Roman" w:hAnsi="Times New Roman"/>
          <w:sz w:val="18"/>
          <w:szCs w:val="18"/>
          <w:color w:val="auto"/>
        </w:rPr>
      </w:pPr>
      <w:r>
        <w:rPr>
          <w:rFonts w:ascii="Arial" w:cs="Arial" w:eastAsia="Arial" w:hAnsi="Arial"/>
          <w:sz w:val="18"/>
          <w:szCs w:val="18"/>
          <w:color w:val="auto"/>
        </w:rPr>
        <w:t>Hans Moebius, M.D., Ph.D., our chief medical officer;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5"/>
        </w:numPr>
        <w:rPr>
          <w:rFonts w:ascii="Times New Roman" w:cs="Times New Roman" w:eastAsia="Times New Roman" w:hAnsi="Times New Roman"/>
          <w:sz w:val="18"/>
          <w:szCs w:val="18"/>
          <w:color w:val="auto"/>
        </w:rPr>
      </w:pPr>
      <w:r>
        <w:rPr>
          <w:rFonts w:ascii="Arial" w:cs="Arial" w:eastAsia="Arial" w:hAnsi="Arial"/>
          <w:sz w:val="18"/>
          <w:szCs w:val="18"/>
          <w:color w:val="auto"/>
        </w:rPr>
        <w:t>Glenna Mileson, our chief financial officer.</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 2020 Summary Compensation Table</w:t>
      </w:r>
    </w:p>
    <w:p>
      <w:pPr>
        <w:spacing w:after="0" w:line="106" w:lineRule="exact"/>
        <w:rPr>
          <w:sz w:val="20"/>
          <w:szCs w:val="20"/>
          <w:color w:val="auto"/>
        </w:rPr>
      </w:pPr>
    </w:p>
    <w:p>
      <w:pPr>
        <w:ind w:right="280" w:firstLine="576"/>
        <w:spacing w:after="0" w:line="276" w:lineRule="auto"/>
        <w:rPr>
          <w:sz w:val="20"/>
          <w:szCs w:val="20"/>
          <w:color w:val="auto"/>
        </w:rPr>
      </w:pPr>
      <w:r>
        <w:rPr>
          <w:rFonts w:ascii="Arial" w:cs="Arial" w:eastAsia="Arial" w:hAnsi="Arial"/>
          <w:sz w:val="18"/>
          <w:szCs w:val="18"/>
          <w:color w:val="auto"/>
        </w:rPr>
        <w:t>The following table represents information regarding the total compensation awarded to, earned by or paid to our named executive officers for the years ended December 31, 2020 and December 31,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Option</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All Other</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300"/>
              <w:spacing w:after="0"/>
              <w:rPr>
                <w:sz w:val="20"/>
                <w:szCs w:val="20"/>
                <w:color w:val="auto"/>
              </w:rPr>
            </w:pPr>
            <w:r>
              <w:rPr>
                <w:rFonts w:ascii="Arial" w:cs="Arial" w:eastAsia="Arial" w:hAnsi="Arial"/>
                <w:sz w:val="14"/>
                <w:szCs w:val="14"/>
                <w:b w:val="1"/>
                <w:bCs w:val="1"/>
                <w:color w:val="auto"/>
              </w:rPr>
              <w:t>Salary</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Awards</w:t>
            </w:r>
          </w:p>
        </w:tc>
        <w:tc>
          <w:tcPr>
            <w:tcW w:w="1300" w:type="dxa"/>
            <w:vAlign w:val="bottom"/>
            <w:gridSpan w:val="2"/>
          </w:tcPr>
          <w:p>
            <w:pPr>
              <w:ind w:left="420"/>
              <w:spacing w:after="0"/>
              <w:rPr>
                <w:sz w:val="20"/>
                <w:szCs w:val="20"/>
                <w:color w:val="auto"/>
              </w:rPr>
            </w:pPr>
            <w:r>
              <w:rPr>
                <w:rFonts w:ascii="Arial" w:cs="Arial" w:eastAsia="Arial" w:hAnsi="Arial"/>
                <w:sz w:val="14"/>
                <w:szCs w:val="14"/>
                <w:b w:val="1"/>
                <w:bCs w:val="1"/>
                <w:color w:val="auto"/>
              </w:rPr>
              <w:t>Bonus</w:t>
            </w:r>
          </w:p>
        </w:tc>
        <w:tc>
          <w:tcPr>
            <w:tcW w:w="13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Compensation</w:t>
            </w:r>
          </w:p>
        </w:tc>
        <w:tc>
          <w:tcPr>
            <w:tcW w:w="1300" w:type="dxa"/>
            <w:vAlign w:val="bottom"/>
            <w:gridSpan w:val="2"/>
          </w:tcPr>
          <w:p>
            <w:pPr>
              <w:ind w:lef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7"/>
        </w:trPr>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Borders>
              <w:bottom w:val="single" w:sz="8" w:color="CFF0FC"/>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12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w:t>
            </w:r>
          </w:p>
        </w:tc>
        <w:tc>
          <w:tcPr>
            <w:tcW w:w="100" w:type="dxa"/>
            <w:vAlign w:val="bottom"/>
            <w:tcBorders>
              <w:bottom w:val="single" w:sz="8" w:color="CFF0FC"/>
            </w:tcBorders>
          </w:tcPr>
          <w:p>
            <w:pPr>
              <w:spacing w:after="0"/>
              <w:rPr>
                <w:sz w:val="15"/>
                <w:szCs w:val="15"/>
                <w:color w:val="auto"/>
              </w:rPr>
            </w:pPr>
          </w:p>
        </w:tc>
        <w:tc>
          <w:tcPr>
            <w:tcW w:w="11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($)(3)</w:t>
            </w:r>
          </w:p>
        </w:tc>
        <w:tc>
          <w:tcPr>
            <w:tcW w:w="120" w:type="dxa"/>
            <w:vAlign w:val="bottom"/>
            <w:tcBorders>
              <w:bottom w:val="single" w:sz="8" w:color="CFF0FC"/>
            </w:tcBorders>
          </w:tcPr>
          <w:p>
            <w:pPr>
              <w:spacing w:after="0"/>
              <w:rPr>
                <w:sz w:val="15"/>
                <w:szCs w:val="15"/>
                <w:color w:val="auto"/>
              </w:rPr>
            </w:pPr>
          </w:p>
        </w:tc>
        <w:tc>
          <w:tcPr>
            <w:tcW w:w="118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FF0FC"/>
            </w:tcBorders>
          </w:tcPr>
          <w:p>
            <w:pPr>
              <w:spacing w:after="0"/>
              <w:rPr>
                <w:sz w:val="15"/>
                <w:szCs w:val="15"/>
                <w:color w:val="auto"/>
              </w:rPr>
            </w:pPr>
          </w:p>
        </w:tc>
        <w:tc>
          <w:tcPr>
            <w:tcW w:w="12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Leen Kawas, Ph.D., President</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2020</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349,372</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642,570</w:t>
            </w: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357,100</w:t>
            </w:r>
            <w:r>
              <w:rPr>
                <w:rFonts w:ascii="Arial" w:cs="Arial" w:eastAsia="Arial" w:hAnsi="Arial"/>
                <w:sz w:val="15"/>
                <w:szCs w:val="15"/>
                <w:color w:val="auto"/>
              </w:rPr>
              <w:t>(3)</w:t>
            </w: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1,349,042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ind w:left="160"/>
              <w:spacing w:after="0"/>
              <w:rPr>
                <w:sz w:val="20"/>
                <w:szCs w:val="20"/>
                <w:color w:val="auto"/>
              </w:rPr>
            </w:pPr>
            <w:r>
              <w:rPr>
                <w:rFonts w:ascii="Arial" w:cs="Arial" w:eastAsia="Arial" w:hAnsi="Arial"/>
                <w:sz w:val="18"/>
                <w:szCs w:val="18"/>
                <w:color w:val="auto"/>
              </w:rPr>
              <w:t>and Chief Executive Officer</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2019</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284,999</w:t>
            </w:r>
          </w:p>
        </w:tc>
        <w:tc>
          <w:tcPr>
            <w:tcW w:w="22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2,016</w:t>
            </w:r>
            <w:r>
              <w:rPr>
                <w:rFonts w:ascii="Arial" w:cs="Arial" w:eastAsia="Arial" w:hAnsi="Arial"/>
                <w:sz w:val="15"/>
                <w:szCs w:val="15"/>
                <w:color w:val="auto"/>
              </w:rPr>
              <w:t>(6)</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287,015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3580" w:type="dxa"/>
            <w:vAlign w:val="bottom"/>
            <w:gridSpan w:val="2"/>
            <w:shd w:val="clear" w:color="auto" w:fill="CFF0FC"/>
          </w:tcPr>
          <w:p>
            <w:pPr>
              <w:spacing w:after="0" w:line="193" w:lineRule="exact"/>
              <w:rPr>
                <w:sz w:val="20"/>
                <w:szCs w:val="20"/>
                <w:color w:val="auto"/>
              </w:rPr>
            </w:pPr>
            <w:r>
              <w:rPr>
                <w:rFonts w:ascii="Arial" w:cs="Arial" w:eastAsia="Arial" w:hAnsi="Arial"/>
                <w:sz w:val="18"/>
                <w:szCs w:val="18"/>
                <w:color w:val="auto"/>
              </w:rPr>
              <w:t>Hans Moebius, M.D., Ph.D.,</w:t>
            </w:r>
          </w:p>
        </w:tc>
        <w:tc>
          <w:tcPr>
            <w:tcW w:w="1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218,859</w:t>
            </w:r>
            <w:r>
              <w:rPr>
                <w:rFonts w:ascii="Arial" w:cs="Arial" w:eastAsia="Arial" w:hAnsi="Arial"/>
                <w:sz w:val="15"/>
                <w:szCs w:val="15"/>
                <w:color w:val="auto"/>
              </w:rPr>
              <w:t>(1)</w:t>
            </w: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190,220</w:t>
            </w:r>
            <w:r>
              <w:rPr>
                <w:rFonts w:ascii="Arial" w:cs="Arial" w:eastAsia="Arial" w:hAnsi="Arial"/>
                <w:sz w:val="15"/>
                <w:szCs w:val="15"/>
                <w:color w:val="auto"/>
              </w:rPr>
              <w:t>(4)</w:t>
            </w:r>
          </w:p>
        </w:tc>
        <w:tc>
          <w:tcPr>
            <w:tcW w:w="120" w:type="dxa"/>
            <w:vAlign w:val="bottom"/>
            <w:shd w:val="clear" w:color="auto" w:fill="CFF0FC"/>
          </w:tcPr>
          <w:p>
            <w:pPr>
              <w:spacing w:after="0"/>
              <w:rPr>
                <w:sz w:val="16"/>
                <w:szCs w:val="16"/>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15,979</w:t>
            </w:r>
            <w:r>
              <w:rPr>
                <w:rFonts w:ascii="Arial" w:cs="Arial" w:eastAsia="Arial" w:hAnsi="Arial"/>
                <w:sz w:val="15"/>
                <w:szCs w:val="15"/>
                <w:color w:val="auto"/>
              </w:rPr>
              <w:t>(7)</w:t>
            </w: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5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Chief Medical Officer</w:t>
            </w: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2020</w:t>
            </w:r>
          </w:p>
        </w:tc>
        <w:tc>
          <w:tcPr>
            <w:tcW w:w="120" w:type="dxa"/>
            <w:vAlign w:val="bottom"/>
            <w:shd w:val="clear" w:color="auto" w:fill="CFF0FC"/>
          </w:tcPr>
          <w:p>
            <w:pPr>
              <w:spacing w:after="0"/>
              <w:rPr>
                <w:sz w:val="19"/>
                <w:szCs w:val="19"/>
                <w:color w:val="auto"/>
              </w:rPr>
            </w:pPr>
          </w:p>
        </w:tc>
        <w:tc>
          <w:tcPr>
            <w:tcW w:w="106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593,430</w:t>
            </w:r>
          </w:p>
        </w:tc>
        <w:tc>
          <w:tcPr>
            <w:tcW w:w="100" w:type="dxa"/>
            <w:vAlign w:val="bottom"/>
            <w:shd w:val="clear" w:color="auto" w:fill="CFF0FC"/>
          </w:tcPr>
          <w:p>
            <w:pPr>
              <w:spacing w:after="0"/>
              <w:rPr>
                <w:sz w:val="19"/>
                <w:szCs w:val="19"/>
                <w:color w:val="auto"/>
              </w:rPr>
            </w:pPr>
          </w:p>
        </w:tc>
        <w:tc>
          <w:tcPr>
            <w:tcW w:w="11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1,018,488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580" w:type="dxa"/>
            <w:vAlign w:val="bottom"/>
            <w:gridSpan w:val="2"/>
          </w:tcPr>
          <w:p>
            <w:pPr>
              <w:spacing w:after="0" w:line="193" w:lineRule="exact"/>
              <w:rPr>
                <w:sz w:val="20"/>
                <w:szCs w:val="20"/>
                <w:color w:val="auto"/>
              </w:rPr>
            </w:pPr>
            <w:r>
              <w:rPr>
                <w:rFonts w:ascii="Arial" w:cs="Arial" w:eastAsia="Arial" w:hAnsi="Arial"/>
                <w:sz w:val="18"/>
                <w:szCs w:val="18"/>
                <w:color w:val="auto"/>
              </w:rPr>
              <w:t>Glenna Mileson,</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218,200</w:t>
            </w:r>
            <w:r>
              <w:rPr>
                <w:rFonts w:ascii="Arial" w:cs="Arial" w:eastAsia="Arial" w:hAnsi="Arial"/>
                <w:sz w:val="15"/>
                <w:szCs w:val="15"/>
                <w:color w:val="auto"/>
              </w:rPr>
              <w:t>(5)</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58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199,445</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291,375</w:t>
            </w:r>
          </w:p>
        </w:tc>
        <w:tc>
          <w:tcPr>
            <w:tcW w:w="10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709,020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34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138" w:lineRule="exact"/>
        <w:rPr>
          <w:sz w:val="20"/>
          <w:szCs w:val="20"/>
          <w:color w:val="auto"/>
        </w:rPr>
      </w:pPr>
    </w:p>
    <w:p>
      <w:pPr>
        <w:ind w:left="480" w:right="260" w:hanging="472"/>
        <w:spacing w:after="0" w:line="271" w:lineRule="auto"/>
        <w:tabs>
          <w:tab w:leader="none" w:pos="4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Represents $121,724 of consulting fees earned and paid prior to Dr. Moebius joining us as chief medical officer in September 2020 and salary of $97,135 earned and paid following his hiring.</w:t>
      </w:r>
    </w:p>
    <w:p>
      <w:pPr>
        <w:ind w:left="480" w:right="40" w:hanging="472"/>
        <w:spacing w:after="0" w:line="256" w:lineRule="auto"/>
        <w:tabs>
          <w:tab w:leader="none" w:pos="4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In accordance with SEC rules, amounts in this column reflect the aggregate grant date fair value of stock options granted during 2019 and 2020 computed in accordance with Accounting Standards Codification (ASC) Topic 718, rather than the amounts paid or realized by the named executive officer. We provide information regarding the assumptions used to calculate the value of all stock options made to our named executive officers in Note 12 to our audited financial statements included elsewhere in this prospectus.</w:t>
      </w:r>
    </w:p>
    <w:p>
      <w:pPr>
        <w:spacing w:after="0" w:line="1" w:lineRule="exact"/>
        <w:rPr>
          <w:rFonts w:ascii="Arial" w:cs="Arial" w:eastAsia="Arial" w:hAnsi="Arial"/>
          <w:sz w:val="14"/>
          <w:szCs w:val="14"/>
          <w:color w:val="auto"/>
        </w:rPr>
      </w:pPr>
    </w:p>
    <w:p>
      <w:pPr>
        <w:ind w:left="480" w:right="240" w:hanging="472"/>
        <w:spacing w:after="0" w:line="261" w:lineRule="auto"/>
        <w:tabs>
          <w:tab w:leader="none" w:pos="4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Represents (i) a discretionary bonus payment of $357,000 in recognition of Company and individual performance in the year ended December 31, 2020, including the advancement of our product candidates, completion of certain financings and other corporate achievements, and (ii) a $100 payment made in consideration of Dr. Kawas’s entry into a non-disclosure and confidentiality agreement with us in 2020.</w:t>
      </w:r>
    </w:p>
    <w:p>
      <w:pPr>
        <w:spacing w:after="0" w:line="1" w:lineRule="exact"/>
        <w:rPr>
          <w:rFonts w:ascii="Arial" w:cs="Arial" w:eastAsia="Arial" w:hAnsi="Arial"/>
          <w:sz w:val="14"/>
          <w:szCs w:val="14"/>
          <w:color w:val="auto"/>
        </w:rPr>
      </w:pPr>
    </w:p>
    <w:p>
      <w:pPr>
        <w:ind w:left="480" w:right="240" w:hanging="472"/>
        <w:spacing w:after="0" w:line="261" w:lineRule="auto"/>
        <w:tabs>
          <w:tab w:leader="none" w:pos="4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Represents (i) a discretionary bonus payment of $190,120 in recognition of Company and individual performance in the year ended December 31, 2020, including the advancement of our product candidates, completion of certain financings and other corporate achievements, and (ii) a $100 payment made in consideration of Dr. Moebius’s entry into a non-disclosure and confidentiality agreement with us in 2020.</w:t>
      </w:r>
    </w:p>
    <w:p>
      <w:pPr>
        <w:spacing w:after="0" w:line="1" w:lineRule="exact"/>
        <w:rPr>
          <w:rFonts w:ascii="Arial" w:cs="Arial" w:eastAsia="Arial" w:hAnsi="Arial"/>
          <w:sz w:val="14"/>
          <w:szCs w:val="14"/>
          <w:color w:val="auto"/>
        </w:rPr>
      </w:pPr>
    </w:p>
    <w:p>
      <w:pPr>
        <w:ind w:left="480" w:right="160" w:hanging="472"/>
        <w:spacing w:after="0" w:line="256" w:lineRule="auto"/>
        <w:tabs>
          <w:tab w:leader="none" w:pos="4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Represents (i) a discretionary bonus payment of $215,600 in recognition of Company and individual performance in the year ended December 31, 2020, including the advancement of our product candidates, completion of certain financings and other corporate achievements, (ii) a bonus payment of $2,500 paid in connection with the closing of our Series B financing in the second quarter of 2020, and (iii) a $100 payment made in consideration of Ms. Mileson’s entry into a non-disclosure and confidentiality agreement with us in 2020.</w:t>
      </w:r>
    </w:p>
    <w:p>
      <w:pPr>
        <w:spacing w:after="0" w:line="1" w:lineRule="exact"/>
        <w:rPr>
          <w:rFonts w:ascii="Arial" w:cs="Arial" w:eastAsia="Arial" w:hAnsi="Arial"/>
          <w:sz w:val="14"/>
          <w:szCs w:val="14"/>
          <w:color w:val="auto"/>
        </w:rPr>
      </w:pPr>
    </w:p>
    <w:p>
      <w:pPr>
        <w:ind w:left="480" w:hanging="472"/>
        <w:spacing w:after="0"/>
        <w:tabs>
          <w:tab w:leader="none" w:pos="4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Represents reimbursements paid to Dr. Kawas to cover parking fees.</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96"/>
        </w:numPr>
        <w:rPr>
          <w:rFonts w:ascii="Arial" w:cs="Arial" w:eastAsia="Arial" w:hAnsi="Arial"/>
          <w:sz w:val="14"/>
          <w:szCs w:val="14"/>
          <w:color w:val="auto"/>
        </w:rPr>
      </w:pPr>
      <w:r>
        <w:rPr>
          <w:rFonts w:ascii="Arial" w:cs="Arial" w:eastAsia="Arial" w:hAnsi="Arial"/>
          <w:sz w:val="14"/>
          <w:szCs w:val="14"/>
          <w:color w:val="auto"/>
        </w:rPr>
        <w:t>Represents monthly stipends paid to Dr. Moebius to defray the costs associated with mandatory and elective benefits contributions in Switzerland, where he is located.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color w:val="auto"/>
        </w:rPr>
        <w:t>Outstanding Equity Awards at December 31, 2020</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shows grants of stock options to each of our named executive officers outstanding at December 31,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Vesting</w:t>
            </w:r>
          </w:p>
        </w:tc>
        <w:tc>
          <w:tcPr>
            <w:tcW w:w="1460" w:type="dxa"/>
            <w:vAlign w:val="bottom"/>
            <w:tcBorders>
              <w:bottom w:val="single" w:sz="8" w:color="auto"/>
            </w:tcBorders>
          </w:tcPr>
          <w:p>
            <w:pPr>
              <w:spacing w:after="0"/>
              <w:rPr>
                <w:sz w:val="15"/>
                <w:szCs w:val="15"/>
                <w:color w:val="auto"/>
              </w:rPr>
            </w:pPr>
          </w:p>
        </w:tc>
        <w:tc>
          <w:tcPr>
            <w:tcW w:w="392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Number of Securities Underlying Unexercised Options</w:t>
            </w: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gridSpan w:val="3"/>
          </w:tcPr>
          <w:p>
            <w:pPr>
              <w:jc w:val="center"/>
              <w:ind w:right="440"/>
              <w:spacing w:after="0" w:line="154" w:lineRule="exact"/>
              <w:rPr>
                <w:sz w:val="20"/>
                <w:szCs w:val="20"/>
                <w:color w:val="auto"/>
              </w:rPr>
            </w:pPr>
            <w:r>
              <w:rPr>
                <w:rFonts w:ascii="Arial" w:cs="Arial" w:eastAsia="Arial" w:hAnsi="Arial"/>
                <w:sz w:val="14"/>
                <w:szCs w:val="14"/>
                <w:b w:val="1"/>
                <w:bCs w:val="1"/>
                <w:color w:val="auto"/>
              </w:rPr>
              <w:t>Option Exercise</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Commencement</w:t>
            </w:r>
          </w:p>
        </w:tc>
        <w:tc>
          <w:tcPr>
            <w:tcW w:w="1460" w:type="dxa"/>
            <w:vAlign w:val="bottom"/>
          </w:tcPr>
          <w:p>
            <w:pPr>
              <w:jc w:val="right"/>
              <w:ind w:right="253"/>
              <w:spacing w:after="0"/>
              <w:rPr>
                <w:sz w:val="20"/>
                <w:szCs w:val="20"/>
                <w:color w:val="auto"/>
              </w:rPr>
            </w:pPr>
            <w:r>
              <w:rPr>
                <w:rFonts w:ascii="Arial" w:cs="Arial" w:eastAsia="Arial" w:hAnsi="Arial"/>
                <w:sz w:val="14"/>
                <w:szCs w:val="14"/>
                <w:b w:val="1"/>
                <w:bCs w:val="1"/>
                <w:color w:val="auto"/>
              </w:rPr>
              <w:t>Exercisable</w:t>
            </w:r>
          </w:p>
        </w:tc>
        <w:tc>
          <w:tcPr>
            <w:tcW w:w="280" w:type="dxa"/>
            <w:vAlign w:val="bottom"/>
          </w:tcPr>
          <w:p>
            <w:pPr>
              <w:spacing w:after="0"/>
              <w:rPr>
                <w:sz w:val="14"/>
                <w:szCs w:val="14"/>
                <w:color w:val="auto"/>
              </w:rPr>
            </w:pP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Unexercisable</w:t>
            </w:r>
          </w:p>
        </w:tc>
        <w:tc>
          <w:tcPr>
            <w:tcW w:w="19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Prices</w:t>
            </w:r>
          </w:p>
        </w:tc>
        <w:tc>
          <w:tcPr>
            <w:tcW w:w="1460" w:type="dxa"/>
            <w:vAlign w:val="bottom"/>
          </w:tcPr>
          <w:p>
            <w:pPr>
              <w:jc w:val="right"/>
              <w:ind w:right="493"/>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77"/>
        </w:trPr>
        <w:tc>
          <w:tcPr>
            <w:tcW w:w="2660" w:type="dxa"/>
            <w:vAlign w:val="bottom"/>
            <w:gridSpan w:val="2"/>
          </w:tcPr>
          <w:p>
            <w:pPr>
              <w:ind w:left="1040"/>
              <w:spacing w:after="0"/>
              <w:rPr>
                <w:sz w:val="20"/>
                <w:szCs w:val="20"/>
                <w:color w:val="auto"/>
              </w:rPr>
            </w:pPr>
            <w:r>
              <w:rPr>
                <w:rFonts w:ascii="Arial" w:cs="Arial" w:eastAsia="Arial" w:hAnsi="Arial"/>
                <w:sz w:val="14"/>
                <w:szCs w:val="14"/>
                <w:b w:val="1"/>
                <w:bCs w:val="1"/>
                <w:color w:val="auto"/>
              </w:rPr>
              <w:t>Name</w:t>
            </w:r>
          </w:p>
        </w:tc>
        <w:tc>
          <w:tcPr>
            <w:tcW w:w="1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Date</w:t>
            </w:r>
          </w:p>
        </w:tc>
        <w:tc>
          <w:tcPr>
            <w:tcW w:w="1460" w:type="dxa"/>
            <w:vAlign w:val="bottom"/>
          </w:tcPr>
          <w:p>
            <w:pPr>
              <w:jc w:val="right"/>
              <w:ind w:right="553"/>
              <w:spacing w:after="0"/>
              <w:rPr>
                <w:sz w:val="20"/>
                <w:szCs w:val="20"/>
                <w:color w:val="auto"/>
              </w:rPr>
            </w:pPr>
            <w:r>
              <w:rPr>
                <w:rFonts w:ascii="Arial" w:cs="Arial" w:eastAsia="Arial" w:hAnsi="Arial"/>
                <w:sz w:val="14"/>
                <w:szCs w:val="14"/>
                <w:b w:val="1"/>
                <w:bCs w:val="1"/>
                <w:color w:val="auto"/>
              </w:rPr>
              <w:t>(#)</w:t>
            </w:r>
          </w:p>
        </w:tc>
        <w:tc>
          <w:tcPr>
            <w:tcW w:w="1740" w:type="dxa"/>
            <w:vAlign w:val="bottom"/>
            <w:gridSpan w:val="2"/>
          </w:tcPr>
          <w:p>
            <w:pPr>
              <w:jc w:val="right"/>
              <w:ind w:right="554"/>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ind w:right="193"/>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209"/>
        </w:trPr>
        <w:tc>
          <w:tcPr>
            <w:tcW w:w="2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Leen Kawas, Ph.D.</w:t>
            </w:r>
          </w:p>
        </w:tc>
        <w:tc>
          <w:tcPr>
            <w:tcW w:w="16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1/20/2014</w:t>
            </w:r>
          </w:p>
        </w:tc>
        <w:tc>
          <w:tcPr>
            <w:tcW w:w="160" w:type="dxa"/>
            <w:vAlign w:val="bottom"/>
            <w:tcBorders>
              <w:top w:val="single" w:sz="8" w:color="CFF0FC"/>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25,220</w:t>
            </w:r>
          </w:p>
        </w:tc>
        <w:tc>
          <w:tcPr>
            <w:tcW w:w="280" w:type="dxa"/>
            <w:vAlign w:val="bottom"/>
            <w:tcBorders>
              <w:top w:val="single" w:sz="8" w:color="CFF0FC"/>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08/28/2024</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08/29/2014</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50,440</w:t>
            </w:r>
          </w:p>
        </w:tc>
        <w:tc>
          <w:tcPr>
            <w:tcW w:w="28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0.16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08/28/2024</w:t>
            </w:r>
          </w:p>
        </w:tc>
        <w:tc>
          <w:tcPr>
            <w:tcW w:w="0" w:type="dxa"/>
            <w:vAlign w:val="bottom"/>
          </w:tcPr>
          <w:p>
            <w:pPr>
              <w:spacing w:after="0"/>
              <w:rPr>
                <w:sz w:val="1"/>
                <w:szCs w:val="1"/>
                <w:color w:val="auto"/>
              </w:rPr>
            </w:pPr>
          </w:p>
        </w:tc>
      </w:tr>
      <w:tr>
        <w:trPr>
          <w:trHeight w:val="216"/>
        </w:trPr>
        <w:tc>
          <w:tcPr>
            <w:tcW w:w="2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10/24/2015</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151,320</w:t>
            </w:r>
          </w:p>
        </w:tc>
        <w:tc>
          <w:tcPr>
            <w:tcW w:w="28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10/23/2025</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12/01/2017</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63,050</w:t>
            </w:r>
          </w:p>
        </w:tc>
        <w:tc>
          <w:tcPr>
            <w:tcW w:w="28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01/21/2023</w:t>
            </w:r>
          </w:p>
        </w:tc>
        <w:tc>
          <w:tcPr>
            <w:tcW w:w="0" w:type="dxa"/>
            <w:vAlign w:val="bottom"/>
          </w:tcPr>
          <w:p>
            <w:pPr>
              <w:spacing w:after="0"/>
              <w:rPr>
                <w:sz w:val="1"/>
                <w:szCs w:val="1"/>
                <w:color w:val="auto"/>
              </w:rPr>
            </w:pPr>
          </w:p>
        </w:tc>
      </w:tr>
      <w:tr>
        <w:trPr>
          <w:trHeight w:val="243"/>
        </w:trPr>
        <w:tc>
          <w:tcPr>
            <w:tcW w:w="25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01/01/2019</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10,508</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27,017</w:t>
            </w:r>
            <w:r>
              <w:rPr>
                <w:rFonts w:ascii="Arial" w:cs="Arial" w:eastAsia="Arial" w:hAnsi="Arial"/>
                <w:sz w:val="15"/>
                <w:szCs w:val="15"/>
                <w:color w:val="auto"/>
              </w:rPr>
              <w:t>(3)</w:t>
            </w: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12/17/2023</w:t>
            </w: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08/26/2020</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209,956</w:t>
            </w:r>
            <w:r>
              <w:rPr>
                <w:rFonts w:ascii="Arial" w:cs="Arial" w:eastAsia="Arial" w:hAnsi="Arial"/>
                <w:sz w:val="15"/>
                <w:szCs w:val="15"/>
                <w:color w:val="auto"/>
              </w:rPr>
              <w:t>(1)</w:t>
            </w: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17.00</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09/16/2030</w:t>
            </w:r>
          </w:p>
        </w:tc>
        <w:tc>
          <w:tcPr>
            <w:tcW w:w="0" w:type="dxa"/>
            <w:vAlign w:val="bottom"/>
          </w:tcPr>
          <w:p>
            <w:pPr>
              <w:spacing w:after="0"/>
              <w:rPr>
                <w:sz w:val="1"/>
                <w:szCs w:val="1"/>
                <w:color w:val="auto"/>
              </w:rPr>
            </w:pPr>
          </w:p>
        </w:tc>
      </w:tr>
      <w:tr>
        <w:trPr>
          <w:trHeight w:val="193"/>
        </w:trPr>
        <w:tc>
          <w:tcPr>
            <w:tcW w:w="2660" w:type="dxa"/>
            <w:vAlign w:val="bottom"/>
            <w:gridSpan w:val="2"/>
            <w:shd w:val="clear" w:color="auto" w:fill="CFF0FC"/>
          </w:tcPr>
          <w:p>
            <w:pPr>
              <w:spacing w:after="0" w:line="193" w:lineRule="exact"/>
              <w:rPr>
                <w:sz w:val="20"/>
                <w:szCs w:val="20"/>
                <w:color w:val="auto"/>
              </w:rPr>
            </w:pPr>
            <w:r>
              <w:rPr>
                <w:rFonts w:ascii="Arial" w:cs="Arial" w:eastAsia="Arial" w:hAnsi="Arial"/>
                <w:sz w:val="18"/>
                <w:szCs w:val="18"/>
                <w:color w:val="auto"/>
              </w:rPr>
              <w:t>Hans Moebius, M.D.,</w:t>
            </w:r>
          </w:p>
        </w:tc>
        <w:tc>
          <w:tcPr>
            <w:tcW w:w="15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7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6,305</w:t>
            </w:r>
            <w:r>
              <w:rPr>
                <w:rFonts w:ascii="Arial" w:cs="Arial" w:eastAsia="Arial" w:hAnsi="Arial"/>
                <w:sz w:val="15"/>
                <w:szCs w:val="15"/>
                <w:color w:val="auto"/>
              </w:rPr>
              <w:t>(2)</w:t>
            </w:r>
          </w:p>
        </w:tc>
        <w:tc>
          <w:tcPr>
            <w:tcW w:w="28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6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Ph.D.</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04/01/2019</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6,305</w:t>
            </w:r>
          </w:p>
        </w:tc>
        <w:tc>
          <w:tcPr>
            <w:tcW w:w="1740" w:type="dxa"/>
            <w:vAlign w:val="bottom"/>
            <w:gridSpan w:val="2"/>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06/25/2029</w:t>
            </w: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06/01/2019</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7,881</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23,644</w:t>
            </w:r>
            <w:r>
              <w:rPr>
                <w:rFonts w:ascii="Arial" w:cs="Arial" w:eastAsia="Arial" w:hAnsi="Arial"/>
                <w:sz w:val="15"/>
                <w:szCs w:val="15"/>
                <w:color w:val="auto"/>
              </w:rPr>
              <w:t>(1)</w:t>
            </w: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08/14/2029</w:t>
            </w:r>
          </w:p>
        </w:tc>
        <w:tc>
          <w:tcPr>
            <w:tcW w:w="0" w:type="dxa"/>
            <w:vAlign w:val="bottom"/>
          </w:tcPr>
          <w:p>
            <w:pPr>
              <w:spacing w:after="0"/>
              <w:rPr>
                <w:sz w:val="1"/>
                <w:szCs w:val="1"/>
                <w:color w:val="auto"/>
              </w:rPr>
            </w:pPr>
          </w:p>
        </w:tc>
      </w:tr>
      <w:tr>
        <w:trPr>
          <w:trHeight w:val="243"/>
        </w:trPr>
        <w:tc>
          <w:tcPr>
            <w:tcW w:w="25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08/26/2020</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145,015</w:t>
            </w:r>
            <w:r>
              <w:rPr>
                <w:rFonts w:ascii="Arial" w:cs="Arial" w:eastAsia="Arial" w:hAnsi="Arial"/>
                <w:sz w:val="15"/>
                <w:szCs w:val="15"/>
                <w:color w:val="auto"/>
              </w:rPr>
              <w:t>(1)</w:t>
            </w: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09/16/2030</w:t>
            </w:r>
          </w:p>
        </w:tc>
        <w:tc>
          <w:tcPr>
            <w:tcW w:w="0" w:type="dxa"/>
            <w:vAlign w:val="bottom"/>
          </w:tcPr>
          <w:p>
            <w:pPr>
              <w:spacing w:after="0"/>
              <w:rPr>
                <w:sz w:val="1"/>
                <w:szCs w:val="1"/>
                <w:color w:val="auto"/>
              </w:rPr>
            </w:pPr>
          </w:p>
        </w:tc>
      </w:tr>
      <w:tr>
        <w:trPr>
          <w:trHeight w:val="243"/>
        </w:trPr>
        <w:tc>
          <w:tcPr>
            <w:tcW w:w="2660" w:type="dxa"/>
            <w:vAlign w:val="bottom"/>
            <w:gridSpan w:val="2"/>
          </w:tcPr>
          <w:p>
            <w:pPr>
              <w:spacing w:after="0"/>
              <w:rPr>
                <w:sz w:val="20"/>
                <w:szCs w:val="20"/>
                <w:color w:val="auto"/>
              </w:rPr>
            </w:pPr>
            <w:r>
              <w:rPr>
                <w:rFonts w:ascii="Arial" w:cs="Arial" w:eastAsia="Arial" w:hAnsi="Arial"/>
                <w:sz w:val="18"/>
                <w:szCs w:val="18"/>
                <w:color w:val="auto"/>
              </w:rPr>
              <w:t>Glenna Mileson</w:t>
            </w:r>
          </w:p>
        </w:tc>
        <w:tc>
          <w:tcPr>
            <w:tcW w:w="1580" w:type="dxa"/>
            <w:vAlign w:val="bottom"/>
          </w:tcPr>
          <w:p>
            <w:pPr>
              <w:jc w:val="right"/>
              <w:spacing w:after="0"/>
              <w:rPr>
                <w:sz w:val="20"/>
                <w:szCs w:val="20"/>
                <w:color w:val="auto"/>
              </w:rPr>
            </w:pPr>
            <w:r>
              <w:rPr>
                <w:rFonts w:ascii="Arial" w:cs="Arial" w:eastAsia="Arial" w:hAnsi="Arial"/>
                <w:sz w:val="18"/>
                <w:szCs w:val="18"/>
                <w:color w:val="auto"/>
              </w:rPr>
              <w:t>01/01/2019</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12,610</w:t>
            </w:r>
            <w:r>
              <w:rPr>
                <w:rFonts w:ascii="Arial" w:cs="Arial" w:eastAsia="Arial" w:hAnsi="Arial"/>
                <w:sz w:val="15"/>
                <w:szCs w:val="15"/>
                <w:color w:val="auto"/>
              </w:rPr>
              <w:t>(3)</w:t>
            </w: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12/17/2028</w:t>
            </w:r>
          </w:p>
        </w:tc>
        <w:tc>
          <w:tcPr>
            <w:tcW w:w="0" w:type="dxa"/>
            <w:vAlign w:val="bottom"/>
          </w:tcPr>
          <w:p>
            <w:pPr>
              <w:spacing w:after="0"/>
              <w:rPr>
                <w:sz w:val="1"/>
                <w:szCs w:val="1"/>
                <w:color w:val="auto"/>
              </w:rPr>
            </w:pPr>
          </w:p>
        </w:tc>
      </w:tr>
      <w:tr>
        <w:trPr>
          <w:trHeight w:val="243"/>
        </w:trPr>
        <w:tc>
          <w:tcPr>
            <w:tcW w:w="25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08/26/2020</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95,205</w:t>
            </w:r>
            <w:r>
              <w:rPr>
                <w:rFonts w:ascii="Arial" w:cs="Arial" w:eastAsia="Arial" w:hAnsi="Arial"/>
                <w:sz w:val="15"/>
                <w:szCs w:val="15"/>
                <w:color w:val="auto"/>
              </w:rPr>
              <w:t>(1)</w:t>
            </w: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09/16/2030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34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156" w:lineRule="exact"/>
        <w:rPr>
          <w:sz w:val="20"/>
          <w:szCs w:val="20"/>
          <w:color w:val="auto"/>
        </w:rPr>
      </w:pPr>
    </w:p>
    <w:p>
      <w:pPr>
        <w:ind w:left="480" w:right="100" w:hanging="472"/>
        <w:spacing w:after="0" w:line="271" w:lineRule="auto"/>
        <w:tabs>
          <w:tab w:leader="none" w:pos="4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Stock option vests over four years, with 1/4 vesting on each anniversary of the vesting commencement date, subject to continued service with us through the applicable vesting date.</w:t>
      </w:r>
    </w:p>
    <w:p>
      <w:pPr>
        <w:ind w:left="480" w:right="140" w:hanging="472"/>
        <w:spacing w:after="0" w:line="271" w:lineRule="auto"/>
        <w:tabs>
          <w:tab w:leader="none" w:pos="4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Stock option vests over two years, with 1/2 vesting on each anniversary of the vesting commencement date, subject to continued service with us through the applicable vesting date.</w:t>
      </w:r>
    </w:p>
    <w:p>
      <w:pPr>
        <w:ind w:left="480" w:right="20" w:hanging="472"/>
        <w:spacing w:after="0" w:line="266" w:lineRule="auto"/>
        <w:tabs>
          <w:tab w:leader="none" w:pos="4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Stock option vests over three years, with 1/3 vesting on each anniversary of the vesting commencement date, subject to continued service with us through the applicable vesting date. The stock option will accelerate vesting as to 100% of the unvested shares subject thereto upon the earlier of a change in control or a termination without “cause” and other than due to death or “disability” (as such terms are defined in our 2014 Equity Incentive Plan).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Arrangements</w:t>
      </w:r>
    </w:p>
    <w:p>
      <w:pPr>
        <w:spacing w:after="0" w:line="106" w:lineRule="exact"/>
        <w:rPr>
          <w:sz w:val="20"/>
          <w:szCs w:val="20"/>
          <w:color w:val="auto"/>
        </w:rPr>
      </w:pPr>
    </w:p>
    <w:p>
      <w:pPr>
        <w:ind w:right="20" w:firstLine="576"/>
        <w:spacing w:after="0" w:line="276" w:lineRule="auto"/>
        <w:rPr>
          <w:sz w:val="20"/>
          <w:szCs w:val="20"/>
          <w:color w:val="auto"/>
        </w:rPr>
      </w:pPr>
      <w:r>
        <w:rPr>
          <w:rFonts w:ascii="Arial" w:cs="Arial" w:eastAsia="Arial" w:hAnsi="Arial"/>
          <w:sz w:val="18"/>
          <w:szCs w:val="18"/>
          <w:color w:val="auto"/>
        </w:rPr>
        <w:t>Each of our named executive officers has executed our standard form of confidential information, invention assignment and arbitration agreement.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Leen Kawas</w:t>
      </w:r>
    </w:p>
    <w:p>
      <w:pPr>
        <w:spacing w:after="0" w:line="104" w:lineRule="exact"/>
        <w:rPr>
          <w:sz w:val="20"/>
          <w:szCs w:val="20"/>
          <w:color w:val="auto"/>
        </w:rPr>
      </w:pPr>
    </w:p>
    <w:p>
      <w:pPr>
        <w:ind w:right="40" w:firstLine="576"/>
        <w:spacing w:after="0" w:line="268" w:lineRule="auto"/>
        <w:rPr>
          <w:sz w:val="20"/>
          <w:szCs w:val="20"/>
          <w:color w:val="auto"/>
        </w:rPr>
      </w:pPr>
      <w:r>
        <w:rPr>
          <w:rFonts w:ascii="Arial" w:cs="Arial" w:eastAsia="Arial" w:hAnsi="Arial"/>
          <w:sz w:val="17"/>
          <w:szCs w:val="17"/>
          <w:color w:val="auto"/>
        </w:rPr>
        <w:t>In September 2020, we entered into a confirmatory employment letter with Dr. Kawas, our president and chief executive officer. The confirmatory employment letter has no specific term and provides that Dr. Kawas is an at-will employee and supersedes all prior employment agreements between Dr. Kawas and us. The confirmatory employment letter provides for an annual base salary of $510,000 effective upon our initial public offering and, for the 2020 fiscal year, an annual target cash incentive payment equal to 50% of her annual base salary.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Hans Moebius</w:t>
      </w:r>
    </w:p>
    <w:p>
      <w:pPr>
        <w:spacing w:after="0" w:line="104"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In September 2020, we entered into an employment letter agreement with Dr. Moebius, our chief medical officer. The employment agreement has no specific term and provides that Dr. Moebius is an at-will employee, as defined under applicable law, and supersedes any prior employment or other service agreements between Dr. Moebius and us. Dr. Moebius’ employment letter agreement provides for an annual base salary of $339,500 effective upon our initial public offering and, for the 2020 fiscal year, an annual target cash incentive payment equal to 40% of his annual base salary. In addition, Dr. Moebius will receive a monthly stipend of $4,625 to defray the costs associated with mandatory and elective benefits contributions in Switzerland, where he is located.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i w:val="1"/>
          <w:iCs w:val="1"/>
          <w:color w:val="auto"/>
        </w:rPr>
        <w:t>Glenna Mileson</w:t>
      </w:r>
    </w:p>
    <w:p>
      <w:pPr>
        <w:spacing w:after="0" w:line="104" w:lineRule="exact"/>
        <w:rPr>
          <w:sz w:val="20"/>
          <w:szCs w:val="20"/>
          <w:color w:val="auto"/>
        </w:rPr>
      </w:pPr>
    </w:p>
    <w:p>
      <w:pPr>
        <w:ind w:right="200" w:firstLine="569"/>
        <w:spacing w:after="0" w:line="248" w:lineRule="auto"/>
        <w:rPr>
          <w:sz w:val="20"/>
          <w:szCs w:val="20"/>
          <w:color w:val="auto"/>
        </w:rPr>
      </w:pPr>
      <w:r>
        <w:rPr>
          <w:rFonts w:ascii="Arial" w:cs="Arial" w:eastAsia="Arial" w:hAnsi="Arial"/>
          <w:sz w:val="18"/>
          <w:szCs w:val="18"/>
          <w:color w:val="auto"/>
        </w:rPr>
        <w:t>In September 2020, we entered into a confirmatory employment letter with Ms. Mileson, our chief financial officer. The confirmatory employment letter has no specific term and provides that Ms. Mileson is an at-will employee and supersedes all prior employment agreements between Ms. Mileson and us. The confirmatory offer letter provides for an annual base salary of $ 385,000 effective upon our initial public offering and, for the 2020 fiscal year, an annual target cash incentive payment equal to 40% of her annual base salary.</w:t>
      </w:r>
    </w:p>
    <w:p>
      <w:pPr>
        <w:spacing w:after="0" w:line="62" w:lineRule="exact"/>
        <w:rPr>
          <w:sz w:val="20"/>
          <w:szCs w:val="20"/>
          <w:color w:val="auto"/>
        </w:rPr>
      </w:pPr>
    </w:p>
    <w:p>
      <w:pPr>
        <w:ind w:right="220" w:firstLine="569"/>
        <w:spacing w:after="0" w:line="248" w:lineRule="auto"/>
        <w:rPr>
          <w:sz w:val="20"/>
          <w:szCs w:val="20"/>
          <w:color w:val="auto"/>
        </w:rPr>
      </w:pPr>
      <w:r>
        <w:rPr>
          <w:rFonts w:ascii="Arial" w:cs="Arial" w:eastAsia="Arial" w:hAnsi="Arial"/>
          <w:sz w:val="18"/>
          <w:szCs w:val="18"/>
          <w:color w:val="auto"/>
        </w:rPr>
        <w:t>The option agreement governing the terms of Ms. Mileson’s option award granted on December 18, 2018, under our 2014 Equity Incentive Plan, with a vesting commencement date of January 1, 2019, provides for 100% vesting of unvested shares subject to the option upon the earlier of a change in control or a termination of Ms. Mileson’s employment without “cause” and other than due to her death or “disability” (as such terms are defined in our 2014 Equity Incentive Plan).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and Severance Agreements</w:t>
      </w:r>
    </w:p>
    <w:p>
      <w:pPr>
        <w:spacing w:after="0" w:line="106" w:lineRule="exact"/>
        <w:rPr>
          <w:sz w:val="20"/>
          <w:szCs w:val="20"/>
          <w:color w:val="auto"/>
        </w:rPr>
      </w:pPr>
    </w:p>
    <w:p>
      <w:pPr>
        <w:ind w:right="360" w:firstLine="576"/>
        <w:spacing w:after="0" w:line="276" w:lineRule="auto"/>
        <w:rPr>
          <w:sz w:val="20"/>
          <w:szCs w:val="20"/>
          <w:color w:val="auto"/>
        </w:rPr>
      </w:pPr>
      <w:r>
        <w:rPr>
          <w:rFonts w:ascii="Arial" w:cs="Arial" w:eastAsia="Arial" w:hAnsi="Arial"/>
          <w:sz w:val="18"/>
          <w:szCs w:val="18"/>
          <w:color w:val="auto"/>
        </w:rPr>
        <w:t>In September 2020, we entered into change in control and severance agreements with Dr. Kawas, Dr. Moebius, and Ms. Mileson, which agreements provide for certain severance and change in control benefits as described below.</w:t>
      </w:r>
    </w:p>
    <w:p>
      <w:pPr>
        <w:spacing w:after="0" w:line="145"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If the employment of a named executive officer with whom we have entered into a change in control and severance agreement is terminated outside the period beginning one month prior to the date of a change in control and ending 12 months following that change in control (the Change in Control Period) either (1) by the company without “cause” (excluding by reason of death or disability) or (2) by the named executive officer for “good reason” (as such terms are defined in the named executive officer’s change in control and severance agreement), the named executive officer will receive the following benefits if such named executive officer timely signs and does not revoke a release of claims in our favor:</w:t>
      </w:r>
    </w:p>
    <w:p>
      <w:pPr>
        <w:spacing w:after="0" w:line="66" w:lineRule="exact"/>
        <w:rPr>
          <w:sz w:val="20"/>
          <w:szCs w:val="20"/>
          <w:color w:val="auto"/>
        </w:rPr>
      </w:pPr>
    </w:p>
    <w:p>
      <w:pPr>
        <w:ind w:left="1300" w:right="200" w:hanging="442"/>
        <w:spacing w:after="0" w:line="255" w:lineRule="auto"/>
        <w:tabs>
          <w:tab w:leader="none" w:pos="1300" w:val="left"/>
        </w:tabs>
        <w:numPr>
          <w:ilvl w:val="0"/>
          <w:numId w:val="98"/>
        </w:numPr>
        <w:rPr>
          <w:rFonts w:ascii="Times New Roman" w:cs="Times New Roman" w:eastAsia="Times New Roman" w:hAnsi="Times New Roman"/>
          <w:sz w:val="18"/>
          <w:szCs w:val="18"/>
          <w:color w:val="auto"/>
        </w:rPr>
      </w:pPr>
      <w:r>
        <w:rPr>
          <w:rFonts w:ascii="Arial" w:cs="Arial" w:eastAsia="Arial" w:hAnsi="Arial"/>
          <w:sz w:val="18"/>
          <w:szCs w:val="18"/>
          <w:color w:val="auto"/>
        </w:rPr>
        <w:t>a lump-sum payment equal to 9 months (or 12 months in the case of Dr. Kawas) of the named executive officer’s annual base salary as in effect immediately prior to such termination (or if such termination is due to a resignation for good reason based on a material reduction in base salary, then as in effect immediately prior to the reduction); and</w:t>
      </w:r>
    </w:p>
    <w:p>
      <w:pPr>
        <w:spacing w:after="0" w:line="54" w:lineRule="exact"/>
        <w:rPr>
          <w:rFonts w:ascii="Times New Roman" w:cs="Times New Roman" w:eastAsia="Times New Roman" w:hAnsi="Times New Roman"/>
          <w:sz w:val="18"/>
          <w:szCs w:val="18"/>
          <w:color w:val="auto"/>
        </w:rPr>
      </w:pPr>
    </w:p>
    <w:p>
      <w:pPr>
        <w:ind w:left="1300" w:right="260" w:hanging="442"/>
        <w:spacing w:after="0" w:line="255" w:lineRule="auto"/>
        <w:tabs>
          <w:tab w:leader="none" w:pos="1300" w:val="left"/>
        </w:tabs>
        <w:numPr>
          <w:ilvl w:val="0"/>
          <w:numId w:val="98"/>
        </w:numPr>
        <w:rPr>
          <w:rFonts w:ascii="Times New Roman" w:cs="Times New Roman" w:eastAsia="Times New Roman" w:hAnsi="Times New Roman"/>
          <w:sz w:val="18"/>
          <w:szCs w:val="18"/>
          <w:color w:val="auto"/>
        </w:rPr>
      </w:pPr>
      <w:r>
        <w:rPr>
          <w:rFonts w:ascii="Arial" w:cs="Arial" w:eastAsia="Arial" w:hAnsi="Arial"/>
          <w:sz w:val="18"/>
          <w:szCs w:val="18"/>
          <w:color w:val="auto"/>
        </w:rPr>
        <w:t>for named executive officers other than Dr. Moebius, payment of premiums for coverage under the Consolidated Omnibus Budget Reconciliation Act of 1985, as amended (COBRA), for the named executive officer and his or her eligible dependents, if any, for up to 9 months for Ms. Mileson or up to 12 months for Dr. Kawas.</w:t>
      </w:r>
    </w:p>
    <w:p>
      <w:pPr>
        <w:spacing w:after="0" w:line="163" w:lineRule="exact"/>
        <w:rPr>
          <w:sz w:val="20"/>
          <w:szCs w:val="20"/>
          <w:color w:val="auto"/>
        </w:rPr>
      </w:pPr>
    </w:p>
    <w:p>
      <w:pPr>
        <w:ind w:right="80" w:firstLine="576"/>
        <w:spacing w:after="0" w:line="248" w:lineRule="auto"/>
        <w:rPr>
          <w:sz w:val="20"/>
          <w:szCs w:val="20"/>
          <w:color w:val="auto"/>
        </w:rPr>
      </w:pPr>
      <w:r>
        <w:rPr>
          <w:rFonts w:ascii="Arial" w:cs="Arial" w:eastAsia="Arial" w:hAnsi="Arial"/>
          <w:sz w:val="18"/>
          <w:szCs w:val="18"/>
          <w:color w:val="auto"/>
        </w:rPr>
        <w:t>If, during the Change in Control Period, the employment of a named executive officer with whom we have entered into a change in control and severance agreement is terminated either (1) by the company without cause (excluding by reason of death or disability) or (2) by the named executive officer for good reason, the named executive officer will receive the following benefits if the named executive officer timely signs and does not revoke a separation agreement and release of claims in our favor:</w:t>
      </w:r>
    </w:p>
    <w:p>
      <w:pPr>
        <w:spacing w:after="0" w:line="62" w:lineRule="exact"/>
        <w:rPr>
          <w:sz w:val="20"/>
          <w:szCs w:val="20"/>
          <w:color w:val="auto"/>
        </w:rPr>
      </w:pPr>
    </w:p>
    <w:p>
      <w:pPr>
        <w:ind w:left="1300" w:right="160" w:hanging="442"/>
        <w:spacing w:after="0" w:line="248" w:lineRule="auto"/>
        <w:tabs>
          <w:tab w:leader="none" w:pos="1300" w:val="left"/>
        </w:tabs>
        <w:numPr>
          <w:ilvl w:val="0"/>
          <w:numId w:val="99"/>
        </w:numPr>
        <w:rPr>
          <w:rFonts w:ascii="Times New Roman" w:cs="Times New Roman" w:eastAsia="Times New Roman" w:hAnsi="Times New Roman"/>
          <w:sz w:val="18"/>
          <w:szCs w:val="18"/>
          <w:color w:val="auto"/>
        </w:rPr>
      </w:pPr>
      <w:r>
        <w:rPr>
          <w:rFonts w:ascii="Arial" w:cs="Arial" w:eastAsia="Arial" w:hAnsi="Arial"/>
          <w:sz w:val="18"/>
          <w:szCs w:val="18"/>
          <w:color w:val="auto"/>
        </w:rPr>
        <w:t>a lump-sum payment equal to 12 months (or 18 months in the case of Dr. Kawas) of the named executive officer’s annual base salary as in effect immediately prior to such termination (or if such termination is due to a resignation for good reason based on a material reduction in base salary, then as in effect immediately prior to the reduction) or if greater, at the level in effect immediately prior to the change in control;</w:t>
      </w:r>
    </w:p>
    <w:p>
      <w:pPr>
        <w:spacing w:after="0" w:line="61" w:lineRule="exact"/>
        <w:rPr>
          <w:rFonts w:ascii="Times New Roman" w:cs="Times New Roman" w:eastAsia="Times New Roman" w:hAnsi="Times New Roman"/>
          <w:sz w:val="18"/>
          <w:szCs w:val="18"/>
          <w:color w:val="auto"/>
        </w:rPr>
      </w:pPr>
    </w:p>
    <w:p>
      <w:pPr>
        <w:ind w:left="1300" w:hanging="442"/>
        <w:spacing w:after="0" w:line="255" w:lineRule="auto"/>
        <w:tabs>
          <w:tab w:leader="none" w:pos="1300" w:val="left"/>
        </w:tabs>
        <w:numPr>
          <w:ilvl w:val="0"/>
          <w:numId w:val="99"/>
        </w:numPr>
        <w:rPr>
          <w:rFonts w:ascii="Times New Roman" w:cs="Times New Roman" w:eastAsia="Times New Roman" w:hAnsi="Times New Roman"/>
          <w:sz w:val="18"/>
          <w:szCs w:val="18"/>
          <w:color w:val="auto"/>
        </w:rPr>
      </w:pPr>
      <w:r>
        <w:rPr>
          <w:rFonts w:ascii="Arial" w:cs="Arial" w:eastAsia="Arial" w:hAnsi="Arial"/>
          <w:sz w:val="18"/>
          <w:szCs w:val="18"/>
          <w:color w:val="auto"/>
        </w:rPr>
        <w:t>a lump-sum payment equal to 100% (or 150% in the case of Dr. Kawas) of the named executive officer’s target annual bonus as in effect for the fiscal year in which such termination occurs or if greater, at the level in effect, immediately prior to the change in control;</w:t>
      </w:r>
    </w:p>
    <w:p>
      <w:pPr>
        <w:spacing w:after="0" w:line="54" w:lineRule="exact"/>
        <w:rPr>
          <w:rFonts w:ascii="Times New Roman" w:cs="Times New Roman" w:eastAsia="Times New Roman" w:hAnsi="Times New Roman"/>
          <w:sz w:val="18"/>
          <w:szCs w:val="18"/>
          <w:color w:val="auto"/>
        </w:rPr>
      </w:pPr>
    </w:p>
    <w:p>
      <w:pPr>
        <w:ind w:left="1300" w:right="580" w:hanging="442"/>
        <w:spacing w:after="0" w:line="275" w:lineRule="auto"/>
        <w:tabs>
          <w:tab w:leader="none" w:pos="1300" w:val="left"/>
        </w:tabs>
        <w:numPr>
          <w:ilvl w:val="0"/>
          <w:numId w:val="99"/>
        </w:numPr>
        <w:rPr>
          <w:rFonts w:ascii="Times New Roman" w:cs="Times New Roman" w:eastAsia="Times New Roman" w:hAnsi="Times New Roman"/>
          <w:sz w:val="18"/>
          <w:szCs w:val="18"/>
          <w:color w:val="auto"/>
        </w:rPr>
      </w:pPr>
      <w:r>
        <w:rPr>
          <w:rFonts w:ascii="Arial" w:cs="Arial" w:eastAsia="Arial" w:hAnsi="Arial"/>
          <w:sz w:val="18"/>
          <w:szCs w:val="18"/>
          <w:color w:val="auto"/>
        </w:rPr>
        <w:t>for named executive officers other than Dr. Moebius, payment of premiums for coverage under COBRA for the named executive officer and the named executive officer’s eligible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62" w:name="page163"/>
    <w:bookmarkEnd w:id="162"/>
    <w:p>
      <w:pPr>
        <w:ind w:left="1300"/>
        <w:spacing w:after="0"/>
        <w:rPr>
          <w:sz w:val="20"/>
          <w:szCs w:val="20"/>
          <w:color w:val="auto"/>
        </w:rPr>
      </w:pPr>
      <w:r>
        <w:rPr>
          <w:rFonts w:ascii="Arial" w:cs="Arial" w:eastAsia="Arial" w:hAnsi="Arial"/>
          <w:sz w:val="18"/>
          <w:szCs w:val="18"/>
          <w:color w:val="auto"/>
        </w:rPr>
        <w:t>dependents, if any, for up to 12 months for Ms. Mileson or up to 18 months for Dr. Kawas; and</w:t>
      </w:r>
    </w:p>
    <w:p>
      <w:pPr>
        <w:spacing w:after="0" w:line="117" w:lineRule="exact"/>
        <w:rPr>
          <w:sz w:val="20"/>
          <w:szCs w:val="20"/>
          <w:color w:val="auto"/>
        </w:rPr>
      </w:pPr>
    </w:p>
    <w:p>
      <w:pPr>
        <w:ind w:left="1300" w:right="560" w:hanging="442"/>
        <w:spacing w:after="0" w:line="305" w:lineRule="auto"/>
        <w:tabs>
          <w:tab w:leader="none" w:pos="1300" w:val="left"/>
        </w:tabs>
        <w:numPr>
          <w:ilvl w:val="0"/>
          <w:numId w:val="100"/>
        </w:numPr>
        <w:rPr>
          <w:rFonts w:ascii="Times New Roman" w:cs="Times New Roman" w:eastAsia="Times New Roman" w:hAnsi="Times New Roman"/>
          <w:sz w:val="17"/>
          <w:szCs w:val="17"/>
          <w:color w:val="auto"/>
        </w:rPr>
      </w:pPr>
      <w:r>
        <w:rPr>
          <w:rFonts w:ascii="Arial" w:cs="Arial" w:eastAsia="Arial" w:hAnsi="Arial"/>
          <w:sz w:val="17"/>
          <w:szCs w:val="17"/>
          <w:color w:val="auto"/>
        </w:rPr>
        <w:t>100% accelerated vesting and exercisability of all Company equity awards with service-based vesting (but that are not subject to performance-based vesting) that are outstanding and unvested as of the date of the qualifying termination.</w:t>
      </w:r>
    </w:p>
    <w:p>
      <w:pPr>
        <w:spacing w:after="0" w:line="123" w:lineRule="exact"/>
        <w:rPr>
          <w:sz w:val="20"/>
          <w:szCs w:val="20"/>
          <w:color w:val="auto"/>
        </w:rPr>
      </w:pPr>
    </w:p>
    <w:p>
      <w:pPr>
        <w:jc w:val="both"/>
        <w:ind w:right="360" w:firstLine="576"/>
        <w:spacing w:after="0" w:line="255" w:lineRule="auto"/>
        <w:rPr>
          <w:sz w:val="20"/>
          <w:szCs w:val="20"/>
          <w:color w:val="auto"/>
        </w:rPr>
      </w:pPr>
      <w:r>
        <w:rPr>
          <w:rFonts w:ascii="Arial" w:cs="Arial" w:eastAsia="Arial" w:hAnsi="Arial"/>
          <w:sz w:val="18"/>
          <w:szCs w:val="18"/>
          <w:color w:val="auto"/>
        </w:rPr>
        <w:t>In addition, the change in control and severance agreement provides for 100% accelerated vesting and exercisability of Company equity awards granted under our 2014 Equity Incentive Plan and held by such named executive officer to the extent such awards are not assumed or substituted for by the successor corporation in a change in control.</w:t>
      </w:r>
    </w:p>
    <w:p>
      <w:pPr>
        <w:spacing w:after="0" w:line="164" w:lineRule="exact"/>
        <w:rPr>
          <w:sz w:val="20"/>
          <w:szCs w:val="20"/>
          <w:color w:val="auto"/>
        </w:rPr>
      </w:pPr>
    </w:p>
    <w:p>
      <w:pPr>
        <w:ind w:right="60" w:firstLine="576"/>
        <w:spacing w:after="0" w:line="241" w:lineRule="auto"/>
        <w:rPr>
          <w:sz w:val="20"/>
          <w:szCs w:val="20"/>
          <w:color w:val="auto"/>
        </w:rPr>
      </w:pPr>
      <w:r>
        <w:rPr>
          <w:rFonts w:ascii="Arial" w:cs="Arial" w:eastAsia="Arial" w:hAnsi="Arial"/>
          <w:sz w:val="18"/>
          <w:szCs w:val="18"/>
          <w:color w:val="auto"/>
        </w:rPr>
        <w:t>If any of the amounts provided for under these change in control and severance agreements or otherwise payable to Dr. Kawas, Dr. Moebius or Ms. Mileson would constitute “parachute payments” within the meaning of Section 280G of the Internal Revenue Code and could be subject to the related excise tax, the named executive officer would be entitled to receive either full payment of benefits or such lesser amount which would result in no portion of the benefits being subject to the excise tax, whichever results in the greater amount of after-</w:t>
      </w:r>
    </w:p>
    <w:p>
      <w:pPr>
        <w:spacing w:after="0" w:line="1"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tax benefits to the named executive officer. The change in control and severance agreements do not require us to provide any tax gross-up payments.</w:t>
      </w:r>
    </w:p>
    <w:p>
      <w:pPr>
        <w:spacing w:after="0" w:line="168"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Under the change in control and severance agreement, ”cause” generally means the named executive officer’s: indictment or conviction of any felony or any crime involving dishonesty or moral turpitude; participation in any fraud against us or other dishonesty which is not the result of an innocent or inadvertent mistake by the named executive officer with respect to us; willful violation of his or her obligations to us after there has been delivered to the named executive officer a written demand for performance from the board of directors; continued violation or breach of any material written company policy, agreement with the us, or any statutory or fiduciary duty to us after we have delivered to the named executive officer a written notification of such violation or breach; or damaging or misappropriating or attempting to damage or misappropriate any of our property, including intellectual property.</w:t>
      </w:r>
    </w:p>
    <w:p>
      <w:pPr>
        <w:spacing w:after="0" w:line="179"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Under the change in control and severance agreement, “good reason” generally means that the named executive officer resigns from the company within 30 days following the end of our cure period (discussed below) as a result of any of the following that occurs without his or her consent: a material reduction in the named executive officer’s duties or responsibilities that is inconsistent with his or her position, provided that a mere change of title alone will not constitute such a material reduction; the requirement that the named executive officer change his or her principal office to a facility that increases his or her commute by more than 40 miles from his or her commute to the location at which the named executive officer was employed prior to such change; or a material reduction in base salary or, for named executive officers other than Dr. Moebius, a material reduction in his or her employee benefits (other than (1) in connection with a general decrease in salary (or employee benefits, as applicable) of all similarly situated employees, and (2) following our change in control, to the extent necessary to make his or her salary (or employee benefits, as applicable) commensurate with those of our other employees or our successor entity or parent entity who are similarly situated with him or her). For a resignation to qualify as “good reason,” the named executive officer also must provide written notice within 90 days following the initial existence of the good reason condition, and we must have failed to materially remedy such event within 30 days after receipt of such notice.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Incentive Compensation Plan</w:t>
      </w:r>
    </w:p>
    <w:p>
      <w:pPr>
        <w:spacing w:after="0" w:line="106"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In August 2020, our board of directors adopted our Executive Incentive Compensation Plan. Our Executive Incentive Compensation Plan is administered by our board of directors or a committee appointed by our board of directors. Unless and until our board of directors determines otherwise, our compensation committee will administer our Executive Incentive Compensation Plan. Our Executive Incentive Compensation Plan allows us to grant incentive awards, generally payable in cash, to employees selected by the administrator, including our named executive officers, based upon any performance goals that may be established by the administrator.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63" w:name="page164"/>
    <w:bookmarkEnd w:id="163"/>
    <w:p>
      <w:pPr>
        <w:ind w:firstLine="576"/>
        <w:spacing w:after="0" w:line="237" w:lineRule="auto"/>
        <w:rPr>
          <w:sz w:val="20"/>
          <w:szCs w:val="20"/>
          <w:color w:val="auto"/>
        </w:rPr>
      </w:pPr>
      <w:r>
        <w:rPr>
          <w:rFonts w:ascii="Arial" w:cs="Arial" w:eastAsia="Arial" w:hAnsi="Arial"/>
          <w:sz w:val="18"/>
          <w:szCs w:val="18"/>
          <w:color w:val="auto"/>
        </w:rPr>
        <w:t>Under our Executive Incentive Compensation Plan, the administrator will determine any performance goals applicable to an award, which goals may include, without limitation,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w:t>
      </w:r>
    </w:p>
    <w:p>
      <w:pPr>
        <w:spacing w:after="0" w:line="186" w:lineRule="exact"/>
        <w:rPr>
          <w:sz w:val="20"/>
          <w:szCs w:val="20"/>
          <w:color w:val="auto"/>
        </w:rPr>
      </w:pPr>
    </w:p>
    <w:p>
      <w:pPr>
        <w:ind w:right="480" w:firstLine="576"/>
        <w:spacing w:after="0" w:line="245" w:lineRule="auto"/>
        <w:rPr>
          <w:sz w:val="20"/>
          <w:szCs w:val="20"/>
          <w:color w:val="auto"/>
        </w:rPr>
      </w:pPr>
      <w:r>
        <w:rPr>
          <w:rFonts w:ascii="Arial" w:cs="Arial" w:eastAsia="Arial" w:hAnsi="Arial"/>
          <w:sz w:val="18"/>
          <w:szCs w:val="18"/>
          <w:color w:val="auto"/>
        </w:rPr>
        <w:t>The administrator of our Executive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p>
    <w:p>
      <w:pPr>
        <w:spacing w:after="0" w:line="172"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Actual awards generally will be paid in cash (or its equivalent) only after they are earned, and, unless otherwise determined by the administrator, a participant must be employed with us through the date the actual award is paid. The administrator of our Executive Incentive Compensation Plan reserves the right to settle an actual award with a grant of an equity award under our then-current equity compensation plan, which equity award may have such terms and conditions, including vesting, as determined by the administrator. Payment of awards occurs as soon as administratively practicable after they are earned, but no later than the dates set forth in our Executive Incentive Compensation Plan.</w:t>
      </w:r>
    </w:p>
    <w:p>
      <w:pPr>
        <w:spacing w:after="0" w:line="174" w:lineRule="exact"/>
        <w:rPr>
          <w:sz w:val="20"/>
          <w:szCs w:val="20"/>
          <w:color w:val="auto"/>
        </w:rPr>
      </w:pPr>
    </w:p>
    <w:p>
      <w:pPr>
        <w:ind w:right="260" w:firstLine="576"/>
        <w:spacing w:after="0" w:line="241" w:lineRule="auto"/>
        <w:rPr>
          <w:sz w:val="20"/>
          <w:szCs w:val="20"/>
          <w:color w:val="auto"/>
        </w:rPr>
      </w:pPr>
      <w:r>
        <w:rPr>
          <w:rFonts w:ascii="Arial" w:cs="Arial" w:eastAsia="Arial" w:hAnsi="Arial"/>
          <w:sz w:val="18"/>
          <w:szCs w:val="18"/>
          <w:color w:val="auto"/>
        </w:rPr>
        <w:t>Awards under our Executive Incentive Compensation Plan are subject to any clawback policy of ours, which we may be required to adopt from time to time to comply with applicable laws. The administrator also may impose such other clawback, recovery or recoupment provisions with respect an award under our Executive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Executive Incentive Compensation Plan in connection with certain accounting restatements we may be required to prepare due to our material noncompliance with any financial reporting requirements under applicable securities laws, as a result of misconduct.</w:t>
      </w:r>
    </w:p>
    <w:p>
      <w:pPr>
        <w:spacing w:after="0" w:line="179"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The administrator of our Executive Incentive Compensation Plan has the authority to amend, alter, suspend or terminate our Executive Incentive Compensation Plan, provided such action does not impair the existing rights of any participant with respect to any earned awards. Our Executive Incentive Compensation Plan will remain in effect until terminated in accordance with its terms.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t>Employee Benefit Plans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Equity Incentive Plan</w:t>
      </w:r>
    </w:p>
    <w:p>
      <w:pPr>
        <w:spacing w:after="0" w:line="104" w:lineRule="exact"/>
        <w:rPr>
          <w:sz w:val="20"/>
          <w:szCs w:val="20"/>
          <w:color w:val="auto"/>
        </w:rPr>
      </w:pPr>
    </w:p>
    <w:p>
      <w:pPr>
        <w:jc w:val="both"/>
        <w:ind w:right="60" w:firstLine="576"/>
        <w:spacing w:after="0" w:line="248" w:lineRule="auto"/>
        <w:rPr>
          <w:sz w:val="20"/>
          <w:szCs w:val="20"/>
          <w:color w:val="auto"/>
        </w:rPr>
      </w:pPr>
      <w:r>
        <w:rPr>
          <w:rFonts w:ascii="Arial" w:cs="Arial" w:eastAsia="Arial" w:hAnsi="Arial"/>
          <w:sz w:val="18"/>
          <w:szCs w:val="18"/>
          <w:color w:val="auto"/>
        </w:rPr>
        <w:t>Our board of directors adopted our 2014 Equity Incentive Plan, or our 2014 Plan, on August 29, 2014, and our stockholders approved our 2014 Plan on March 3, 2015. Our 2014 Plan was terminated prior to our initial public offering and we will not grant any additional awards under our 2014 Plan. However, our 2014 Plan will continue to govern the terms and conditions of the outstanding awards granted under our 2014 Plan prior to its termination.</w:t>
      </w:r>
    </w:p>
    <w:p>
      <w:pPr>
        <w:spacing w:after="0" w:line="170" w:lineRule="exact"/>
        <w:rPr>
          <w:sz w:val="20"/>
          <w:szCs w:val="20"/>
          <w:color w:val="auto"/>
        </w:rPr>
      </w:pPr>
    </w:p>
    <w:p>
      <w:pPr>
        <w:ind w:right="240" w:firstLine="576"/>
        <w:spacing w:after="0" w:line="255" w:lineRule="auto"/>
        <w:rPr>
          <w:sz w:val="20"/>
          <w:szCs w:val="20"/>
          <w:color w:val="auto"/>
        </w:rPr>
      </w:pPr>
      <w:r>
        <w:rPr>
          <w:rFonts w:ascii="Arial" w:cs="Arial" w:eastAsia="Arial" w:hAnsi="Arial"/>
          <w:sz w:val="18"/>
          <w:szCs w:val="18"/>
          <w:color w:val="auto"/>
        </w:rPr>
        <w:t>Our 2014 Plan allows for the grant of incentive stock options, within the meaning of Section 422 of the Code, nonstatutory stock options, stock appreciation rights, restricted stock awards and restricted stock units (each, an “award”) to eligible employees, directors and consultants.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102" w:lineRule="exact"/>
        <w:rPr>
          <w:sz w:val="20"/>
          <w:szCs w:val="20"/>
          <w:color w:val="auto"/>
        </w:rPr>
      </w:pPr>
    </w:p>
    <w:p>
      <w:pPr>
        <w:ind w:right="160" w:firstLine="576"/>
        <w:spacing w:after="0" w:line="255" w:lineRule="auto"/>
        <w:rPr>
          <w:sz w:val="20"/>
          <w:szCs w:val="20"/>
          <w:color w:val="auto"/>
        </w:rPr>
      </w:pPr>
      <w:r>
        <w:rPr>
          <w:rFonts w:ascii="Arial" w:cs="Arial" w:eastAsia="Arial" w:hAnsi="Arial"/>
          <w:sz w:val="18"/>
          <w:szCs w:val="18"/>
          <w:color w:val="auto"/>
        </w:rPr>
        <w:t>As of September 30, 2020, no shares of our common stock were reserved for issuance under our 2014 Plan. As of September 30, 2020, there were stock options covering 984,205 shares of our common stock and restricted stock awards covering 12,610 shares of our common stock outstanding under our 2014 Plan, and no stock appreciation rights or restricted stock units outstanding under our 2014 Plan.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Administration</w:t>
      </w:r>
    </w:p>
    <w:p>
      <w:pPr>
        <w:spacing w:after="0" w:line="102"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Our board of directors or a committee thereof appointed by our board of directors administers the 2014 Plan. The administrator has authority and discretion to administer our 2014 Plan and to control its operation, including the authority to construe and interpret the terms of our 2014 Plan and the awards granted under it, determine the terms of awards, including the recipients, the number of shares subject to each award and the vesting schedule. The administrator may amend awards to reduce the exercise price of any outstanding options or stock appreciation rights, or provide that outstanding options or stock appreciation rights may be cancelled in exchange for awards of the same type (granted under the 2014 Plan or another equity plan of ours covering the same or different number of shares), restricted stock or restricted stock unit awards and/or cash or other consideration.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02"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Stock options have been granted under our 2014 Plan. The term of an option is stated in the applicable award agreement, but may not exceed 10 years from the grant date. The administrator determines the exercise price of options, which generally may not be less than 100% of the fair market value of our common stock on the grant date, except as provided for in the 2014 Plan. The administrator determines the method of payment of the exercise price as well as the period of time after a participant’s termination of service during which the participant may exercise his or her option, which generally must be at least 30 days (or at least six months in the event of the participant’s termination of service due to death or disability) following such termination of service. Vested options generally terminate immediately if a participant’s continuous service terminates due to “cause” (as defined in the 2014 Plan) unless the participant’s award agreement provides otherwise. In no event will an option remain exercisable beyond its original term. If a participant does not exercise his or her option within the time specified in the award agreement, the option will terminate.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02" w:lineRule="exact"/>
        <w:rPr>
          <w:sz w:val="20"/>
          <w:szCs w:val="20"/>
          <w:color w:val="auto"/>
        </w:rPr>
      </w:pPr>
    </w:p>
    <w:p>
      <w:pPr>
        <w:ind w:right="60" w:firstLine="576"/>
        <w:spacing w:after="0" w:line="243" w:lineRule="auto"/>
        <w:rPr>
          <w:sz w:val="20"/>
          <w:szCs w:val="20"/>
          <w:color w:val="auto"/>
        </w:rPr>
      </w:pPr>
      <w:r>
        <w:rPr>
          <w:rFonts w:ascii="Arial" w:cs="Arial" w:eastAsia="Arial" w:hAnsi="Arial"/>
          <w:sz w:val="18"/>
          <w:szCs w:val="18"/>
          <w:color w:val="auto"/>
        </w:rPr>
        <w:t>Restricted stock awards have been granted under our 2014 Plan. Restricted stock awards are grants of shares of our common stock subject to transfer restrictions and a risk of forfeiture that lapses in accordance with a vesting schedule determined by the administrator and set forth in the applicable award agreement. Upon termination of the participant’s service, any shares that have not vested may be reacquired by us through a forfeiture condition or repurchase right. During any period of restriction, to the extent provided in an applicable award agreement, a participant holding shares of restricted stock will be entitled to receive all dividends provided that such dividends may be subject to any vesting restrictions applicable to the shares of restricted stock to which they relate.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i w:val="1"/>
          <w:iCs w:val="1"/>
          <w:color w:val="auto"/>
        </w:rPr>
        <w:t>Transferability of Awards</w:t>
      </w:r>
    </w:p>
    <w:p>
      <w:pPr>
        <w:spacing w:after="0" w:line="102" w:lineRule="exact"/>
        <w:rPr>
          <w:sz w:val="20"/>
          <w:szCs w:val="20"/>
          <w:color w:val="auto"/>
        </w:rPr>
      </w:pPr>
    </w:p>
    <w:p>
      <w:pPr>
        <w:ind w:right="160" w:firstLine="576"/>
        <w:spacing w:after="0" w:line="276" w:lineRule="auto"/>
        <w:rPr>
          <w:sz w:val="20"/>
          <w:szCs w:val="20"/>
          <w:color w:val="auto"/>
        </w:rPr>
      </w:pPr>
      <w:r>
        <w:rPr>
          <w:rFonts w:ascii="Arial" w:cs="Arial" w:eastAsia="Arial" w:hAnsi="Arial"/>
          <w:sz w:val="18"/>
          <w:szCs w:val="18"/>
          <w:color w:val="auto"/>
        </w:rPr>
        <w:t>Our 2014 Plan generally does not allow for the transfer of awards except by will or the laws of descent and distribution, and only the recipient of an award may exercise an option or stock appreciation right during his or her lifetime.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Adjustments</w:t>
      </w:r>
    </w:p>
    <w:p>
      <w:pPr>
        <w:spacing w:after="0" w:line="102"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In the event of certain changes in our capitalization, in order to prevent diminution or enlargement of the benefits or potential benefits intended to be made available under the 2014 Plan, the administrator will make proportionate adjustments to the number and class of shares that may be delivered under the 2014 Plan, the class and number of shares that may be issued on the exercise of incentive stock options, and the number, class and price of shares covered by each outstanding award. The administrator’s determination regarding such adjustments will be final, binding and conclusive.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Dissolution or Liquidation</w:t>
      </w:r>
    </w:p>
    <w:p>
      <w:pPr>
        <w:spacing w:after="0" w:line="102" w:lineRule="exact"/>
        <w:rPr>
          <w:sz w:val="20"/>
          <w:szCs w:val="20"/>
          <w:color w:val="auto"/>
        </w:rPr>
      </w:pPr>
    </w:p>
    <w:p>
      <w:pPr>
        <w:ind w:right="920" w:firstLine="576"/>
        <w:spacing w:after="0" w:line="276" w:lineRule="auto"/>
        <w:rPr>
          <w:sz w:val="20"/>
          <w:szCs w:val="20"/>
          <w:color w:val="auto"/>
        </w:rPr>
      </w:pPr>
      <w:r>
        <w:rPr>
          <w:rFonts w:ascii="Arial" w:cs="Arial" w:eastAsia="Arial" w:hAnsi="Arial"/>
          <w:sz w:val="18"/>
          <w:szCs w:val="18"/>
          <w:color w:val="auto"/>
        </w:rPr>
        <w:t>In the event of our dissolution or liquidation, all awards will terminate immediately prior to the completion of such proposed transaction.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Transactions</w:t>
      </w:r>
    </w:p>
    <w:p>
      <w:pPr>
        <w:spacing w:after="0" w:line="102"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Our 2014 Plan provides that in the event of our merger or other corporate transaction (as defined in our 2014 Plan) and except as otherwise provided in the award agreements, the administrator may provide that outstanding awards may be assumed or continued, substituted with equivalent awards, accelerated as to its vesting to a date prior to the corporate transaction and terminated if not exercised (if applicable), cancelled without consideration to the extent not vested or exercised, or cancelled in exchange for a payment equal to the value of property the participant would have received upon exercise of the award less the exercise price payable in connection with such exercise. The administrator need not take the same action with respect to all awards or with respect to all participants.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w:t>
      </w:r>
    </w:p>
    <w:p>
      <w:pPr>
        <w:spacing w:after="0" w:line="102"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Our board of directors has the authority to amend, suspend or terminate our 2014 Plan at any time. No amendment, suspension or termination of our 2014 Plan will impair the rights of a participant, unless mutually agreed otherwise between the participant and the administrator in writing. As noted above, our 2014 Plan was terminated in connection with our initial public offering, and we will not grant any additional awards under our 2014 Plan.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04" w:lineRule="exact"/>
        <w:rPr>
          <w:sz w:val="20"/>
          <w:szCs w:val="20"/>
          <w:color w:val="auto"/>
        </w:rPr>
      </w:pPr>
    </w:p>
    <w:p>
      <w:pPr>
        <w:jc w:val="both"/>
        <w:ind w:right="80" w:firstLine="576"/>
        <w:spacing w:after="0" w:line="243" w:lineRule="auto"/>
        <w:rPr>
          <w:sz w:val="20"/>
          <w:szCs w:val="20"/>
          <w:color w:val="auto"/>
        </w:rPr>
      </w:pPr>
      <w:r>
        <w:rPr>
          <w:rFonts w:ascii="Arial" w:cs="Arial" w:eastAsia="Arial" w:hAnsi="Arial"/>
          <w:sz w:val="18"/>
          <w:szCs w:val="18"/>
          <w:color w:val="auto"/>
        </w:rPr>
        <w:t>In August 2020, our board of directors adopted, and in September 2020 our stockholders approved, our 2020 Equity Incentive Plan, or, the 2020 Plan. The 2020 Plan became effective on the business day immediately prior to the effective date of our registration statement related to our initial public offering. Our 2020 Plan provides for the grant of incentive stock options, within the meaning of Section 422 of the Internal Revenue Code of 1986, as amended (or, the Code), to our employees and any of our parent or subsidiary corporations’ employees, and for the grant of nonstatutory stock options, restricted stock, restricted stock units, stock appreciation rights, and performance awards to our employees, directors and consultants and any of our parent or subsidiary corporations’ employees and consultants.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102" w:lineRule="exact"/>
        <w:rPr>
          <w:sz w:val="20"/>
          <w:szCs w:val="20"/>
          <w:color w:val="auto"/>
        </w:rPr>
      </w:pPr>
    </w:p>
    <w:p>
      <w:pPr>
        <w:ind w:right="80" w:firstLine="576"/>
        <w:spacing w:after="0" w:line="277" w:lineRule="auto"/>
        <w:rPr>
          <w:sz w:val="20"/>
          <w:szCs w:val="20"/>
          <w:color w:val="auto"/>
        </w:rPr>
      </w:pPr>
      <w:r>
        <w:rPr>
          <w:rFonts w:ascii="Arial" w:cs="Arial" w:eastAsia="Arial" w:hAnsi="Arial"/>
          <w:sz w:val="17"/>
          <w:szCs w:val="17"/>
          <w:color w:val="auto"/>
        </w:rPr>
        <w:t>The number of shares of our common stock reserved for issuance pursuant to our 2020 Plan equals 6,357,759 shares of common stock (which includes 1,624,259 shares of common stock which were automatically added to the number of shares reserved for issuance on January 1, 2021 pursuant to the terms of the 2020 Plan). In addition, the shares reserved for issuance under our 2020 Plan include shares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86" w:right="379" w:bottom="1440" w:gutter="0" w:footer="0" w:header="0"/>
        </w:sectPr>
      </w:pPr>
    </w:p>
    <w:bookmarkStart w:id="166" w:name="page167"/>
    <w:bookmarkEnd w:id="166"/>
    <w:p>
      <w:pPr>
        <w:ind w:right="180"/>
        <w:spacing w:after="0" w:line="245" w:lineRule="auto"/>
        <w:rPr>
          <w:sz w:val="20"/>
          <w:szCs w:val="20"/>
          <w:color w:val="auto"/>
        </w:rPr>
      </w:pPr>
      <w:r>
        <w:rPr>
          <w:rFonts w:ascii="Arial" w:cs="Arial" w:eastAsia="Arial" w:hAnsi="Arial"/>
          <w:sz w:val="18"/>
          <w:szCs w:val="18"/>
          <w:color w:val="auto"/>
        </w:rPr>
        <w:t>of our common stock subject to awards granted under our 2014 Plan that, after the date the 2014 Plan is terminated, are terminated, cancelled, expire, or otherwise terminate without having been exercised in full or are forfeited to or repurchased by us, provided that the maximum number of shares that may be added to the 2020 Plan pursuant to this sentence is 1,950,834 shares. The number of shares available for issuance under our 2020 Plan includes an annual increase on the first day of each of our fiscal years for a period of ten years, beginning with our fiscal year 2021, equal to the least of:</w:t>
      </w:r>
    </w:p>
    <w:p>
      <w:pPr>
        <w:spacing w:after="0" w:line="64" w:lineRule="exact"/>
        <w:rPr>
          <w:sz w:val="20"/>
          <w:szCs w:val="20"/>
          <w:color w:val="auto"/>
        </w:rPr>
      </w:pPr>
    </w:p>
    <w:p>
      <w:pPr>
        <w:ind w:left="1300" w:hanging="442"/>
        <w:spacing w:after="0"/>
        <w:tabs>
          <w:tab w:leader="none" w:pos="1300" w:val="left"/>
        </w:tabs>
        <w:numPr>
          <w:ilvl w:val="0"/>
          <w:numId w:val="101"/>
        </w:numPr>
        <w:rPr>
          <w:rFonts w:ascii="Times New Roman" w:cs="Times New Roman" w:eastAsia="Times New Roman" w:hAnsi="Times New Roman"/>
          <w:sz w:val="18"/>
          <w:szCs w:val="18"/>
          <w:color w:val="auto"/>
        </w:rPr>
      </w:pPr>
      <w:r>
        <w:rPr>
          <w:rFonts w:ascii="Arial" w:cs="Arial" w:eastAsia="Arial" w:hAnsi="Arial"/>
          <w:sz w:val="18"/>
          <w:szCs w:val="18"/>
          <w:color w:val="auto"/>
        </w:rPr>
        <w:t>3,230,000 shares;</w:t>
      </w:r>
    </w:p>
    <w:p>
      <w:pPr>
        <w:spacing w:after="0" w:line="116" w:lineRule="exact"/>
        <w:rPr>
          <w:rFonts w:ascii="Times New Roman" w:cs="Times New Roman" w:eastAsia="Times New Roman" w:hAnsi="Times New Roman"/>
          <w:sz w:val="18"/>
          <w:szCs w:val="18"/>
          <w:color w:val="auto"/>
        </w:rPr>
      </w:pPr>
    </w:p>
    <w:p>
      <w:pPr>
        <w:ind w:left="1300" w:right="720" w:hanging="442"/>
        <w:spacing w:after="0" w:line="275" w:lineRule="auto"/>
        <w:tabs>
          <w:tab w:leader="none" w:pos="1300" w:val="left"/>
        </w:tabs>
        <w:numPr>
          <w:ilvl w:val="0"/>
          <w:numId w:val="101"/>
        </w:numPr>
        <w:rPr>
          <w:rFonts w:ascii="Times New Roman" w:cs="Times New Roman" w:eastAsia="Times New Roman" w:hAnsi="Times New Roman"/>
          <w:sz w:val="18"/>
          <w:szCs w:val="18"/>
          <w:color w:val="auto"/>
        </w:rPr>
      </w:pPr>
      <w:r>
        <w:rPr>
          <w:rFonts w:ascii="Arial" w:cs="Arial" w:eastAsia="Arial" w:hAnsi="Arial"/>
          <w:sz w:val="18"/>
          <w:szCs w:val="18"/>
          <w:color w:val="auto"/>
        </w:rPr>
        <w:t>Five percent (5%) of the outstanding shares of all classes of our common stock as of the last day of the immediately preceding fiscal year; and</w:t>
      </w:r>
    </w:p>
    <w:p>
      <w:pPr>
        <w:spacing w:after="0" w:line="37"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101"/>
        </w:numPr>
        <w:rPr>
          <w:rFonts w:ascii="Times New Roman" w:cs="Times New Roman" w:eastAsia="Times New Roman" w:hAnsi="Times New Roman"/>
          <w:sz w:val="18"/>
          <w:szCs w:val="18"/>
          <w:color w:val="auto"/>
        </w:rPr>
      </w:pPr>
      <w:r>
        <w:rPr>
          <w:rFonts w:ascii="Arial" w:cs="Arial" w:eastAsia="Arial" w:hAnsi="Arial"/>
          <w:sz w:val="18"/>
          <w:szCs w:val="18"/>
          <w:color w:val="auto"/>
        </w:rPr>
        <w:t>such number of shares as our board of directors may determine no later than the last day of our immediately preceding fiscal year.</w:t>
      </w:r>
    </w:p>
    <w:p>
      <w:pPr>
        <w:spacing w:after="0" w:line="146"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Shares issuable under our 2020 Plan will be authorized, but unissued, or reacquired shares of our common stock. If an award expires or becomes unexercisable without having been exercised in full, is surrendered pursuant to an exchange program (as described below), or, with respect to restricted stock, restricted stock units, or performance awards, is forfeited to or repurchased due to failure to vest, the unpurchased shares (or for awards other than stock options or stock appreciation rights, the forfeited or repurchased shares) will become available for future grant or sale under the 2020 Plan. With respect to stock appreciation rights, only the net shares actually issued will cease to be available under the 2020 Plan and all remaining shares under stock appreciation rights will remain available for future grant or sale under the 2020 Plan. Shares that have actually been issued under the 2020 Plan under any award will not be returned to the 2020 Plan; except if shares issued pursuant to awards of restricted stock, restricted stock units, or performance awards are repurchased or forfeited, such shares will become available for future grant under the 2020 Plan. Shares used to pay the exercise price of an award or satisfy the tax liabilities or withholding obligations related to an award will become available for future grant or sale under the 2020 Plan. To the extent an award is paid out in cash rather than shares, such cash payment will not result in a reduction in the number of shares available for issuance under the 2020 Plan.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Administration</w:t>
      </w:r>
    </w:p>
    <w:p>
      <w:pPr>
        <w:spacing w:after="0" w:line="102"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Our board of directors or one or more committees appointed by our board of directors have authority to administer our 2020 Plan. The compensation committee of our board of directors currently administers our 2020 Plan. In addition, if we determine it is desirable to qualify transactions under our 2020 Plan as exempt under Rule 16b-3 of the Exchange Act, such transactions will be structured to satisfy the requirements for exemption under Rule 16b-3. Subject to the provisions of our 2020 Plan, the administrator has the power to administer our 2020 Plan and make all determinations deemed necessary or advisable for administering the 2020 Plan, including but not limited to, the power to determine the fair market value of our common stock, select the service providers to whom awards may be granted, determine the number of shares covered by each award, approve forms of award agreements for use under the 2020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2020 Plan and awards granted under it, prescribe, amend and rescind rules relating to our 2020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2020 Plan to a financial institution or other person or entity selected by the administrator, and to institute an exchange program by which outstanding awards granted under the 2020 Plan may be surrendered or cancelled in exchange for awards of the same type, which may have a higher or lower exercise price and/or different terms, awards of a different type and/or cash, or by which the exercise price of an outstanding award granted under the 2020 Plan is increased or reduced. The administrator’s decisions, interpretations and other actions are final and binding on all participants and will be given the maximum deference permitted by applicable law.</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i w:val="1"/>
          <w:iCs w:val="1"/>
          <w:color w:val="auto"/>
        </w:rPr>
        <w:t>Stock Options</w:t>
      </w:r>
    </w:p>
    <w:p>
      <w:pPr>
        <w:spacing w:after="0" w:line="102"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Stock options may be granted under our 2020 Plan. The exercise price of options granted under our 2020 Plan must be equal to at least 100% of the fair market value of a share of our common stock on the date of grant. The term of an option may not exceed ten years. With respect to any participant who owns more than 10% of the voting power of all classes of our (or any of our parent’s or subsidiary’s) outstanding stock, the term of an incentive stock option granted to such participant must not exceed five years and the per share exercise price must equal at least 110% of the fair market value of a share of our common stock on the grant date. The administrator may grant incentive stock options under the 2020 Plan for a period of ten years from the earlier of the date our board of directors approves the 2020 Plan or the date that our stockholders approve the 2020 Plan. The administrator will determine the methods of payment of the exercise price of an option, which may include cash, certain shares, cashless exercise, net exercise,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six months. In all other cases, in the absence of a specified time in an award agreement, the option will remain exercisable for three months following the termination of service. An option, however, may not be exercised later than the expiration of its term. Subject to the provisions of our 2020 Plan, the administrator determines the terms of options.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102"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Stock appreciation rights may be granted under our 2020 Plan. Stock appreciation rights allow the recipient to receive the appreciation in the fair market value of our common stock between the exercise date and the date of grant. The term of a stock appreciation right may not exceed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six months. In all other cases, in the absence of a specified time in an award agreement, the stock appreciation rights will remain exercisable for three months following the termination of service. However, in no event may a stock appreciation right be exercised later than the expiration of its term. Subject to the provisions of our 2020 Plan, the administrator determines the terms of stock appreciation rights, including when such rights become exercisable and whether to pay any increased appreciation in cash or with shares of our common stock, or a combination thereof, except that the per-share exercise price for the shares to be issued pursuant to the exercise of a stock appreciation right will be no less than 100% of the fair market value per share on the date of grant.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02"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Restricted stock may be granted under our 2020 Plan. Restricted stock awards are grants of shares of our common stock that may vest in accordance with terms and conditions established by the administrator. The administrator will determine the number of shares of restricted stock granted to any employee, director or consultant and, subject to the provisions of our 2020 Plan, will determine the terms and conditions of such awards. The administrator may impose whatever vesting conditions (if any) it determines to be appropriate (for example, the administrator may set restrictions based on the achievement of specific performance goals or continued service to us), and the administrator, in its sole discretion, may accelerate the time at which any restrictions will lapse or be removed. Recipients of restricted stock awards generally will have voting and dividend rights with respect to such shares upon grant, unless the administrator provides otherwise. Shares of restricted stock that do not vest are subject to our right of repurchase or forfeiture.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02" w:lineRule="exact"/>
        <w:rPr>
          <w:sz w:val="20"/>
          <w:szCs w:val="20"/>
          <w:color w:val="auto"/>
        </w:rPr>
      </w:pPr>
    </w:p>
    <w:p>
      <w:pPr>
        <w:ind w:firstLine="576"/>
        <w:spacing w:after="0" w:line="277" w:lineRule="auto"/>
        <w:rPr>
          <w:sz w:val="20"/>
          <w:szCs w:val="20"/>
          <w:color w:val="auto"/>
        </w:rPr>
      </w:pPr>
      <w:r>
        <w:rPr>
          <w:rFonts w:ascii="Arial" w:cs="Arial" w:eastAsia="Arial" w:hAnsi="Arial"/>
          <w:sz w:val="17"/>
          <w:szCs w:val="17"/>
          <w:color w:val="auto"/>
        </w:rPr>
        <w:t>Restricted stock units may be granted under our 2020 Plan. Restricted stock units are bookkeeping entries representing an amount equal to the fair market value of one share of our common stock. Subject to the provisions of our 2020 Plan, the administrator determines the terms and conditions of restricted stock units, including any vesting criteria and the form and timing of payment. The administrator may set</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86" w:right="379" w:bottom="1440" w:gutter="0" w:footer="0" w:header="0"/>
        </w:sectPr>
      </w:pPr>
    </w:p>
    <w:bookmarkStart w:id="168" w:name="page169"/>
    <w:bookmarkEnd w:id="168"/>
    <w:p>
      <w:pPr>
        <w:ind w:right="80"/>
        <w:spacing w:after="0" w:line="245" w:lineRule="auto"/>
        <w:rPr>
          <w:sz w:val="20"/>
          <w:szCs w:val="20"/>
          <w:color w:val="auto"/>
        </w:rPr>
      </w:pPr>
      <w:r>
        <w:rPr>
          <w:rFonts w:ascii="Arial" w:cs="Arial" w:eastAsia="Arial" w:hAnsi="Arial"/>
          <w:sz w:val="18"/>
          <w:szCs w:val="18"/>
          <w:color w:val="auto"/>
        </w:rPr>
        <w:t>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Awards</w:t>
      </w:r>
    </w:p>
    <w:p>
      <w:pPr>
        <w:spacing w:after="0" w:line="102" w:lineRule="exact"/>
        <w:rPr>
          <w:sz w:val="20"/>
          <w:szCs w:val="20"/>
          <w:color w:val="auto"/>
        </w:rPr>
      </w:pPr>
    </w:p>
    <w:p>
      <w:pPr>
        <w:ind w:right="60" w:firstLine="576"/>
        <w:spacing w:after="0"/>
        <w:rPr>
          <w:sz w:val="20"/>
          <w:szCs w:val="20"/>
          <w:color w:val="auto"/>
        </w:rPr>
      </w:pPr>
      <w:r>
        <w:rPr>
          <w:rFonts w:ascii="Arial" w:cs="Arial" w:eastAsia="Arial" w:hAnsi="Arial"/>
          <w:sz w:val="18"/>
          <w:szCs w:val="18"/>
          <w:color w:val="auto"/>
        </w:rPr>
        <w:t>Performance awards may be granted under the 2020 Plan. Performance awards are awards that may be earned in whole or in part on the attainment of performance goals or other vesting criteria that the administrator may determine, and that may be denominated in cash or stock. Each performance award will have an initial value that is determined by the administrator. Subject to the terms and conditions of the 2020 Plan, the administrator determines the terms and conditions of performance awards,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performance awards in the form of cash, shares, or a combination of both. Notwithstanding the foregoing, the administrator, in its sole discretion, may accelerate the time at which any restrictions will lapse or be removed.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Outside Directors</w:t>
      </w:r>
    </w:p>
    <w:p>
      <w:pPr>
        <w:spacing w:after="0" w:line="102" w:lineRule="exact"/>
        <w:rPr>
          <w:sz w:val="20"/>
          <w:szCs w:val="20"/>
          <w:color w:val="auto"/>
        </w:rPr>
      </w:pPr>
    </w:p>
    <w:p>
      <w:pPr>
        <w:ind w:right="80" w:firstLine="576"/>
        <w:spacing w:after="0" w:line="239" w:lineRule="auto"/>
        <w:rPr>
          <w:sz w:val="20"/>
          <w:szCs w:val="20"/>
          <w:color w:val="auto"/>
        </w:rPr>
      </w:pPr>
      <w:r>
        <w:rPr>
          <w:rFonts w:ascii="Arial" w:cs="Arial" w:eastAsia="Arial" w:hAnsi="Arial"/>
          <w:sz w:val="18"/>
          <w:szCs w:val="18"/>
          <w:color w:val="auto"/>
        </w:rPr>
        <w:t>All outside (non-employee) directors are eligible to receive all types of awards (except for incentive stock options) under our 2020 Plan. In September 2020, our board of directors adopted and our stockholders approved a formal Outside Director Compensation Policy pursuant to which our outside directors are eligible to receive certain equity awards under our 2020 Plan. Our 2020 Plan provides that in any given fiscal year, no outside director may be granted awards (the value of which is based on their grant date fair value) under our 2020 Plan and be provided any other compensation (including without limitation any cash retainers and fees) that in the aggregate exceed $500,000, provided that in the fiscal year of the individual’s initial service as an outside director, such amount is increased to $750,000. The grant date fair values of awards granted under our 2020 Plan will be determined according to U.S. Generally Accepted Accounting Principles. Any awards or other compensation provided to an individual for his or her services as an employee or a consultant (other than an outside director), or prior to the effective date of the registration statement related to our initial public offering, will not count toward this limit. This maximum limit provision does not reflect the intended size of any potential grants or a commitment to make grants to our outside directors under our 2020 Plan in the future.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Non-Transferability of Awards</w:t>
      </w:r>
    </w:p>
    <w:p>
      <w:pPr>
        <w:spacing w:after="0" w:line="102"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Unless the administrator provides otherwise, our 2020 Plan generally does not allow for the transfer of awards other than by will or the laws of descent and distribution, and only the recipient of an award may exercise an award during his or her lifetime. If the administrator makes an award transferrable, such award will contain such additional terms and conditions as the administrator deems appropriate.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Adjustments</w:t>
      </w:r>
    </w:p>
    <w:p>
      <w:pPr>
        <w:spacing w:after="0" w:line="102"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In the event of certain changes in our capitalization, such as a dividend or other distribution, recapitalization, stock split, reverse stock split, reorganization, merger, consolidation, split-up, spin-off, combination, reclassification, repurchase or exchange of our shares or other securities or other change in our corporate structure affecting our shares (other than ordinary dividends or other ordinary distributions), to prevent diminution or enlargement of the benefits or potential benefits available under our 2020 Plan, the administrator will adjust the number and class of shares that may be delivered under our 2020 Plan and/or the number, class and price of shares covered by each outstanding award and any numerical share limits set forth in our 2020 Plan.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i w:val="1"/>
          <w:iCs w:val="1"/>
          <w:color w:val="auto"/>
        </w:rPr>
        <w:t>Dissolution or Liquidation</w:t>
      </w:r>
    </w:p>
    <w:p>
      <w:pPr>
        <w:spacing w:after="0" w:line="102" w:lineRule="exact"/>
        <w:rPr>
          <w:sz w:val="20"/>
          <w:szCs w:val="20"/>
          <w:color w:val="auto"/>
        </w:rPr>
      </w:pPr>
    </w:p>
    <w:p>
      <w:pPr>
        <w:ind w:right="200" w:firstLine="576"/>
        <w:spacing w:after="0" w:line="276" w:lineRule="auto"/>
        <w:rPr>
          <w:sz w:val="20"/>
          <w:szCs w:val="20"/>
          <w:color w:val="auto"/>
        </w:rPr>
      </w:pPr>
      <w:r>
        <w:rPr>
          <w:rFonts w:ascii="Arial" w:cs="Arial" w:eastAsia="Arial" w:hAnsi="Arial"/>
          <w:sz w:val="18"/>
          <w:szCs w:val="18"/>
          <w:color w:val="auto"/>
        </w:rPr>
        <w:t>In the event of our proposed liquidation or dissolution, the administrator will notify participants as soon as practicable and all awards will terminate immediately prior to the consummation of such proposed transaction.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or Change in Control</w:t>
      </w:r>
    </w:p>
    <w:p>
      <w:pPr>
        <w:spacing w:after="0" w:line="102"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Our 2020 Plan provides that in the event of our merger or change in control, as defined in our 2020 Plan, each outstanding award will be treated as the administrator determines, without a participant’s consent. The administrator may provide that awards granted under the 2020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174"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If a successor corporation or its parent or subsidiary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prior to the transaction, unless specifically provided otherwise under the applicable award agreement or other written agreement with the participant. The award (or its applicable portion) will then terminate upon the expiration of the specified period of time.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w:t>
      </w:r>
    </w:p>
    <w:p>
      <w:pPr>
        <w:spacing w:after="0" w:line="176"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If an outside director’s awards are assumed or substituted for in our merger or change in control and the service of such outside director is terminated (other than upon his or her voluntary resignation that does not include a resignation at the request of the acquirer) on or 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with the outside director.</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Clawback</w:t>
      </w:r>
    </w:p>
    <w:p>
      <w:pPr>
        <w:spacing w:after="0" w:line="102"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Awards are subject to any clawback policy of ours, which we may establish and/or amend from time to time to comply with applicable laws. The administrator also may specify in an award agreement that the participant’s rights, payments and benefits with respect to an award will be subject to reduction, cancellation, forfeiture or recoupment upon the occurrence of certain specified events. Our board of directors may require a participant to forfeit, return or reimburse us all or a portion of the award and any amounts paid under the award in order to comply with any clawback policy of ours or applicable laws.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Termination</w:t>
      </w:r>
    </w:p>
    <w:p>
      <w:pPr>
        <w:spacing w:after="0" w:line="102" w:lineRule="exact"/>
        <w:rPr>
          <w:sz w:val="20"/>
          <w:szCs w:val="20"/>
          <w:color w:val="auto"/>
        </w:rPr>
      </w:pPr>
    </w:p>
    <w:p>
      <w:pPr>
        <w:ind w:right="260" w:firstLine="576"/>
        <w:spacing w:after="0" w:line="255" w:lineRule="auto"/>
        <w:rPr>
          <w:sz w:val="20"/>
          <w:szCs w:val="20"/>
          <w:color w:val="auto"/>
        </w:rPr>
      </w:pPr>
      <w:r>
        <w:rPr>
          <w:rFonts w:ascii="Arial" w:cs="Arial" w:eastAsia="Arial" w:hAnsi="Arial"/>
          <w:sz w:val="18"/>
          <w:szCs w:val="18"/>
          <w:color w:val="auto"/>
        </w:rPr>
        <w:t>The administrator has the authority to amend, suspend or terminate our 2020 Plan, provided such action does not materially impair the rights of any participant unless mutually agreed otherwise. Our 2020 Plan will remain in effect until terminated in accordance with its terms.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04" w:lineRule="exact"/>
        <w:rPr>
          <w:sz w:val="20"/>
          <w:szCs w:val="20"/>
          <w:color w:val="auto"/>
        </w:rPr>
      </w:pPr>
    </w:p>
    <w:p>
      <w:pPr>
        <w:ind w:right="640" w:firstLine="576"/>
        <w:spacing w:after="0" w:line="255" w:lineRule="auto"/>
        <w:rPr>
          <w:sz w:val="20"/>
          <w:szCs w:val="20"/>
          <w:color w:val="auto"/>
        </w:rPr>
      </w:pPr>
      <w:r>
        <w:rPr>
          <w:rFonts w:ascii="Arial" w:cs="Arial" w:eastAsia="Arial" w:hAnsi="Arial"/>
          <w:sz w:val="18"/>
          <w:szCs w:val="18"/>
          <w:color w:val="auto"/>
        </w:rPr>
        <w:t>In August 2020, our board of directors adopted, and in September 2020 our stockholders approved, our 2020 Employee Stock Purchase Plan, or the ESPP. Our ESPP became effective one business day immediately before the effective date of the registration statement related to our initial public offering.</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i w:val="1"/>
          <w:iCs w:val="1"/>
          <w:color w:val="auto"/>
        </w:rPr>
        <w:t>Authorized Shares</w:t>
      </w:r>
    </w:p>
    <w:p>
      <w:pPr>
        <w:spacing w:after="0" w:line="102" w:lineRule="exact"/>
        <w:rPr>
          <w:sz w:val="20"/>
          <w:szCs w:val="20"/>
          <w:color w:val="auto"/>
        </w:rPr>
      </w:pPr>
    </w:p>
    <w:p>
      <w:pPr>
        <w:ind w:right="100" w:firstLine="576"/>
        <w:spacing w:after="0" w:line="245" w:lineRule="auto"/>
        <w:rPr>
          <w:sz w:val="20"/>
          <w:szCs w:val="20"/>
          <w:color w:val="auto"/>
        </w:rPr>
      </w:pPr>
      <w:r>
        <w:rPr>
          <w:rFonts w:ascii="Arial" w:cs="Arial" w:eastAsia="Arial" w:hAnsi="Arial"/>
          <w:sz w:val="18"/>
          <w:szCs w:val="18"/>
          <w:color w:val="auto"/>
        </w:rPr>
        <w:t>The maximum number of shares of our common stock available for issuance under our ESPP equals 647,851 shares of our common stock (which includes 324,851 shares of common stock which were automatically added to the number of shares reserved for issuance on January 1, 2021 pursuant to the terms of the ESPP). The number of shares reserved for issuance under our ESPP includes an annual increase in the number of shares of our common stock available for issuance under our ESPP on the first day of each of our fiscal years beginning with our fiscal year 2021, in an amount equal to the least of:</w:t>
      </w:r>
    </w:p>
    <w:p>
      <w:pPr>
        <w:spacing w:after="0" w:line="64" w:lineRule="exact"/>
        <w:rPr>
          <w:sz w:val="20"/>
          <w:szCs w:val="20"/>
          <w:color w:val="auto"/>
        </w:rPr>
      </w:pPr>
    </w:p>
    <w:p>
      <w:pPr>
        <w:ind w:left="1300" w:hanging="442"/>
        <w:spacing w:after="0"/>
        <w:tabs>
          <w:tab w:leader="none" w:pos="1300" w:val="left"/>
        </w:tabs>
        <w:numPr>
          <w:ilvl w:val="0"/>
          <w:numId w:val="102"/>
        </w:numPr>
        <w:rPr>
          <w:rFonts w:ascii="Times New Roman" w:cs="Times New Roman" w:eastAsia="Times New Roman" w:hAnsi="Times New Roman"/>
          <w:sz w:val="18"/>
          <w:szCs w:val="18"/>
          <w:color w:val="auto"/>
        </w:rPr>
      </w:pPr>
      <w:r>
        <w:rPr>
          <w:rFonts w:ascii="Arial" w:cs="Arial" w:eastAsia="Arial" w:hAnsi="Arial"/>
          <w:sz w:val="18"/>
          <w:szCs w:val="18"/>
          <w:color w:val="auto"/>
        </w:rPr>
        <w:t>646,000 shares;</w:t>
      </w:r>
    </w:p>
    <w:p>
      <w:pPr>
        <w:spacing w:after="0" w:line="116" w:lineRule="exact"/>
        <w:rPr>
          <w:rFonts w:ascii="Times New Roman" w:cs="Times New Roman" w:eastAsia="Times New Roman" w:hAnsi="Times New Roman"/>
          <w:sz w:val="18"/>
          <w:szCs w:val="18"/>
          <w:color w:val="auto"/>
        </w:rPr>
      </w:pPr>
    </w:p>
    <w:p>
      <w:pPr>
        <w:ind w:left="1300" w:right="120" w:hanging="442"/>
        <w:spacing w:after="0" w:line="275" w:lineRule="auto"/>
        <w:tabs>
          <w:tab w:leader="none" w:pos="1300" w:val="left"/>
        </w:tabs>
        <w:numPr>
          <w:ilvl w:val="0"/>
          <w:numId w:val="102"/>
        </w:numPr>
        <w:rPr>
          <w:rFonts w:ascii="Times New Roman" w:cs="Times New Roman" w:eastAsia="Times New Roman" w:hAnsi="Times New Roman"/>
          <w:sz w:val="18"/>
          <w:szCs w:val="18"/>
          <w:color w:val="auto"/>
        </w:rPr>
      </w:pPr>
      <w:r>
        <w:rPr>
          <w:rFonts w:ascii="Arial" w:cs="Arial" w:eastAsia="Arial" w:hAnsi="Arial"/>
          <w:sz w:val="18"/>
          <w:szCs w:val="18"/>
          <w:color w:val="auto"/>
        </w:rPr>
        <w:t>one percent (1%) of the outstanding shares of all classes of our common stock on the last day of our immediately preceding fiscal year; and</w:t>
      </w:r>
    </w:p>
    <w:p>
      <w:pPr>
        <w:spacing w:after="0" w:line="37" w:lineRule="exact"/>
        <w:rPr>
          <w:rFonts w:ascii="Times New Roman" w:cs="Times New Roman" w:eastAsia="Times New Roman" w:hAnsi="Times New Roman"/>
          <w:sz w:val="18"/>
          <w:szCs w:val="18"/>
          <w:color w:val="auto"/>
        </w:rPr>
      </w:pPr>
    </w:p>
    <w:p>
      <w:pPr>
        <w:ind w:left="1300" w:right="440" w:hanging="442"/>
        <w:spacing w:after="0" w:line="275" w:lineRule="auto"/>
        <w:tabs>
          <w:tab w:leader="none" w:pos="1300" w:val="left"/>
        </w:tabs>
        <w:numPr>
          <w:ilvl w:val="0"/>
          <w:numId w:val="102"/>
        </w:numPr>
        <w:rPr>
          <w:rFonts w:ascii="Times New Roman" w:cs="Times New Roman" w:eastAsia="Times New Roman" w:hAnsi="Times New Roman"/>
          <w:sz w:val="18"/>
          <w:szCs w:val="18"/>
          <w:color w:val="auto"/>
        </w:rPr>
      </w:pPr>
      <w:r>
        <w:rPr>
          <w:rFonts w:ascii="Arial" w:cs="Arial" w:eastAsia="Arial" w:hAnsi="Arial"/>
          <w:sz w:val="18"/>
          <w:szCs w:val="18"/>
          <w:color w:val="auto"/>
        </w:rPr>
        <w:t>such other number of shares as our board of directors may determine as of no later than the last day of our immediately preceding fiscal year.</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Shares issuable under the ESPP will be authorized, but unissued, or reacquired shares of our common stock.</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Administration</w:t>
      </w:r>
    </w:p>
    <w:p>
      <w:pPr>
        <w:spacing w:after="0" w:line="102" w:lineRule="exact"/>
        <w:rPr>
          <w:sz w:val="20"/>
          <w:szCs w:val="20"/>
          <w:color w:val="auto"/>
        </w:rPr>
      </w:pPr>
    </w:p>
    <w:p>
      <w:pPr>
        <w:ind w:firstLine="576"/>
        <w:spacing w:after="0" w:line="207" w:lineRule="exact"/>
        <w:rPr>
          <w:sz w:val="20"/>
          <w:szCs w:val="20"/>
          <w:color w:val="auto"/>
        </w:rPr>
      </w:pPr>
      <w:r>
        <w:rPr>
          <w:rFonts w:ascii="Arial" w:cs="Arial" w:eastAsia="Arial" w:hAnsi="Arial"/>
          <w:sz w:val="18"/>
          <w:szCs w:val="18"/>
          <w:color w:val="auto"/>
        </w:rPr>
        <w:t>Our board of directors or a committee appointed by our board of directors may administer the ESPP. Our compensation committee currently administers our ESPP. The administrator has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non</w:t>
      </w:r>
      <w:r>
        <w:rPr>
          <w:rFonts w:ascii="MS PGothic" w:cs="MS PGothic" w:eastAsia="MS PGothic" w:hAnsi="MS PGothic"/>
          <w:sz w:val="18"/>
          <w:szCs w:val="18"/>
          <w:color w:val="auto"/>
        </w:rPr>
        <w:t>‑</w:t>
      </w:r>
      <w:r>
        <w:rPr>
          <w:rFonts w:ascii="Arial" w:cs="Arial" w:eastAsia="Arial" w:hAnsi="Arial"/>
          <w:sz w:val="18"/>
          <w:szCs w:val="18"/>
          <w:color w:val="auto"/>
        </w:rPr>
        <w:t>U.S. nationals or employed outside the U.S. The administrator’s findings, decisions, and determinations are final and binding on all participants to the maximum extent permitted by law.</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102" w:lineRule="exact"/>
        <w:rPr>
          <w:sz w:val="20"/>
          <w:szCs w:val="20"/>
          <w:color w:val="auto"/>
        </w:rPr>
      </w:pPr>
    </w:p>
    <w:p>
      <w:pPr>
        <w:ind w:right="120" w:firstLine="576"/>
        <w:spacing w:after="0" w:line="241" w:lineRule="auto"/>
        <w:rPr>
          <w:sz w:val="20"/>
          <w:szCs w:val="20"/>
          <w:color w:val="auto"/>
        </w:rPr>
      </w:pPr>
      <w:r>
        <w:rPr>
          <w:rFonts w:ascii="Arial" w:cs="Arial" w:eastAsia="Arial" w:hAnsi="Arial"/>
          <w:sz w:val="18"/>
          <w:szCs w:val="18"/>
          <w:color w:val="auto"/>
        </w:rPr>
        <w:t>Generally, any of our employees are eligible to participate in our ESPP if they are customarily employed by us or any of our participating subsidiaries for at least 20 hours per week and more than five months in any calendar year. The administrator, in its discretion, before an enrollment date for all options granted on such enrollment date in an offering, may determine that an employee who (1) has not completed at least two years of service (or a lesser period of time determined by the administrator) since the employee’s last hire date,</w:t>
      </w:r>
    </w:p>
    <w:p>
      <w:pPr>
        <w:spacing w:after="0" w:line="1" w:lineRule="exact"/>
        <w:rPr>
          <w:sz w:val="20"/>
          <w:szCs w:val="20"/>
          <w:color w:val="auto"/>
        </w:rPr>
      </w:pPr>
    </w:p>
    <w:p>
      <w:pPr>
        <w:ind w:firstLine="8"/>
        <w:spacing w:after="0" w:line="237" w:lineRule="auto"/>
        <w:tabs>
          <w:tab w:leader="none" w:pos="27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customarily works not more than 20 hours per week (or a lesser period of time determined by the administrator), (3) customarily works not more than five months per calendar year (or a lesser period of time determined by the administrator), (4) is a highly compensated employee within the meaning of Code Section 414(q), or (5) is a highly compensated employee within the meaning of Code Section 414(q) with compensation above a certain level or who is an officer or subject to disclosure requirements under Section 16(a) of the Exchange Act, is or is not eligible to participate in an offering. However, an employee may not be granted an option to purchase stock under our ESPP if the employee (1) immediately after the grant, would own stock and/or hold outstanding options to purchase such stock possessing 5% or more of the total combined voting power or value of all classes of our (or any of our parent’s or subsidiary’s) capital stock, or (2) holds rights to purchase stock under all of our employee stock purchase plans that accrue at a rate that exceeds $25,000 worth of stock for each calendar year.</w:t>
      </w:r>
    </w:p>
    <w:p>
      <w:pPr>
        <w:spacing w:after="0" w:line="177" w:lineRule="exact"/>
        <w:rPr>
          <w:sz w:val="20"/>
          <w:szCs w:val="20"/>
          <w:color w:val="auto"/>
        </w:rPr>
      </w:pPr>
    </w:p>
    <w:p>
      <w:pPr>
        <w:ind w:right="80" w:firstLine="576"/>
        <w:spacing w:after="0" w:line="276" w:lineRule="auto"/>
        <w:rPr>
          <w:sz w:val="20"/>
          <w:szCs w:val="20"/>
          <w:color w:val="auto"/>
        </w:rPr>
      </w:pPr>
      <w:r>
        <w:rPr>
          <w:rFonts w:ascii="Arial" w:cs="Arial" w:eastAsia="Arial" w:hAnsi="Arial"/>
          <w:sz w:val="18"/>
          <w:szCs w:val="18"/>
          <w:color w:val="auto"/>
        </w:rPr>
        <w:t>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i w:val="1"/>
          <w:iCs w:val="1"/>
          <w:color w:val="auto"/>
        </w:rPr>
        <w:t>Offering Periods and Purchase Periods</w:t>
      </w:r>
    </w:p>
    <w:p>
      <w:pPr>
        <w:spacing w:after="0" w:line="102" w:lineRule="exact"/>
        <w:rPr>
          <w:sz w:val="20"/>
          <w:szCs w:val="20"/>
          <w:color w:val="auto"/>
        </w:rPr>
      </w:pPr>
    </w:p>
    <w:p>
      <w:pPr>
        <w:ind w:right="60" w:firstLine="576"/>
        <w:spacing w:after="0" w:line="206" w:lineRule="exact"/>
        <w:rPr>
          <w:sz w:val="20"/>
          <w:szCs w:val="20"/>
          <w:color w:val="auto"/>
        </w:rPr>
      </w:pPr>
      <w:r>
        <w:rPr>
          <w:rFonts w:ascii="Arial" w:cs="Arial" w:eastAsia="Arial" w:hAnsi="Arial"/>
          <w:sz w:val="18"/>
          <w:szCs w:val="18"/>
          <w:color w:val="auto"/>
        </w:rPr>
        <w:t>Our ESPP includes a component, or the 423 Component, that is intended to qualify as an “employee stock purchase plan” under Code Section 423, and a component that does not comply with Code Section 423, or the Non</w:t>
      </w:r>
      <w:r>
        <w:rPr>
          <w:rFonts w:ascii="MS PGothic" w:cs="MS PGothic" w:eastAsia="MS PGothic" w:hAnsi="MS PGothic"/>
          <w:sz w:val="18"/>
          <w:szCs w:val="18"/>
          <w:color w:val="auto"/>
        </w:rPr>
        <w:t>‑</w:t>
      </w:r>
      <w:r>
        <w:rPr>
          <w:rFonts w:ascii="Arial" w:cs="Arial" w:eastAsia="Arial" w:hAnsi="Arial"/>
          <w:sz w:val="18"/>
          <w:szCs w:val="18"/>
          <w:color w:val="auto"/>
        </w:rPr>
        <w:t>423 Component. For purposes of this summary, a reference to our ESPP generally will mean the terms and operations of the 423 Component. Our ESPP provides for consecutive six-month offering periods. Each offering period will have one purchase period with the same duration as the offering period. The offering periods are scheduled to begin on the first trading day on or after May 18</w:t>
      </w:r>
      <w:r>
        <w:rPr>
          <w:rFonts w:ascii="Arial" w:cs="Arial" w:eastAsia="Arial" w:hAnsi="Arial"/>
          <w:sz w:val="15"/>
          <w:szCs w:val="15"/>
          <w:color w:val="auto"/>
        </w:rPr>
        <w:t>th</w:t>
      </w:r>
      <w:r>
        <w:rPr>
          <w:rFonts w:ascii="Arial" w:cs="Arial" w:eastAsia="Arial" w:hAnsi="Arial"/>
          <w:sz w:val="18"/>
          <w:szCs w:val="18"/>
          <w:color w:val="auto"/>
        </w:rPr>
        <w:t xml:space="preserve"> and November 18</w:t>
      </w:r>
      <w:r>
        <w:rPr>
          <w:rFonts w:ascii="Arial" w:cs="Arial" w:eastAsia="Arial" w:hAnsi="Arial"/>
          <w:sz w:val="15"/>
          <w:szCs w:val="15"/>
          <w:color w:val="auto"/>
        </w:rPr>
        <w:t>th</w:t>
      </w:r>
      <w:r>
        <w:rPr>
          <w:rFonts w:ascii="Arial" w:cs="Arial" w:eastAsia="Arial" w:hAnsi="Arial"/>
          <w:sz w:val="18"/>
          <w:szCs w:val="18"/>
          <w:color w:val="auto"/>
        </w:rPr>
        <w:t xml:space="preserve"> of each year, except for the first offering period, which began on the first trading day on or after the effective date of the registration statement relating to our initial public offering and ends on the first trading day on or after May 18, 2021. The administrator is authorized to change the duration of future offering periods and purchase periods under our ESPP, including the starting and ending dates of offering periods and purchase periods and the number of purchase periods in any offering period, provided that no offering period will have a duration exceeding 27 months. If the fair market value of a share of our common stock on a purchase date is less than the fair market value on the first trading day of the offering period, participants in that offering period will be withdrawn from that offering period following their purchase of shares on that purchase date and automatically will be enrolled in a new offering period.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Contributions</w:t>
      </w:r>
    </w:p>
    <w:p>
      <w:pPr>
        <w:spacing w:after="0" w:line="102" w:lineRule="exact"/>
        <w:rPr>
          <w:sz w:val="20"/>
          <w:szCs w:val="20"/>
          <w:color w:val="auto"/>
        </w:rPr>
      </w:pPr>
    </w:p>
    <w:p>
      <w:pPr>
        <w:ind w:right="540" w:firstLine="576"/>
        <w:spacing w:after="0" w:line="255" w:lineRule="auto"/>
        <w:rPr>
          <w:sz w:val="20"/>
          <w:szCs w:val="20"/>
          <w:color w:val="auto"/>
        </w:rPr>
      </w:pPr>
      <w:r>
        <w:rPr>
          <w:rFonts w:ascii="Arial" w:cs="Arial" w:eastAsia="Arial" w:hAnsi="Arial"/>
          <w:sz w:val="18"/>
          <w:szCs w:val="18"/>
          <w:color w:val="auto"/>
        </w:rPr>
        <w:t>Our ESPP permits participants to purchase shares of our common stock through payroll deductions of up 15% of their eligible compensation, which includes a participant’s base straight time gross earnings but excludes payments for overtime and shift premium, incentive compensation, bonuses, commissions, equity compensation, and other similar compensation.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Purchase Right</w:t>
      </w:r>
    </w:p>
    <w:p>
      <w:pPr>
        <w:spacing w:after="0" w:line="102" w:lineRule="exact"/>
        <w:rPr>
          <w:sz w:val="20"/>
          <w:szCs w:val="20"/>
          <w:color w:val="auto"/>
        </w:rPr>
      </w:pPr>
    </w:p>
    <w:p>
      <w:pPr>
        <w:jc w:val="both"/>
        <w:ind w:firstLine="576"/>
        <w:spacing w:after="0" w:line="248" w:lineRule="auto"/>
        <w:rPr>
          <w:sz w:val="20"/>
          <w:szCs w:val="20"/>
          <w:color w:val="auto"/>
        </w:rPr>
      </w:pPr>
      <w:r>
        <w:rPr>
          <w:rFonts w:ascii="Arial" w:cs="Arial" w:eastAsia="Arial" w:hAnsi="Arial"/>
          <w:sz w:val="18"/>
          <w:szCs w:val="18"/>
          <w:color w:val="auto"/>
        </w:rPr>
        <w:t>Amounts deducted and accumulated by a participant under our ESPP are used to purchase shares of our common stock at the end of each purchase period. The purchase price of the shares will be 85% of the lower of (1) the fair market value of a share of our common stock on the first trading day of the offering period and (2) the fair market value of a share of our common stock on the exercise date. A participant is permitted to purchase a maximum of 5,000 shares during each offering period.</w:t>
      </w:r>
    </w:p>
    <w:p>
      <w:pPr>
        <w:spacing w:after="0" w:line="254"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Non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transferability</w:t>
      </w:r>
    </w:p>
    <w:p>
      <w:pPr>
        <w:spacing w:after="0" w:line="128" w:lineRule="exact"/>
        <w:rPr>
          <w:sz w:val="20"/>
          <w:szCs w:val="20"/>
          <w:color w:val="auto"/>
        </w:rPr>
      </w:pPr>
    </w:p>
    <w:p>
      <w:pPr>
        <w:ind w:right="180" w:firstLine="576"/>
        <w:spacing w:after="0" w:line="276" w:lineRule="auto"/>
        <w:rPr>
          <w:sz w:val="20"/>
          <w:szCs w:val="20"/>
          <w:color w:val="auto"/>
        </w:rPr>
      </w:pPr>
      <w:r>
        <w:rPr>
          <w:rFonts w:ascii="Arial" w:cs="Arial" w:eastAsia="Arial" w:hAnsi="Arial"/>
          <w:sz w:val="18"/>
          <w:szCs w:val="18"/>
          <w:color w:val="auto"/>
        </w:rPr>
        <w:t>A participant may not transfer the contributions credited to his or her ESPP account or rights granted under our ESPP, other than by will or the laws of descent and distribution.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Adjustments</w:t>
      </w:r>
    </w:p>
    <w:p>
      <w:pPr>
        <w:spacing w:after="0" w:line="102" w:lineRule="exact"/>
        <w:rPr>
          <w:sz w:val="20"/>
          <w:szCs w:val="20"/>
          <w:color w:val="auto"/>
        </w:rPr>
      </w:pPr>
    </w:p>
    <w:p>
      <w:pPr>
        <w:ind w:firstLine="576"/>
        <w:spacing w:after="0" w:line="207" w:lineRule="exact"/>
        <w:rPr>
          <w:sz w:val="20"/>
          <w:szCs w:val="20"/>
          <w:color w:val="auto"/>
        </w:rPr>
      </w:pPr>
      <w:r>
        <w:rPr>
          <w:rFonts w:ascii="Arial" w:cs="Arial" w:eastAsia="Arial" w:hAnsi="Arial"/>
          <w:sz w:val="18"/>
          <w:szCs w:val="18"/>
          <w:color w:val="auto"/>
        </w:rPr>
        <w:t>Our ESPP provides that if any dividend or other distribution (whether in the form of cash, our common stock, other securities, or other property), recapitalization, stock split, reverse stock split, reorganization, merger, consolidation, split</w:t>
      </w:r>
      <w:r>
        <w:rPr>
          <w:rFonts w:ascii="MS PGothic" w:cs="MS PGothic" w:eastAsia="MS PGothic" w:hAnsi="MS PGothic"/>
          <w:sz w:val="18"/>
          <w:szCs w:val="18"/>
          <w:color w:val="auto"/>
        </w:rPr>
        <w:t>‑</w:t>
      </w:r>
      <w:r>
        <w:rPr>
          <w:rFonts w:ascii="Arial" w:cs="Arial" w:eastAsia="Arial" w:hAnsi="Arial"/>
          <w:sz w:val="18"/>
          <w:szCs w:val="18"/>
          <w:color w:val="auto"/>
        </w:rPr>
        <w:t>up, spin</w:t>
      </w:r>
      <w:r>
        <w:rPr>
          <w:rFonts w:ascii="MS PGothic" w:cs="MS PGothic" w:eastAsia="MS PGothic" w:hAnsi="MS PGothic"/>
          <w:sz w:val="18"/>
          <w:szCs w:val="18"/>
          <w:color w:val="auto"/>
        </w:rPr>
        <w:t>‑</w:t>
      </w:r>
      <w:r>
        <w:rPr>
          <w:rFonts w:ascii="Arial" w:cs="Arial" w:eastAsia="Arial" w:hAnsi="Arial"/>
          <w:sz w:val="18"/>
          <w:szCs w:val="18"/>
          <w:color w:val="auto"/>
        </w:rPr>
        <w:t>off, combination, reclassification, repurchase, or exchange of our common stock or other securities of ours, or other change in our corporate structure affecting our common stock occurs (other than any ordinary dividends or other ordinary distributions), the administrator will make adjustments to the number and class of shares that may be delivered under our ESPP and/or the purchase price per share and number of shares covered by each option granted under our ESPP that has not yet been exercised, and the numerical share limits under our ESPP. In the event of our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6" w:right="35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i w:val="1"/>
          <w:iCs w:val="1"/>
          <w:color w:val="auto"/>
        </w:rPr>
        <w:t>Merger or Change in Control</w:t>
      </w:r>
    </w:p>
    <w:p>
      <w:pPr>
        <w:spacing w:after="0" w:line="102" w:lineRule="exact"/>
        <w:rPr>
          <w:sz w:val="20"/>
          <w:szCs w:val="20"/>
          <w:color w:val="auto"/>
        </w:rPr>
      </w:pPr>
    </w:p>
    <w:p>
      <w:pPr>
        <w:ind w:right="200" w:firstLine="576"/>
        <w:spacing w:after="0" w:line="245" w:lineRule="auto"/>
        <w:rPr>
          <w:sz w:val="20"/>
          <w:szCs w:val="20"/>
          <w:color w:val="auto"/>
        </w:rPr>
      </w:pPr>
      <w:r>
        <w:rPr>
          <w:rFonts w:ascii="Arial" w:cs="Arial" w:eastAsia="Arial" w:hAnsi="Arial"/>
          <w:sz w:val="18"/>
          <w:szCs w:val="18"/>
          <w:color w:val="auto"/>
        </w:rPr>
        <w:t>In the event of our merger or change in control, as defined in our ESPP, a successor corporation may assume or substitute for each outstanding option. If the successor corporation does not assume or substitute for the options, the offering period then in progress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w:t>
      </w:r>
    </w:p>
    <w:p>
      <w:pPr>
        <w:spacing w:after="0" w:line="102"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The administrator has the authority to modify, amend, suspend, or terminate our ESPP except that, subject to certain exceptions described in our ESPP, no such action may adversely affect any outstanding rights to purchase shares of our common stock under our ESPP. Our ESPP will terminate automatically 20 years after the ESPP’s adoption by our board of directors.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04" w:lineRule="exact"/>
        <w:rPr>
          <w:sz w:val="20"/>
          <w:szCs w:val="20"/>
          <w:color w:val="auto"/>
        </w:rPr>
      </w:pPr>
    </w:p>
    <w:p>
      <w:pPr>
        <w:ind w:right="120" w:firstLine="576"/>
        <w:spacing w:after="0" w:line="258" w:lineRule="auto"/>
        <w:rPr>
          <w:sz w:val="20"/>
          <w:szCs w:val="20"/>
          <w:color w:val="auto"/>
        </w:rPr>
      </w:pPr>
      <w:r>
        <w:rPr>
          <w:rFonts w:ascii="Arial" w:cs="Arial" w:eastAsia="Arial" w:hAnsi="Arial"/>
          <w:sz w:val="17"/>
          <w:szCs w:val="17"/>
          <w:color w:val="auto"/>
        </w:rPr>
        <w:t>We maintain a 401(k) retirement savings plan for the benefit of our employees, including our named executive officers,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Code and the applicable limits under the 401(k) plan on a pre-tax basis, through contributions to the 401(k) plan. All of a participant’s contributions into the 401(k) plan are 100% vested when contributed. The 401(k) plan permits us to make contributions to eligible participants. The 401(k) plan is intended to qualify under Sections 401(a) and 501(a) of the Code. As a tax-qualified retirement plan, pre-tax contributions to the 401(k) plan and earnings on those pre-tax contributions are not taxable to the employees until distributed from the 401(k) plan.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106" w:lineRule="exact"/>
        <w:rPr>
          <w:sz w:val="20"/>
          <w:szCs w:val="20"/>
          <w:color w:val="auto"/>
        </w:rPr>
      </w:pPr>
    </w:p>
    <w:p>
      <w:pPr>
        <w:jc w:val="both"/>
        <w:ind w:right="40" w:firstLine="576"/>
        <w:spacing w:after="0" w:line="255" w:lineRule="auto"/>
        <w:rPr>
          <w:sz w:val="20"/>
          <w:szCs w:val="20"/>
          <w:color w:val="auto"/>
        </w:rPr>
      </w:pPr>
      <w:r>
        <w:rPr>
          <w:rFonts w:ascii="Arial" w:cs="Arial" w:eastAsia="Arial" w:hAnsi="Arial"/>
          <w:sz w:val="18"/>
          <w:szCs w:val="18"/>
          <w:color w:val="auto"/>
        </w:rPr>
        <w:t>Our certificate of incorporation and bylaws provide that we will indemnify our directors and officers, and may indemnify our employees and other agents, to the fullest extent permitted by the Delaware General Corporation Law, which prohibits us from limiting the liability of our directors for the following:</w:t>
      </w:r>
    </w:p>
    <w:p>
      <w:pPr>
        <w:spacing w:after="0" w:line="56" w:lineRule="exact"/>
        <w:rPr>
          <w:sz w:val="20"/>
          <w:szCs w:val="20"/>
          <w:color w:val="auto"/>
        </w:rPr>
      </w:pPr>
    </w:p>
    <w:p>
      <w:pPr>
        <w:ind w:left="1300" w:hanging="442"/>
        <w:spacing w:after="0"/>
        <w:tabs>
          <w:tab w:leader="none" w:pos="1300" w:val="left"/>
        </w:tabs>
        <w:numPr>
          <w:ilvl w:val="0"/>
          <w:numId w:val="104"/>
        </w:numPr>
        <w:rPr>
          <w:rFonts w:ascii="Times New Roman" w:cs="Times New Roman" w:eastAsia="Times New Roman" w:hAnsi="Times New Roman"/>
          <w:sz w:val="18"/>
          <w:szCs w:val="18"/>
          <w:color w:val="auto"/>
        </w:rPr>
      </w:pPr>
      <w:r>
        <w:rPr>
          <w:rFonts w:ascii="Arial" w:cs="Arial" w:eastAsia="Arial" w:hAnsi="Arial"/>
          <w:sz w:val="18"/>
          <w:szCs w:val="18"/>
          <w:color w:val="auto"/>
        </w:rPr>
        <w:t>any breach of the director’s duty of loyalty to us or to our stockholders;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04"/>
        </w:numPr>
        <w:rPr>
          <w:rFonts w:ascii="Times New Roman" w:cs="Times New Roman" w:eastAsia="Times New Roman" w:hAnsi="Times New Roman"/>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04"/>
        </w:numPr>
        <w:rPr>
          <w:rFonts w:ascii="Times New Roman" w:cs="Times New Roman" w:eastAsia="Times New Roman" w:hAnsi="Times New Roman"/>
          <w:sz w:val="18"/>
          <w:szCs w:val="18"/>
          <w:color w:val="auto"/>
        </w:rPr>
      </w:pPr>
      <w:r>
        <w:rPr>
          <w:rFonts w:ascii="Arial" w:cs="Arial" w:eastAsia="Arial" w:hAnsi="Arial"/>
          <w:sz w:val="18"/>
          <w:szCs w:val="18"/>
          <w:color w:val="auto"/>
        </w:rPr>
        <w:t>unlawful payment of dividends or unlawful stock repurchases or redemptions;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04"/>
        </w:numPr>
        <w:rPr>
          <w:rFonts w:ascii="Times New Roman" w:cs="Times New Roman" w:eastAsia="Times New Roman" w:hAnsi="Times New Roman"/>
          <w:sz w:val="18"/>
          <w:szCs w:val="18"/>
          <w:color w:val="auto"/>
        </w:rPr>
      </w:pPr>
      <w:r>
        <w:rPr>
          <w:rFonts w:ascii="Arial" w:cs="Arial" w:eastAsia="Arial" w:hAnsi="Arial"/>
          <w:sz w:val="18"/>
          <w:szCs w:val="18"/>
          <w:color w:val="auto"/>
        </w:rPr>
        <w:t>any transaction from which the director derived an improper personal benefit.</w:t>
      </w:r>
    </w:p>
    <w:p>
      <w:pPr>
        <w:spacing w:after="0" w:line="224" w:lineRule="exact"/>
        <w:rPr>
          <w:sz w:val="20"/>
          <w:szCs w:val="20"/>
          <w:color w:val="auto"/>
        </w:rPr>
      </w:pPr>
    </w:p>
    <w:p>
      <w:pPr>
        <w:ind w:right="200" w:firstLine="576"/>
        <w:spacing w:after="0" w:line="243" w:lineRule="auto"/>
        <w:rPr>
          <w:sz w:val="20"/>
          <w:szCs w:val="20"/>
          <w:color w:val="auto"/>
        </w:rPr>
      </w:pPr>
      <w:r>
        <w:rPr>
          <w:rFonts w:ascii="Arial" w:cs="Arial" w:eastAsia="Arial" w:hAnsi="Arial"/>
          <w:sz w:val="18"/>
          <w:szCs w:val="18"/>
          <w:color w:val="auto"/>
        </w:rPr>
        <w:t>If Delaware law is amended to authorize corporate action further limiting the personal liability of a director, then the liability of our directors will be limited to the fullest extent permitted by Delaware law, as so amended. Our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bylaws, we will also be empowered to purchase insurance on behalf of any person whom we are required or permitted to indemnify.</w:t>
      </w:r>
    </w:p>
    <w:p>
      <w:pPr>
        <w:spacing w:after="0" w:line="174" w:lineRule="exact"/>
        <w:rPr>
          <w:sz w:val="20"/>
          <w:szCs w:val="20"/>
          <w:color w:val="auto"/>
        </w:rPr>
      </w:pPr>
    </w:p>
    <w:p>
      <w:pPr>
        <w:ind w:right="620" w:firstLine="576"/>
        <w:spacing w:after="0" w:line="248" w:lineRule="auto"/>
        <w:rPr>
          <w:sz w:val="20"/>
          <w:szCs w:val="20"/>
          <w:color w:val="auto"/>
        </w:rPr>
      </w:pPr>
      <w:r>
        <w:rPr>
          <w:rFonts w:ascii="Arial" w:cs="Arial" w:eastAsia="Arial" w:hAnsi="Arial"/>
          <w:sz w:val="18"/>
          <w:szCs w:val="18"/>
          <w:color w:val="auto"/>
        </w:rPr>
        <w:t>In addition to the indemnification required in our certificate of incorporation and bylaws, we have entered into indemnification agreements with each of our current directors, officers and some employees. These agreements provide for the indemnification of our directors, officers and some employees for certain expenses and liabilities incurred in connection with any action, suit, proceeding or alternative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3" w:name="page174"/>
    <w:bookmarkEnd w:id="173"/>
    <w:p>
      <w:pPr>
        <w:spacing w:after="0" w:line="241" w:lineRule="auto"/>
        <w:rPr>
          <w:sz w:val="20"/>
          <w:szCs w:val="20"/>
          <w:color w:val="auto"/>
        </w:rPr>
      </w:pPr>
      <w:r>
        <w:rPr>
          <w:rFonts w:ascii="Arial" w:cs="Arial" w:eastAsia="Arial" w:hAnsi="Arial"/>
          <w:sz w:val="18"/>
          <w:szCs w:val="18"/>
          <w:color w:val="auto"/>
        </w:rPr>
        <w:t>dispute resolution mechanism, or hearing, inquiry or investigation that may lead to the foregoing, to which they are a party, or are threatened to be made a party, by reason of the fact that they are or were a director, officer, employee, agent or fiduciary of us,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us or any of our subsidiaries, no indemnification will be provided for any claim where a court determines that the indemnified party is prohibited from receiving indemnification. We believe that these bylaw provisions and indemnification agreements are necessary to attract and retain qualified persons as directors and officers. We also maintain directors’ and officers’ liability insurance.</w:t>
      </w:r>
    </w:p>
    <w:p>
      <w:pPr>
        <w:spacing w:after="0" w:line="179"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The limitation of liability and indemnification provisions in our certificate of incorporation and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74" w:name="page175"/>
    <w:bookmarkEnd w:id="174"/>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14"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The following is a summary of transactions since January 1, 2018 to which we have been a party in which the amount involved exceeded $120,000 and in which any of our executive officers, directors, promoters or beneficial holders of more than 5% of our capital stock had or will have a direct or indirect material interest, other than compensation arrangements which are described under the section of this prospectus titled “Executive Compensation.”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Related-Person Transactions Policy</w:t>
      </w:r>
    </w:p>
    <w:p>
      <w:pPr>
        <w:spacing w:after="0" w:line="106" w:lineRule="exact"/>
        <w:rPr>
          <w:sz w:val="20"/>
          <w:szCs w:val="20"/>
          <w:color w:val="auto"/>
        </w:rPr>
      </w:pPr>
    </w:p>
    <w:p>
      <w:pPr>
        <w:ind w:right="180" w:firstLine="576"/>
        <w:spacing w:after="0" w:line="245" w:lineRule="auto"/>
        <w:rPr>
          <w:sz w:val="20"/>
          <w:szCs w:val="20"/>
          <w:color w:val="auto"/>
        </w:rPr>
      </w:pPr>
      <w:r>
        <w:rPr>
          <w:rFonts w:ascii="Arial" w:cs="Arial" w:eastAsia="Arial" w:hAnsi="Arial"/>
          <w:sz w:val="18"/>
          <w:szCs w:val="18"/>
          <w:color w:val="auto"/>
        </w:rPr>
        <w:t>We have a formal, written policy that our executive officers, directors (including director nominees), holders of more than 5% of any class of our voting securities and any member of the immediate family of or any entities affiliated with any of the foregoing persons, are not permitted to enter into a related-person transaction with us without the prior approval or, in the case of pending or ongoing related-person transactions, ratification of our audit committee. For purposes of our policy, a related-person transaction is a transaction, arrangement or relationship where we were, are or will be involved and in which a related-person had, has or will have a direct or indirect material interest.</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Certain transactions with related persons, however, are exempted from pre-approval including, but not limited to:</w:t>
      </w:r>
    </w:p>
    <w:p>
      <w:pPr>
        <w:spacing w:after="0" w:line="104" w:lineRule="exact"/>
        <w:rPr>
          <w:sz w:val="20"/>
          <w:szCs w:val="20"/>
          <w:color w:val="auto"/>
        </w:rPr>
      </w:pPr>
    </w:p>
    <w:p>
      <w:pPr>
        <w:ind w:left="1300" w:hanging="442"/>
        <w:spacing w:after="0"/>
        <w:tabs>
          <w:tab w:leader="none" w:pos="1300" w:val="left"/>
        </w:tabs>
        <w:numPr>
          <w:ilvl w:val="0"/>
          <w:numId w:val="105"/>
        </w:numPr>
        <w:rPr>
          <w:rFonts w:ascii="Times New Roman" w:cs="Times New Roman" w:eastAsia="Times New Roman" w:hAnsi="Times New Roman"/>
          <w:sz w:val="18"/>
          <w:szCs w:val="18"/>
          <w:color w:val="auto"/>
        </w:rPr>
      </w:pPr>
      <w:r>
        <w:rPr>
          <w:rFonts w:ascii="Arial" w:cs="Arial" w:eastAsia="Arial" w:hAnsi="Arial"/>
          <w:sz w:val="18"/>
          <w:szCs w:val="18"/>
          <w:color w:val="auto"/>
        </w:rPr>
        <w:t>compensation of our executive officers and directors that is otherwise disclosed in our public filings with the SEC;</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05"/>
        </w:numPr>
        <w:rPr>
          <w:rFonts w:ascii="Times New Roman" w:cs="Times New Roman" w:eastAsia="Times New Roman" w:hAnsi="Times New Roman"/>
          <w:sz w:val="18"/>
          <w:szCs w:val="18"/>
          <w:color w:val="auto"/>
        </w:rPr>
      </w:pPr>
      <w:r>
        <w:rPr>
          <w:rFonts w:ascii="Arial" w:cs="Arial" w:eastAsia="Arial" w:hAnsi="Arial"/>
          <w:sz w:val="18"/>
          <w:szCs w:val="18"/>
          <w:color w:val="auto"/>
        </w:rPr>
        <w:t>compensation, benefits and other transactions available to all of our employees generally;</w:t>
      </w:r>
    </w:p>
    <w:p>
      <w:pPr>
        <w:spacing w:after="0" w:line="116" w:lineRule="exact"/>
        <w:rPr>
          <w:rFonts w:ascii="Times New Roman" w:cs="Times New Roman" w:eastAsia="Times New Roman" w:hAnsi="Times New Roman"/>
          <w:sz w:val="18"/>
          <w:szCs w:val="18"/>
          <w:color w:val="auto"/>
        </w:rPr>
      </w:pPr>
    </w:p>
    <w:p>
      <w:pPr>
        <w:ind w:left="1300" w:right="240" w:hanging="442"/>
        <w:spacing w:after="0" w:line="275" w:lineRule="auto"/>
        <w:tabs>
          <w:tab w:leader="none" w:pos="1300" w:val="left"/>
        </w:tabs>
        <w:numPr>
          <w:ilvl w:val="0"/>
          <w:numId w:val="105"/>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transactions where a related-person’s interest derives solely from his or her service as a director of another entity that is a party to the transaction;</w:t>
      </w:r>
    </w:p>
    <w:p>
      <w:pPr>
        <w:spacing w:after="0" w:line="37"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105"/>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transactions where a related-person’s interest derives solely from his or her ownership of less than 10% of the equity interest in another entity that is a party to the transaction; and</w:t>
      </w:r>
    </w:p>
    <w:p>
      <w:pPr>
        <w:spacing w:after="0" w:line="37" w:lineRule="exact"/>
        <w:rPr>
          <w:rFonts w:ascii="Times New Roman" w:cs="Times New Roman" w:eastAsia="Times New Roman" w:hAnsi="Times New Roman"/>
          <w:sz w:val="18"/>
          <w:szCs w:val="18"/>
          <w:color w:val="auto"/>
        </w:rPr>
      </w:pPr>
    </w:p>
    <w:p>
      <w:pPr>
        <w:ind w:left="1300" w:right="40" w:hanging="442"/>
        <w:spacing w:after="0" w:line="275" w:lineRule="auto"/>
        <w:tabs>
          <w:tab w:leader="none" w:pos="1300" w:val="left"/>
        </w:tabs>
        <w:numPr>
          <w:ilvl w:val="0"/>
          <w:numId w:val="105"/>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transactions where a related-person’s interest derives solely from his or her ownership of a class of our equity securities and all holders of that class received the same benefit on a pro rata basis.</w:t>
      </w:r>
    </w:p>
    <w:p>
      <w:pPr>
        <w:spacing w:after="0" w:line="146"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No member of the audit committee may participate in any review, consideration or approval of any related-person transaction where such member or any of his or her immediate family members is the related-person. In approving or rejecting the proposed agreement, our audit committee shall consider the relevant facts and circumstances available and deemed relevant to the audit committee, including, but not limited to:</w:t>
      </w:r>
    </w:p>
    <w:p>
      <w:pPr>
        <w:spacing w:after="0" w:line="62" w:lineRule="exact"/>
        <w:rPr>
          <w:sz w:val="20"/>
          <w:szCs w:val="20"/>
          <w:color w:val="auto"/>
        </w:rPr>
      </w:pPr>
    </w:p>
    <w:p>
      <w:pPr>
        <w:ind w:left="1300" w:hanging="442"/>
        <w:spacing w:after="0"/>
        <w:tabs>
          <w:tab w:leader="none" w:pos="1300" w:val="left"/>
        </w:tabs>
        <w:numPr>
          <w:ilvl w:val="0"/>
          <w:numId w:val="106"/>
        </w:numPr>
        <w:rPr>
          <w:rFonts w:ascii="Times New Roman" w:cs="Times New Roman" w:eastAsia="Times New Roman" w:hAnsi="Times New Roman"/>
          <w:sz w:val="18"/>
          <w:szCs w:val="18"/>
          <w:color w:val="auto"/>
        </w:rPr>
      </w:pPr>
      <w:r>
        <w:rPr>
          <w:rFonts w:ascii="Arial" w:cs="Arial" w:eastAsia="Arial" w:hAnsi="Arial"/>
          <w:sz w:val="18"/>
          <w:szCs w:val="18"/>
          <w:color w:val="auto"/>
        </w:rPr>
        <w:t>the benefits and perceived benefits to us;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06"/>
        </w:numPr>
        <w:rPr>
          <w:rFonts w:ascii="Times New Roman" w:cs="Times New Roman" w:eastAsia="Times New Roman" w:hAnsi="Times New Roman"/>
          <w:sz w:val="18"/>
          <w:szCs w:val="18"/>
          <w:color w:val="auto"/>
        </w:rPr>
      </w:pPr>
      <w:r>
        <w:rPr>
          <w:rFonts w:ascii="Arial" w:cs="Arial" w:eastAsia="Arial" w:hAnsi="Arial"/>
          <w:sz w:val="18"/>
          <w:szCs w:val="18"/>
          <w:color w:val="auto"/>
        </w:rPr>
        <w:t>the materiality and character of the related-person’s direct and indirect interest;</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06"/>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other sources for comparable products or services;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06"/>
        </w:numPr>
        <w:rPr>
          <w:rFonts w:ascii="Times New Roman" w:cs="Times New Roman" w:eastAsia="Times New Roman" w:hAnsi="Times New Roman"/>
          <w:sz w:val="18"/>
          <w:szCs w:val="18"/>
          <w:color w:val="auto"/>
        </w:rPr>
      </w:pPr>
      <w:r>
        <w:rPr>
          <w:rFonts w:ascii="Arial" w:cs="Arial" w:eastAsia="Arial" w:hAnsi="Arial"/>
          <w:sz w:val="18"/>
          <w:szCs w:val="18"/>
          <w:color w:val="auto"/>
        </w:rPr>
        <w:t>the terms of the transaction;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06"/>
        </w:numPr>
        <w:rPr>
          <w:rFonts w:ascii="Times New Roman" w:cs="Times New Roman" w:eastAsia="Times New Roman" w:hAnsi="Times New Roman"/>
          <w:sz w:val="18"/>
          <w:szCs w:val="18"/>
          <w:color w:val="auto"/>
        </w:rPr>
      </w:pPr>
      <w:r>
        <w:rPr>
          <w:rFonts w:ascii="Arial" w:cs="Arial" w:eastAsia="Arial" w:hAnsi="Arial"/>
          <w:sz w:val="18"/>
          <w:szCs w:val="18"/>
          <w:color w:val="auto"/>
        </w:rPr>
        <w:t>the terms available to unrelated third parties under the same or similar circumstances.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58" w:right="37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color w:val="auto"/>
        </w:rPr>
        <w:t>Sales of Securities</w:t>
      </w:r>
    </w:p>
    <w:p>
      <w:pPr>
        <w:spacing w:after="0" w:line="106" w:lineRule="exact"/>
        <w:rPr>
          <w:sz w:val="20"/>
          <w:szCs w:val="20"/>
          <w:color w:val="auto"/>
        </w:rPr>
      </w:pPr>
    </w:p>
    <w:p>
      <w:pPr>
        <w:jc w:val="both"/>
        <w:ind w:right="260" w:firstLine="576"/>
        <w:spacing w:after="0" w:line="277" w:lineRule="auto"/>
        <w:rPr>
          <w:sz w:val="20"/>
          <w:szCs w:val="20"/>
          <w:color w:val="auto"/>
        </w:rPr>
      </w:pPr>
      <w:r>
        <w:rPr>
          <w:rFonts w:ascii="Arial" w:cs="Arial" w:eastAsia="Arial" w:hAnsi="Arial"/>
          <w:sz w:val="17"/>
          <w:szCs w:val="17"/>
          <w:color w:val="auto"/>
        </w:rPr>
        <w:t>The following table sets forth a summary of the sale and issuance of our securities to related persons since January 1, 2018, other than compensation arrangements which are described under the sections of this prospectus titled “Management—Director Compensation” and “Executive Compensation.” For a description of beneficial ownership see the section of this prospectus titled “Principal Stockholders.”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Shares of</w:t>
            </w: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Series B-1</w:t>
            </w: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Convertible</w:t>
            </w: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Preferred</w:t>
            </w: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Shares of</w:t>
            </w: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Principal</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Stock</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 of</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Series B</w:t>
            </w: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Amount of</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Issued on</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Common</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Convertible</w:t>
            </w: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Convertible</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Conversion of</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Preferred</w:t>
            </w: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Notes</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Convertible</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Underlying</w:t>
            </w:r>
          </w:p>
        </w:tc>
        <w:tc>
          <w:tcPr>
            <w:tcW w:w="0" w:type="dxa"/>
            <w:vAlign w:val="bottom"/>
          </w:tcPr>
          <w:p>
            <w:pPr>
              <w:spacing w:after="0"/>
              <w:rPr>
                <w:sz w:val="1"/>
                <w:szCs w:val="1"/>
                <w:color w:val="auto"/>
              </w:rPr>
            </w:pPr>
          </w:p>
        </w:tc>
      </w:tr>
      <w:tr>
        <w:trPr>
          <w:trHeight w:val="177"/>
        </w:trPr>
        <w:tc>
          <w:tcPr>
            <w:tcW w:w="574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Stock</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Notes</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210"/>
        </w:trPr>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5% stockholders:</w:t>
            </w:r>
          </w:p>
        </w:tc>
        <w:tc>
          <w:tcPr>
            <w:tcW w:w="11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Perceptive Life Sciences Master Fund Ltd.</w:t>
            </w:r>
          </w:p>
        </w:tc>
        <w:tc>
          <w:tcPr>
            <w:tcW w:w="1120" w:type="dxa"/>
            <w:vAlign w:val="bottom"/>
          </w:tcPr>
          <w:p>
            <w:pPr>
              <w:jc w:val="right"/>
              <w:spacing w:after="0"/>
              <w:rPr>
                <w:sz w:val="20"/>
                <w:szCs w:val="20"/>
                <w:color w:val="auto"/>
              </w:rPr>
            </w:pPr>
            <w:r>
              <w:rPr>
                <w:rFonts w:ascii="Arial" w:cs="Arial" w:eastAsia="Arial" w:hAnsi="Arial"/>
                <w:sz w:val="18"/>
                <w:szCs w:val="18"/>
                <w:color w:val="auto"/>
              </w:rPr>
              <w:t>1,644,785</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411,196</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74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Entities affiliated with RTW Investments,</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1,535,131</w:t>
            </w:r>
            <w:r>
              <w:rPr>
                <w:rFonts w:ascii="Arial" w:cs="Arial" w:eastAsia="Arial" w:hAnsi="Arial"/>
                <w:sz w:val="15"/>
                <w:szCs w:val="15"/>
                <w:color w:val="auto"/>
              </w:rPr>
              <w:t>(2)</w:t>
            </w: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383,782</w:t>
            </w:r>
            <w:r>
              <w:rPr>
                <w:rFonts w:ascii="Arial" w:cs="Arial" w:eastAsia="Arial" w:hAnsi="Arial"/>
                <w:sz w:val="15"/>
                <w:szCs w:val="15"/>
                <w:color w:val="auto"/>
              </w:rPr>
              <w:t>(3)</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7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LP</w:t>
            </w:r>
          </w:p>
        </w:tc>
        <w:tc>
          <w:tcPr>
            <w:tcW w:w="11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5740" w:type="dxa"/>
            <w:vAlign w:val="bottom"/>
          </w:tcPr>
          <w:p>
            <w:pPr>
              <w:spacing w:after="0" w:line="193" w:lineRule="exact"/>
              <w:rPr>
                <w:sz w:val="20"/>
                <w:szCs w:val="20"/>
                <w:color w:val="auto"/>
              </w:rPr>
            </w:pPr>
            <w:r>
              <w:rPr>
                <w:rFonts w:ascii="Arial" w:cs="Arial" w:eastAsia="Arial" w:hAnsi="Arial"/>
                <w:sz w:val="18"/>
                <w:szCs w:val="18"/>
                <w:color w:val="auto"/>
              </w:rPr>
              <w:t>Entities affiliated with Franklin Templeton</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767,566</w:t>
            </w:r>
            <w:r>
              <w:rPr>
                <w:rFonts w:ascii="Arial" w:cs="Arial" w:eastAsia="Arial" w:hAnsi="Arial"/>
                <w:sz w:val="15"/>
                <w:szCs w:val="15"/>
                <w:color w:val="auto"/>
              </w:rPr>
              <w:t>(4)</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191,890</w:t>
            </w:r>
            <w:r>
              <w:rPr>
                <w:rFonts w:ascii="Arial" w:cs="Arial" w:eastAsia="Arial" w:hAnsi="Arial"/>
                <w:sz w:val="15"/>
                <w:szCs w:val="15"/>
                <w:color w:val="auto"/>
              </w:rPr>
              <w:t>(5)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740" w:type="dxa"/>
            <w:vAlign w:val="bottom"/>
          </w:tcPr>
          <w:p>
            <w:pPr>
              <w:ind w:left="160"/>
              <w:spacing w:after="0"/>
              <w:rPr>
                <w:sz w:val="20"/>
                <w:szCs w:val="20"/>
                <w:color w:val="auto"/>
              </w:rPr>
            </w:pPr>
            <w:r>
              <w:rPr>
                <w:rFonts w:ascii="Arial" w:cs="Arial" w:eastAsia="Arial" w:hAnsi="Arial"/>
                <w:sz w:val="18"/>
                <w:szCs w:val="18"/>
                <w:color w:val="auto"/>
              </w:rPr>
              <w:t>Investments</w:t>
            </w:r>
          </w:p>
        </w:tc>
        <w:tc>
          <w:tcPr>
            <w:tcW w:w="11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574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Viking Global Opportunities Illiquid</w:t>
            </w:r>
          </w:p>
        </w:tc>
        <w:tc>
          <w:tcPr>
            <w:tcW w:w="1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274,130</w:t>
            </w:r>
            <w:r>
              <w:rPr>
                <w:rFonts w:ascii="Arial" w:cs="Arial" w:eastAsia="Arial" w:hAnsi="Arial"/>
                <w:sz w:val="15"/>
                <w:szCs w:val="15"/>
                <w:color w:val="auto"/>
              </w:rPr>
              <w:t>(1)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7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Investments Sub-Master LP</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1,096,523</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Executive officers and directors: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(6)</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1,644,785</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411,196</w:t>
            </w:r>
            <w:r>
              <w:rPr>
                <w:rFonts w:ascii="Arial" w:cs="Arial" w:eastAsia="Arial" w:hAnsi="Arial"/>
                <w:sz w:val="15"/>
                <w:szCs w:val="15"/>
                <w:color w:val="auto"/>
              </w:rPr>
              <w:t>(1)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40" w:type="dxa"/>
            <w:vAlign w:val="bottom"/>
          </w:tcPr>
          <w:p>
            <w:pPr>
              <w:spacing w:after="0"/>
              <w:rPr>
                <w:sz w:val="20"/>
                <w:szCs w:val="20"/>
                <w:color w:val="auto"/>
              </w:rPr>
            </w:pPr>
            <w:r>
              <w:rPr>
                <w:rFonts w:ascii="Arial" w:cs="Arial" w:eastAsia="Arial" w:hAnsi="Arial"/>
                <w:sz w:val="18"/>
                <w:szCs w:val="18"/>
                <w:color w:val="auto"/>
              </w:rPr>
              <w:t>Mark Litton, Ph.D.</w:t>
            </w: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250,000</w:t>
            </w:r>
            <w:r>
              <w:rPr>
                <w:rFonts w:ascii="Arial" w:cs="Arial" w:eastAsia="Arial" w:hAnsi="Arial"/>
                <w:sz w:val="15"/>
                <w:szCs w:val="15"/>
                <w:color w:val="auto"/>
              </w:rPr>
              <w:t>(7)</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32,815</w:t>
            </w:r>
            <w:r>
              <w:rPr>
                <w:rFonts w:ascii="Arial" w:cs="Arial" w:eastAsia="Arial" w:hAnsi="Arial"/>
                <w:sz w:val="15"/>
                <w:szCs w:val="15"/>
                <w:color w:val="auto"/>
              </w:rPr>
              <w:t>(8)</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John M. Fluke, Jr.</w:t>
            </w:r>
            <w:r>
              <w:rPr>
                <w:rFonts w:ascii="Arial" w:cs="Arial" w:eastAsia="Arial" w:hAnsi="Arial"/>
                <w:sz w:val="15"/>
                <w:szCs w:val="15"/>
                <w:color w:val="auto"/>
              </w:rPr>
              <w:t>(9)</w:t>
            </w: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6,731</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34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83" w:lineRule="exact"/>
        <w:rPr>
          <w:sz w:val="20"/>
          <w:szCs w:val="20"/>
          <w:color w:val="auto"/>
        </w:rPr>
      </w:pPr>
    </w:p>
    <w:p>
      <w:pPr>
        <w:ind w:left="480" w:hanging="472"/>
        <w:spacing w:after="0"/>
        <w:tabs>
          <w:tab w:leader="none" w:pos="48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This warrant was fully exercised prior to August 26, 2020.</w:t>
      </w:r>
    </w:p>
    <w:p>
      <w:pPr>
        <w:spacing w:after="0" w:line="41" w:lineRule="exact"/>
        <w:rPr>
          <w:rFonts w:ascii="Arial" w:cs="Arial" w:eastAsia="Arial" w:hAnsi="Arial"/>
          <w:sz w:val="14"/>
          <w:szCs w:val="14"/>
          <w:color w:val="auto"/>
        </w:rPr>
      </w:pPr>
    </w:p>
    <w:p>
      <w:pPr>
        <w:ind w:left="480" w:right="60" w:hanging="472"/>
        <w:spacing w:after="0" w:line="271" w:lineRule="auto"/>
        <w:tabs>
          <w:tab w:leader="none" w:pos="48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Consists of an aggregate of 1,535,131 shares of our Series B convertible preferred stock issued to RTW Master Fund, Ltd., RTW Innovation Master Fund, Ltd. and RTW Venture Fund Limited.</w:t>
      </w:r>
    </w:p>
    <w:p>
      <w:pPr>
        <w:ind w:left="480" w:right="100" w:hanging="472"/>
        <w:spacing w:after="0" w:line="271" w:lineRule="auto"/>
        <w:tabs>
          <w:tab w:leader="none" w:pos="48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Consists of warrants to purchase an aggregate of 383,782 shares of our common stock issued to RTW Innovation Master Fund, Ltd., RTW Master Fund, Ltd., and RTW Venture Fund Limited. Each of these warrants was fully exercised prior to August 26, 2020.</w:t>
      </w:r>
    </w:p>
    <w:p>
      <w:pPr>
        <w:ind w:left="480" w:right="100" w:hanging="472"/>
        <w:spacing w:after="0" w:line="271" w:lineRule="auto"/>
        <w:tabs>
          <w:tab w:leader="none" w:pos="48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Consists of 326,344 shares of our Series B convertible preferred stock issued to Franklin Strategic Series – Franklin Biotechnology Discovery Fund and 441,222 shares of our Series B convertible preferred stock issued to Franklin Templeton Investment Funds – Franklin Biotechnology Discovery Fund.</w:t>
      </w:r>
    </w:p>
    <w:p>
      <w:pPr>
        <w:ind w:left="480" w:right="60" w:hanging="472"/>
        <w:spacing w:after="0" w:line="261" w:lineRule="auto"/>
        <w:tabs>
          <w:tab w:leader="none" w:pos="48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Consists of warrants to purchase 81,585 shares of our common stock held by Franklin Strategic Series – Franklin Biotechnology Discovery Fund and warrants to purchase 110,305 shares of our common stock held by Franklin Templeton Investment Funds – Franklin Biotechnology Discovery Fund. In connection with the closing of our initial public offering on September 22, 2020, these warrants were automatically net exercised into an aggregate of 190,994 shares of our common stock.</w:t>
      </w:r>
    </w:p>
    <w:p>
      <w:pPr>
        <w:spacing w:after="0" w:line="1" w:lineRule="exact"/>
        <w:rPr>
          <w:rFonts w:ascii="Arial" w:cs="Arial" w:eastAsia="Arial" w:hAnsi="Arial"/>
          <w:sz w:val="14"/>
          <w:szCs w:val="14"/>
          <w:color w:val="auto"/>
        </w:rPr>
      </w:pPr>
    </w:p>
    <w:p>
      <w:pPr>
        <w:ind w:left="480" w:right="300" w:hanging="472"/>
        <w:spacing w:after="0" w:line="261" w:lineRule="auto"/>
        <w:tabs>
          <w:tab w:leader="none" w:pos="48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Consists of 1,644,785 shares of our Series B convertible preferred stock and warrants to purchase 411,196 shares of our common stock issued to Perceptive Life Sciences Master Fund, Ltd, which warrants were fully exercised prior to August 26, 2020. Joseph Edelman is the managing member of Perceptive Advisors LLC, the investment manager of Perceptive Life Sciences Master Fund Ltd., and may be deemed to beneficially own such securities.</w:t>
      </w:r>
    </w:p>
    <w:p>
      <w:pPr>
        <w:spacing w:after="0" w:line="1" w:lineRule="exact"/>
        <w:rPr>
          <w:rFonts w:ascii="Arial" w:cs="Arial" w:eastAsia="Arial" w:hAnsi="Arial"/>
          <w:sz w:val="14"/>
          <w:szCs w:val="14"/>
          <w:color w:val="auto"/>
        </w:rPr>
      </w:pPr>
    </w:p>
    <w:p>
      <w:pPr>
        <w:ind w:left="480" w:right="40" w:hanging="472"/>
        <w:spacing w:after="0" w:line="261" w:lineRule="auto"/>
        <w:tabs>
          <w:tab w:leader="none" w:pos="48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Consists of $100,000 in aggregate principal amount of convertible notes issued jointly to Dr. Litton and Alicia Litton, his wife, and $150,000 in aggregate principal amount of convertible notes issued to the Irrevocable Trust of OSL, the Irrevocable Trust of SWL, and the Irrevocable Trust of WGL, each of which are trusts held for the benefit of Dr. Litton’s children.</w:t>
      </w:r>
    </w:p>
    <w:p>
      <w:pPr>
        <w:spacing w:after="0" w:line="1" w:lineRule="exact"/>
        <w:rPr>
          <w:rFonts w:ascii="Arial" w:cs="Arial" w:eastAsia="Arial" w:hAnsi="Arial"/>
          <w:sz w:val="14"/>
          <w:szCs w:val="14"/>
          <w:color w:val="auto"/>
        </w:rPr>
      </w:pPr>
    </w:p>
    <w:p>
      <w:pPr>
        <w:ind w:left="480" w:right="180" w:hanging="472"/>
        <w:spacing w:after="0" w:line="257" w:lineRule="auto"/>
        <w:tabs>
          <w:tab w:leader="none" w:pos="48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Consists of 13,126 shares of our Series B-1 convertible preferred stock issued jointly to Dr. Litton and Alicia Litton, his wife, and an aggregate 19,689 shares of our Series B-1 convertible preferred stock issued to the Irrevocable Trust of OSL, the Irrevocable Trust of SWL, and the Irrevocable Trust of WGL, each of which are trusts held for the benefit of Dr. Litton’s children.</w:t>
      </w:r>
    </w:p>
    <w:p>
      <w:pPr>
        <w:spacing w:after="0" w:line="1" w:lineRule="exact"/>
        <w:rPr>
          <w:rFonts w:ascii="Arial" w:cs="Arial" w:eastAsia="Arial" w:hAnsi="Arial"/>
          <w:sz w:val="14"/>
          <w:szCs w:val="14"/>
          <w:color w:val="auto"/>
        </w:rPr>
      </w:pPr>
    </w:p>
    <w:p>
      <w:pPr>
        <w:ind w:left="480" w:right="440" w:hanging="472"/>
        <w:spacing w:after="0" w:line="189" w:lineRule="exact"/>
        <w:tabs>
          <w:tab w:leader="none" w:pos="48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Consists of convertible notes and shares of our Series B</w:t>
      </w:r>
      <w:r>
        <w:rPr>
          <w:rFonts w:ascii="MS PGothic" w:cs="MS PGothic" w:eastAsia="MS PGothic" w:hAnsi="MS PGothic"/>
          <w:sz w:val="14"/>
          <w:szCs w:val="14"/>
          <w:color w:val="auto"/>
        </w:rPr>
        <w:t>‑</w:t>
      </w:r>
      <w:r>
        <w:rPr>
          <w:rFonts w:ascii="Arial" w:cs="Arial" w:eastAsia="Arial" w:hAnsi="Arial"/>
          <w:sz w:val="14"/>
          <w:szCs w:val="14"/>
          <w:color w:val="auto"/>
        </w:rPr>
        <w:t>1 convertible preferred stock issued to Fluke Capital Management, L.P., of which John M. Fluke, Jr. has a beneficial ownership interest.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04" w:lineRule="exact"/>
        <w:rPr>
          <w:sz w:val="20"/>
          <w:szCs w:val="20"/>
          <w:color w:val="auto"/>
        </w:rPr>
      </w:pPr>
    </w:p>
    <w:p>
      <w:pPr>
        <w:ind w:right="220" w:firstLine="576"/>
        <w:spacing w:after="0" w:line="276" w:lineRule="auto"/>
        <w:rPr>
          <w:sz w:val="20"/>
          <w:szCs w:val="20"/>
          <w:color w:val="auto"/>
        </w:rPr>
      </w:pPr>
      <w:r>
        <w:rPr>
          <w:rFonts w:ascii="Arial" w:cs="Arial" w:eastAsia="Arial" w:hAnsi="Arial"/>
          <w:sz w:val="18"/>
          <w:szCs w:val="18"/>
          <w:color w:val="auto"/>
        </w:rPr>
        <w:t>From December 2018 to January 2020, we issued and sold $3.8 million in aggregate principal amount of our convertible notes. The notes accrue interest at a rate of 5% per year. Dr. Litton, our chief</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176" w:name="page177"/>
    <w:bookmarkEnd w:id="176"/>
    <w:p>
      <w:pPr>
        <w:ind w:right="120"/>
        <w:spacing w:after="0" w:line="260" w:lineRule="auto"/>
        <w:rPr>
          <w:sz w:val="20"/>
          <w:szCs w:val="20"/>
          <w:color w:val="auto"/>
        </w:rPr>
      </w:pPr>
      <w:r>
        <w:rPr>
          <w:rFonts w:ascii="Arial" w:cs="Arial" w:eastAsia="Arial" w:hAnsi="Arial"/>
          <w:sz w:val="17"/>
          <w:szCs w:val="17"/>
          <w:color w:val="auto"/>
        </w:rPr>
        <w:t>operating officer, and Alicia Litton, his wife, purchased $100,000 in aggregate principal amount of the notes. In addition, notes in an aggregate principal amount of $150,000 were purchased by the Irrevocable Trust of OSL, the Irrevocable Trust of WGL, and the Irrevocable Trust of SWL, each of which are trusts held for the benefit of Dr. Litton’s children. Fluke Capital Management, L.P., of which John M. Fluke, Jr., a member of our board of directors, has a beneficial ownership interest, also purchased notes in an aggregate principal amount of $50,000. All outstanding notes to purchase our common stock converted into shares of our Series B-1 convertible preferred stock at a conversion price of $7.752 per share in connection with our Series B financing in May 2020. The Series B financing is described below.</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Financing</w:t>
      </w:r>
    </w:p>
    <w:p>
      <w:pPr>
        <w:spacing w:after="0" w:line="10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From May 2020 to June 2020, we issued and sold to investors an aggregate of 9,372,765 shares of Series B convertible preferred stock at $9.12 per share for aggregate proceeds of $85.5 million, an aggregate of 512,858 shares of Series B-1 convertible preferred stock at a conversion price of $7.752 per share upon conversion of outstanding convertible notes, and warrants to purchase 2,343,168 shares of our common stock at an exercise price of $0.08 per share. Perceptive Life Sciences Master Fund Ltd., entities affiliated with RTW Investments, LP, Viking Global Opportunities Illiquid Investments Sub-Master LP, and entities affiliated with Franklin Templeton Investments, are each significant stockholders of the company and participated in the Series B financing. Perceptive Advisors LLC serves as the investment manager of Perceptive Life Sciences Master Fund Ltd. Joseph Edelman, a member of our board of directors, is the managing member of Perceptive Advisors LLC and he may be deemed to beneficially own the shares held by Perceptive Life Sciences Master Fund Ltd.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04" w:lineRule="exact"/>
        <w:rPr>
          <w:sz w:val="20"/>
          <w:szCs w:val="20"/>
          <w:color w:val="auto"/>
        </w:rPr>
      </w:pPr>
    </w:p>
    <w:p>
      <w:pPr>
        <w:ind w:right="160" w:firstLine="576"/>
        <w:spacing w:after="0" w:line="241" w:lineRule="auto"/>
        <w:rPr>
          <w:sz w:val="20"/>
          <w:szCs w:val="20"/>
          <w:color w:val="auto"/>
        </w:rPr>
      </w:pPr>
      <w:r>
        <w:rPr>
          <w:rFonts w:ascii="Arial" w:cs="Arial" w:eastAsia="Arial" w:hAnsi="Arial"/>
          <w:sz w:val="18"/>
          <w:szCs w:val="18"/>
          <w:color w:val="auto"/>
        </w:rPr>
        <w:t>In September 2020, we issued and sold 12,000,000 shares of our common stock in our initial public offering at $17.00 per share for aggregate gross proceeds of $204.0 million. Perceptive Life Sciences Master Fund Ltd., entities affiliated with RTW Investments, LP, Viking Global Opportunities Illiquid Investments Sub-Master LP, and entities affiliated with Franklin Templeton Investments, are each significant stockholders of the company and invested in the initial public offering purchasing 1,058,824, 750,000, 750,000, and 411,764 shares of our common stock, respectively. Perceptive Advisors LLC serves as the investment manager of Perceptive Life Sciences Master Fund Ltd. Joseph Edelman, a member of our board of directors, is the managing member of Perceptive Advisors LLC and he may be deemed to beneficially own the shares held by Perceptive Life Sciences Master Fund Ltd.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06"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We have entered into an investors’ rights agreement with certain of our stockholders, including Dr. Kawas, our chief executive officer, Dr. Litton, our chief operating officer, and Fluke Capital Management, L.P., of which John M. Fluke, Jr., a member of our board of directors, has a beneficial ownership interest. In addition, Perceptive Life Sciences Master Fund Ltd., entities affiliated with RTW Investments, LP, Viking Global Opportunities Illiquid Investments Sub-Master LP, and entities affiliated with Franklin Templeton Investments, are each parties to the agreement. As of September 30, 2020, the holders of 18,104,343 shares of our common stock, or their transferees, are entitled to rights with respect to the registration of their shares under the Securities Act.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106" w:lineRule="exact"/>
        <w:rPr>
          <w:sz w:val="20"/>
          <w:szCs w:val="20"/>
          <w:color w:val="auto"/>
        </w:rPr>
      </w:pPr>
    </w:p>
    <w:p>
      <w:pPr>
        <w:ind w:right="260" w:firstLine="576"/>
        <w:spacing w:after="0" w:line="255" w:lineRule="auto"/>
        <w:rPr>
          <w:sz w:val="20"/>
          <w:szCs w:val="20"/>
          <w:color w:val="auto"/>
        </w:rPr>
      </w:pPr>
      <w:r>
        <w:rPr>
          <w:rFonts w:ascii="Arial" w:cs="Arial" w:eastAsia="Arial" w:hAnsi="Arial"/>
          <w:sz w:val="18"/>
          <w:szCs w:val="18"/>
          <w:color w:val="auto"/>
        </w:rPr>
        <w:t>Prior to our initial public offering, the election of the members of the board of directors was governed by a voting agreement with certain of our stockholders, including Dr. Kawas, our chief executive officer, and Perceptive Life Sciences Master Fund Ltd. The parties to the voting agreement agreed, subject to certain conditions, to vote their shares to elect as directors as follows:</w:t>
      </w:r>
    </w:p>
    <w:p>
      <w:pPr>
        <w:spacing w:after="0" w:line="56" w:lineRule="exact"/>
        <w:rPr>
          <w:sz w:val="20"/>
          <w:szCs w:val="20"/>
          <w:color w:val="auto"/>
        </w:rPr>
      </w:pPr>
    </w:p>
    <w:p>
      <w:pPr>
        <w:ind w:left="1300" w:hanging="442"/>
        <w:spacing w:after="0"/>
        <w:tabs>
          <w:tab w:leader="none" w:pos="1300" w:val="left"/>
        </w:tabs>
        <w:numPr>
          <w:ilvl w:val="0"/>
          <w:numId w:val="108"/>
        </w:numPr>
        <w:rPr>
          <w:rFonts w:ascii="Times New Roman" w:cs="Times New Roman" w:eastAsia="Times New Roman" w:hAnsi="Times New Roman"/>
          <w:sz w:val="18"/>
          <w:szCs w:val="18"/>
          <w:color w:val="auto"/>
        </w:rPr>
      </w:pPr>
      <w:r>
        <w:rPr>
          <w:rFonts w:ascii="Arial" w:cs="Arial" w:eastAsia="Arial" w:hAnsi="Arial"/>
          <w:sz w:val="18"/>
          <w:szCs w:val="18"/>
          <w:color w:val="auto"/>
        </w:rPr>
        <w:t>one nominee designated by Perceptive Life Sciences Master Fund Ltd.;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08"/>
        </w:numPr>
        <w:rPr>
          <w:rFonts w:ascii="Times New Roman" w:cs="Times New Roman" w:eastAsia="Times New Roman" w:hAnsi="Times New Roman"/>
          <w:sz w:val="18"/>
          <w:szCs w:val="18"/>
          <w:color w:val="auto"/>
        </w:rPr>
      </w:pPr>
      <w:r>
        <w:rPr>
          <w:rFonts w:ascii="Arial" w:cs="Arial" w:eastAsia="Arial" w:hAnsi="Arial"/>
          <w:sz w:val="18"/>
          <w:szCs w:val="18"/>
          <w:color w:val="auto"/>
        </w:rPr>
        <w:t>four nominees, one of which must be our chief executive officer, designated by a majority vote of our common stock;</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77" w:name="page178"/>
    <w:bookmarkEnd w:id="177"/>
    <w:p>
      <w:pPr>
        <w:ind w:left="1300" w:hanging="442"/>
        <w:spacing w:after="0"/>
        <w:tabs>
          <w:tab w:leader="none" w:pos="1300" w:val="left"/>
        </w:tabs>
        <w:numPr>
          <w:ilvl w:val="0"/>
          <w:numId w:val="109"/>
        </w:numPr>
        <w:rPr>
          <w:rFonts w:ascii="Times New Roman" w:cs="Times New Roman" w:eastAsia="Times New Roman" w:hAnsi="Times New Roman"/>
          <w:sz w:val="18"/>
          <w:szCs w:val="18"/>
          <w:color w:val="auto"/>
        </w:rPr>
      </w:pPr>
      <w:r>
        <w:rPr>
          <w:rFonts w:ascii="Arial" w:cs="Arial" w:eastAsia="Arial" w:hAnsi="Arial"/>
          <w:sz w:val="18"/>
          <w:szCs w:val="18"/>
          <w:color w:val="auto"/>
        </w:rPr>
        <w:t>one nominee not otherwise an affiliate of the company designated by Perceptive Life Sciences Master Fund Ltd.; and</w:t>
      </w:r>
    </w:p>
    <w:p>
      <w:pPr>
        <w:spacing w:after="0" w:line="116"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109"/>
        </w:numPr>
        <w:rPr>
          <w:rFonts w:ascii="Times New Roman" w:cs="Times New Roman" w:eastAsia="Times New Roman" w:hAnsi="Times New Roman"/>
          <w:sz w:val="18"/>
          <w:szCs w:val="18"/>
          <w:color w:val="auto"/>
        </w:rPr>
      </w:pPr>
      <w:r>
        <w:rPr>
          <w:rFonts w:ascii="Arial" w:cs="Arial" w:eastAsia="Arial" w:hAnsi="Arial"/>
          <w:sz w:val="18"/>
          <w:szCs w:val="18"/>
          <w:color w:val="auto"/>
        </w:rPr>
        <w:t>one nominee not otherwise an affiliate of the company or of any investor, who is mutually acceptable to the other members of the board of directors.</w:t>
      </w:r>
    </w:p>
    <w:p>
      <w:pPr>
        <w:spacing w:after="0" w:line="146"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Upon the consummation of our initial public offering, the obligations of the parties to the voting agreement to vote their shares to elect these nominees terminated, and, following such termination, none of our stockholders have any special rights regarding the nomination, election or designation of members of the board of directors. The certificate of incorporation in effect at the time of our initial public offering contained provisions that corresponded to the voting agreement; however, the certificate of incorporation that became effective immediately prior to the closing of our initial public offering does not include such provisions.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106" w:lineRule="exact"/>
        <w:rPr>
          <w:sz w:val="20"/>
          <w:szCs w:val="20"/>
          <w:color w:val="auto"/>
        </w:rPr>
      </w:pPr>
    </w:p>
    <w:p>
      <w:pPr>
        <w:ind w:right="320" w:firstLine="576"/>
        <w:spacing w:after="0" w:line="276" w:lineRule="auto"/>
        <w:rPr>
          <w:sz w:val="20"/>
          <w:szCs w:val="20"/>
          <w:color w:val="auto"/>
        </w:rPr>
      </w:pPr>
      <w:r>
        <w:rPr>
          <w:rFonts w:ascii="Arial" w:cs="Arial" w:eastAsia="Arial" w:hAnsi="Arial"/>
          <w:sz w:val="18"/>
          <w:szCs w:val="18"/>
          <w:color w:val="auto"/>
        </w:rPr>
        <w:t>In April 2016, we issued a promissory note to Dr. Kawas in the aggregate principal amount of $60,000. This note was repaid in full prior to the public filing of the registration statement relating to our initial public offering.</w:t>
      </w:r>
    </w:p>
    <w:p>
      <w:pPr>
        <w:spacing w:after="0" w:line="145" w:lineRule="exact"/>
        <w:rPr>
          <w:sz w:val="20"/>
          <w:szCs w:val="20"/>
          <w:color w:val="auto"/>
        </w:rPr>
      </w:pPr>
    </w:p>
    <w:p>
      <w:pPr>
        <w:ind w:right="100" w:firstLine="576"/>
        <w:spacing w:after="0" w:line="255" w:lineRule="auto"/>
        <w:rPr>
          <w:sz w:val="20"/>
          <w:szCs w:val="20"/>
          <w:color w:val="auto"/>
        </w:rPr>
      </w:pPr>
      <w:r>
        <w:rPr>
          <w:rFonts w:ascii="Arial" w:cs="Arial" w:eastAsia="Arial" w:hAnsi="Arial"/>
          <w:sz w:val="18"/>
          <w:szCs w:val="18"/>
          <w:color w:val="auto"/>
        </w:rPr>
        <w:t>We have entered into employment agreements with our executive officers and change in control and severance agreements with certain of our executive officers. For a description of these agreements, see the section of this prospectus titled “Executive Compensation – Executive Employment Arrangements.”</w:t>
      </w:r>
    </w:p>
    <w:p>
      <w:pPr>
        <w:spacing w:after="0" w:line="164" w:lineRule="exact"/>
        <w:rPr>
          <w:sz w:val="20"/>
          <w:szCs w:val="20"/>
          <w:color w:val="auto"/>
        </w:rPr>
      </w:pPr>
    </w:p>
    <w:p>
      <w:pPr>
        <w:jc w:val="both"/>
        <w:ind w:right="140" w:firstLine="576"/>
        <w:spacing w:after="0" w:line="255" w:lineRule="auto"/>
        <w:rPr>
          <w:sz w:val="20"/>
          <w:szCs w:val="20"/>
          <w:color w:val="auto"/>
        </w:rPr>
      </w:pPr>
      <w:r>
        <w:rPr>
          <w:rFonts w:ascii="Arial" w:cs="Arial" w:eastAsia="Arial" w:hAnsi="Arial"/>
          <w:sz w:val="18"/>
          <w:szCs w:val="18"/>
          <w:color w:val="auto"/>
        </w:rPr>
        <w:t>We have granted stock options and restricted share awards and issued common stock to our executive officers and to certain of our non-executive directors. For a description of these grants and issuances, see the sections of this prospectus titled “Management – Director Compensation” and “Executive Compensation.”</w:t>
      </w:r>
    </w:p>
    <w:p>
      <w:pPr>
        <w:spacing w:after="0" w:line="164" w:lineRule="exact"/>
        <w:rPr>
          <w:sz w:val="20"/>
          <w:szCs w:val="20"/>
          <w:color w:val="auto"/>
        </w:rPr>
      </w:pPr>
    </w:p>
    <w:p>
      <w:pPr>
        <w:ind w:right="240" w:firstLine="576"/>
        <w:spacing w:after="0" w:line="276" w:lineRule="auto"/>
        <w:rPr>
          <w:sz w:val="20"/>
          <w:szCs w:val="20"/>
          <w:color w:val="auto"/>
        </w:rPr>
      </w:pPr>
      <w:r>
        <w:rPr>
          <w:rFonts w:ascii="Arial" w:cs="Arial" w:eastAsia="Arial" w:hAnsi="Arial"/>
          <w:sz w:val="18"/>
          <w:szCs w:val="18"/>
          <w:color w:val="auto"/>
        </w:rPr>
        <w:t>We have entered into indemnification agreements with our directors and executive officers. For a description of these agreements, see the section of this prospectus titled “Management – Limitation of Liability and Indemnification Matters.”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78" w:name="page179"/>
    <w:bookmarkEnd w:id="178"/>
    <w:p>
      <w:pPr>
        <w:jc w:val="center"/>
        <w:ind w:right="-39"/>
        <w:spacing w:after="0"/>
        <w:rPr>
          <w:sz w:val="20"/>
          <w:szCs w:val="20"/>
          <w:color w:val="auto"/>
        </w:rPr>
      </w:pPr>
      <w:r>
        <w:rPr>
          <w:rFonts w:ascii="Arial" w:cs="Arial" w:eastAsia="Arial" w:hAnsi="Arial"/>
          <w:sz w:val="18"/>
          <w:szCs w:val="18"/>
          <w:b w:val="1"/>
          <w:bCs w:val="1"/>
          <w:color w:val="auto"/>
        </w:rPr>
        <w:t>PRINCIPAL STOCKHOLDERS</w:t>
      </w:r>
    </w:p>
    <w:p>
      <w:pPr>
        <w:spacing w:after="0" w:line="2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the beneficial ownership of our common stock as of December 31, 2020 by:</w:t>
      </w:r>
    </w:p>
    <w:p>
      <w:pPr>
        <w:spacing w:after="0" w:line="104" w:lineRule="exact"/>
        <w:rPr>
          <w:sz w:val="20"/>
          <w:szCs w:val="20"/>
          <w:color w:val="auto"/>
        </w:rPr>
      </w:pPr>
    </w:p>
    <w:p>
      <w:pPr>
        <w:ind w:left="1300" w:hanging="442"/>
        <w:spacing w:after="0"/>
        <w:tabs>
          <w:tab w:leader="none" w:pos="1300" w:val="left"/>
        </w:tabs>
        <w:numPr>
          <w:ilvl w:val="0"/>
          <w:numId w:val="110"/>
        </w:numPr>
        <w:rPr>
          <w:rFonts w:ascii="Times New Roman" w:cs="Times New Roman" w:eastAsia="Times New Roman" w:hAnsi="Times New Roman"/>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0"/>
        </w:numPr>
        <w:rPr>
          <w:rFonts w:ascii="Times New Roman" w:cs="Times New Roman" w:eastAsia="Times New Roman" w:hAnsi="Times New Roman"/>
          <w:sz w:val="18"/>
          <w:szCs w:val="18"/>
          <w:color w:val="auto"/>
        </w:rPr>
      </w:pPr>
      <w:r>
        <w:rPr>
          <w:rFonts w:ascii="Arial" w:cs="Arial" w:eastAsia="Arial" w:hAnsi="Arial"/>
          <w:sz w:val="18"/>
          <w:szCs w:val="18"/>
          <w:color w:val="auto"/>
        </w:rPr>
        <w:t>each of the named executive officers;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0"/>
        </w:numPr>
        <w:rPr>
          <w:rFonts w:ascii="Times New Roman" w:cs="Times New Roman" w:eastAsia="Times New Roman" w:hAnsi="Times New Roman"/>
          <w:sz w:val="18"/>
          <w:szCs w:val="18"/>
          <w:color w:val="auto"/>
        </w:rPr>
      </w:pPr>
      <w:r>
        <w:rPr>
          <w:rFonts w:ascii="Arial" w:cs="Arial" w:eastAsia="Arial" w:hAnsi="Arial"/>
          <w:sz w:val="18"/>
          <w:szCs w:val="18"/>
          <w:color w:val="auto"/>
        </w:rPr>
        <w:t>each of our directors;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0"/>
        </w:numPr>
        <w:rPr>
          <w:rFonts w:ascii="Times New Roman" w:cs="Times New Roman" w:eastAsia="Times New Roman" w:hAnsi="Times New Roman"/>
          <w:sz w:val="18"/>
          <w:szCs w:val="18"/>
          <w:color w:val="auto"/>
        </w:rPr>
      </w:pPr>
      <w:r>
        <w:rPr>
          <w:rFonts w:ascii="Arial" w:cs="Arial" w:eastAsia="Arial" w:hAnsi="Arial"/>
          <w:sz w:val="18"/>
          <w:szCs w:val="18"/>
          <w:color w:val="auto"/>
        </w:rPr>
        <w:t>all of our executive officers and directors as a group.</w:t>
      </w:r>
    </w:p>
    <w:p>
      <w:pPr>
        <w:spacing w:after="0" w:line="224"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The percentage of beneficial ownership prior to the offering shown in the table is based upon 32,485,184 shares of common stock outstanding as of December 31, 2020. The percentage of beneficial ownership after this offering shown in the table is based on 36,485,184 shares of common stock outstanding after the closing of this offering, assuming no exercise of the underwriters’ option to purchase additional shares.</w:t>
      </w:r>
    </w:p>
    <w:p>
      <w:pPr>
        <w:spacing w:after="0" w:line="170" w:lineRule="exact"/>
        <w:rPr>
          <w:sz w:val="20"/>
          <w:szCs w:val="20"/>
          <w:color w:val="auto"/>
        </w:rPr>
      </w:pPr>
    </w:p>
    <w:p>
      <w:pPr>
        <w:ind w:right="80" w:firstLine="576"/>
        <w:spacing w:after="0" w:line="239" w:lineRule="auto"/>
        <w:rPr>
          <w:sz w:val="20"/>
          <w:szCs w:val="20"/>
          <w:color w:val="auto"/>
        </w:rPr>
      </w:pPr>
      <w:r>
        <w:rPr>
          <w:rFonts w:ascii="Arial" w:cs="Arial" w:eastAsia="Arial" w:hAnsi="Arial"/>
          <w:sz w:val="18"/>
          <w:szCs w:val="18"/>
          <w:color w:val="auto"/>
        </w:rPr>
        <w:t>Information with respect to beneficial ownership has been furnished by each director, officer or beneficial owner of more than 5% of our common stock. We have determined beneficial ownership in accordance with the rules of the SEC. These rules generally attribute beneficial ownership of securities to persons who possess sole or shared voting power or investment power with respect to those securities. In addition, the rules take into account shares of common stock issuable pursuant to the exercise or conversion of stock options or warrants or convertible notes that are either immediately exercisable or convertible or exercisable or convertible on or before the 60</w:t>
      </w:r>
      <w:r>
        <w:rPr>
          <w:rFonts w:ascii="Arial" w:cs="Arial" w:eastAsia="Arial" w:hAnsi="Arial"/>
          <w:sz w:val="15"/>
          <w:szCs w:val="15"/>
          <w:color w:val="auto"/>
        </w:rPr>
        <w:t>th</w:t>
      </w:r>
      <w:r>
        <w:rPr>
          <w:rFonts w:ascii="Arial" w:cs="Arial" w:eastAsia="Arial" w:hAnsi="Arial"/>
          <w:sz w:val="18"/>
          <w:szCs w:val="18"/>
          <w:color w:val="auto"/>
        </w:rPr>
        <w:t xml:space="preserve"> day after December 31, 2020. Certain of the options granted to our named executive officers may be exercised prior to the vesting of the underlying shares.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58" w:right="379" w:bottom="1440" w:gutter="0" w:footer="0" w:header="0"/>
        </w:sectPr>
      </w:pPr>
    </w:p>
    <w:bookmarkStart w:id="179" w:name="page180"/>
    <w:bookmarkEnd w:id="179"/>
    <w:p>
      <w:pPr>
        <w:ind w:right="460" w:firstLine="576"/>
        <w:spacing w:after="0" w:line="276" w:lineRule="auto"/>
        <w:rPr>
          <w:sz w:val="20"/>
          <w:szCs w:val="20"/>
          <w:color w:val="auto"/>
        </w:rPr>
      </w:pPr>
      <w:r>
        <w:rPr>
          <w:rFonts w:ascii="Arial" w:cs="Arial" w:eastAsia="Arial" w:hAnsi="Arial"/>
          <w:sz w:val="18"/>
          <w:szCs w:val="18"/>
          <w:color w:val="auto"/>
        </w:rPr>
        <w:t>Except as otherwise noted below, the address for each person or entity listed in the table is c/o Athira Pharma, Inc., 18706 North Creek Parkway, Suite 104, Bothell, Washington 98011.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27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Shares Beneficially</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5820" w:type="dxa"/>
            <w:vAlign w:val="bottom"/>
          </w:tcPr>
          <w:p>
            <w:pPr>
              <w:spacing w:after="0"/>
              <w:rPr>
                <w:sz w:val="14"/>
                <w:szCs w:val="14"/>
                <w:color w:val="auto"/>
              </w:rPr>
            </w:pPr>
          </w:p>
        </w:tc>
        <w:tc>
          <w:tcPr>
            <w:tcW w:w="1520" w:type="dxa"/>
            <w:vAlign w:val="bottom"/>
            <w:gridSpan w:val="3"/>
          </w:tcPr>
          <w:p>
            <w:pPr>
              <w:jc w:val="center"/>
              <w:ind w:left="915"/>
              <w:spacing w:after="0"/>
              <w:rPr>
                <w:sz w:val="20"/>
                <w:szCs w:val="20"/>
                <w:color w:val="auto"/>
              </w:rPr>
            </w:pPr>
            <w:r>
              <w:rPr>
                <w:rFonts w:ascii="Arial" w:cs="Arial" w:eastAsia="Arial" w:hAnsi="Arial"/>
                <w:sz w:val="14"/>
                <w:szCs w:val="14"/>
                <w:b w:val="1"/>
                <w:bCs w:val="1"/>
                <w:color w:val="auto"/>
              </w:rPr>
              <w:t>Owned</w:t>
            </w: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60" w:type="dxa"/>
            <w:vAlign w:val="bottom"/>
            <w:gridSpan w:val="3"/>
          </w:tcPr>
          <w:p>
            <w:pPr>
              <w:jc w:val="right"/>
              <w:ind w:right="332"/>
              <w:spacing w:after="0"/>
              <w:rPr>
                <w:sz w:val="20"/>
                <w:szCs w:val="20"/>
                <w:color w:val="auto"/>
              </w:rPr>
            </w:pPr>
            <w:r>
              <w:rPr>
                <w:rFonts w:ascii="Arial" w:cs="Arial" w:eastAsia="Arial" w:hAnsi="Arial"/>
                <w:sz w:val="14"/>
                <w:szCs w:val="14"/>
                <w:b w:val="1"/>
                <w:bCs w:val="1"/>
                <w:color w:val="auto"/>
              </w:rPr>
              <w:t>Shares Beneficially Owned</w:t>
            </w:r>
          </w:p>
        </w:tc>
      </w:tr>
      <w:tr>
        <w:trPr>
          <w:trHeight w:val="177"/>
        </w:trPr>
        <w:tc>
          <w:tcPr>
            <w:tcW w:w="5820" w:type="dxa"/>
            <w:vAlign w:val="bottom"/>
          </w:tcPr>
          <w:p>
            <w:pPr>
              <w:spacing w:after="0"/>
              <w:rPr>
                <w:sz w:val="15"/>
                <w:szCs w:val="15"/>
                <w:color w:val="auto"/>
              </w:rPr>
            </w:pPr>
          </w:p>
        </w:tc>
        <w:tc>
          <w:tcPr>
            <w:tcW w:w="27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Prior to the Offering</w:t>
            </w:r>
          </w:p>
        </w:tc>
        <w:tc>
          <w:tcPr>
            <w:tcW w:w="2660" w:type="dxa"/>
            <w:vAlign w:val="bottom"/>
            <w:gridSpan w:val="3"/>
          </w:tcPr>
          <w:p>
            <w:pPr>
              <w:jc w:val="right"/>
              <w:ind w:right="652"/>
              <w:spacing w:after="0"/>
              <w:rPr>
                <w:sz w:val="20"/>
                <w:szCs w:val="20"/>
                <w:color w:val="auto"/>
              </w:rPr>
            </w:pPr>
            <w:r>
              <w:rPr>
                <w:rFonts w:ascii="Arial" w:cs="Arial" w:eastAsia="Arial" w:hAnsi="Arial"/>
                <w:sz w:val="14"/>
                <w:szCs w:val="14"/>
                <w:b w:val="1"/>
                <w:bCs w:val="1"/>
                <w:color w:val="auto"/>
              </w:rPr>
              <w:t>After the Offering</w:t>
            </w:r>
          </w:p>
        </w:tc>
      </w:tr>
      <w:tr>
        <w:trPr>
          <w:trHeight w:val="154"/>
        </w:trPr>
        <w:tc>
          <w:tcPr>
            <w:tcW w:w="5820" w:type="dxa"/>
            <w:vAlign w:val="bottom"/>
          </w:tcPr>
          <w:p>
            <w:pPr>
              <w:spacing w:after="0"/>
              <w:rPr>
                <w:sz w:val="13"/>
                <w:szCs w:val="13"/>
                <w:color w:val="auto"/>
              </w:rPr>
            </w:pPr>
          </w:p>
        </w:tc>
        <w:tc>
          <w:tcPr>
            <w:tcW w:w="1520" w:type="dxa"/>
            <w:vAlign w:val="bottom"/>
            <w:tcBorders>
              <w:top w:val="single" w:sz="8" w:color="auto"/>
            </w:tcBorders>
            <w:gridSpan w:val="3"/>
          </w:tcPr>
          <w:p>
            <w:pPr>
              <w:jc w:val="center"/>
              <w:ind w:right="400"/>
              <w:spacing w:after="0" w:line="154" w:lineRule="exact"/>
              <w:rPr>
                <w:sz w:val="20"/>
                <w:szCs w:val="20"/>
                <w:color w:val="auto"/>
              </w:rPr>
            </w:pPr>
            <w:r>
              <w:rPr>
                <w:rFonts w:ascii="Arial" w:cs="Arial" w:eastAsia="Arial" w:hAnsi="Arial"/>
                <w:sz w:val="14"/>
                <w:szCs w:val="14"/>
                <w:b w:val="1"/>
                <w:bCs w:val="1"/>
                <w:color w:val="auto"/>
              </w:rPr>
              <w:t>Number of</w:t>
            </w:r>
          </w:p>
        </w:tc>
        <w:tc>
          <w:tcPr>
            <w:tcW w:w="1000" w:type="dxa"/>
            <w:vAlign w:val="bottom"/>
            <w:tcBorders>
              <w:top w:val="single" w:sz="8" w:color="auto"/>
            </w:tcBorders>
          </w:tcPr>
          <w:p>
            <w:pPr>
              <w:jc w:val="right"/>
              <w:ind w:right="92"/>
              <w:spacing w:after="0" w:line="154" w:lineRule="exact"/>
              <w:rPr>
                <w:sz w:val="20"/>
                <w:szCs w:val="20"/>
                <w:color w:val="auto"/>
              </w:rPr>
            </w:pPr>
            <w:r>
              <w:rPr>
                <w:rFonts w:ascii="Arial" w:cs="Arial" w:eastAsia="Arial" w:hAnsi="Arial"/>
                <w:sz w:val="14"/>
                <w:szCs w:val="14"/>
                <w:b w:val="1"/>
                <w:bCs w:val="1"/>
                <w:color w:val="auto"/>
              </w:rPr>
              <w:t>Percentage</w:t>
            </w:r>
          </w:p>
        </w:tc>
        <w:tc>
          <w:tcPr>
            <w:tcW w:w="240" w:type="dxa"/>
            <w:vAlign w:val="bottom"/>
          </w:tcPr>
          <w:p>
            <w:pPr>
              <w:spacing w:after="0"/>
              <w:rPr>
                <w:sz w:val="13"/>
                <w:szCs w:val="13"/>
                <w:color w:val="auto"/>
              </w:rPr>
            </w:pPr>
          </w:p>
        </w:tc>
        <w:tc>
          <w:tcPr>
            <w:tcW w:w="1400" w:type="dxa"/>
            <w:vAlign w:val="bottom"/>
            <w:tcBorders>
              <w:top w:val="single" w:sz="8" w:color="auto"/>
            </w:tcBorders>
            <w:gridSpan w:val="2"/>
          </w:tcPr>
          <w:p>
            <w:pPr>
              <w:jc w:val="center"/>
              <w:ind w:right="280"/>
              <w:spacing w:after="0" w:line="154" w:lineRule="exact"/>
              <w:rPr>
                <w:sz w:val="20"/>
                <w:szCs w:val="20"/>
                <w:color w:val="auto"/>
              </w:rPr>
            </w:pPr>
            <w:r>
              <w:rPr>
                <w:rFonts w:ascii="Arial" w:cs="Arial" w:eastAsia="Arial" w:hAnsi="Arial"/>
                <w:sz w:val="14"/>
                <w:szCs w:val="14"/>
                <w:b w:val="1"/>
                <w:bCs w:val="1"/>
                <w:color w:val="auto"/>
              </w:rPr>
              <w:t>Number of</w:t>
            </w:r>
          </w:p>
        </w:tc>
        <w:tc>
          <w:tcPr>
            <w:tcW w:w="1260" w:type="dxa"/>
            <w:vAlign w:val="bottom"/>
            <w:tcBorders>
              <w:top w:val="single" w:sz="8" w:color="auto"/>
            </w:tcBorders>
          </w:tcPr>
          <w:p>
            <w:pPr>
              <w:jc w:val="right"/>
              <w:ind w:right="172"/>
              <w:spacing w:after="0" w:line="154" w:lineRule="exact"/>
              <w:rPr>
                <w:sz w:val="20"/>
                <w:szCs w:val="20"/>
                <w:color w:val="auto"/>
              </w:rPr>
            </w:pPr>
            <w:r>
              <w:rPr>
                <w:rFonts w:ascii="Arial" w:cs="Arial" w:eastAsia="Arial" w:hAnsi="Arial"/>
                <w:sz w:val="14"/>
                <w:szCs w:val="14"/>
                <w:b w:val="1"/>
                <w:bCs w:val="1"/>
                <w:color w:val="auto"/>
              </w:rPr>
              <w:t>Percentage</w:t>
            </w:r>
          </w:p>
        </w:tc>
      </w:tr>
      <w:tr>
        <w:trPr>
          <w:trHeight w:val="177"/>
        </w:trPr>
        <w:tc>
          <w:tcPr>
            <w:tcW w:w="5820" w:type="dxa"/>
            <w:vAlign w:val="bottom"/>
          </w:tcPr>
          <w:p>
            <w:pPr>
              <w:spacing w:after="0"/>
              <w:rPr>
                <w:sz w:val="15"/>
                <w:szCs w:val="15"/>
                <w:color w:val="auto"/>
              </w:rPr>
            </w:pPr>
          </w:p>
        </w:tc>
        <w:tc>
          <w:tcPr>
            <w:tcW w:w="15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Shares</w:t>
            </w:r>
          </w:p>
        </w:tc>
        <w:tc>
          <w:tcPr>
            <w:tcW w:w="1000" w:type="dxa"/>
            <w:vAlign w:val="bottom"/>
          </w:tcPr>
          <w:p>
            <w:pPr>
              <w:jc w:val="right"/>
              <w:ind w:right="37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w:t>
            </w:r>
          </w:p>
        </w:tc>
        <w:tc>
          <w:tcPr>
            <w:tcW w:w="1260" w:type="dxa"/>
            <w:vAlign w:val="bottom"/>
          </w:tcPr>
          <w:p>
            <w:pPr>
              <w:jc w:val="right"/>
              <w:ind w:right="432"/>
              <w:spacing w:after="0"/>
              <w:rPr>
                <w:sz w:val="20"/>
                <w:szCs w:val="20"/>
                <w:color w:val="auto"/>
              </w:rPr>
            </w:pPr>
            <w:r>
              <w:rPr>
                <w:rFonts w:ascii="Arial" w:cs="Arial" w:eastAsia="Arial" w:hAnsi="Arial"/>
                <w:sz w:val="14"/>
                <w:szCs w:val="14"/>
                <w:b w:val="1"/>
                <w:bCs w:val="1"/>
                <w:color w:val="auto"/>
              </w:rPr>
              <w:t>(%)</w:t>
            </w: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5% and Greater Stockholders:</w:t>
            </w: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Leen Kawas</w:t>
            </w:r>
            <w:r>
              <w:rPr>
                <w:rFonts w:ascii="Arial" w:cs="Arial" w:eastAsia="Arial" w:hAnsi="Arial"/>
                <w:sz w:val="15"/>
                <w:szCs w:val="15"/>
                <w:color w:val="auto"/>
              </w:rPr>
              <w:t>(1)</w:t>
            </w:r>
          </w:p>
        </w:tc>
        <w:tc>
          <w:tcPr>
            <w:tcW w:w="1140" w:type="dxa"/>
            <w:vAlign w:val="bottom"/>
          </w:tcPr>
          <w:p>
            <w:pPr>
              <w:jc w:val="right"/>
              <w:spacing w:after="0"/>
              <w:rPr>
                <w:sz w:val="20"/>
                <w:szCs w:val="20"/>
                <w:color w:val="auto"/>
              </w:rPr>
            </w:pPr>
            <w:r>
              <w:rPr>
                <w:rFonts w:ascii="Arial" w:cs="Arial" w:eastAsia="Arial" w:hAnsi="Arial"/>
                <w:sz w:val="18"/>
                <w:szCs w:val="18"/>
                <w:color w:val="auto"/>
              </w:rPr>
              <w:t>1,693,102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1,693,102</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Perceptive Life Sciences Master Fund Ltd.</w:t>
            </w:r>
            <w:r>
              <w:rPr>
                <w:rFonts w:ascii="Arial" w:cs="Arial" w:eastAsia="Arial" w:hAnsi="Arial"/>
                <w:sz w:val="15"/>
                <w:szCs w:val="15"/>
                <w:color w:val="auto"/>
              </w:rPr>
              <w:t>(2)</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3,114,805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3,114,805</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Entities affiliated with RTW Investments, LP</w:t>
            </w:r>
            <w:r>
              <w:rPr>
                <w:rFonts w:ascii="Arial" w:cs="Arial" w:eastAsia="Arial" w:hAnsi="Arial"/>
                <w:sz w:val="15"/>
                <w:szCs w:val="15"/>
                <w:color w:val="auto"/>
              </w:rPr>
              <w:t>(3)</w:t>
            </w:r>
          </w:p>
        </w:tc>
        <w:tc>
          <w:tcPr>
            <w:tcW w:w="1140" w:type="dxa"/>
            <w:vAlign w:val="bottom"/>
          </w:tcPr>
          <w:p>
            <w:pPr>
              <w:jc w:val="right"/>
              <w:spacing w:after="0"/>
              <w:rPr>
                <w:sz w:val="20"/>
                <w:szCs w:val="20"/>
                <w:color w:val="auto"/>
              </w:rPr>
            </w:pPr>
            <w:r>
              <w:rPr>
                <w:rFonts w:ascii="Arial" w:cs="Arial" w:eastAsia="Arial" w:hAnsi="Arial"/>
                <w:sz w:val="18"/>
                <w:szCs w:val="18"/>
                <w:color w:val="auto"/>
              </w:rPr>
              <w:t>2,668,913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2,668,913</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193"/>
        </w:trPr>
        <w:tc>
          <w:tcPr>
            <w:tcW w:w="582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Viking Global Opportunities Illiquid Investments</w:t>
            </w:r>
          </w:p>
        </w:tc>
        <w:tc>
          <w:tcPr>
            <w:tcW w:w="1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r>
      <w:tr>
        <w:trPr>
          <w:trHeight w:val="226"/>
        </w:trPr>
        <w:tc>
          <w:tcPr>
            <w:tcW w:w="58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Sub-Master LP</w:t>
            </w:r>
            <w:r>
              <w:rPr>
                <w:rFonts w:ascii="Arial" w:cs="Arial" w:eastAsia="Arial" w:hAnsi="Arial"/>
                <w:sz w:val="15"/>
                <w:szCs w:val="15"/>
                <w:color w:val="auto"/>
              </w:rPr>
              <w:t>(4)</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2,120,653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2,120,653</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r>
      <w:tr>
        <w:trPr>
          <w:trHeight w:val="193"/>
        </w:trPr>
        <w:tc>
          <w:tcPr>
            <w:tcW w:w="5820" w:type="dxa"/>
            <w:vAlign w:val="bottom"/>
          </w:tcPr>
          <w:p>
            <w:pPr>
              <w:spacing w:after="0" w:line="193" w:lineRule="exact"/>
              <w:rPr>
                <w:sz w:val="20"/>
                <w:szCs w:val="20"/>
                <w:color w:val="auto"/>
              </w:rPr>
            </w:pPr>
            <w:r>
              <w:rPr>
                <w:rFonts w:ascii="Arial" w:cs="Arial" w:eastAsia="Arial" w:hAnsi="Arial"/>
                <w:sz w:val="18"/>
                <w:szCs w:val="18"/>
                <w:color w:val="auto"/>
              </w:rPr>
              <w:t>Entities affiliated with Venrock Healthcare</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6"/>
        </w:trPr>
        <w:tc>
          <w:tcPr>
            <w:tcW w:w="5820" w:type="dxa"/>
            <w:vAlign w:val="bottom"/>
          </w:tcPr>
          <w:p>
            <w:pPr>
              <w:ind w:left="160"/>
              <w:spacing w:after="0"/>
              <w:rPr>
                <w:sz w:val="20"/>
                <w:szCs w:val="20"/>
                <w:color w:val="auto"/>
              </w:rPr>
            </w:pPr>
            <w:r>
              <w:rPr>
                <w:rFonts w:ascii="Arial" w:cs="Arial" w:eastAsia="Arial" w:hAnsi="Arial"/>
                <w:sz w:val="18"/>
                <w:szCs w:val="18"/>
                <w:color w:val="auto"/>
              </w:rPr>
              <w:t>Capital Partners II, L.P.</w:t>
            </w:r>
            <w:r>
              <w:rPr>
                <w:rFonts w:ascii="Arial" w:cs="Arial" w:eastAsia="Arial" w:hAnsi="Arial"/>
                <w:sz w:val="15"/>
                <w:szCs w:val="15"/>
                <w:color w:val="auto"/>
              </w:rPr>
              <w:t>(5)</w:t>
            </w:r>
          </w:p>
        </w:tc>
        <w:tc>
          <w:tcPr>
            <w:tcW w:w="1140" w:type="dxa"/>
            <w:vAlign w:val="bottom"/>
          </w:tcPr>
          <w:p>
            <w:pPr>
              <w:jc w:val="right"/>
              <w:spacing w:after="0"/>
              <w:rPr>
                <w:sz w:val="20"/>
                <w:szCs w:val="20"/>
                <w:color w:val="auto"/>
              </w:rPr>
            </w:pPr>
            <w:r>
              <w:rPr>
                <w:rFonts w:ascii="Arial" w:cs="Arial" w:eastAsia="Arial" w:hAnsi="Arial"/>
                <w:sz w:val="18"/>
                <w:szCs w:val="18"/>
                <w:color w:val="auto"/>
              </w:rPr>
              <w:t>1,657,623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1,657,623</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Named Executive Officers and Directors:</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Leen Kawas</w:t>
            </w:r>
            <w:r>
              <w:rPr>
                <w:rFonts w:ascii="Arial" w:cs="Arial" w:eastAsia="Arial" w:hAnsi="Arial"/>
                <w:sz w:val="15"/>
                <w:szCs w:val="15"/>
                <w:color w:val="auto"/>
              </w:rPr>
              <w:t>(1)</w:t>
            </w:r>
          </w:p>
        </w:tc>
        <w:tc>
          <w:tcPr>
            <w:tcW w:w="1140" w:type="dxa"/>
            <w:vAlign w:val="bottom"/>
          </w:tcPr>
          <w:p>
            <w:pPr>
              <w:jc w:val="right"/>
              <w:spacing w:after="0"/>
              <w:rPr>
                <w:sz w:val="20"/>
                <w:szCs w:val="20"/>
                <w:color w:val="auto"/>
              </w:rPr>
            </w:pPr>
            <w:r>
              <w:rPr>
                <w:rFonts w:ascii="Arial" w:cs="Arial" w:eastAsia="Arial" w:hAnsi="Arial"/>
                <w:sz w:val="18"/>
                <w:szCs w:val="18"/>
                <w:color w:val="auto"/>
              </w:rPr>
              <w:t>1,693,102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1,693,102</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Hans Moebius</w:t>
            </w:r>
            <w:r>
              <w:rPr>
                <w:rFonts w:ascii="Arial" w:cs="Arial" w:eastAsia="Arial" w:hAnsi="Arial"/>
                <w:sz w:val="15"/>
                <w:szCs w:val="15"/>
                <w:color w:val="auto"/>
              </w:rPr>
              <w:t>(6)</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14,186</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Glenna Mileson</w:t>
            </w:r>
            <w:r>
              <w:rPr>
                <w:rFonts w:ascii="Arial" w:cs="Arial" w:eastAsia="Arial" w:hAnsi="Arial"/>
                <w:sz w:val="15"/>
                <w:szCs w:val="15"/>
                <w:color w:val="auto"/>
              </w:rPr>
              <w:t>(7)</w:t>
            </w:r>
          </w:p>
        </w:tc>
        <w:tc>
          <w:tcPr>
            <w:tcW w:w="1140" w:type="dxa"/>
            <w:vAlign w:val="bottom"/>
          </w:tcPr>
          <w:p>
            <w:pPr>
              <w:jc w:val="right"/>
              <w:spacing w:after="0"/>
              <w:rPr>
                <w:sz w:val="20"/>
                <w:szCs w:val="20"/>
                <w:color w:val="auto"/>
              </w:rPr>
            </w:pPr>
            <w:r>
              <w:rPr>
                <w:rFonts w:ascii="Arial" w:cs="Arial" w:eastAsia="Arial" w:hAnsi="Arial"/>
                <w:sz w:val="18"/>
                <w:szCs w:val="18"/>
                <w:color w:val="auto"/>
              </w:rPr>
              <w:t>88,270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88,270</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Tadataka Yamada</w:t>
            </w:r>
            <w:r>
              <w:rPr>
                <w:rFonts w:ascii="Arial" w:cs="Arial" w:eastAsia="Arial" w:hAnsi="Arial"/>
                <w:sz w:val="15"/>
                <w:szCs w:val="15"/>
                <w:color w:val="auto"/>
              </w:rPr>
              <w:t>(8)</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55,343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55,343</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(9)</w:t>
            </w:r>
          </w:p>
        </w:tc>
        <w:tc>
          <w:tcPr>
            <w:tcW w:w="1140" w:type="dxa"/>
            <w:vAlign w:val="bottom"/>
          </w:tcPr>
          <w:p>
            <w:pPr>
              <w:jc w:val="right"/>
              <w:spacing w:after="0"/>
              <w:rPr>
                <w:sz w:val="20"/>
                <w:szCs w:val="20"/>
                <w:color w:val="auto"/>
              </w:rPr>
            </w:pPr>
            <w:r>
              <w:rPr>
                <w:rFonts w:ascii="Arial" w:cs="Arial" w:eastAsia="Arial" w:hAnsi="Arial"/>
                <w:sz w:val="18"/>
                <w:szCs w:val="18"/>
                <w:color w:val="auto"/>
              </w:rPr>
              <w:t>3,118,658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3,118,658</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John M. Fluke, Jr.</w:t>
            </w:r>
            <w:r>
              <w:rPr>
                <w:rFonts w:ascii="Arial" w:cs="Arial" w:eastAsia="Arial" w:hAnsi="Arial"/>
                <w:sz w:val="15"/>
                <w:szCs w:val="15"/>
                <w:color w:val="auto"/>
              </w:rPr>
              <w:t>(10)</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154,468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154,468</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James A. Johnson</w:t>
            </w:r>
            <w:r>
              <w:rPr>
                <w:rFonts w:ascii="Arial" w:cs="Arial" w:eastAsia="Arial" w:hAnsi="Arial"/>
                <w:sz w:val="15"/>
                <w:szCs w:val="15"/>
                <w:color w:val="auto"/>
              </w:rPr>
              <w:t>(11)</w:t>
            </w:r>
          </w:p>
        </w:tc>
        <w:tc>
          <w:tcPr>
            <w:tcW w:w="1140" w:type="dxa"/>
            <w:vAlign w:val="bottom"/>
          </w:tcPr>
          <w:p>
            <w:pPr>
              <w:jc w:val="right"/>
              <w:spacing w:after="0"/>
              <w:rPr>
                <w:sz w:val="20"/>
                <w:szCs w:val="20"/>
                <w:color w:val="auto"/>
              </w:rPr>
            </w:pPr>
            <w:r>
              <w:rPr>
                <w:rFonts w:ascii="Arial" w:cs="Arial" w:eastAsia="Arial" w:hAnsi="Arial"/>
                <w:sz w:val="18"/>
                <w:szCs w:val="18"/>
                <w:color w:val="auto"/>
              </w:rPr>
              <w:t>4,623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4,623</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Kelly A. Romano</w:t>
            </w:r>
            <w:r>
              <w:rPr>
                <w:rFonts w:ascii="Arial" w:cs="Arial" w:eastAsia="Arial" w:hAnsi="Arial"/>
                <w:sz w:val="15"/>
                <w:szCs w:val="15"/>
                <w:color w:val="auto"/>
              </w:rPr>
              <w:t>(12)</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1,856</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193"/>
        </w:trPr>
        <w:tc>
          <w:tcPr>
            <w:tcW w:w="5820" w:type="dxa"/>
            <w:vAlign w:val="bottom"/>
          </w:tcPr>
          <w:p>
            <w:pPr>
              <w:spacing w:after="0" w:line="193" w:lineRule="exact"/>
              <w:rPr>
                <w:sz w:val="20"/>
                <w:szCs w:val="20"/>
                <w:color w:val="auto"/>
              </w:rPr>
            </w:pPr>
            <w:r>
              <w:rPr>
                <w:rFonts w:ascii="Arial" w:cs="Arial" w:eastAsia="Arial" w:hAnsi="Arial"/>
                <w:sz w:val="18"/>
                <w:szCs w:val="18"/>
                <w:color w:val="auto"/>
              </w:rPr>
              <w:t>All directors and executive officers as a group</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43"/>
        </w:trPr>
        <w:tc>
          <w:tcPr>
            <w:tcW w:w="5820" w:type="dxa"/>
            <w:vAlign w:val="bottom"/>
          </w:tcPr>
          <w:p>
            <w:pPr>
              <w:ind w:left="160"/>
              <w:spacing w:after="0"/>
              <w:rPr>
                <w:sz w:val="20"/>
                <w:szCs w:val="20"/>
                <w:color w:val="auto"/>
              </w:rPr>
            </w:pPr>
            <w:r>
              <w:rPr>
                <w:rFonts w:ascii="Arial" w:cs="Arial" w:eastAsia="Arial" w:hAnsi="Arial"/>
                <w:sz w:val="18"/>
                <w:szCs w:val="18"/>
                <w:color w:val="auto"/>
              </w:rPr>
              <w:t>(10 persons)</w:t>
            </w:r>
            <w:r>
              <w:rPr>
                <w:rFonts w:ascii="Arial" w:cs="Arial" w:eastAsia="Arial" w:hAnsi="Arial"/>
                <w:sz w:val="15"/>
                <w:szCs w:val="15"/>
                <w:color w:val="auto"/>
              </w:rPr>
              <w:t>(13)</w:t>
            </w:r>
          </w:p>
        </w:tc>
        <w:tc>
          <w:tcPr>
            <w:tcW w:w="1140" w:type="dxa"/>
            <w:vAlign w:val="bottom"/>
          </w:tcPr>
          <w:p>
            <w:pPr>
              <w:jc w:val="right"/>
              <w:spacing w:after="0"/>
              <w:rPr>
                <w:sz w:val="20"/>
                <w:szCs w:val="20"/>
                <w:color w:val="auto"/>
              </w:rPr>
            </w:pPr>
            <w:r>
              <w:rPr>
                <w:rFonts w:ascii="Arial" w:cs="Arial" w:eastAsia="Arial" w:hAnsi="Arial"/>
                <w:sz w:val="18"/>
                <w:szCs w:val="18"/>
                <w:color w:val="auto"/>
              </w:rPr>
              <w:t>5,267,352</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5,267,352</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626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165" w:lineRule="exact"/>
        <w:rPr>
          <w:sz w:val="20"/>
          <w:szCs w:val="20"/>
          <w:color w:val="auto"/>
        </w:rPr>
      </w:pPr>
    </w:p>
    <w:p>
      <w:pPr>
        <w:ind w:left="480" w:hanging="472"/>
        <w:spacing w:after="0"/>
        <w:tabs>
          <w:tab w:leader="none" w:pos="4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our outstanding common stock.</w:t>
      </w:r>
    </w:p>
    <w:p>
      <w:pPr>
        <w:spacing w:after="0" w:line="42" w:lineRule="exact"/>
        <w:rPr>
          <w:sz w:val="20"/>
          <w:szCs w:val="20"/>
          <w:color w:val="auto"/>
        </w:rPr>
      </w:pPr>
    </w:p>
    <w:p>
      <w:pPr>
        <w:ind w:left="480" w:right="40" w:hanging="472"/>
        <w:spacing w:after="0" w:line="267" w:lineRule="auto"/>
        <w:tabs>
          <w:tab w:leader="none" w:pos="48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Consists of 264,810 shares held of record by Hamdan Family GST Trust, 1,117,246 shares held of record by Dr. Kawas and options to purchase 311,046 shares that are exercisable within 60 days of December 31, 2020.</w:t>
      </w:r>
    </w:p>
    <w:p>
      <w:pPr>
        <w:ind w:left="480" w:hanging="472"/>
        <w:spacing w:after="0" w:line="210" w:lineRule="auto"/>
        <w:tabs>
          <w:tab w:leader="none" w:pos="48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Consists of 3,114,805 shares held of record by Perceptive Life Sciences Master Fund Ltd., or Perceptive. The business address of Perceptive is 51 Astor Place, 10</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Floor, New York, NY 10003. Perceptive Advisors LLC serves as the investment manager of Perceptive. Joseph Edelman is the managing member of Perceptive Advisors LLC and he may be deemed to beneficially own the shares held by Perceptive.</w:t>
      </w:r>
    </w:p>
    <w:p>
      <w:pPr>
        <w:spacing w:after="0" w:line="8" w:lineRule="exact"/>
        <w:rPr>
          <w:rFonts w:ascii="Arial" w:cs="Arial" w:eastAsia="Arial" w:hAnsi="Arial"/>
          <w:sz w:val="14"/>
          <w:szCs w:val="14"/>
          <w:color w:val="auto"/>
        </w:rPr>
      </w:pPr>
    </w:p>
    <w:p>
      <w:pPr>
        <w:ind w:left="480" w:right="40" w:hanging="472"/>
        <w:spacing w:after="0" w:line="230" w:lineRule="auto"/>
        <w:tabs>
          <w:tab w:leader="none" w:pos="48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Based on the most recently available Schedule 13G filed with the SEC on September 28, 2020. Consists of 2,668,913 shares held of record in the aggregate by RTW Master Fund, Ltd., RTW Innovation Master Fund, Ltd. and RTW Venture Fund Limited. RTW Investments, LP has the power to direct the vote and disposition of securities held by RTW Master Fund, Ltd., RTW Innovation Master Fund, Ltd. and RTW Venture Fund Limited. Accordingly, RTW Investments, LP may be deemed to be the beneficial owner of such securities. Roderick Wong, M.D. has the power to direct the vote and disposition of the securities held by RTW Investments, LP. Dr. Wong is the managing member of RTW Investments GP, LLC, which is the general partner of RTW Investments, LP. Dr. Wong disclaims beneficial ownership of the shares held by RTW Master Fund, Ltd., RTW Innovation Master Fund, Ltd., and RTW Venture Fund Limited, except to the extent of his pecuniary interest therein. The address and principal office of RTW Investments, LP and Dr. Wong is 40 10</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Avenue, Floor 7, New York, NY 10014.</w:t>
      </w:r>
    </w:p>
    <w:p>
      <w:pPr>
        <w:spacing w:after="0" w:line="2" w:lineRule="exact"/>
        <w:rPr>
          <w:rFonts w:ascii="Arial" w:cs="Arial" w:eastAsia="Arial" w:hAnsi="Arial"/>
          <w:sz w:val="14"/>
          <w:szCs w:val="14"/>
          <w:color w:val="auto"/>
        </w:rPr>
      </w:pPr>
    </w:p>
    <w:p>
      <w:pPr>
        <w:ind w:left="480" w:right="80" w:hanging="472"/>
        <w:spacing w:after="0" w:line="246" w:lineRule="auto"/>
        <w:tabs>
          <w:tab w:leader="none" w:pos="48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Based on the most recently available Schedule 13G filed with the SEC on September 28, 2020. Consists of 2,120,653 shares held of record by Viking Global Opportunities Illiquid Investments Sub-Master LP, or Opportunities Fund. Opportunities Fund has the authority to dispose of and vote the shares directly owned by it, which power may be exercised by its general partner, Viking Global Opportunities Portfolio GP LLC, or Opportunities GP, and by Viking Global investors LP, or VGI, which provides managerial services to Opportunities Fund. O. Andreas Halvorsen, David C. Ott and Rose Shabet, as Executive Committee members of Viking Global Partners LLC (the general partner of VGI) and Opportunities GP, have shared authority to direct the voting and disposition of investments beneficially owned by VGI and Opportunities GP. The business address of the Opportunities Fund is c/o Viking Global Investors LP, 55 Railroad Avenue, Greenwich, CT 06830.</w:t>
      </w:r>
    </w:p>
    <w:p>
      <w:pPr>
        <w:spacing w:after="0" w:line="4" w:lineRule="exact"/>
        <w:rPr>
          <w:rFonts w:ascii="Arial" w:cs="Arial" w:eastAsia="Arial" w:hAnsi="Arial"/>
          <w:sz w:val="14"/>
          <w:szCs w:val="14"/>
          <w:color w:val="auto"/>
        </w:rPr>
      </w:pPr>
    </w:p>
    <w:p>
      <w:pPr>
        <w:ind w:left="480" w:right="40" w:hanging="472"/>
        <w:spacing w:after="0" w:line="249" w:lineRule="auto"/>
        <w:tabs>
          <w:tab w:leader="none" w:pos="48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Based on the most recently available Schedule 13G filed with the SEC on November 16, 2020. Consists of 1,657,623 shares held of record in the aggregate by Venrock Healthcare Capital Partners II, L.P. (“VHCP II LP”), VHCP Co-Investment Holdings II, LLC (“VHCP Co-Investment II”), Venrock Healthcare Capital Partners III, L.P. (“VHCP III LP”), VHCP Co-Investment Holdings III, LLC (“VHCP Co-Investment III LP”) and Venrock Healthcare Capital Partners EG, L.P. VHCP Management II, LLC (“VHCPM”) is the sole general partner of VHCP II LP and the manager of VHCP Co-Investment II. VHCP Management III, LLC is the general partner of VHCP III LP and the manager of VHCP Co-Investment III. VHCP Management EG, LLC (“VHCPEG”) is the sole general partner of Venrock Healthcare Capital Partners EG, L.P. Dr. Bong Koh and Nimish Shah are the voting members of VHCPM and VHCPEG. The address of each of the entities and individuals identified in this footnote is c/o Venrock, 7 Bryant Park, 23rd Floor, New York, NY 10018.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0" w:name="page181"/>
    <w:bookmarkEnd w:id="180"/>
    <w:p>
      <w:pPr>
        <w:ind w:left="472" w:hanging="472"/>
        <w:spacing w:after="0"/>
        <w:tabs>
          <w:tab w:leader="none" w:pos="472"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Consists of options to purchase 14,186 shares that are exercisable within 60 days of December 31, 2020.</w:t>
      </w:r>
    </w:p>
    <w:p>
      <w:pPr>
        <w:spacing w:after="0" w:line="41" w:lineRule="exact"/>
        <w:rPr>
          <w:rFonts w:ascii="Arial" w:cs="Arial" w:eastAsia="Arial" w:hAnsi="Arial"/>
          <w:sz w:val="14"/>
          <w:szCs w:val="14"/>
          <w:color w:val="auto"/>
        </w:rPr>
      </w:pPr>
    </w:p>
    <w:p>
      <w:pPr>
        <w:ind w:left="472" w:hanging="472"/>
        <w:spacing w:after="0"/>
        <w:tabs>
          <w:tab w:leader="none" w:pos="472"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Consists of 81,965 shares held by Ms. Mileson and options to purchase 6,305 shares that are exercisable within 60 days of December 31, 2020.</w:t>
      </w:r>
    </w:p>
    <w:p>
      <w:pPr>
        <w:spacing w:after="0" w:line="41" w:lineRule="exact"/>
        <w:rPr>
          <w:rFonts w:ascii="Arial" w:cs="Arial" w:eastAsia="Arial" w:hAnsi="Arial"/>
          <w:sz w:val="14"/>
          <w:szCs w:val="14"/>
          <w:color w:val="auto"/>
        </w:rPr>
      </w:pPr>
    </w:p>
    <w:p>
      <w:pPr>
        <w:ind w:left="472" w:hanging="472"/>
        <w:spacing w:after="0"/>
        <w:tabs>
          <w:tab w:leader="none" w:pos="472"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Consists of options to purchase 55,343 shares that are exercisable within 60 days of December 31, 2020.</w:t>
      </w:r>
    </w:p>
    <w:p>
      <w:pPr>
        <w:spacing w:after="0" w:line="41" w:lineRule="exact"/>
        <w:rPr>
          <w:rFonts w:ascii="Arial" w:cs="Arial" w:eastAsia="Arial" w:hAnsi="Arial"/>
          <w:sz w:val="14"/>
          <w:szCs w:val="14"/>
          <w:color w:val="auto"/>
        </w:rPr>
      </w:pPr>
    </w:p>
    <w:p>
      <w:pPr>
        <w:ind w:left="472" w:hanging="472"/>
        <w:spacing w:after="0"/>
        <w:tabs>
          <w:tab w:leader="none" w:pos="472"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Consists of the shares referenced in footnote (2) above and options to purchase 3,853 shares that are exercisable within 60 days of December 31, 2020.</w:t>
      </w:r>
    </w:p>
    <w:p>
      <w:pPr>
        <w:spacing w:after="0" w:line="41" w:lineRule="exact"/>
        <w:rPr>
          <w:rFonts w:ascii="Arial" w:cs="Arial" w:eastAsia="Arial" w:hAnsi="Arial"/>
          <w:sz w:val="14"/>
          <w:szCs w:val="14"/>
          <w:color w:val="auto"/>
        </w:rPr>
      </w:pPr>
    </w:p>
    <w:p>
      <w:pPr>
        <w:ind w:left="472" w:hanging="472"/>
        <w:spacing w:after="0" w:line="271" w:lineRule="auto"/>
        <w:tabs>
          <w:tab w:leader="none" w:pos="472"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Consists of 6,731 shares held of record by Fluke Capital Management, L.P., 114,881 shares held by Mr. Fluke, and options to purchase 32,856 shares that are exercisable within 60 days of December 31, 2020.</w:t>
      </w:r>
    </w:p>
    <w:p>
      <w:pPr>
        <w:ind w:left="472" w:hanging="472"/>
        <w:spacing w:after="0"/>
        <w:tabs>
          <w:tab w:leader="none" w:pos="472"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Consists of options to purchase 4,623 shares that are exercisable within 60 days of December 31, 2020.</w:t>
      </w:r>
    </w:p>
    <w:p>
      <w:pPr>
        <w:spacing w:after="0" w:line="41" w:lineRule="exact"/>
        <w:rPr>
          <w:rFonts w:ascii="Arial" w:cs="Arial" w:eastAsia="Arial" w:hAnsi="Arial"/>
          <w:sz w:val="14"/>
          <w:szCs w:val="14"/>
          <w:color w:val="auto"/>
        </w:rPr>
      </w:pPr>
    </w:p>
    <w:p>
      <w:pPr>
        <w:ind w:left="472" w:hanging="472"/>
        <w:spacing w:after="0"/>
        <w:tabs>
          <w:tab w:leader="none" w:pos="472"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Consists of 315 shares held by Ms. Romano and options to purchase 1,541 shares that are exercisable within 60 days of December 31, 2020.</w:t>
      </w:r>
    </w:p>
    <w:p>
      <w:pPr>
        <w:spacing w:after="0" w:line="41" w:lineRule="exact"/>
        <w:rPr>
          <w:rFonts w:ascii="Arial" w:cs="Arial" w:eastAsia="Arial" w:hAnsi="Arial"/>
          <w:sz w:val="14"/>
          <w:szCs w:val="14"/>
          <w:color w:val="auto"/>
        </w:rPr>
      </w:pPr>
    </w:p>
    <w:p>
      <w:pPr>
        <w:ind w:left="472" w:hanging="472"/>
        <w:spacing w:after="0"/>
        <w:tabs>
          <w:tab w:leader="none" w:pos="472"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Consists of 4,824,674 shares held of record and options to purchase 442,363 shares that are exercisable within 60 days of December 31, 2020.</w:t>
      </w:r>
    </w:p>
    <w:p>
      <w:pPr>
        <w:spacing w:after="0" w:line="207" w:lineRule="exact"/>
        <w:rPr>
          <w:sz w:val="20"/>
          <w:szCs w:val="20"/>
          <w:color w:val="auto"/>
        </w:rPr>
      </w:pPr>
    </w:p>
    <w:p>
      <w:pPr>
        <w:ind w:left="5412"/>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14946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532"/>
          </w:cols>
          <w:pgMar w:left="328" w:top="410" w:right="1039" w:bottom="1440" w:gutter="0" w:footer="0" w:header="0"/>
        </w:sectPr>
      </w:pPr>
    </w:p>
    <w:bookmarkStart w:id="181" w:name="page182"/>
    <w:bookmarkEnd w:id="181"/>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14" w:lineRule="exact"/>
        <w:rPr>
          <w:sz w:val="20"/>
          <w:szCs w:val="20"/>
          <w:color w:val="auto"/>
        </w:rPr>
      </w:pPr>
    </w:p>
    <w:p>
      <w:pPr>
        <w:ind w:right="160" w:firstLine="576"/>
        <w:spacing w:after="0" w:line="255" w:lineRule="auto"/>
        <w:rPr>
          <w:sz w:val="20"/>
          <w:szCs w:val="20"/>
          <w:color w:val="auto"/>
        </w:rPr>
      </w:pPr>
      <w:r>
        <w:rPr>
          <w:rFonts w:ascii="Arial" w:cs="Arial" w:eastAsia="Arial" w:hAnsi="Arial"/>
          <w:sz w:val="18"/>
          <w:szCs w:val="18"/>
          <w:color w:val="auto"/>
        </w:rPr>
        <w:t>This section provides a summary of the rights of our common stock and preferred stock. This summary is not complete. For more detailed information, please see our certificate of incorporation and bylaws, which are filed as exhibits to the registration statement of which this prospectus is a part.</w:t>
      </w:r>
    </w:p>
    <w:p>
      <w:pPr>
        <w:spacing w:after="0" w:line="164" w:lineRule="exact"/>
        <w:rPr>
          <w:sz w:val="20"/>
          <w:szCs w:val="20"/>
          <w:color w:val="auto"/>
        </w:rPr>
      </w:pPr>
    </w:p>
    <w:p>
      <w:pPr>
        <w:ind w:right="60" w:firstLine="576"/>
        <w:spacing w:after="0" w:line="276" w:lineRule="auto"/>
        <w:rPr>
          <w:sz w:val="20"/>
          <w:szCs w:val="20"/>
          <w:color w:val="auto"/>
        </w:rPr>
      </w:pPr>
      <w:r>
        <w:rPr>
          <w:rFonts w:ascii="Arial" w:cs="Arial" w:eastAsia="Arial" w:hAnsi="Arial"/>
          <w:sz w:val="18"/>
          <w:szCs w:val="18"/>
          <w:color w:val="auto"/>
        </w:rPr>
        <w:t>Our authorized capital stock consists of 900,000,000 shares of common stock, par value $0.0001 per share, and 100,000,000 shares of preferred stock, par value $0.0001 per share.</w:t>
      </w:r>
    </w:p>
    <w:p>
      <w:pPr>
        <w:spacing w:after="0" w:line="145"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As of December 31, 2020, there were 32,485,184 shares of our common stock outstanding and no shares of our preferred stock outstanding. As of December 31, 2020, there were 1,974,870 shares of common stock subject to outstanding options, no shares of common stock subject to outstanding warrants, 4,204 shares of common stock issuable upon the settlement of outstanding restricted stock awards and no shares of common stock issuable upon the settlement of outstanding RSUs. As of December 31, 2020, we had approximately 156 record holders of our common stock.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04" w:lineRule="exact"/>
        <w:rPr>
          <w:sz w:val="20"/>
          <w:szCs w:val="20"/>
          <w:color w:val="auto"/>
        </w:rPr>
      </w:pPr>
    </w:p>
    <w:p>
      <w:pPr>
        <w:ind w:right="60" w:firstLine="576"/>
        <w:spacing w:after="0"/>
        <w:rPr>
          <w:sz w:val="20"/>
          <w:szCs w:val="20"/>
          <w:color w:val="auto"/>
        </w:rPr>
      </w:pPr>
      <w:r>
        <w:rPr>
          <w:rFonts w:ascii="Arial" w:cs="Arial" w:eastAsia="Arial" w:hAnsi="Arial"/>
          <w:sz w:val="18"/>
          <w:szCs w:val="18"/>
          <w:color w:val="auto"/>
        </w:rPr>
        <w:t>Each share of common stock is entitled to one vote per share on all matters (including the election of directors) submitted to a vote of stockholders, unless otherwise required by law or our certificate of incorporation. Our certificate of incorporation and bylaws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jc w:val="both"/>
        <w:ind w:right="160" w:firstLine="576"/>
        <w:spacing w:after="0" w:line="255" w:lineRule="auto"/>
        <w:rPr>
          <w:sz w:val="20"/>
          <w:szCs w:val="20"/>
          <w:color w:val="auto"/>
        </w:rPr>
      </w:pPr>
      <w:r>
        <w:rPr>
          <w:rFonts w:ascii="Arial" w:cs="Arial" w:eastAsia="Arial" w:hAnsi="Arial"/>
          <w:sz w:val="18"/>
          <w:szCs w:val="18"/>
          <w:color w:val="auto"/>
        </w:rPr>
        <w:t>Subject to preferences that may be applicable to any then-outstanding preferred stock, holders of our common stock are entitled to receive dividends, if any, as may be declared from time to time by our board of directors out of legally available funds. For more information see the section of this prospectus titled “Dividend Policy.”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04" w:lineRule="exact"/>
        <w:rPr>
          <w:sz w:val="20"/>
          <w:szCs w:val="20"/>
          <w:color w:val="auto"/>
        </w:rPr>
      </w:pPr>
    </w:p>
    <w:p>
      <w:pPr>
        <w:ind w:right="80" w:firstLine="576"/>
        <w:spacing w:after="0" w:line="255" w:lineRule="auto"/>
        <w:rPr>
          <w:sz w:val="20"/>
          <w:szCs w:val="20"/>
          <w:color w:val="auto"/>
        </w:rPr>
      </w:pPr>
      <w:r>
        <w:rPr>
          <w:rFonts w:ascii="Arial" w:cs="Arial" w:eastAsia="Arial" w:hAnsi="Arial"/>
          <w:sz w:val="18"/>
          <w:szCs w:val="18"/>
          <w:color w:val="auto"/>
        </w:rPr>
        <w:t>Upon a liquidation event,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04"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Holders of common stock have no preemptive, conversion, subscription or other rights, and there are no redemption or sinking fund provisions applicable to our common stock. The rights, preferences and privileges of the holders of common stock are subject to, and may be adversely affected by, the rights of the holders of shares of any series of preferred stock that we may designate in the future.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04" w:lineRule="exact"/>
        <w:rPr>
          <w:sz w:val="20"/>
          <w:szCs w:val="20"/>
          <w:color w:val="auto"/>
        </w:rPr>
      </w:pPr>
    </w:p>
    <w:p>
      <w:pPr>
        <w:ind w:right="140" w:firstLine="576"/>
        <w:spacing w:after="0" w:line="276"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04"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Our board of directors has the authority, without further action by the stockholders, to issue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No shares of preferred stock are outstanding, and we have no present plan to issue any shares of preferred stock.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04"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Under our investors’ rights agreement, as amended, as of September 30, 2020, the holders of approximately 18,104,343 shares of common stock, or their transferees, have the right to require us to register the offer and sale of their shares, which we refer to as registration rights. We also register shares of common stock that we may issue under our equity compensation plans. Once we register these shares, they can be freely sold in the public market upon issuance and once vested, subject to volume limitations applicable to affiliates and the lock-up agreements described in the section of this prospectus titled “Shares Eligible for Future Sale”.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04" w:lineRule="exact"/>
        <w:rPr>
          <w:sz w:val="20"/>
          <w:szCs w:val="20"/>
          <w:color w:val="auto"/>
        </w:rPr>
      </w:pPr>
    </w:p>
    <w:p>
      <w:pPr>
        <w:ind w:right="160" w:firstLine="576"/>
        <w:spacing w:after="0" w:line="243" w:lineRule="auto"/>
        <w:rPr>
          <w:sz w:val="20"/>
          <w:szCs w:val="20"/>
          <w:color w:val="auto"/>
        </w:rPr>
      </w:pPr>
      <w:r>
        <w:rPr>
          <w:rFonts w:ascii="Arial" w:cs="Arial" w:eastAsia="Arial" w:hAnsi="Arial"/>
          <w:sz w:val="18"/>
          <w:szCs w:val="18"/>
          <w:color w:val="auto"/>
        </w:rPr>
        <w:t>At any time after six months after September 17, 2020, the holders of at least 40% of the shares having demand registration rights have the right to demand that we use best efforts to file a registration statement for the registration of the offer. We are only obligated to file up to two registration statements in connection with the exercise of demand registration rights. These registration rights are subject to specified conditions and limitations, including the right of the underwriters to limit the number of shares included in any such registration under certain circumstances and our ability to defer the filing of a registration statement with respect to an exercise of such demand registration rights for up to 120 days under certain circumstances.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04" w:lineRule="exact"/>
        <w:rPr>
          <w:sz w:val="20"/>
          <w:szCs w:val="20"/>
          <w:color w:val="auto"/>
        </w:rPr>
      </w:pPr>
    </w:p>
    <w:p>
      <w:pPr>
        <w:ind w:right="120" w:firstLine="576"/>
        <w:spacing w:after="0" w:line="243" w:lineRule="auto"/>
        <w:rPr>
          <w:sz w:val="20"/>
          <w:szCs w:val="20"/>
          <w:color w:val="auto"/>
        </w:rPr>
      </w:pPr>
      <w:r>
        <w:rPr>
          <w:rFonts w:ascii="Arial" w:cs="Arial" w:eastAsia="Arial" w:hAnsi="Arial"/>
          <w:sz w:val="18"/>
          <w:szCs w:val="18"/>
          <w:color w:val="auto"/>
        </w:rPr>
        <w:t>At any time after we are qualified to file a registration statement on Form S-3, the holders of at least 30% of the shares having demand registration rights have the right to demand that we file a registration statement on Form S-3 so long as the aggregate number of shares to be offered and sold under such registration statement on Form S-3 is at least $5 million. We are not obligated to file any registration statements within 30 days of a registration statement that we propose. These investor registration rights are subject to specified conditions and limitations, including our ability to defer the filing of a registration statement with respect to an exercise of such Form S-3 registration rights for up to 90 days under certain circumstances.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04"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If we propose to register the offer and sale of any of our securities under the Securities Act either for our own account or for the account of other stockholders, a stockholder with registration rights will have the right, subject to certain exceptions, to include their shares of common stock in the registration</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183" w:name="page184"/>
    <w:bookmarkEnd w:id="183"/>
    <w:p>
      <w:pPr>
        <w:ind w:right="320"/>
        <w:spacing w:after="0" w:line="276" w:lineRule="auto"/>
        <w:rPr>
          <w:sz w:val="20"/>
          <w:szCs w:val="20"/>
          <w:color w:val="auto"/>
        </w:rPr>
      </w:pPr>
      <w:r>
        <w:rPr>
          <w:rFonts w:ascii="Arial" w:cs="Arial" w:eastAsia="Arial" w:hAnsi="Arial"/>
          <w:sz w:val="18"/>
          <w:szCs w:val="18"/>
          <w:color w:val="auto"/>
        </w:rPr>
        <w:t>statement. These registration rights are subject to specified conditions and limitations, and any proposed offering in connection therewith may be terminated or withdrawn by us at our sole discretion.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04" w:lineRule="exact"/>
        <w:rPr>
          <w:sz w:val="20"/>
          <w:szCs w:val="20"/>
          <w:color w:val="auto"/>
        </w:rPr>
      </w:pPr>
    </w:p>
    <w:p>
      <w:pPr>
        <w:ind w:right="320" w:firstLine="576"/>
        <w:spacing w:after="0" w:line="276" w:lineRule="auto"/>
        <w:rPr>
          <w:sz w:val="20"/>
          <w:szCs w:val="20"/>
          <w:color w:val="auto"/>
        </w:rPr>
      </w:pPr>
      <w:r>
        <w:rPr>
          <w:rFonts w:ascii="Arial" w:cs="Arial" w:eastAsia="Arial" w:hAnsi="Arial"/>
          <w:sz w:val="18"/>
          <w:szCs w:val="18"/>
          <w:color w:val="auto"/>
        </w:rPr>
        <w:t>We will pay all expenses relating to any demand registrations, Form S-3 registrations and piggyback registrations, other than underwriting discounts and selling commissions and up to $50,000 of fees and disbursements of one counsel to the selling stockholders.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w:t>
      </w:r>
    </w:p>
    <w:p>
      <w:pPr>
        <w:spacing w:after="0" w:line="104"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The registration rights terminate upon the earliest of (1) a merger or acquisition; (2) as to a given holder of registration rights, when such holder of registration rights can sell all of such holder’s registrable securities in a three month-period pursuant to Rule 144 promulgated under the Securities Act; and (3) the date that is three years after the closing of our initial public offering.</w:t>
      </w:r>
    </w:p>
    <w:p>
      <w:pPr>
        <w:spacing w:after="0" w:line="270" w:lineRule="exact"/>
        <w:rPr>
          <w:sz w:val="20"/>
          <w:szCs w:val="20"/>
          <w:color w:val="auto"/>
        </w:rPr>
      </w:pPr>
    </w:p>
    <w:p>
      <w:pPr>
        <w:ind w:right="2300"/>
        <w:spacing w:after="0" w:line="361" w:lineRule="auto"/>
        <w:rPr>
          <w:sz w:val="20"/>
          <w:szCs w:val="20"/>
          <w:color w:val="auto"/>
        </w:rPr>
      </w:pPr>
      <w:r>
        <w:rPr>
          <w:rFonts w:ascii="Arial" w:cs="Arial" w:eastAsia="Arial" w:hAnsi="Arial"/>
          <w:sz w:val="18"/>
          <w:szCs w:val="18"/>
          <w:b w:val="1"/>
          <w:bCs w:val="1"/>
          <w:color w:val="auto"/>
        </w:rPr>
        <w:t xml:space="preserve">Anti-Takeover Effects of Delaware and Washington Law and Our Certificate of Incorporation and Bylaws </w:t>
      </w:r>
      <w:r>
        <w:rPr>
          <w:rFonts w:ascii="Arial" w:cs="Arial" w:eastAsia="Arial" w:hAnsi="Arial"/>
          <w:sz w:val="18"/>
          <w:szCs w:val="18"/>
          <w:b w:val="1"/>
          <w:bCs w:val="1"/>
          <w:i w:val="1"/>
          <w:iCs w:val="1"/>
          <w:color w:val="auto"/>
        </w:rPr>
        <w:t>Delaware Law</w:t>
      </w:r>
    </w:p>
    <w:p>
      <w:pPr>
        <w:ind w:right="280" w:firstLine="576"/>
        <w:spacing w:after="0" w:line="255" w:lineRule="auto"/>
        <w:rPr>
          <w:sz w:val="20"/>
          <w:szCs w:val="20"/>
          <w:color w:val="auto"/>
        </w:rPr>
      </w:pPr>
      <w:r>
        <w:rPr>
          <w:rFonts w:ascii="Arial" w:cs="Arial" w:eastAsia="Arial" w:hAnsi="Arial"/>
          <w:sz w:val="18"/>
          <w:szCs w:val="18"/>
          <w:color w:val="auto"/>
        </w:rPr>
        <w:t>We are subject to Section 203 of the Delaware General Corporation Law. Section 203 generally prohibits a publicly held Delaware corporation from engaging in a “business combination” with any “interested stockholder” for a period of three years after the date of the transaction in which the person became an interested stockholder, unless:</w:t>
      </w:r>
    </w:p>
    <w:p>
      <w:pPr>
        <w:spacing w:after="0" w:line="56" w:lineRule="exact"/>
        <w:rPr>
          <w:sz w:val="20"/>
          <w:szCs w:val="20"/>
          <w:color w:val="auto"/>
        </w:rPr>
      </w:pPr>
    </w:p>
    <w:p>
      <w:pPr>
        <w:ind w:left="1300" w:right="60" w:hanging="442"/>
        <w:spacing w:after="0" w:line="275" w:lineRule="auto"/>
        <w:tabs>
          <w:tab w:leader="none" w:pos="1300" w:val="left"/>
        </w:tabs>
        <w:numPr>
          <w:ilvl w:val="0"/>
          <w:numId w:val="114"/>
        </w:numPr>
        <w:rPr>
          <w:rFonts w:ascii="Times New Roman" w:cs="Times New Roman" w:eastAsia="Times New Roman" w:hAnsi="Times New Roman"/>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37" w:lineRule="exact"/>
        <w:rPr>
          <w:rFonts w:ascii="Times New Roman" w:cs="Times New Roman" w:eastAsia="Times New Roman" w:hAnsi="Times New Roman"/>
          <w:sz w:val="18"/>
          <w:szCs w:val="18"/>
          <w:color w:val="auto"/>
        </w:rPr>
      </w:pPr>
    </w:p>
    <w:p>
      <w:pPr>
        <w:ind w:left="1300" w:hanging="442"/>
        <w:spacing w:after="0" w:line="244" w:lineRule="auto"/>
        <w:tabs>
          <w:tab w:leader="none" w:pos="1300" w:val="left"/>
        </w:tabs>
        <w:numPr>
          <w:ilvl w:val="0"/>
          <w:numId w:val="114"/>
        </w:numPr>
        <w:rPr>
          <w:rFonts w:ascii="Times New Roman" w:cs="Times New Roman" w:eastAsia="Times New Roman" w:hAnsi="Times New Roman"/>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67" w:lineRule="exact"/>
        <w:rPr>
          <w:rFonts w:ascii="Times New Roman" w:cs="Times New Roman" w:eastAsia="Times New Roman" w:hAnsi="Times New Roman"/>
          <w:sz w:val="18"/>
          <w:szCs w:val="18"/>
          <w:color w:val="auto"/>
        </w:rPr>
      </w:pPr>
    </w:p>
    <w:p>
      <w:pPr>
        <w:jc w:val="both"/>
        <w:ind w:left="1300" w:right="320" w:hanging="442"/>
        <w:spacing w:after="0" w:line="255" w:lineRule="auto"/>
        <w:tabs>
          <w:tab w:leader="none" w:pos="1300" w:val="left"/>
        </w:tabs>
        <w:numPr>
          <w:ilvl w:val="0"/>
          <w:numId w:val="114"/>
        </w:numPr>
        <w:rPr>
          <w:rFonts w:ascii="Times New Roman" w:cs="Times New Roman" w:eastAsia="Times New Roman" w:hAnsi="Times New Roman"/>
          <w:sz w:val="18"/>
          <w:szCs w:val="18"/>
          <w:color w:val="auto"/>
        </w:rPr>
      </w:pPr>
      <w:r>
        <w:rPr>
          <w:rFonts w:ascii="Arial" w:cs="Arial" w:eastAsia="Arial" w:hAnsi="Arial"/>
          <w:sz w:val="18"/>
          <w:szCs w:val="18"/>
          <w:color w:val="auto"/>
        </w:rPr>
        <w:t>on or subsequent to the date of the transaction, the business combination is approved by the board and authorized at an annual or special meeting of stockholders, and not by written consent, by the affirmative vote of at least two-thirds of the outstanding voting stock which is not owned by the interested stockholder.</w:t>
      </w:r>
    </w:p>
    <w:p>
      <w:pPr>
        <w:spacing w:after="0" w:line="5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4"/>
        </w:numPr>
        <w:rPr>
          <w:rFonts w:ascii="Times New Roman" w:cs="Times New Roman" w:eastAsia="Times New Roman" w:hAnsi="Times New Roman"/>
          <w:sz w:val="18"/>
          <w:szCs w:val="18"/>
          <w:color w:val="auto"/>
        </w:rPr>
      </w:pPr>
      <w:r>
        <w:rPr>
          <w:rFonts w:ascii="Arial" w:cs="Arial" w:eastAsia="Arial" w:hAnsi="Arial"/>
          <w:sz w:val="18"/>
          <w:szCs w:val="18"/>
          <w:color w:val="auto"/>
        </w:rPr>
        <w:t>Section 203 defines a business combination to include: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4"/>
        </w:numPr>
        <w:rPr>
          <w:rFonts w:ascii="Times New Roman" w:cs="Times New Roman" w:eastAsia="Times New Roman" w:hAnsi="Times New Roman"/>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16" w:lineRule="exact"/>
        <w:rPr>
          <w:rFonts w:ascii="Times New Roman" w:cs="Times New Roman" w:eastAsia="Times New Roman" w:hAnsi="Times New Roman"/>
          <w:sz w:val="18"/>
          <w:szCs w:val="18"/>
          <w:color w:val="auto"/>
        </w:rPr>
      </w:pPr>
    </w:p>
    <w:p>
      <w:pPr>
        <w:ind w:left="1300" w:right="600" w:hanging="442"/>
        <w:spacing w:after="0" w:line="275" w:lineRule="auto"/>
        <w:tabs>
          <w:tab w:leader="none" w:pos="1300" w:val="left"/>
        </w:tabs>
        <w:numPr>
          <w:ilvl w:val="0"/>
          <w:numId w:val="114"/>
        </w:numPr>
        <w:rPr>
          <w:rFonts w:ascii="Times New Roman" w:cs="Times New Roman" w:eastAsia="Times New Roman" w:hAnsi="Times New Roman"/>
          <w:sz w:val="18"/>
          <w:szCs w:val="18"/>
          <w:color w:val="auto"/>
        </w:rPr>
      </w:pPr>
      <w:r>
        <w:rPr>
          <w:rFonts w:ascii="Arial" w:cs="Arial" w:eastAsia="Arial" w:hAnsi="Arial"/>
          <w:sz w:val="18"/>
          <w:szCs w:val="18"/>
          <w:color w:val="auto"/>
        </w:rPr>
        <w:t>any sale, transfer, pledge or other disposition involving the interested stockholder of 10% or more of the assets of the corporation;</w:t>
      </w:r>
    </w:p>
    <w:p>
      <w:pPr>
        <w:spacing w:after="0" w:line="37" w:lineRule="exact"/>
        <w:rPr>
          <w:rFonts w:ascii="Times New Roman" w:cs="Times New Roman" w:eastAsia="Times New Roman" w:hAnsi="Times New Roman"/>
          <w:sz w:val="18"/>
          <w:szCs w:val="18"/>
          <w:color w:val="auto"/>
        </w:rPr>
      </w:pPr>
    </w:p>
    <w:p>
      <w:pPr>
        <w:ind w:left="1300" w:right="840" w:hanging="442"/>
        <w:spacing w:after="0" w:line="275" w:lineRule="auto"/>
        <w:tabs>
          <w:tab w:leader="none" w:pos="1300" w:val="left"/>
        </w:tabs>
        <w:numPr>
          <w:ilvl w:val="0"/>
          <w:numId w:val="114"/>
        </w:numPr>
        <w:rPr>
          <w:rFonts w:ascii="Times New Roman" w:cs="Times New Roman" w:eastAsia="Times New Roman" w:hAnsi="Times New Roman"/>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37"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114"/>
        </w:numPr>
        <w:rPr>
          <w:rFonts w:ascii="Times New Roman" w:cs="Times New Roman" w:eastAsia="Times New Roman" w:hAnsi="Times New Roman"/>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and</w:t>
      </w:r>
    </w:p>
    <w:p>
      <w:pPr>
        <w:spacing w:after="0" w:line="37" w:lineRule="exact"/>
        <w:rPr>
          <w:rFonts w:ascii="Times New Roman" w:cs="Times New Roman" w:eastAsia="Times New Roman" w:hAnsi="Times New Roman"/>
          <w:sz w:val="18"/>
          <w:szCs w:val="18"/>
          <w:color w:val="auto"/>
        </w:rPr>
      </w:pPr>
    </w:p>
    <w:p>
      <w:pPr>
        <w:ind w:left="1300" w:right="600" w:hanging="442"/>
        <w:spacing w:after="0" w:line="275" w:lineRule="auto"/>
        <w:tabs>
          <w:tab w:leader="none" w:pos="1300" w:val="left"/>
        </w:tabs>
        <w:numPr>
          <w:ilvl w:val="0"/>
          <w:numId w:val="114"/>
        </w:numPr>
        <w:rPr>
          <w:rFonts w:ascii="Times New Roman" w:cs="Times New Roman" w:eastAsia="Times New Roman" w:hAnsi="Times New Roman"/>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68" w:right="39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i w:val="1"/>
          <w:iCs w:val="1"/>
          <w:color w:val="auto"/>
        </w:rPr>
        <w:t>Washington Business Corporation Act</w:t>
      </w:r>
    </w:p>
    <w:p>
      <w:pPr>
        <w:spacing w:after="0" w:line="10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The laws of Washington, where our principal executive offices are located, impose restrictions on certain transactions between certain foreign corporations and significant stockholders. In particular, the Washington Business Corporation Act, or WBCA, prohibits a “target corporation,” with certain exceptions, from engaging in certain “significant business transactions” with a person or group of persons which beneficially owns 10% or more of the voting securities of the target corporation, an “acquiring person,” for a period of five years after such acquisition, unless the transaction or acquisition of shares is approved by a majority of the members of the target corporation’s board of directors prior to the time of acquisition. Such prohibited transactions may include, among other things:</w:t>
      </w:r>
    </w:p>
    <w:p>
      <w:pPr>
        <w:spacing w:after="0" w:line="66" w:lineRule="exact"/>
        <w:rPr>
          <w:sz w:val="20"/>
          <w:szCs w:val="20"/>
          <w:color w:val="auto"/>
        </w:rPr>
      </w:pPr>
    </w:p>
    <w:p>
      <w:pPr>
        <w:ind w:left="1300" w:right="620" w:hanging="442"/>
        <w:spacing w:after="0" w:line="275" w:lineRule="auto"/>
        <w:tabs>
          <w:tab w:leader="none" w:pos="1300" w:val="left"/>
        </w:tabs>
        <w:numPr>
          <w:ilvl w:val="0"/>
          <w:numId w:val="115"/>
        </w:numPr>
        <w:rPr>
          <w:rFonts w:ascii="Times New Roman" w:cs="Times New Roman" w:eastAsia="Times New Roman" w:hAnsi="Times New Roman"/>
          <w:sz w:val="18"/>
          <w:szCs w:val="18"/>
          <w:color w:val="auto"/>
        </w:rPr>
      </w:pPr>
      <w:r>
        <w:rPr>
          <w:rFonts w:ascii="Arial" w:cs="Arial" w:eastAsia="Arial" w:hAnsi="Arial"/>
          <w:sz w:val="18"/>
          <w:szCs w:val="18"/>
          <w:color w:val="auto"/>
        </w:rPr>
        <w:t>any merger or consolidation with, disposition of assets to, or issuance or redemption of stock to or from, the acquiring person;</w:t>
      </w:r>
    </w:p>
    <w:p>
      <w:pPr>
        <w:spacing w:after="0" w:line="37" w:lineRule="exact"/>
        <w:rPr>
          <w:rFonts w:ascii="Times New Roman" w:cs="Times New Roman" w:eastAsia="Times New Roman" w:hAnsi="Times New Roman"/>
          <w:sz w:val="18"/>
          <w:szCs w:val="18"/>
          <w:color w:val="auto"/>
        </w:rPr>
      </w:pPr>
    </w:p>
    <w:p>
      <w:pPr>
        <w:ind w:left="1300" w:right="160" w:hanging="442"/>
        <w:spacing w:after="0" w:line="275" w:lineRule="auto"/>
        <w:tabs>
          <w:tab w:leader="none" w:pos="1300" w:val="left"/>
        </w:tabs>
        <w:numPr>
          <w:ilvl w:val="0"/>
          <w:numId w:val="115"/>
        </w:numPr>
        <w:rPr>
          <w:rFonts w:ascii="Times New Roman" w:cs="Times New Roman" w:eastAsia="Times New Roman" w:hAnsi="Times New Roman"/>
          <w:sz w:val="18"/>
          <w:szCs w:val="18"/>
          <w:color w:val="auto"/>
        </w:rPr>
      </w:pPr>
      <w:r>
        <w:rPr>
          <w:rFonts w:ascii="Arial" w:cs="Arial" w:eastAsia="Arial" w:hAnsi="Arial"/>
          <w:sz w:val="18"/>
          <w:szCs w:val="18"/>
          <w:color w:val="auto"/>
        </w:rPr>
        <w:t>any termination of 5% or more of the employees of the target corporation as a result of the acquiring person’s acquisition of 10% or more of the shares; and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5"/>
        </w:numPr>
        <w:rPr>
          <w:rFonts w:ascii="Times New Roman" w:cs="Times New Roman" w:eastAsia="Times New Roman" w:hAnsi="Times New Roman"/>
          <w:sz w:val="18"/>
          <w:szCs w:val="18"/>
          <w:color w:val="auto"/>
        </w:rPr>
      </w:pPr>
      <w:r>
        <w:rPr>
          <w:rFonts w:ascii="Arial" w:cs="Arial" w:eastAsia="Arial" w:hAnsi="Arial"/>
          <w:sz w:val="18"/>
          <w:szCs w:val="18"/>
          <w:color w:val="auto"/>
        </w:rPr>
        <w:t>allowing the acquiring person to receive any disproportionate benefit as a stockholder.</w:t>
      </w:r>
    </w:p>
    <w:p>
      <w:pPr>
        <w:spacing w:after="0" w:line="224" w:lineRule="exact"/>
        <w:rPr>
          <w:sz w:val="20"/>
          <w:szCs w:val="20"/>
          <w:color w:val="auto"/>
        </w:rPr>
      </w:pPr>
    </w:p>
    <w:p>
      <w:pPr>
        <w:ind w:right="140" w:firstLine="576"/>
        <w:spacing w:after="0" w:line="276" w:lineRule="auto"/>
        <w:rPr>
          <w:sz w:val="20"/>
          <w:szCs w:val="20"/>
          <w:color w:val="auto"/>
        </w:rPr>
      </w:pPr>
      <w:r>
        <w:rPr>
          <w:rFonts w:ascii="Arial" w:cs="Arial" w:eastAsia="Arial" w:hAnsi="Arial"/>
          <w:sz w:val="18"/>
          <w:szCs w:val="18"/>
          <w:color w:val="auto"/>
        </w:rPr>
        <w:t>After the five-year period, a significant business transaction may take place as long as it complies with certain fair price provisions of the statute or is approved at an annual or special meeting of stockholders.</w:t>
      </w:r>
    </w:p>
    <w:p>
      <w:pPr>
        <w:spacing w:after="0" w:line="145" w:lineRule="exact"/>
        <w:rPr>
          <w:sz w:val="20"/>
          <w:szCs w:val="20"/>
          <w:color w:val="auto"/>
        </w:rPr>
      </w:pPr>
    </w:p>
    <w:p>
      <w:pPr>
        <w:ind w:right="100" w:firstLine="576"/>
        <w:spacing w:after="0" w:line="243" w:lineRule="auto"/>
        <w:rPr>
          <w:sz w:val="20"/>
          <w:szCs w:val="20"/>
          <w:color w:val="auto"/>
        </w:rPr>
      </w:pPr>
      <w:r>
        <w:rPr>
          <w:rFonts w:ascii="Arial" w:cs="Arial" w:eastAsia="Arial" w:hAnsi="Arial"/>
          <w:sz w:val="18"/>
          <w:szCs w:val="18"/>
          <w:color w:val="auto"/>
        </w:rPr>
        <w:t>We will be considered a “target corporation” so long as our principal executive office is located in Washington, and: (1) a majority of our employees are residents of the state of Washington or we employ more than one thousand residents of the state of Washington; (2) a majority of our tangible assets, measured by market value, are located in the state of Washington or we have more than $50 million worth of tangible assets located in the state of Washington; and (3) any one of the following: (a) more than 10% of our stockholders of record are resident in the state of Washington; (b) more than 10% of our shares are owned of record by state residents; or (c) 1,000 or more of our stockholders of record are resident in the state.</w:t>
      </w:r>
    </w:p>
    <w:p>
      <w:pPr>
        <w:spacing w:after="0" w:line="174" w:lineRule="exact"/>
        <w:rPr>
          <w:sz w:val="20"/>
          <w:szCs w:val="20"/>
          <w:color w:val="auto"/>
        </w:rPr>
      </w:pPr>
    </w:p>
    <w:p>
      <w:pPr>
        <w:ind w:right="540" w:firstLine="576"/>
        <w:spacing w:after="0" w:line="276" w:lineRule="auto"/>
        <w:rPr>
          <w:sz w:val="20"/>
          <w:szCs w:val="20"/>
          <w:color w:val="auto"/>
        </w:rPr>
      </w:pPr>
      <w:r>
        <w:rPr>
          <w:rFonts w:ascii="Arial" w:cs="Arial" w:eastAsia="Arial" w:hAnsi="Arial"/>
          <w:sz w:val="18"/>
          <w:szCs w:val="18"/>
          <w:color w:val="auto"/>
        </w:rPr>
        <w:t>If we meet the definition of a target corporation, the WBCA may have the effect of delaying, deferring or preventing a change of control.</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104"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certificate of incorporation and bylaws</w:t>
      </w:r>
    </w:p>
    <w:p>
      <w:pPr>
        <w:spacing w:after="0" w:line="62" w:lineRule="exact"/>
        <w:rPr>
          <w:sz w:val="20"/>
          <w:szCs w:val="20"/>
          <w:color w:val="auto"/>
        </w:rPr>
      </w:pPr>
    </w:p>
    <w:p>
      <w:pPr>
        <w:ind w:left="1300" w:right="480" w:hanging="442"/>
        <w:spacing w:after="0" w:line="275" w:lineRule="auto"/>
        <w:tabs>
          <w:tab w:leader="none" w:pos="1300" w:val="left"/>
        </w:tabs>
        <w:numPr>
          <w:ilvl w:val="0"/>
          <w:numId w:val="116"/>
        </w:numPr>
        <w:rPr>
          <w:rFonts w:ascii="Times New Roman" w:cs="Times New Roman" w:eastAsia="Times New Roman" w:hAnsi="Times New Roman"/>
          <w:sz w:val="18"/>
          <w:szCs w:val="18"/>
          <w:color w:val="auto"/>
        </w:rPr>
      </w:pPr>
      <w:r>
        <w:rPr>
          <w:rFonts w:ascii="Arial" w:cs="Arial" w:eastAsia="Arial" w:hAnsi="Arial"/>
          <w:sz w:val="18"/>
          <w:szCs w:val="18"/>
          <w:color w:val="auto"/>
        </w:rPr>
        <w:t>permit our board of directors to issue shares of preferred stock, with any rights, preferences and privileges as they may designate;</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6"/>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116" w:lineRule="exact"/>
        <w:rPr>
          <w:rFonts w:ascii="Times New Roman" w:cs="Times New Roman" w:eastAsia="Times New Roman" w:hAnsi="Times New Roman"/>
          <w:sz w:val="18"/>
          <w:szCs w:val="18"/>
          <w:color w:val="auto"/>
        </w:rPr>
      </w:pPr>
    </w:p>
    <w:p>
      <w:pPr>
        <w:ind w:left="1300" w:right="240" w:hanging="442"/>
        <w:spacing w:after="0" w:line="275" w:lineRule="auto"/>
        <w:tabs>
          <w:tab w:leader="none" w:pos="1300" w:val="left"/>
        </w:tabs>
        <w:numPr>
          <w:ilvl w:val="0"/>
          <w:numId w:val="116"/>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6"/>
        </w:numPr>
        <w:rPr>
          <w:rFonts w:ascii="Times New Roman" w:cs="Times New Roman" w:eastAsia="Times New Roman" w:hAnsi="Times New Roman"/>
          <w:sz w:val="18"/>
          <w:szCs w:val="18"/>
          <w:color w:val="auto"/>
        </w:rPr>
      </w:pPr>
      <w:r>
        <w:rPr>
          <w:rFonts w:ascii="Arial" w:cs="Arial" w:eastAsia="Arial" w:hAnsi="Arial"/>
          <w:sz w:val="18"/>
          <w:szCs w:val="18"/>
          <w:color w:val="auto"/>
        </w:rPr>
        <w:t>divide our board of directors into three classes, each of which stands for election once every three years;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6"/>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a director may only be removed from the board of directors by the stockholders for cause;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85" w:name="page186"/>
    <w:bookmarkEnd w:id="185"/>
    <w:p>
      <w:pPr>
        <w:ind w:left="1300" w:right="660" w:hanging="442"/>
        <w:spacing w:after="0" w:line="275" w:lineRule="auto"/>
        <w:tabs>
          <w:tab w:leader="none" w:pos="1300" w:val="left"/>
        </w:tabs>
        <w:numPr>
          <w:ilvl w:val="0"/>
          <w:numId w:val="117"/>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not be taken by written consent;</w:t>
      </w:r>
    </w:p>
    <w:p>
      <w:pPr>
        <w:spacing w:after="0" w:line="37" w:lineRule="exact"/>
        <w:rPr>
          <w:rFonts w:ascii="Times New Roman" w:cs="Times New Roman" w:eastAsia="Times New Roman" w:hAnsi="Times New Roman"/>
          <w:sz w:val="18"/>
          <w:szCs w:val="18"/>
          <w:color w:val="auto"/>
        </w:rPr>
      </w:pPr>
    </w:p>
    <w:p>
      <w:pPr>
        <w:ind w:left="1300" w:right="240" w:hanging="442"/>
        <w:spacing w:after="0" w:line="255" w:lineRule="auto"/>
        <w:tabs>
          <w:tab w:leader="none" w:pos="1300" w:val="left"/>
        </w:tabs>
        <w:numPr>
          <w:ilvl w:val="0"/>
          <w:numId w:val="117"/>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spacing w:after="0" w:line="54"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117"/>
        </w:numPr>
        <w:rPr>
          <w:rFonts w:ascii="Times New Roman" w:cs="Times New Roman" w:eastAsia="Times New Roman" w:hAnsi="Times New Roman"/>
          <w:sz w:val="18"/>
          <w:szCs w:val="18"/>
          <w:color w:val="auto"/>
        </w:rPr>
      </w:pPr>
      <w:r>
        <w:rPr>
          <w:rFonts w:ascii="Arial" w:cs="Arial" w:eastAsia="Arial" w:hAnsi="Arial"/>
          <w:sz w:val="18"/>
          <w:szCs w:val="18"/>
          <w:color w:val="auto"/>
        </w:rPr>
        <w:t>not provide for cumulative voting rights (therefore allowing the holders of a plurality of the shares of common stock entitled to vote in any election of directors to elect all of the directors standing for election, if they should so choose);</w:t>
      </w:r>
    </w:p>
    <w:p>
      <w:pPr>
        <w:spacing w:after="0" w:line="37" w:lineRule="exact"/>
        <w:rPr>
          <w:rFonts w:ascii="Times New Roman" w:cs="Times New Roman" w:eastAsia="Times New Roman" w:hAnsi="Times New Roman"/>
          <w:sz w:val="18"/>
          <w:szCs w:val="18"/>
          <w:color w:val="auto"/>
        </w:rPr>
      </w:pPr>
    </w:p>
    <w:p>
      <w:pPr>
        <w:ind w:left="1300" w:right="120" w:hanging="442"/>
        <w:spacing w:after="0" w:line="275" w:lineRule="auto"/>
        <w:tabs>
          <w:tab w:leader="none" w:pos="1300" w:val="left"/>
        </w:tabs>
        <w:numPr>
          <w:ilvl w:val="0"/>
          <w:numId w:val="117"/>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special meetings of our stockholders may be called only by the board of directors, the chairman of the board of directors, our chief executive officer or president;</w:t>
      </w:r>
    </w:p>
    <w:p>
      <w:pPr>
        <w:spacing w:after="0" w:line="37" w:lineRule="exact"/>
        <w:rPr>
          <w:rFonts w:ascii="Times New Roman" w:cs="Times New Roman" w:eastAsia="Times New Roman" w:hAnsi="Times New Roman"/>
          <w:sz w:val="18"/>
          <w:szCs w:val="18"/>
          <w:color w:val="auto"/>
        </w:rPr>
      </w:pPr>
    </w:p>
    <w:p>
      <w:pPr>
        <w:jc w:val="both"/>
        <w:ind w:left="1300" w:right="80" w:hanging="442"/>
        <w:spacing w:after="0" w:line="255" w:lineRule="auto"/>
        <w:tabs>
          <w:tab w:leader="none" w:pos="1300" w:val="left"/>
        </w:tabs>
        <w:numPr>
          <w:ilvl w:val="0"/>
          <w:numId w:val="117"/>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stockholders will be permitted to amend certain provisions of our bylaws only upon receiving at least two-thirds of the votes entitled to be cast by holders of all outstanding shares then entitled to vote generally in the election of directors, voting together as a single class; and</w:t>
      </w:r>
    </w:p>
    <w:p>
      <w:pPr>
        <w:spacing w:after="0" w:line="54" w:lineRule="exact"/>
        <w:rPr>
          <w:rFonts w:ascii="Times New Roman" w:cs="Times New Roman" w:eastAsia="Times New Roman" w:hAnsi="Times New Roman"/>
          <w:sz w:val="18"/>
          <w:szCs w:val="18"/>
          <w:color w:val="auto"/>
        </w:rPr>
      </w:pPr>
    </w:p>
    <w:p>
      <w:pPr>
        <w:ind w:left="1300" w:right="20" w:hanging="442"/>
        <w:spacing w:after="0" w:line="242" w:lineRule="auto"/>
        <w:tabs>
          <w:tab w:leader="none" w:pos="1300" w:val="left"/>
        </w:tabs>
        <w:numPr>
          <w:ilvl w:val="0"/>
          <w:numId w:val="117"/>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unless we otherwise consent in writing, a state or federal court located within the State of Delaware shall be the sole and exclusive forum for (1) any derivative action or proceeding brought on behalf of the company, (2) any action asserting a claim of breach of a fiduciary duty owed by any of our directors, officers or other employees to the company or our stockholders, (3) any action asserting a claim against the company arising pursuant to any provision of the Delaware General Corporation Law, our certificate of incorporation and bylaws (as either may be amended from time to time), or (4) any action asserting a claim against the company governed by the internal affairs doctrine; and</w:t>
      </w:r>
    </w:p>
    <w:p>
      <w:pPr>
        <w:spacing w:after="0" w:line="69" w:lineRule="exact"/>
        <w:rPr>
          <w:rFonts w:ascii="Times New Roman" w:cs="Times New Roman" w:eastAsia="Times New Roman" w:hAnsi="Times New Roman"/>
          <w:sz w:val="18"/>
          <w:szCs w:val="18"/>
          <w:color w:val="auto"/>
        </w:rPr>
      </w:pPr>
    </w:p>
    <w:p>
      <w:pPr>
        <w:ind w:left="1300" w:right="60" w:hanging="442"/>
        <w:spacing w:after="0" w:line="275" w:lineRule="auto"/>
        <w:tabs>
          <w:tab w:leader="none" w:pos="1300" w:val="left"/>
        </w:tabs>
        <w:numPr>
          <w:ilvl w:val="0"/>
          <w:numId w:val="117"/>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the federal district courts of the United States of America will be the exclusive forum for resolving any complaint asserting a cause of action arising under the Securities Act.</w:t>
      </w:r>
    </w:p>
    <w:p>
      <w:pPr>
        <w:spacing w:after="0" w:line="146" w:lineRule="exact"/>
        <w:rPr>
          <w:sz w:val="20"/>
          <w:szCs w:val="20"/>
          <w:color w:val="auto"/>
        </w:rPr>
      </w:pPr>
    </w:p>
    <w:p>
      <w:pPr>
        <w:ind w:right="620" w:firstLine="576"/>
        <w:spacing w:after="0" w:line="276" w:lineRule="auto"/>
        <w:rPr>
          <w:sz w:val="20"/>
          <w:szCs w:val="20"/>
          <w:color w:val="auto"/>
        </w:rPr>
      </w:pPr>
      <w:r>
        <w:rPr>
          <w:rFonts w:ascii="Arial" w:cs="Arial" w:eastAsia="Arial" w:hAnsi="Arial"/>
          <w:sz w:val="18"/>
          <w:szCs w:val="18"/>
          <w:color w:val="auto"/>
        </w:rPr>
        <w:t>The amendment of any of these provisions would require approval by the holders of at least two-thirds of our then outstanding common stock, voting as a single class.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06" w:lineRule="exact"/>
        <w:rPr>
          <w:sz w:val="20"/>
          <w:szCs w:val="20"/>
          <w:color w:val="auto"/>
        </w:rPr>
      </w:pPr>
    </w:p>
    <w:p>
      <w:pPr>
        <w:ind w:right="40" w:firstLine="576"/>
        <w:spacing w:after="0" w:line="276" w:lineRule="auto"/>
        <w:rPr>
          <w:sz w:val="20"/>
          <w:szCs w:val="20"/>
          <w:color w:val="auto"/>
        </w:rPr>
      </w:pPr>
      <w:r>
        <w:rPr>
          <w:rFonts w:ascii="Arial" w:cs="Arial" w:eastAsia="Arial" w:hAnsi="Arial"/>
          <w:sz w:val="18"/>
          <w:szCs w:val="18"/>
          <w:color w:val="auto"/>
        </w:rPr>
        <w:t>The transfer agent and registrar for our common stock will be Computershare Trust Company, N.A. The transfer agent and registrar’s address is 250 Royall Street, Canton, Massachusetts 02021.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common stock is listed on the Nasdaq Global Select Market under the trading symbol “ATHA.”</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86" w:name="page187"/>
    <w:bookmarkEnd w:id="186"/>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14"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Future sales of our common stock in the public market, or the availability of such shares for sale in the public market, could adversely affect market prices prevailing from time to time. As described below, only a limited number of shares of our common stock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72"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Upon the completion of this offering, based the number of shares outstanding as of September 30, 2020, and the issuance of 4,000,000 shares of our common stock in this offering, 35,087,395 shares of our common stock will be outstanding, or 35,687,395 shares of common stock if the underwriters exercise their option to purchase additional shares in full. All of the shares of common stock expected to be sold in this offering will be freely tradable without restriction or further registration under the Securities Act unless held by our “affiliates,” as that term is defined in Rule 144 under the Securities Act. 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180"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As a result of the lock-up agreements and market stand-off provisions described below and the provisions of Rules 144 or 701, and assuming no extension of the lock-up period and no exercise of the underwriters’ option to purchase additional shares, the shares of our common stock that will be deemed “restricted securities” will be available for sale in the public market following the completion of this offering as follows:</w:t>
      </w:r>
    </w:p>
    <w:p>
      <w:pPr>
        <w:spacing w:after="0" w:line="62" w:lineRule="exact"/>
        <w:rPr>
          <w:sz w:val="20"/>
          <w:szCs w:val="20"/>
          <w:color w:val="auto"/>
        </w:rPr>
      </w:pPr>
    </w:p>
    <w:p>
      <w:pPr>
        <w:ind w:left="1300" w:right="460" w:hanging="442"/>
        <w:spacing w:after="0" w:line="275" w:lineRule="auto"/>
        <w:tabs>
          <w:tab w:leader="none" w:pos="1300" w:val="left"/>
        </w:tabs>
        <w:numPr>
          <w:ilvl w:val="0"/>
          <w:numId w:val="118"/>
        </w:numPr>
        <w:rPr>
          <w:rFonts w:ascii="Times New Roman" w:cs="Times New Roman" w:eastAsia="Times New Roman" w:hAnsi="Times New Roman"/>
          <w:sz w:val="18"/>
          <w:szCs w:val="18"/>
          <w:color w:val="auto"/>
        </w:rPr>
      </w:pPr>
      <w:r>
        <w:rPr>
          <w:rFonts w:ascii="Arial" w:cs="Arial" w:eastAsia="Arial" w:hAnsi="Arial"/>
          <w:sz w:val="18"/>
          <w:szCs w:val="18"/>
          <w:color w:val="auto"/>
        </w:rPr>
        <w:t>14,941,176 shares will be eligible for sale on the date of this prospectus subject in some cases to the volume and other restrictions of Rule 144;</w:t>
      </w:r>
    </w:p>
    <w:p>
      <w:pPr>
        <w:spacing w:after="0" w:line="37" w:lineRule="exact"/>
        <w:rPr>
          <w:rFonts w:ascii="Times New Roman" w:cs="Times New Roman" w:eastAsia="Times New Roman" w:hAnsi="Times New Roman"/>
          <w:sz w:val="18"/>
          <w:szCs w:val="18"/>
          <w:color w:val="auto"/>
        </w:rPr>
      </w:pPr>
    </w:p>
    <w:p>
      <w:pPr>
        <w:ind w:left="1300" w:right="160" w:hanging="442"/>
        <w:spacing w:after="0" w:line="255" w:lineRule="auto"/>
        <w:tabs>
          <w:tab w:leader="none" w:pos="1300" w:val="left"/>
        </w:tabs>
        <w:numPr>
          <w:ilvl w:val="0"/>
          <w:numId w:val="118"/>
        </w:numPr>
        <w:rPr>
          <w:rFonts w:ascii="Times New Roman" w:cs="Times New Roman" w:eastAsia="Times New Roman" w:hAnsi="Times New Roman"/>
          <w:sz w:val="18"/>
          <w:szCs w:val="18"/>
          <w:color w:val="auto"/>
        </w:rPr>
      </w:pPr>
      <w:r>
        <w:rPr>
          <w:rFonts w:ascii="Arial" w:cs="Arial" w:eastAsia="Arial" w:hAnsi="Arial"/>
          <w:sz w:val="18"/>
          <w:szCs w:val="18"/>
          <w:color w:val="auto"/>
        </w:rPr>
        <w:t>15,321,545 shares will be eligible for sale upon expiration of the lock-up agreements and market stand-off provisions beginning more than 180 days after the date of the prospectus related to our initial public offering, subject in some cases to the volume and other restrictions of Rule 144; and</w:t>
      </w:r>
    </w:p>
    <w:p>
      <w:pPr>
        <w:spacing w:after="0" w:line="54"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118"/>
        </w:numPr>
        <w:rPr>
          <w:rFonts w:ascii="Times New Roman" w:cs="Times New Roman" w:eastAsia="Times New Roman" w:hAnsi="Times New Roman"/>
          <w:sz w:val="18"/>
          <w:szCs w:val="18"/>
          <w:color w:val="auto"/>
        </w:rPr>
      </w:pPr>
      <w:r>
        <w:rPr>
          <w:rFonts w:ascii="Arial" w:cs="Arial" w:eastAsia="Arial" w:hAnsi="Arial"/>
          <w:sz w:val="18"/>
          <w:szCs w:val="18"/>
          <w:color w:val="auto"/>
        </w:rPr>
        <w:t>4,824,674 shares will be eligible for sale upon expiration of the lock-up agreements described below, beginning more than 90 days after the date of this prospectus subject in some cases to the volume and other restrictions of Rule 144.</w:t>
      </w:r>
    </w:p>
    <w:p>
      <w:pPr>
        <w:spacing w:after="0" w:line="146"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We may issue shares of our common stock from time to time for a variety of corporate purposes, including in capital-raising activities through future public offerings or private placements, in connection with exercise of stock options or warrants, vesting of restricted stock units and other issuances relating to our employee benefit plans and as consideration for future acquisitions, investments or other purposes. The number of shares of our common stock that we may issue may be significant, depending on the events surrounding such issuances. In some cases, the shares we issue may be freely tradable without restriction or further registration under the Securities Act; in other cases, we may grant registration rights covering the shares issued in connection with these issuances, in which case the holders of our common stock will have the right, under certain circumstances, to cause us to register any resale of such shares to the public.</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 and Market Standoff Provisions</w:t>
      </w:r>
    </w:p>
    <w:p>
      <w:pPr>
        <w:spacing w:after="0" w:line="106"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In connection with our initial public offering, all of our directors, executive officers, and substantially all of the holders of our equity securities entered into lock-up agreements with the underwriters pursuant to which, subject to certain exceptions, such parties agreed not to offer, sell or transfer any common stock or securities convertible into or exchangeable or exercisable for common stock for 180 days after the date of the prospectus relating to our initial public offering without first obtaining the written consent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187" w:name="page188"/>
    <w:bookmarkEnd w:id="187"/>
    <w:p>
      <w:pPr>
        <w:jc w:val="both"/>
        <w:ind w:right="40"/>
        <w:spacing w:after="0" w:line="255" w:lineRule="auto"/>
        <w:rPr>
          <w:sz w:val="20"/>
          <w:szCs w:val="20"/>
          <w:color w:val="auto"/>
        </w:rPr>
      </w:pPr>
      <w:r>
        <w:rPr>
          <w:rFonts w:ascii="Arial" w:cs="Arial" w:eastAsia="Arial" w:hAnsi="Arial"/>
          <w:sz w:val="18"/>
          <w:szCs w:val="18"/>
          <w:color w:val="auto"/>
        </w:rPr>
        <w:t>Goldman Sachs &amp; Co. LLC and Jefferies LLC, on behalf of the underwriters, or us, as applicable, after the date of this prospectus. Goldman Sachs &amp; Co. LLC and Jefferies LLC may, in their sole discretion, and subject to FINRA Rule 5131, release any of the securities subject to the lock-up agreements with the underwriters at any time.</w:t>
      </w:r>
    </w:p>
    <w:p>
      <w:pPr>
        <w:spacing w:after="0" w:line="164"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In addition to the existing lock-up agreements from the initial public offering, in connection with this offering, we have entered into new lock-up agreements on substantially similar terms effective for 90 days following the date of this prospectus, and all of our directors and executive officers and certain of our stockholders have entered into new lock-up agreements on substantially the same terms effective for 90 days following the date of this prospectus. Goldman Sachs &amp; Co. LLC and Jefferies LLC may, in their sole discretion, release any of the securities subject to the lock-up agreements with the underwriters at any time.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06" w:lineRule="exact"/>
        <w:rPr>
          <w:sz w:val="20"/>
          <w:szCs w:val="20"/>
          <w:color w:val="auto"/>
        </w:rPr>
      </w:pPr>
    </w:p>
    <w:p>
      <w:pPr>
        <w:ind w:right="60" w:firstLine="576"/>
        <w:spacing w:after="0" w:line="243" w:lineRule="auto"/>
        <w:rPr>
          <w:sz w:val="20"/>
          <w:szCs w:val="20"/>
          <w:color w:val="auto"/>
        </w:rPr>
      </w:pPr>
      <w:r>
        <w:rPr>
          <w:rFonts w:ascii="Arial" w:cs="Arial" w:eastAsia="Arial" w:hAnsi="Arial"/>
          <w:sz w:val="18"/>
          <w:szCs w:val="18"/>
          <w:color w:val="auto"/>
        </w:rPr>
        <w:t>In general, under Rule 144, a person who is not our affiliate for purposes of the Securities Act and has not been our affiliate at any time during the preceding three months will be entitled to sell any shares of our common stock that such person has beneficially owned for at least six months, including the holding period of any prior owner other than one of our affiliates, without being required to comply with the notice, manner of sale or public information requirements or volume limitation provisions of Rule 144. Sales of our common stock by any such person would be subject to the availability of current public information about us if the shares to be sold were beneficially owned by such person for less than one year.</w:t>
      </w:r>
    </w:p>
    <w:p>
      <w:pPr>
        <w:spacing w:after="0" w:line="174" w:lineRule="exact"/>
        <w:rPr>
          <w:sz w:val="20"/>
          <w:szCs w:val="20"/>
          <w:color w:val="auto"/>
        </w:rPr>
      </w:pPr>
    </w:p>
    <w:p>
      <w:pPr>
        <w:ind w:right="80" w:firstLine="576"/>
        <w:spacing w:after="0" w:line="276" w:lineRule="auto"/>
        <w:rPr>
          <w:sz w:val="20"/>
          <w:szCs w:val="20"/>
          <w:color w:val="auto"/>
        </w:rPr>
      </w:pPr>
      <w:r>
        <w:rPr>
          <w:rFonts w:ascii="Arial" w:cs="Arial" w:eastAsia="Arial" w:hAnsi="Arial"/>
          <w:sz w:val="18"/>
          <w:szCs w:val="18"/>
          <w:color w:val="auto"/>
        </w:rPr>
        <w:t>In addition, under Rule 144, a person may sell shares of our common stock acquired from us immediately upon the completion of this offering, without regard to the registration requirements of the Securities Act or the availability of public information about us, if:</w:t>
      </w:r>
    </w:p>
    <w:p>
      <w:pPr>
        <w:spacing w:after="0" w:line="37" w:lineRule="exact"/>
        <w:rPr>
          <w:sz w:val="20"/>
          <w:szCs w:val="20"/>
          <w:color w:val="auto"/>
        </w:rPr>
      </w:pPr>
    </w:p>
    <w:p>
      <w:pPr>
        <w:ind w:left="1300" w:hanging="442"/>
        <w:spacing w:after="0"/>
        <w:tabs>
          <w:tab w:leader="none" w:pos="1300" w:val="left"/>
        </w:tabs>
        <w:numPr>
          <w:ilvl w:val="0"/>
          <w:numId w:val="119"/>
        </w:numPr>
        <w:rPr>
          <w:rFonts w:ascii="Times New Roman" w:cs="Times New Roman" w:eastAsia="Times New Roman" w:hAnsi="Times New Roman"/>
          <w:sz w:val="18"/>
          <w:szCs w:val="18"/>
          <w:color w:val="auto"/>
        </w:rPr>
      </w:pPr>
      <w:r>
        <w:rPr>
          <w:rFonts w:ascii="Arial" w:cs="Arial" w:eastAsia="Arial" w:hAnsi="Arial"/>
          <w:sz w:val="18"/>
          <w:szCs w:val="18"/>
          <w:color w:val="auto"/>
        </w:rPr>
        <w:t>the person is not our affiliate and has not been our affiliate at any time during the preceding three months; and</w:t>
      </w:r>
    </w:p>
    <w:p>
      <w:pPr>
        <w:spacing w:after="0" w:line="116" w:lineRule="exact"/>
        <w:rPr>
          <w:rFonts w:ascii="Times New Roman" w:cs="Times New Roman" w:eastAsia="Times New Roman" w:hAnsi="Times New Roman"/>
          <w:sz w:val="18"/>
          <w:szCs w:val="18"/>
          <w:color w:val="auto"/>
        </w:rPr>
      </w:pPr>
    </w:p>
    <w:p>
      <w:pPr>
        <w:ind w:left="1300" w:right="100" w:hanging="442"/>
        <w:spacing w:after="0" w:line="275" w:lineRule="auto"/>
        <w:tabs>
          <w:tab w:leader="none" w:pos="1300" w:val="left"/>
        </w:tabs>
        <w:numPr>
          <w:ilvl w:val="0"/>
          <w:numId w:val="119"/>
        </w:numPr>
        <w:rPr>
          <w:rFonts w:ascii="Times New Roman" w:cs="Times New Roman" w:eastAsia="Times New Roman" w:hAnsi="Times New Roman"/>
          <w:sz w:val="18"/>
          <w:szCs w:val="18"/>
          <w:color w:val="auto"/>
        </w:rPr>
      </w:pPr>
      <w:r>
        <w:rPr>
          <w:rFonts w:ascii="Arial" w:cs="Arial" w:eastAsia="Arial" w:hAnsi="Arial"/>
          <w:sz w:val="18"/>
          <w:szCs w:val="18"/>
          <w:color w:val="auto"/>
        </w:rPr>
        <w:t>the person has beneficially owned the shares to be sold for at least one year, including the holding period of any prior owner other than one of our affiliates.</w:t>
      </w:r>
    </w:p>
    <w:p>
      <w:pPr>
        <w:spacing w:after="0" w:line="37" w:lineRule="exact"/>
        <w:rPr>
          <w:rFonts w:ascii="Times New Roman" w:cs="Times New Roman" w:eastAsia="Times New Roman" w:hAnsi="Times New Roman"/>
          <w:sz w:val="18"/>
          <w:szCs w:val="18"/>
          <w:color w:val="auto"/>
        </w:rPr>
      </w:pPr>
    </w:p>
    <w:p>
      <w:pPr>
        <w:ind w:left="1300" w:right="40" w:hanging="442"/>
        <w:spacing w:after="0" w:line="255" w:lineRule="auto"/>
        <w:tabs>
          <w:tab w:leader="none" w:pos="1300" w:val="left"/>
        </w:tabs>
        <w:numPr>
          <w:ilvl w:val="0"/>
          <w:numId w:val="119"/>
        </w:numPr>
        <w:rPr>
          <w:rFonts w:ascii="Times New Roman" w:cs="Times New Roman" w:eastAsia="Times New Roman" w:hAnsi="Times New Roman"/>
          <w:sz w:val="18"/>
          <w:szCs w:val="18"/>
          <w:color w:val="auto"/>
        </w:rPr>
      </w:pPr>
      <w:r>
        <w:rPr>
          <w:rFonts w:ascii="Arial" w:cs="Arial" w:eastAsia="Arial" w:hAnsi="Arial"/>
          <w:sz w:val="18"/>
          <w:szCs w:val="18"/>
          <w:color w:val="auto"/>
        </w:rPr>
        <w:t>our affiliates who have beneficially owned shares of our common stock for at least six months, including the holding period of any prior owner other than one of our affiliates, would be entitled to sell within any three-month period a number of shares that does not exceed the greater of:</w:t>
      </w:r>
    </w:p>
    <w:p>
      <w:pPr>
        <w:spacing w:after="0" w:line="54" w:lineRule="exact"/>
        <w:rPr>
          <w:rFonts w:ascii="Times New Roman" w:cs="Times New Roman" w:eastAsia="Times New Roman" w:hAnsi="Times New Roman"/>
          <w:sz w:val="18"/>
          <w:szCs w:val="18"/>
          <w:color w:val="auto"/>
        </w:rPr>
      </w:pPr>
    </w:p>
    <w:p>
      <w:pPr>
        <w:jc w:val="both"/>
        <w:ind w:left="1300" w:right="820" w:hanging="442"/>
        <w:spacing w:after="0" w:line="305" w:lineRule="auto"/>
        <w:tabs>
          <w:tab w:leader="none" w:pos="1300" w:val="left"/>
        </w:tabs>
        <w:numPr>
          <w:ilvl w:val="0"/>
          <w:numId w:val="119"/>
        </w:numPr>
        <w:rPr>
          <w:rFonts w:ascii="Times New Roman" w:cs="Times New Roman" w:eastAsia="Times New Roman" w:hAnsi="Times New Roman"/>
          <w:sz w:val="17"/>
          <w:szCs w:val="17"/>
          <w:color w:val="auto"/>
        </w:rPr>
      </w:pPr>
      <w:r>
        <w:rPr>
          <w:rFonts w:ascii="Arial" w:cs="Arial" w:eastAsia="Arial" w:hAnsi="Arial"/>
          <w:sz w:val="17"/>
          <w:szCs w:val="17"/>
          <w:color w:val="auto"/>
        </w:rPr>
        <w:t>1% of the number of shares of our common stock then outstanding, which will equal approximately 350,874 shares immediately after this offering, assuming no exercise of the underwriters’ option to purchase additional shares; and</w:t>
      </w:r>
    </w:p>
    <w:p>
      <w:pPr>
        <w:spacing w:after="0" w:line="15" w:lineRule="exact"/>
        <w:rPr>
          <w:rFonts w:ascii="Times New Roman" w:cs="Times New Roman" w:eastAsia="Times New Roman" w:hAnsi="Times New Roman"/>
          <w:sz w:val="17"/>
          <w:szCs w:val="17"/>
          <w:color w:val="auto"/>
        </w:rPr>
      </w:pPr>
    </w:p>
    <w:p>
      <w:pPr>
        <w:ind w:left="1300" w:hanging="442"/>
        <w:spacing w:after="0" w:line="275" w:lineRule="auto"/>
        <w:tabs>
          <w:tab w:leader="none" w:pos="1300" w:val="left"/>
        </w:tabs>
        <w:numPr>
          <w:ilvl w:val="0"/>
          <w:numId w:val="119"/>
        </w:numPr>
        <w:rPr>
          <w:rFonts w:ascii="Times New Roman" w:cs="Times New Roman" w:eastAsia="Times New Roman" w:hAnsi="Times New Roman"/>
          <w:sz w:val="18"/>
          <w:szCs w:val="18"/>
          <w:color w:val="auto"/>
        </w:rPr>
      </w:pPr>
      <w:r>
        <w:rPr>
          <w:rFonts w:ascii="Arial" w:cs="Arial" w:eastAsia="Arial" w:hAnsi="Arial"/>
          <w:sz w:val="18"/>
          <w:szCs w:val="18"/>
          <w:color w:val="auto"/>
        </w:rPr>
        <w:t>the average weekly trading volume in our common stock on the Nasdaq Global Select Market during the four calendar weeks preceding the date of filing of a notice on Form 144 with respect to the sale.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06"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In general, under Rule 701 a person who purchased shares of our common stock pursuant to a written compensatory plan or contract and who is not deemed to have been one of our affiliates during the immediately preceding 90 days may sell these shares in reliance upon Rule 144, but without being required to comply with the notice, manner of sale or public information requirements or volume limitation provisions of Rule 144. Rule 701 also permits affiliates to sell their Rule 701 shares under Rule 144 without complying with the holding period requirements of Rule 144.</w:t>
      </w:r>
    </w:p>
    <w:p>
      <w:pPr>
        <w:spacing w:after="0" w:line="172" w:lineRule="exact"/>
        <w:rPr>
          <w:sz w:val="20"/>
          <w:szCs w:val="20"/>
          <w:color w:val="auto"/>
        </w:rPr>
      </w:pPr>
    </w:p>
    <w:p>
      <w:pPr>
        <w:ind w:right="140" w:firstLine="576"/>
        <w:spacing w:after="0" w:line="276" w:lineRule="auto"/>
        <w:rPr>
          <w:sz w:val="20"/>
          <w:szCs w:val="20"/>
          <w:color w:val="auto"/>
        </w:rPr>
      </w:pPr>
      <w:r>
        <w:rPr>
          <w:rFonts w:ascii="Arial" w:cs="Arial" w:eastAsia="Arial" w:hAnsi="Arial"/>
          <w:sz w:val="18"/>
          <w:szCs w:val="18"/>
          <w:color w:val="auto"/>
        </w:rPr>
        <w:t>As of September 30, 2020, there were 1,702,032 shares of our outstanding common stock issued in reliance on Rule 701 as a result of exercises of stock options or in the form of restricted stock awards. All</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88" w:name="page189"/>
    <w:bookmarkEnd w:id="188"/>
    <w:p>
      <w:pPr>
        <w:ind w:right="40"/>
        <w:spacing w:after="0" w:line="255" w:lineRule="auto"/>
        <w:rPr>
          <w:sz w:val="20"/>
          <w:szCs w:val="20"/>
          <w:color w:val="auto"/>
        </w:rPr>
      </w:pPr>
      <w:r>
        <w:rPr>
          <w:rFonts w:ascii="Arial" w:cs="Arial" w:eastAsia="Arial" w:hAnsi="Arial"/>
          <w:sz w:val="18"/>
          <w:szCs w:val="18"/>
          <w:color w:val="auto"/>
        </w:rPr>
        <w:t>of these shares, however, are subject to lock-up agreements or market stand-off provisions as discussed above, and, as a result, these shares will only become eligible for sale at the earlier of the expiration of the lock-up period or upon obtaining the consent of Goldman Sachs &amp; Co. LLC and Jeffries LLC, on behalf of the underwriters to release all or any portion of these shares from the lock-up agreements.</w:t>
      </w:r>
    </w:p>
    <w:p>
      <w:pPr>
        <w:spacing w:after="0" w:line="16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We filed a registration statement on Form S-8 under the Securities Act to register shares of our common stock subject to options outstanding, as well as reserved for future issuance, under our equity compensation plans. The registration statement on Form S-8 became effective immediately upon filing, and shares of our common stock covered by the registration statement became eligible for future sale in the public market, subject to the Rule 144 limitations applicable to affiliates, vesting restrictions and any applicable market standoff agreements and lock-up agreements . See the section captioned “Executive Compensation—Employee Benefit Plans” for a description of our equity compensation plans.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06" w:lineRule="exact"/>
        <w:rPr>
          <w:sz w:val="20"/>
          <w:szCs w:val="20"/>
          <w:color w:val="auto"/>
        </w:rPr>
      </w:pPr>
    </w:p>
    <w:p>
      <w:pPr>
        <w:jc w:val="both"/>
        <w:ind w:right="80" w:firstLine="576"/>
        <w:spacing w:after="0" w:line="245" w:lineRule="auto"/>
        <w:rPr>
          <w:sz w:val="20"/>
          <w:szCs w:val="20"/>
          <w:color w:val="auto"/>
        </w:rPr>
      </w:pPr>
      <w:r>
        <w:rPr>
          <w:rFonts w:ascii="Arial" w:cs="Arial" w:eastAsia="Arial" w:hAnsi="Arial"/>
          <w:sz w:val="18"/>
          <w:szCs w:val="18"/>
          <w:color w:val="auto"/>
        </w:rPr>
        <w:t>Upon completion of this offering, the holders of approximately 8,590,089 shares of our common stock are eligible to exercise certain rights to cause us to register their shares for resale under the Securities Act, subject to various conditions and limitations. These registration rights are described under the section of this prospectus titled “Description of Capital Stock—Registration Rights.” Upon the effectiveness of a registration statement covering these shares, the shares would become freely tradable, and a large number of shares may be sold into the public market, which may adversely affect the market price of our common stock.</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89" w:name="page190"/>
    <w:bookmarkEnd w:id="189"/>
    <w:p>
      <w:pPr>
        <w:jc w:val="center"/>
        <w:ind w:right="20"/>
        <w:spacing w:after="0"/>
        <w:rPr>
          <w:sz w:val="20"/>
          <w:szCs w:val="20"/>
          <w:color w:val="auto"/>
        </w:rPr>
      </w:pPr>
      <w:r>
        <w:rPr>
          <w:rFonts w:ascii="Arial" w:cs="Arial" w:eastAsia="Arial" w:hAnsi="Arial"/>
          <w:sz w:val="18"/>
          <w:szCs w:val="18"/>
          <w:b w:val="1"/>
          <w:bCs w:val="1"/>
          <w:color w:val="auto"/>
        </w:rPr>
        <w:t>MATERIAL U.S. FEDERAL INCOME TAX CONSEQUENCES FOR</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NON-U.S. HOLDERS OF COMMON STOCK</w:t>
      </w:r>
    </w:p>
    <w:p>
      <w:pPr>
        <w:spacing w:after="0" w:line="190"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The following is a summary of the material U.S. federal income tax consequences of the ownership and disposition of our common stock acquired in this offering by a “non-U.S. holder” (as defined below), but does not purport to be a complete analysis of all the potential tax considerations relating thereto. This summary is based upon the provisions of the United States Internal Revenue Code of 1986, as amended, or the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or IRS, with respect to the statements made and the conclusions reached in the following summary, and there can be no assurance that the IRS or a court will agree with such statements and conclusions.</w:t>
      </w:r>
    </w:p>
    <w:p>
      <w:pPr>
        <w:spacing w:after="0" w:line="180"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This summary also does not address the tax considerations arising under the laws of any non-U.S., state or local jurisdiction or under U.S. federal gift and estate tax rules, except to the limited extent set forth below. In addition, this discussion does not address tax considerations applicable to an investor’s particular circumstances or to investors that may be subject to special tax rules, including, without limitation:</w:t>
      </w:r>
    </w:p>
    <w:p>
      <w:pPr>
        <w:spacing w:after="0" w:line="62" w:lineRule="exact"/>
        <w:rPr>
          <w:sz w:val="20"/>
          <w:szCs w:val="20"/>
          <w:color w:val="auto"/>
        </w:rPr>
      </w:pPr>
    </w:p>
    <w:p>
      <w:pPr>
        <w:ind w:left="1300" w:hanging="442"/>
        <w:spacing w:after="0"/>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banks, insurance companies, regulated investment companies, real estate investment trusts or other financial institutions;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persons subject to the alternative minimum tax or the tax on net investment income;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tax-exempt organizations;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pension plans and tax-qualified retirement plans;</w:t>
      </w:r>
    </w:p>
    <w:p>
      <w:pPr>
        <w:spacing w:after="0" w:line="116" w:lineRule="exact"/>
        <w:rPr>
          <w:rFonts w:ascii="Times New Roman" w:cs="Times New Roman" w:eastAsia="Times New Roman" w:hAnsi="Times New Roman"/>
          <w:sz w:val="18"/>
          <w:szCs w:val="18"/>
          <w:color w:val="auto"/>
        </w:rPr>
      </w:pPr>
    </w:p>
    <w:p>
      <w:pPr>
        <w:ind w:left="1300" w:right="220" w:hanging="442"/>
        <w:spacing w:after="0" w:line="275" w:lineRule="auto"/>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brokers or dealers in securities or currencies;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16" w:lineRule="exact"/>
        <w:rPr>
          <w:rFonts w:ascii="Times New Roman" w:cs="Times New Roman" w:eastAsia="Times New Roman" w:hAnsi="Times New Roman"/>
          <w:sz w:val="18"/>
          <w:szCs w:val="18"/>
          <w:color w:val="auto"/>
        </w:rPr>
      </w:pPr>
    </w:p>
    <w:p>
      <w:pPr>
        <w:ind w:left="1300" w:right="380" w:hanging="442"/>
        <w:spacing w:after="0" w:line="275" w:lineRule="auto"/>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persons that own, or are deemed to own, more than five percent of our capital stock (except to the extent specifically set forth below);</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certain former citizens or long-term residents of the United States;</w:t>
      </w:r>
    </w:p>
    <w:p>
      <w:pPr>
        <w:spacing w:after="0" w:line="116" w:lineRule="exact"/>
        <w:rPr>
          <w:rFonts w:ascii="Times New Roman" w:cs="Times New Roman" w:eastAsia="Times New Roman" w:hAnsi="Times New Roman"/>
          <w:sz w:val="18"/>
          <w:szCs w:val="18"/>
          <w:color w:val="auto"/>
        </w:rPr>
      </w:pPr>
    </w:p>
    <w:p>
      <w:pPr>
        <w:ind w:left="1300" w:right="100" w:hanging="442"/>
        <w:spacing w:after="0" w:line="275" w:lineRule="auto"/>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w:t>
      </w:r>
    </w:p>
    <w:p>
      <w:pPr>
        <w:spacing w:after="0" w:line="37" w:lineRule="exact"/>
        <w:rPr>
          <w:rFonts w:ascii="Times New Roman" w:cs="Times New Roman" w:eastAsia="Times New Roman" w:hAnsi="Times New Roman"/>
          <w:sz w:val="18"/>
          <w:szCs w:val="18"/>
          <w:color w:val="auto"/>
        </w:rPr>
      </w:pPr>
    </w:p>
    <w:p>
      <w:pPr>
        <w:ind w:left="1300" w:right="300" w:hanging="442"/>
        <w:spacing w:after="0" w:line="275" w:lineRule="auto"/>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persons who do not hold our common stock as a capital asset within the meaning of Section 1221 of the Code (generally, property held for investment); or</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24"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In addition, if a partnership, entity or arrangement classified as a partnership or flow-through entity for U.S. federal income tax purposes holds our common stock, the tax treatment of a partner generally will depend on the status of the partner and upon the activities of the partnership or other entity. A partner in a partnership or other such entity that will hold our common stock should consult his, her or its own tax advisor regarding the tax consequences of the ownership and disposition of our common stock through a partnership or other such entity, as applicable.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190" w:name="page191"/>
    <w:bookmarkEnd w:id="190"/>
    <w:p>
      <w:pPr>
        <w:ind w:right="40" w:firstLine="576"/>
        <w:spacing w:after="0" w:line="252" w:lineRule="auto"/>
        <w:rPr>
          <w:sz w:val="20"/>
          <w:szCs w:val="20"/>
          <w:color w:val="auto"/>
        </w:rPr>
      </w:pPr>
      <w:r>
        <w:rPr>
          <w:rFonts w:ascii="Arial" w:cs="Arial" w:eastAsia="Arial" w:hAnsi="Arial"/>
          <w:sz w:val="18"/>
          <w:szCs w:val="18"/>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gift or estate tax rules or under the laws of any state, local, non-U.S. or other taxing jurisdiction or under any applicable tax treaty</w:t>
      </w:r>
      <w:r>
        <w:rPr>
          <w:rFonts w:ascii="Arial" w:cs="Arial" w:eastAsia="Arial" w:hAnsi="Arial"/>
          <w:sz w:val="18"/>
          <w:szCs w:val="18"/>
          <w:color w:val="auto"/>
        </w:rPr>
        <w: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 Defined</w:t>
      </w:r>
    </w:p>
    <w:p>
      <w:pPr>
        <w:spacing w:after="0" w:line="106" w:lineRule="exact"/>
        <w:rPr>
          <w:sz w:val="20"/>
          <w:szCs w:val="20"/>
          <w:color w:val="auto"/>
        </w:rPr>
      </w:pPr>
    </w:p>
    <w:p>
      <w:pPr>
        <w:ind w:right="220" w:firstLine="576"/>
        <w:spacing w:after="0" w:line="276" w:lineRule="auto"/>
        <w:rPr>
          <w:sz w:val="20"/>
          <w:szCs w:val="20"/>
          <w:color w:val="auto"/>
        </w:rPr>
      </w:pPr>
      <w:r>
        <w:rPr>
          <w:rFonts w:ascii="Arial" w:cs="Arial" w:eastAsia="Arial" w:hAnsi="Arial"/>
          <w:sz w:val="18"/>
          <w:szCs w:val="18"/>
          <w:color w:val="auto"/>
        </w:rPr>
        <w:t>For purposes of this discussion, you are a “non-U.S. holder” if you are a beneficial owner of our common stock that, for U.S. federal income tax purposes, is not a partnership or:</w:t>
      </w:r>
    </w:p>
    <w:p>
      <w:pPr>
        <w:spacing w:after="0" w:line="37" w:lineRule="exact"/>
        <w:rPr>
          <w:sz w:val="20"/>
          <w:szCs w:val="20"/>
          <w:color w:val="auto"/>
        </w:rPr>
      </w:pPr>
    </w:p>
    <w:p>
      <w:pPr>
        <w:ind w:left="1300" w:hanging="442"/>
        <w:spacing w:after="0"/>
        <w:tabs>
          <w:tab w:leader="none" w:pos="1300" w:val="left"/>
        </w:tabs>
        <w:numPr>
          <w:ilvl w:val="0"/>
          <w:numId w:val="121"/>
        </w:numPr>
        <w:rPr>
          <w:rFonts w:ascii="Times New Roman" w:cs="Times New Roman" w:eastAsia="Times New Roman" w:hAnsi="Times New Roman"/>
          <w:sz w:val="18"/>
          <w:szCs w:val="18"/>
          <w:color w:val="auto"/>
        </w:rPr>
      </w:pPr>
      <w:r>
        <w:rPr>
          <w:rFonts w:ascii="Arial" w:cs="Arial" w:eastAsia="Arial" w:hAnsi="Arial"/>
          <w:sz w:val="18"/>
          <w:szCs w:val="18"/>
          <w:color w:val="auto"/>
        </w:rPr>
        <w:t>an individual who is a citizen or resident of the United States;</w:t>
      </w:r>
    </w:p>
    <w:p>
      <w:pPr>
        <w:spacing w:after="0" w:line="116" w:lineRule="exact"/>
        <w:rPr>
          <w:rFonts w:ascii="Times New Roman" w:cs="Times New Roman" w:eastAsia="Times New Roman" w:hAnsi="Times New Roman"/>
          <w:sz w:val="18"/>
          <w:szCs w:val="18"/>
          <w:color w:val="auto"/>
        </w:rPr>
      </w:pPr>
    </w:p>
    <w:p>
      <w:pPr>
        <w:ind w:left="1300" w:right="520" w:hanging="442"/>
        <w:spacing w:after="0" w:line="305" w:lineRule="auto"/>
        <w:tabs>
          <w:tab w:leader="none" w:pos="1300" w:val="left"/>
        </w:tabs>
        <w:numPr>
          <w:ilvl w:val="0"/>
          <w:numId w:val="121"/>
        </w:numPr>
        <w:rPr>
          <w:rFonts w:ascii="Times New Roman" w:cs="Times New Roman" w:eastAsia="Times New Roman" w:hAnsi="Times New Roman"/>
          <w:sz w:val="17"/>
          <w:szCs w:val="17"/>
          <w:color w:val="auto"/>
        </w:rPr>
      </w:pPr>
      <w:r>
        <w:rPr>
          <w:rFonts w:ascii="Arial" w:cs="Arial" w:eastAsia="Arial" w:hAnsi="Arial"/>
          <w:sz w:val="17"/>
          <w:szCs w:val="17"/>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15" w:lineRule="exact"/>
        <w:rPr>
          <w:rFonts w:ascii="Times New Roman" w:cs="Times New Roman" w:eastAsia="Times New Roman" w:hAnsi="Times New Roman"/>
          <w:sz w:val="17"/>
          <w:szCs w:val="17"/>
          <w:color w:val="auto"/>
        </w:rPr>
      </w:pPr>
    </w:p>
    <w:p>
      <w:pPr>
        <w:ind w:left="1300" w:hanging="442"/>
        <w:spacing w:after="0"/>
        <w:tabs>
          <w:tab w:leader="none" w:pos="1300" w:val="left"/>
        </w:tabs>
        <w:numPr>
          <w:ilvl w:val="0"/>
          <w:numId w:val="121"/>
        </w:numPr>
        <w:rPr>
          <w:rFonts w:ascii="Times New Roman" w:cs="Times New Roman" w:eastAsia="Times New Roman" w:hAnsi="Times New Roman"/>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16" w:lineRule="exact"/>
        <w:rPr>
          <w:rFonts w:ascii="Times New Roman" w:cs="Times New Roman" w:eastAsia="Times New Roman" w:hAnsi="Times New Roman"/>
          <w:sz w:val="18"/>
          <w:szCs w:val="18"/>
          <w:color w:val="auto"/>
        </w:rPr>
      </w:pPr>
    </w:p>
    <w:p>
      <w:pPr>
        <w:jc w:val="both"/>
        <w:ind w:left="1300" w:right="180" w:hanging="442"/>
        <w:spacing w:after="0" w:line="255" w:lineRule="auto"/>
        <w:tabs>
          <w:tab w:leader="none" w:pos="1300" w:val="left"/>
        </w:tabs>
        <w:numPr>
          <w:ilvl w:val="0"/>
          <w:numId w:val="121"/>
        </w:numPr>
        <w:rPr>
          <w:rFonts w:ascii="Times New Roman" w:cs="Times New Roman" w:eastAsia="Times New Roman" w:hAnsi="Times New Roman"/>
          <w:sz w:val="18"/>
          <w:szCs w:val="18"/>
          <w:color w:val="auto"/>
        </w:rPr>
      </w:pPr>
      <w:r>
        <w:rPr>
          <w:rFonts w:ascii="Arial" w:cs="Arial" w:eastAsia="Arial" w:hAnsi="Arial"/>
          <w:sz w:val="18"/>
          <w:szCs w:val="18"/>
          <w:color w:val="auto"/>
        </w:rPr>
        <w:t>a trust (1) whose administration is subject to the primary supervision of a U.S. court and that has one or more U.S. persons who have the authority to control all substantial decisions of the trust or (2) that has made a valid election under applicable Treasury Regulations to be treated as a U.S. person.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06"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As described in the section of this prospectus titled “Dividend Policy,” we have never declared or paid cash dividends on our common stock, and we do not anticipate paying any dividends on our common stock following the completion of this offering.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w:t>
      </w:r>
    </w:p>
    <w:p>
      <w:pPr>
        <w:spacing w:after="0" w:line="17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Subject to the discussions below on effectively connected income and Foreign Account Tax Compliance Act, or FATCA, withholding,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the applicable withholding agent with an IRS Form W-8BEN or W-8BEN-E or other appropriate version of IRS Form W-8 certifying qualification for the reduced rate. A non-U.S. holder of shares of our common stock eligible for a reduced rate of U.S. federal withholding tax pursuant to an income tax treaty may obtain a refund of any excess amounts withheld by filing an appropriate claim for refund with the IRS. If the non-U.S. holder holds our common stock through a financial institution or other agent acting on the non-U.S. holder’s behalf, the non-U.S. holder will be required to provide appropriate documentation to the agent, which then will be required to provide certification to the applicable withholding agent, either directly or through other intermediaries.</w:t>
      </w:r>
    </w:p>
    <w:p>
      <w:pPr>
        <w:spacing w:after="0" w:line="176"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Dividends received by you that are treated as effectively connected with your conduct of a U.S. trade or business (and, if required by an applicable income tax treaty, such dividends are attributable to a permanent establishment or fixed base maintained by you in the United States) are generally exempt from the 30% U.S. federal withholding tax, subject to the discussion below on backup withholding and FATCA withholding. In order to obtain this exemption, you must provide the applicable withholding agent with a properly executed IRS Form W-8ECI or other applicable IRS Form W-8 properly certifying such exemption. Such effectively connected dividends, although not subject to U.S. federal withholding tax, are taxed at the same rates applicable to U.S. persons, net of certain deductions and credits, subject to an applicable income tax treaty providing otherwise. In addition, if you are a corporate non-U.S. holder, dividends you receive that are effectively connected with your conduct of a U.S. trade or business may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91" w:name="page192"/>
    <w:bookmarkEnd w:id="191"/>
    <w:p>
      <w:pPr>
        <w:spacing w:after="0" w:line="255" w:lineRule="auto"/>
        <w:rPr>
          <w:sz w:val="20"/>
          <w:szCs w:val="20"/>
          <w:color w:val="auto"/>
        </w:rPr>
      </w:pPr>
      <w:r>
        <w:rPr>
          <w:rFonts w:ascii="Arial" w:cs="Arial" w:eastAsia="Arial" w:hAnsi="Arial"/>
          <w:sz w:val="18"/>
          <w:szCs w:val="18"/>
          <w:color w:val="auto"/>
        </w:rPr>
        <w:t>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common stock, including any applicable tax treaties that may provide for different rules.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Subject to the discussion below regarding backup withholding and FATCA withholding, you generally will not be required to pay U.S.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on any gain realized upon the sale or other disposition of our common stock unless:</w:t>
      </w:r>
    </w:p>
    <w:p>
      <w:pPr>
        <w:spacing w:after="0" w:line="82" w:lineRule="exact"/>
        <w:rPr>
          <w:sz w:val="20"/>
          <w:szCs w:val="20"/>
          <w:color w:val="auto"/>
        </w:rPr>
      </w:pPr>
    </w:p>
    <w:p>
      <w:pPr>
        <w:ind w:left="1300" w:right="380" w:hanging="442"/>
        <w:spacing w:after="0" w:line="275" w:lineRule="auto"/>
        <w:tabs>
          <w:tab w:leader="none" w:pos="1300" w:val="left"/>
        </w:tabs>
        <w:numPr>
          <w:ilvl w:val="0"/>
          <w:numId w:val="122"/>
        </w:numPr>
        <w:rPr>
          <w:rFonts w:ascii="Times New Roman" w:cs="Times New Roman" w:eastAsia="Times New Roman" w:hAnsi="Times New Roman"/>
          <w:sz w:val="18"/>
          <w:szCs w:val="18"/>
          <w:color w:val="auto"/>
        </w:rPr>
      </w:pPr>
      <w:r>
        <w:rPr>
          <w:rFonts w:ascii="Arial" w:cs="Arial" w:eastAsia="Arial" w:hAnsi="Arial"/>
          <w:sz w:val="18"/>
          <w:szCs w:val="18"/>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37" w:lineRule="exact"/>
        <w:rPr>
          <w:rFonts w:ascii="Times New Roman" w:cs="Times New Roman" w:eastAsia="Times New Roman" w:hAnsi="Times New Roman"/>
          <w:sz w:val="18"/>
          <w:szCs w:val="18"/>
          <w:color w:val="auto"/>
        </w:rPr>
      </w:pPr>
    </w:p>
    <w:p>
      <w:pPr>
        <w:ind w:left="1300" w:right="340" w:hanging="442"/>
        <w:spacing w:after="0" w:line="275" w:lineRule="auto"/>
        <w:tabs>
          <w:tab w:leader="none" w:pos="1300" w:val="left"/>
        </w:tabs>
        <w:numPr>
          <w:ilvl w:val="0"/>
          <w:numId w:val="122"/>
        </w:numPr>
        <w:rPr>
          <w:rFonts w:ascii="Times New Roman" w:cs="Times New Roman" w:eastAsia="Times New Roman" w:hAnsi="Times New Roman"/>
          <w:sz w:val="18"/>
          <w:szCs w:val="18"/>
          <w:color w:val="auto"/>
        </w:rPr>
      </w:pPr>
      <w:r>
        <w:rPr>
          <w:rFonts w:ascii="Arial" w:cs="Arial" w:eastAsia="Arial" w:hAnsi="Arial"/>
          <w:sz w:val="18"/>
          <w:szCs w:val="18"/>
          <w:color w:val="auto"/>
        </w:rPr>
        <w:t>you are an individual who is present in the United States for a period or periods aggregating 183 days or more during the calendar year in which the sale or disposition occurs and certain other conditions are met; or</w:t>
      </w:r>
    </w:p>
    <w:p>
      <w:pPr>
        <w:spacing w:after="0" w:line="37" w:lineRule="exact"/>
        <w:rPr>
          <w:rFonts w:ascii="Times New Roman" w:cs="Times New Roman" w:eastAsia="Times New Roman" w:hAnsi="Times New Roman"/>
          <w:sz w:val="18"/>
          <w:szCs w:val="18"/>
          <w:color w:val="auto"/>
        </w:rPr>
      </w:pPr>
    </w:p>
    <w:p>
      <w:pPr>
        <w:jc w:val="both"/>
        <w:ind w:left="1300" w:right="40" w:hanging="442"/>
        <w:spacing w:after="0" w:line="255" w:lineRule="auto"/>
        <w:tabs>
          <w:tab w:leader="none" w:pos="1300" w:val="left"/>
        </w:tabs>
        <w:numPr>
          <w:ilvl w:val="0"/>
          <w:numId w:val="122"/>
        </w:numPr>
        <w:rPr>
          <w:rFonts w:ascii="Times New Roman" w:cs="Times New Roman" w:eastAsia="Times New Roman" w:hAnsi="Times New Roman"/>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your disposition of, or your holding period for, our common stock.</w:t>
      </w:r>
    </w:p>
    <w:p>
      <w:pPr>
        <w:spacing w:after="0" w:line="163" w:lineRule="exact"/>
        <w:rPr>
          <w:sz w:val="20"/>
          <w:szCs w:val="20"/>
          <w:color w:val="auto"/>
        </w:rPr>
      </w:pPr>
    </w:p>
    <w:p>
      <w:pPr>
        <w:ind w:right="80" w:firstLine="576"/>
        <w:spacing w:after="0" w:line="241" w:lineRule="auto"/>
        <w:rPr>
          <w:sz w:val="20"/>
          <w:szCs w:val="20"/>
          <w:color w:val="auto"/>
        </w:rPr>
      </w:pPr>
      <w:r>
        <w:rPr>
          <w:rFonts w:ascii="Arial" w:cs="Arial" w:eastAsia="Arial" w:hAnsi="Arial"/>
          <w:sz w:val="18"/>
          <w:szCs w:val="18"/>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business assets, there can be no assurance that we will not become a USRPHC in the future. Even if we become a USRPHC, however, as long as our common stock is regularly traded on an established securities market, your common stock will be treated as U.S. real property interests only if you actually (directly or indirectly) or constructively hold more than five percent of such regularly traded common stock at any time during the shorter of the five-year period preceding your disposition of, or your holding period for, our common stock.</w:t>
      </w:r>
    </w:p>
    <w:p>
      <w:pPr>
        <w:spacing w:after="0" w:line="179" w:lineRule="exact"/>
        <w:rPr>
          <w:sz w:val="20"/>
          <w:szCs w:val="20"/>
          <w:color w:val="auto"/>
        </w:rPr>
      </w:pPr>
    </w:p>
    <w:p>
      <w:pPr>
        <w:ind w:right="40" w:firstLine="576"/>
        <w:spacing w:after="0" w:line="241" w:lineRule="auto"/>
        <w:rPr>
          <w:sz w:val="20"/>
          <w:szCs w:val="20"/>
          <w:color w:val="auto"/>
        </w:rPr>
      </w:pPr>
      <w:r>
        <w:rPr>
          <w:rFonts w:ascii="Arial" w:cs="Arial" w:eastAsia="Arial" w:hAnsi="Arial"/>
          <w:sz w:val="18"/>
          <w:szCs w:val="18"/>
          <w:color w:val="auto"/>
        </w:rPr>
        <w:t>If you are a non-U.S. holder described in the first bullet above, you will be required to pay tax on the gain derived from the sale (net of certain deductions and credits) under regular U.S. federal income tax rates,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106"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Our common stock beneficially owned by an individual who is not a citizen or resident of the United States (as defined for U.S. federal estate tax purposes) at the time of his or her death will generally be includable in the decedent’s gross estate for U.S. federal estate tax purposes. Such stock, therefore, may be subject to U.S. federal estate tax, unless an applicable estate tax treaty provides otherwise.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06" w:lineRule="exact"/>
        <w:rPr>
          <w:sz w:val="20"/>
          <w:szCs w:val="20"/>
          <w:color w:val="auto"/>
        </w:rPr>
      </w:pPr>
    </w:p>
    <w:p>
      <w:pPr>
        <w:ind w:right="80" w:firstLine="576"/>
        <w:spacing w:after="0" w:line="255" w:lineRule="auto"/>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64" w:lineRule="exact"/>
        <w:rPr>
          <w:sz w:val="20"/>
          <w:szCs w:val="20"/>
          <w:color w:val="auto"/>
        </w:rPr>
      </w:pPr>
    </w:p>
    <w:p>
      <w:pPr>
        <w:ind w:right="140" w:firstLine="576"/>
        <w:spacing w:after="0" w:line="245" w:lineRule="auto"/>
        <w:rPr>
          <w:sz w:val="20"/>
          <w:szCs w:val="20"/>
          <w:color w:val="auto"/>
        </w:rPr>
      </w:pPr>
      <w:r>
        <w:rPr>
          <w:rFonts w:ascii="Arial" w:cs="Arial" w:eastAsia="Arial" w:hAnsi="Arial"/>
          <w:sz w:val="18"/>
          <w:szCs w:val="18"/>
          <w:color w:val="auto"/>
        </w:rPr>
        <w:t>Payments of dividends on or of proceeds from the disposition of our common stock made to you may be subject to information reporting and backup withholding at a current rate of 24% unless you establish an exemption, for example, by properly certifying your non-U.S. status on a properly completed IRS Form W-8BEN or W-8BEN-E or another appropriate version of IRS Form W-8. Notwithstanding the foregoing, backup withholding and information reporting may apply if the applicable withholding agent has actual knowledge, or reason to know, that you are a U.S. person.</w:t>
      </w:r>
    </w:p>
    <w:p>
      <w:pPr>
        <w:spacing w:after="0" w:line="172"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106" w:lineRule="exact"/>
        <w:rPr>
          <w:sz w:val="20"/>
          <w:szCs w:val="20"/>
          <w:color w:val="auto"/>
        </w:rPr>
      </w:pPr>
    </w:p>
    <w:p>
      <w:pPr>
        <w:ind w:right="80" w:firstLine="576"/>
        <w:spacing w:after="0" w:line="239" w:lineRule="auto"/>
        <w:rPr>
          <w:sz w:val="20"/>
          <w:szCs w:val="20"/>
          <w:color w:val="auto"/>
        </w:rPr>
      </w:pPr>
      <w:r>
        <w:rPr>
          <w:rFonts w:ascii="Arial" w:cs="Arial" w:eastAsia="Arial" w:hAnsi="Arial"/>
          <w:sz w:val="18"/>
          <w:szCs w:val="18"/>
          <w:color w:val="auto"/>
        </w:rPr>
        <w:t>Provisions of the Code commonly referred to as FATCA, Treasury Regulations issued thereunder and official IRS guidance generally impose a U.S. federal withholding tax of 30% on dividends on, and the gross proceeds from a sale or other disposition of our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the gross proceeds from, a sale or other disposition of our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180" w:lineRule="exact"/>
        <w:rPr>
          <w:sz w:val="20"/>
          <w:szCs w:val="20"/>
          <w:color w:val="auto"/>
        </w:rPr>
      </w:pPr>
    </w:p>
    <w:p>
      <w:pPr>
        <w:ind w:right="100" w:firstLine="576"/>
        <w:spacing w:after="0" w:line="239" w:lineRule="auto"/>
        <w:rPr>
          <w:sz w:val="20"/>
          <w:szCs w:val="20"/>
          <w:color w:val="auto"/>
        </w:rPr>
      </w:pPr>
      <w:r>
        <w:rPr>
          <w:rFonts w:ascii="Arial" w:cs="Arial" w:eastAsia="Arial" w:hAnsi="Arial"/>
          <w:sz w:val="18"/>
          <w:szCs w:val="18"/>
          <w:color w:val="auto"/>
        </w:rPr>
        <w:t>The withholding obligations under FATCA generally apply to dividends on our common stock and subject to the proposed Treasury Regulations described in the next sentence, will apply to the payment of gross proceeds of a sale or other disposition of our common stock. The Treasury Department has released proposed Treasury Regulations (the preamble to which specifies that taxpayers are permitted to rely on them pending finalization) which, if finalized in their present form, would eliminate the federal withholding tax of 30% applicable to the gross proceeds of a disposition of our common stock. The withholding tax will apply regardless of whether the payment otherwise would be exempt from U.S. nonresident and backup withholding tax, including under the other exemptions described above. Under certain circumstances, a non-U.S. holder might be eligible for refunds or credits of such taxes. An intergovernmental agreement between the United States and an applicable foreign country may modify the requirements described in this section. Prospective investors are encouraged to consult with their own tax advisors regarding the application of FATCA withholding to their investment in, and ownership and disposition of, our common stock.</w:t>
      </w:r>
    </w:p>
    <w:p>
      <w:pPr>
        <w:spacing w:after="0" w:line="286" w:lineRule="exact"/>
        <w:rPr>
          <w:sz w:val="20"/>
          <w:szCs w:val="20"/>
          <w:color w:val="auto"/>
        </w:rPr>
      </w:pPr>
    </w:p>
    <w:p>
      <w:pPr>
        <w:ind w:right="160" w:firstLine="576"/>
        <w:spacing w:after="0" w:line="252" w:lineRule="auto"/>
        <w:rPr>
          <w:sz w:val="20"/>
          <w:szCs w:val="20"/>
          <w:color w:val="auto"/>
        </w:rPr>
      </w:pPr>
      <w:r>
        <w:rPr>
          <w:rFonts w:ascii="Arial" w:cs="Arial" w:eastAsia="Arial" w:hAnsi="Arial"/>
          <w:sz w:val="18"/>
          <w:szCs w:val="18"/>
          <w:b w:val="1"/>
          <w:bCs w:val="1"/>
          <w:color w:val="auto"/>
        </w:rPr>
        <w:t>The preceding discussion of U.S. federal tax considerations is for general information only. It is not tax advice to investors in their particular circumstances. Each prospective investor should consult its own tax advisor regarding the particular U.S. federal, state and local and non-U.S. tax consequences of purchasing, holding and disposing of our common stock, including the consequences of any proposed change in applicable laws</w:t>
      </w:r>
      <w:r>
        <w:rPr>
          <w:rFonts w:ascii="Arial" w:cs="Arial" w:eastAsia="Arial" w:hAnsi="Arial"/>
          <w:sz w:val="18"/>
          <w:szCs w:val="18"/>
          <w:color w:val="auto"/>
        </w:rPr>
        <w: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8"/>
          <w:szCs w:val="18"/>
          <w:b w:val="1"/>
          <w:bCs w:val="1"/>
          <w:color w:val="auto"/>
        </w:rPr>
        <w:t>UNDERWRITING</w:t>
      </w:r>
    </w:p>
    <w:p>
      <w:pPr>
        <w:spacing w:after="0" w:line="214"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We and the underwriters named below have entered into an underwriting agreement with respect to the shares being offered. Subject to certain conditions, each underwriter has severally agreed to purchase the number of shares indicated in the following table. Goldman Sachs &amp; Co. LLC and Jefferies LLC are the representatives of the underwriters.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Number of</w:t>
            </w:r>
          </w:p>
        </w:tc>
      </w:tr>
      <w:tr>
        <w:trPr>
          <w:trHeight w:val="184"/>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Underwriters</w:t>
            </w:r>
          </w:p>
        </w:tc>
        <w:tc>
          <w:tcPr>
            <w:tcW w:w="8360" w:type="dxa"/>
            <w:vAlign w:val="bottom"/>
          </w:tcPr>
          <w:p>
            <w:pPr>
              <w:spacing w:after="0"/>
              <w:rPr>
                <w:sz w:val="15"/>
                <w:szCs w:val="15"/>
                <w:color w:val="auto"/>
              </w:rPr>
            </w:pPr>
          </w:p>
        </w:tc>
        <w:tc>
          <w:tcPr>
            <w:tcW w:w="1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Shares</w:t>
            </w:r>
          </w:p>
        </w:tc>
      </w:tr>
      <w:tr>
        <w:trPr>
          <w:trHeight w:val="203"/>
        </w:trPr>
        <w:tc>
          <w:tcPr>
            <w:tcW w:w="9260" w:type="dxa"/>
            <w:vAlign w:val="bottom"/>
            <w:tcBorders>
              <w:top w:val="single" w:sz="8" w:color="CFF0FC"/>
            </w:tcBorders>
            <w:gridSpan w:val="2"/>
            <w:shd w:val="clear" w:color="auto" w:fill="CFF0FC"/>
          </w:tcPr>
          <w:p>
            <w:pPr>
              <w:spacing w:after="0" w:line="203" w:lineRule="exact"/>
              <w:rPr>
                <w:sz w:val="20"/>
                <w:szCs w:val="20"/>
                <w:color w:val="auto"/>
              </w:rPr>
            </w:pPr>
            <w:r>
              <w:rPr>
                <w:rFonts w:ascii="Arial" w:cs="Arial" w:eastAsia="Arial" w:hAnsi="Arial"/>
                <w:sz w:val="18"/>
                <w:szCs w:val="18"/>
                <w:color w:val="auto"/>
              </w:rPr>
              <w:t>Goldman Sachs &amp; Co. LLC</w:t>
            </w:r>
          </w:p>
        </w:tc>
        <w:tc>
          <w:tcPr>
            <w:tcW w:w="188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1,700,000</w:t>
            </w: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1880" w:type="dxa"/>
            <w:vAlign w:val="bottom"/>
          </w:tcPr>
          <w:p>
            <w:pPr>
              <w:jc w:val="right"/>
              <w:spacing w:after="0"/>
              <w:rPr>
                <w:sz w:val="20"/>
                <w:szCs w:val="20"/>
                <w:color w:val="auto"/>
              </w:rPr>
            </w:pPr>
            <w:r>
              <w:rPr>
                <w:rFonts w:ascii="Arial" w:cs="Arial" w:eastAsia="Arial" w:hAnsi="Arial"/>
                <w:sz w:val="18"/>
                <w:szCs w:val="18"/>
                <w:color w:val="auto"/>
              </w:rPr>
              <w:t>1,320,000</w:t>
            </w:r>
          </w:p>
        </w:tc>
        <w:tc>
          <w:tcPr>
            <w:tcW w:w="100" w:type="dxa"/>
            <w:vAlign w:val="bottom"/>
          </w:tcPr>
          <w:p>
            <w:pPr>
              <w:spacing w:after="0"/>
              <w:rPr>
                <w:sz w:val="18"/>
                <w:szCs w:val="18"/>
                <w:color w:val="auto"/>
              </w:rPr>
            </w:pPr>
          </w:p>
        </w:tc>
      </w:tr>
      <w:tr>
        <w:trPr>
          <w:trHeight w:val="216"/>
        </w:trPr>
        <w:tc>
          <w:tcPr>
            <w:tcW w:w="9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Stifel, Nicolaus &amp; Company, Incorporated</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660,000</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JMP Securities LLC</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320,000</w:t>
            </w:r>
          </w:p>
        </w:tc>
        <w:tc>
          <w:tcPr>
            <w:tcW w:w="100" w:type="dxa"/>
            <w:vAlign w:val="bottom"/>
            <w:tcBorders>
              <w:bottom w:val="single" w:sz="8" w:color="CFF0FC"/>
            </w:tcBorders>
          </w:tcPr>
          <w:p>
            <w:pPr>
              <w:spacing w:after="0"/>
              <w:rPr>
                <w:sz w:val="18"/>
                <w:szCs w:val="18"/>
                <w:color w:val="auto"/>
              </w:rPr>
            </w:pPr>
          </w:p>
        </w:tc>
      </w:tr>
      <w:tr>
        <w:trPr>
          <w:trHeight w:val="209"/>
        </w:trPr>
        <w:tc>
          <w:tcPr>
            <w:tcW w:w="926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ind w:right="100" w:firstLine="576"/>
        <w:spacing w:after="0" w:line="276"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45" w:lineRule="exact"/>
        <w:rPr>
          <w:sz w:val="20"/>
          <w:szCs w:val="20"/>
          <w:color w:val="auto"/>
        </w:rPr>
      </w:pPr>
    </w:p>
    <w:p>
      <w:pPr>
        <w:ind w:right="40" w:firstLine="576"/>
        <w:spacing w:after="0" w:line="255" w:lineRule="auto"/>
        <w:rPr>
          <w:sz w:val="20"/>
          <w:szCs w:val="20"/>
          <w:color w:val="auto"/>
        </w:rPr>
      </w:pPr>
      <w:r>
        <w:rPr>
          <w:rFonts w:ascii="Arial" w:cs="Arial" w:eastAsia="Arial" w:hAnsi="Arial"/>
          <w:sz w:val="18"/>
          <w:szCs w:val="18"/>
          <w:color w:val="auto"/>
        </w:rPr>
        <w:t>The underwriters have an option to buy up to an additional 600,000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64" w:lineRule="exact"/>
        <w:rPr>
          <w:sz w:val="20"/>
          <w:szCs w:val="20"/>
          <w:color w:val="auto"/>
        </w:rPr>
      </w:pPr>
    </w:p>
    <w:p>
      <w:pPr>
        <w:ind w:right="40" w:firstLine="576"/>
        <w:spacing w:after="0" w:line="255"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Such amounts are shown assuming both no exercise and full exercise of the underwriters’ option to purchase up to an additional 600,000 shares from us.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ind w:right="276"/>
              <w:spacing w:after="0"/>
              <w:rPr>
                <w:sz w:val="20"/>
                <w:szCs w:val="20"/>
                <w:color w:val="auto"/>
              </w:rPr>
            </w:pPr>
            <w:r>
              <w:rPr>
                <w:rFonts w:ascii="Arial" w:cs="Arial" w:eastAsia="Arial" w:hAnsi="Arial"/>
                <w:sz w:val="14"/>
                <w:szCs w:val="14"/>
                <w:b w:val="1"/>
                <w:bCs w:val="1"/>
                <w:color w:val="auto"/>
              </w:rPr>
              <w:t>No Exercise</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Full Exercise</w:t>
            </w:r>
          </w:p>
        </w:tc>
      </w:tr>
      <w:tr>
        <w:trPr>
          <w:trHeight w:val="209"/>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Per Share</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3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top w:val="single" w:sz="8" w:color="CFF0FC"/>
            </w:tcBorders>
            <w:shd w:val="clear" w:color="auto" w:fill="CFF0FC"/>
          </w:tcPr>
          <w:p>
            <w:pPr>
              <w:spacing w:after="0"/>
              <w:rPr>
                <w:sz w:val="18"/>
                <w:szCs w:val="18"/>
                <w:color w:val="auto"/>
              </w:rPr>
            </w:pPr>
          </w:p>
        </w:tc>
      </w:tr>
      <w:tr>
        <w:trPr>
          <w:trHeight w:val="243"/>
        </w:trPr>
        <w:tc>
          <w:tcPr>
            <w:tcW w:w="770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5,400,000</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6,210,000</w:t>
            </w:r>
          </w:p>
        </w:tc>
        <w:tc>
          <w:tcPr>
            <w:tcW w:w="120" w:type="dxa"/>
            <w:vAlign w:val="bottom"/>
          </w:tcPr>
          <w:p>
            <w:pPr>
              <w:spacing w:after="0"/>
              <w:rPr>
                <w:sz w:val="21"/>
                <w:szCs w:val="21"/>
                <w:color w:val="auto"/>
              </w:rPr>
            </w:pPr>
          </w:p>
        </w:tc>
      </w:tr>
    </w:tbl>
    <w:p>
      <w:pPr>
        <w:spacing w:after="0" w:line="166" w:lineRule="exact"/>
        <w:rPr>
          <w:sz w:val="20"/>
          <w:szCs w:val="20"/>
          <w:color w:val="auto"/>
        </w:rPr>
      </w:pPr>
    </w:p>
    <w:p>
      <w:pPr>
        <w:ind w:right="420" w:firstLine="576"/>
        <w:spacing w:after="0" w:line="245" w:lineRule="auto"/>
        <w:rPr>
          <w:sz w:val="20"/>
          <w:szCs w:val="20"/>
          <w:color w:val="auto"/>
        </w:rPr>
      </w:pPr>
      <w:r>
        <w:rPr>
          <w:rFonts w:ascii="Arial" w:cs="Arial" w:eastAsia="Arial" w:hAnsi="Arial"/>
          <w:sz w:val="18"/>
          <w:szCs w:val="18"/>
          <w:color w:val="auto"/>
        </w:rPr>
        <w:t>Shares sold by the underwriters to the public will initially be offered at the public offering price set forth on the cover of this prospectus. Any shares sold by the underwriters to securities dealers may be sold at a discount of up to $0.81 per share from the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72" w:lineRule="exact"/>
        <w:rPr>
          <w:sz w:val="20"/>
          <w:szCs w:val="20"/>
          <w:color w:val="auto"/>
        </w:rPr>
      </w:pPr>
    </w:p>
    <w:p>
      <w:pPr>
        <w:ind w:right="100" w:firstLine="576"/>
        <w:spacing w:after="0" w:line="239" w:lineRule="auto"/>
        <w:rPr>
          <w:sz w:val="20"/>
          <w:szCs w:val="20"/>
          <w:color w:val="auto"/>
        </w:rPr>
      </w:pPr>
      <w:r>
        <w:rPr>
          <w:rFonts w:ascii="Arial" w:cs="Arial" w:eastAsia="Arial" w:hAnsi="Arial"/>
          <w:sz w:val="18"/>
          <w:szCs w:val="18"/>
          <w:color w:val="auto"/>
        </w:rPr>
        <w:t>In connection with our initial public offering, we and our officers, directors, and holders of substantially all of our common stock and securities convertible into or exchangeable for our common stock agreed with the underwriters, subject to certain exceptions, not to dispose of or hedge any of our or their common stock or securities convertible into or exchangeable for shares of common stock during the period from the date of the prospectus related to our initial public offering continuing through the date 180 days after the date of the prospectus related to our initial public offering, except with the prior written consent of Goldman Sachs &amp; Co. LLC and Jefferies LLC. In addition, we and our officers and directors and certain of our stockholders have agreed with the underwriters, subject to certain exceptions, not to dispose of or hedge any of our or their common stock or securities convertible into or exchangeable for shares of common stock during the period from the date of this prospectus continuing through the date 90 days after the date of this prospectus, except with the prior written consent of Goldman Sachs &amp; Co. LLC and Jefferies LLC. This agreement does not apply to any existing employee benefit plans. See the section of this prospectus titled “Shares Eligible for Future Sale” for a discussion of certain transfer restrictions.</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common stock is listed on the Nasdaq Global Select Market under the symbol "ATHA".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94" w:name="page195"/>
    <w:bookmarkEnd w:id="194"/>
    <w:p>
      <w:pPr>
        <w:ind w:firstLine="576"/>
        <w:spacing w:after="0" w:line="238"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77"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64"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our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74" w:lineRule="exact"/>
        <w:rPr>
          <w:sz w:val="20"/>
          <w:szCs w:val="20"/>
          <w:color w:val="auto"/>
        </w:rPr>
      </w:pPr>
    </w:p>
    <w:p>
      <w:pPr>
        <w:jc w:val="both"/>
        <w:ind w:right="860" w:firstLine="576"/>
        <w:spacing w:after="0" w:line="306" w:lineRule="auto"/>
        <w:rPr>
          <w:sz w:val="20"/>
          <w:szCs w:val="20"/>
          <w:color w:val="auto"/>
        </w:rPr>
      </w:pPr>
      <w:r>
        <w:rPr>
          <w:rFonts w:ascii="Arial" w:cs="Arial" w:eastAsia="Arial" w:hAnsi="Arial"/>
          <w:sz w:val="17"/>
          <w:szCs w:val="17"/>
          <w:color w:val="auto"/>
        </w:rPr>
        <w:t>We estimate that our share of the total expenses of the offering, excluding underwriting discounts and commissions, will be approximately $516,000. We have agreed to reimburse the underwriters for certain of their expenses in an amount up to $35,000.</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212" w:lineRule="exact"/>
        <w:rPr>
          <w:sz w:val="20"/>
          <w:szCs w:val="20"/>
          <w:color w:val="auto"/>
        </w:rPr>
      </w:pPr>
    </w:p>
    <w:p>
      <w:pPr>
        <w:ind w:right="120" w:firstLine="576"/>
        <w:spacing w:after="0" w:line="243"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 -financial activities and services. Certain of the underwriters and their respective affiliates may in the future provide, a variety of these services to the issuer and to persons and entities with relationships with the issuer, for which they will receive customary fees and expenses. For example, certain of the underwriters also served as underwriters in our initial public offering in September 2020.</w:t>
      </w:r>
    </w:p>
    <w:p>
      <w:pPr>
        <w:spacing w:after="0" w:line="174"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195" w:name="page196"/>
    <w:bookmarkEnd w:id="195"/>
    <w:p>
      <w:pPr>
        <w:ind w:right="340"/>
        <w:spacing w:after="0" w:line="276" w:lineRule="auto"/>
        <w:rPr>
          <w:sz w:val="20"/>
          <w:szCs w:val="20"/>
          <w:color w:val="auto"/>
        </w:rPr>
      </w:pPr>
      <w:r>
        <w:rPr>
          <w:rFonts w:ascii="Arial" w:cs="Arial" w:eastAsia="Arial" w:hAnsi="Arial"/>
          <w:sz w:val="18"/>
          <w:szCs w:val="18"/>
          <w:color w:val="auto"/>
        </w:rPr>
        <w:t>respect of such assets, securities or instruments and may at any time hold, or recommend to clients that they should acquire, long and/or short positions in such assets, securities and instruments.</w:t>
      </w:r>
    </w:p>
    <w:p>
      <w:pPr>
        <w:spacing w:after="0" w:line="145" w:lineRule="exact"/>
        <w:rPr>
          <w:sz w:val="20"/>
          <w:szCs w:val="20"/>
          <w:color w:val="auto"/>
        </w:rPr>
      </w:pPr>
    </w:p>
    <w:p>
      <w:pPr>
        <w:ind w:right="160" w:firstLine="576"/>
        <w:spacing w:after="0" w:line="263" w:lineRule="auto"/>
        <w:rPr>
          <w:sz w:val="20"/>
          <w:szCs w:val="20"/>
          <w:color w:val="auto"/>
        </w:rPr>
      </w:pPr>
      <w:r>
        <w:rPr>
          <w:rFonts w:ascii="Arial" w:cs="Arial" w:eastAsia="Arial" w:hAnsi="Arial"/>
          <w:sz w:val="17"/>
          <w:szCs w:val="17"/>
          <w:color w:val="auto"/>
        </w:rPr>
        <w:t>In May 2020, we issued a warrant to JMP Securities LLC to purchase up to 127,481 shares of our Series B convertible preferred stock. Immediately prior to the closing of our initial public offering, the warrant automatically converted into a warrant to purchase an aggregate of 127,481 shares of our common stock and then was automatically net exercised into 59,091 shares of our common stock. The shares of common stock issued on exercise of the warrant are subject to the 180-day lock-up restrictions related to our initial public offering pursuant to FINRA Rule 5110(g) and a 180-day lock-up agreement with the underwriters in connection with our initial public offering.</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106" w:lineRule="exact"/>
        <w:rPr>
          <w:sz w:val="20"/>
          <w:szCs w:val="20"/>
          <w:color w:val="auto"/>
        </w:rPr>
      </w:pPr>
    </w:p>
    <w:p>
      <w:pPr>
        <w:ind w:right="100" w:firstLine="576"/>
        <w:spacing w:after="0" w:line="245" w:lineRule="auto"/>
        <w:rPr>
          <w:sz w:val="20"/>
          <w:szCs w:val="20"/>
          <w:color w:val="auto"/>
        </w:rPr>
      </w:pPr>
      <w:r>
        <w:rPr>
          <w:rFonts w:ascii="Arial" w:cs="Arial" w:eastAsia="Arial" w:hAnsi="Arial"/>
          <w:sz w:val="18"/>
          <w:szCs w:val="18"/>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p>
      <w:pPr>
        <w:spacing w:after="0" w:line="64" w:lineRule="exact"/>
        <w:rPr>
          <w:sz w:val="20"/>
          <w:szCs w:val="20"/>
          <w:color w:val="auto"/>
        </w:rPr>
      </w:pPr>
    </w:p>
    <w:p>
      <w:pPr>
        <w:ind w:left="1300" w:hanging="442"/>
        <w:spacing w:after="0"/>
        <w:tabs>
          <w:tab w:leader="none" w:pos="1300" w:val="left"/>
        </w:tabs>
        <w:numPr>
          <w:ilvl w:val="0"/>
          <w:numId w:val="123"/>
        </w:numPr>
        <w:rPr>
          <w:rFonts w:ascii="Times New Roman" w:cs="Times New Roman" w:eastAsia="Times New Roman" w:hAnsi="Times New Roman"/>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16" w:lineRule="exact"/>
        <w:rPr>
          <w:rFonts w:ascii="Times New Roman" w:cs="Times New Roman" w:eastAsia="Times New Roman" w:hAnsi="Times New Roman"/>
          <w:sz w:val="18"/>
          <w:szCs w:val="18"/>
          <w:color w:val="auto"/>
        </w:rPr>
      </w:pPr>
    </w:p>
    <w:p>
      <w:pPr>
        <w:ind w:left="1300" w:right="660" w:hanging="442"/>
        <w:spacing w:after="0" w:line="275" w:lineRule="auto"/>
        <w:tabs>
          <w:tab w:leader="none" w:pos="1300" w:val="left"/>
        </w:tabs>
        <w:numPr>
          <w:ilvl w:val="0"/>
          <w:numId w:val="123"/>
        </w:numPr>
        <w:rPr>
          <w:rFonts w:ascii="Times New Roman" w:cs="Times New Roman" w:eastAsia="Times New Roman" w:hAnsi="Times New Roman"/>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representatives for any such offer; or</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3"/>
        </w:numPr>
        <w:rPr>
          <w:rFonts w:ascii="Times New Roman" w:cs="Times New Roman" w:eastAsia="Times New Roman" w:hAnsi="Times New Roman"/>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4" w:lineRule="exact"/>
        <w:rPr>
          <w:sz w:val="20"/>
          <w:szCs w:val="20"/>
          <w:color w:val="auto"/>
        </w:rPr>
      </w:pPr>
    </w:p>
    <w:p>
      <w:pPr>
        <w:ind w:right="60" w:firstLine="576"/>
        <w:spacing w:after="0" w:line="276" w:lineRule="auto"/>
        <w:rPr>
          <w:sz w:val="20"/>
          <w:szCs w:val="20"/>
          <w:color w:val="auto"/>
        </w:rPr>
      </w:pPr>
      <w:r>
        <w:rPr>
          <w:rFonts w:ascii="Arial" w:cs="Arial" w:eastAsia="Arial" w:hAnsi="Arial"/>
          <w:sz w:val="18"/>
          <w:szCs w:val="18"/>
          <w:color w:val="auto"/>
        </w:rPr>
        <w:t>provided that no such offer of the shares shall require us or any of the representatives to publish a prospectus pursuant to Article 3 of the Prospectus Regulation or supplement a prospectus pursuant to Article 23 of the Prospectus Regulation.</w:t>
      </w:r>
    </w:p>
    <w:p>
      <w:pPr>
        <w:spacing w:after="0" w:line="145" w:lineRule="exact"/>
        <w:rPr>
          <w:sz w:val="20"/>
          <w:szCs w:val="20"/>
          <w:color w:val="auto"/>
        </w:rPr>
      </w:pPr>
    </w:p>
    <w:p>
      <w:pPr>
        <w:ind w:right="80" w:firstLine="569"/>
        <w:spacing w:after="0" w:line="248"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106" w:lineRule="exact"/>
        <w:rPr>
          <w:sz w:val="20"/>
          <w:szCs w:val="20"/>
          <w:color w:val="auto"/>
        </w:rPr>
      </w:pPr>
    </w:p>
    <w:p>
      <w:pPr>
        <w:jc w:val="both"/>
        <w:ind w:right="60" w:firstLine="864"/>
        <w:spacing w:after="0" w:line="255" w:lineRule="auto"/>
        <w:rPr>
          <w:sz w:val="20"/>
          <w:szCs w:val="20"/>
          <w:color w:val="auto"/>
        </w:rPr>
      </w:pPr>
      <w:r>
        <w:rPr>
          <w:rFonts w:ascii="Arial" w:cs="Arial" w:eastAsia="Arial" w:hAnsi="Arial"/>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56" w:lineRule="exact"/>
        <w:rPr>
          <w:sz w:val="20"/>
          <w:szCs w:val="20"/>
          <w:color w:val="auto"/>
        </w:rPr>
      </w:pPr>
    </w:p>
    <w:p>
      <w:pPr>
        <w:ind w:left="1300" w:hanging="442"/>
        <w:spacing w:after="0"/>
        <w:tabs>
          <w:tab w:leader="none" w:pos="1300" w:val="left"/>
        </w:tabs>
        <w:numPr>
          <w:ilvl w:val="0"/>
          <w:numId w:val="124"/>
        </w:numPr>
        <w:rPr>
          <w:rFonts w:ascii="Times New Roman" w:cs="Times New Roman" w:eastAsia="Times New Roman" w:hAnsi="Times New Roman"/>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16" w:lineRule="exact"/>
        <w:rPr>
          <w:rFonts w:ascii="Times New Roman" w:cs="Times New Roman" w:eastAsia="Times New Roman" w:hAnsi="Times New Roman"/>
          <w:sz w:val="18"/>
          <w:szCs w:val="18"/>
          <w:color w:val="auto"/>
        </w:rPr>
      </w:pPr>
    </w:p>
    <w:p>
      <w:pPr>
        <w:ind w:left="1300" w:right="360" w:hanging="442"/>
        <w:spacing w:after="0" w:line="275" w:lineRule="auto"/>
        <w:tabs>
          <w:tab w:leader="none" w:pos="1300" w:val="left"/>
        </w:tabs>
        <w:numPr>
          <w:ilvl w:val="0"/>
          <w:numId w:val="124"/>
        </w:numPr>
        <w:rPr>
          <w:rFonts w:ascii="Times New Roman" w:cs="Times New Roman" w:eastAsia="Times New Roman" w:hAnsi="Times New Roman"/>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4"/>
        </w:numPr>
        <w:rPr>
          <w:rFonts w:ascii="Times New Roman" w:cs="Times New Roman" w:eastAsia="Times New Roman" w:hAnsi="Times New Roman"/>
          <w:sz w:val="18"/>
          <w:szCs w:val="18"/>
          <w:color w:val="auto"/>
        </w:rPr>
      </w:pPr>
      <w:r>
        <w:rPr>
          <w:rFonts w:ascii="Arial" w:cs="Arial" w:eastAsia="Arial" w:hAnsi="Arial"/>
          <w:sz w:val="18"/>
          <w:szCs w:val="18"/>
          <w:color w:val="auto"/>
        </w:rPr>
        <w:t>in any other circumstances falling within Section 86 of the FSMA,</w:t>
      </w:r>
    </w:p>
    <w:p>
      <w:pPr>
        <w:spacing w:after="0" w:line="116" w:lineRule="exact"/>
        <w:rPr>
          <w:rFonts w:ascii="Times New Roman" w:cs="Times New Roman" w:eastAsia="Times New Roman" w:hAnsi="Times New Roman"/>
          <w:sz w:val="18"/>
          <w:szCs w:val="18"/>
          <w:color w:val="auto"/>
        </w:rPr>
      </w:pPr>
    </w:p>
    <w:p>
      <w:pPr>
        <w:jc w:val="both"/>
        <w:ind w:left="1300" w:hanging="442"/>
        <w:spacing w:after="0" w:line="255" w:lineRule="auto"/>
        <w:tabs>
          <w:tab w:leader="none" w:pos="1300" w:val="left"/>
        </w:tabs>
        <w:numPr>
          <w:ilvl w:val="0"/>
          <w:numId w:val="124"/>
        </w:numPr>
        <w:rPr>
          <w:rFonts w:ascii="Times New Roman" w:cs="Times New Roman" w:eastAsia="Times New Roman" w:hAnsi="Times New Roman"/>
          <w:sz w:val="18"/>
          <w:szCs w:val="18"/>
          <w:color w:val="auto"/>
        </w:rPr>
      </w:pPr>
      <w:r>
        <w:rPr>
          <w:rFonts w:ascii="Arial" w:cs="Arial" w:eastAsia="Arial" w:hAnsi="Arial"/>
          <w:sz w:val="18"/>
          <w:szCs w:val="18"/>
          <w:color w:val="auto"/>
        </w:rPr>
        <w:t>provided that no such offer of the shares shall require the Issuer or any Manager to publish a prospectus pursuant to Section 85 of the FSMA or supplement a prospectus pursuant to Article 23 of the UK Prospectus Regulation. For the purposes of this provision, the expression</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96" w:name="page197"/>
    <w:bookmarkEnd w:id="196"/>
    <w:p>
      <w:pPr>
        <w:ind w:left="1300" w:right="40"/>
        <w:spacing w:after="0" w:line="248" w:lineRule="auto"/>
        <w:rPr>
          <w:sz w:val="20"/>
          <w:szCs w:val="20"/>
          <w:color w:val="auto"/>
        </w:rPr>
      </w:pPr>
      <w:r>
        <w:rPr>
          <w:rFonts w:ascii="Arial" w:cs="Arial" w:eastAsia="Arial" w:hAnsi="Arial"/>
          <w:sz w:val="18"/>
          <w:szCs w:val="18"/>
          <w:color w:val="auto"/>
        </w:rPr>
        <w:t>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106" w:lineRule="exact"/>
        <w:rPr>
          <w:sz w:val="20"/>
          <w:szCs w:val="20"/>
          <w:color w:val="auto"/>
        </w:rPr>
      </w:pPr>
    </w:p>
    <w:p>
      <w:pPr>
        <w:ind w:firstLine="864"/>
        <w:spacing w:after="0" w:line="245"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72" w:lineRule="exact"/>
        <w:rPr>
          <w:sz w:val="20"/>
          <w:szCs w:val="20"/>
          <w:color w:val="auto"/>
        </w:rPr>
      </w:pPr>
    </w:p>
    <w:p>
      <w:pPr>
        <w:ind w:right="180" w:firstLine="864"/>
        <w:spacing w:after="0" w:line="24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72" w:lineRule="exact"/>
        <w:rPr>
          <w:sz w:val="20"/>
          <w:szCs w:val="20"/>
          <w:color w:val="auto"/>
        </w:rPr>
      </w:pPr>
    </w:p>
    <w:p>
      <w:pPr>
        <w:ind w:right="320" w:firstLine="864"/>
        <w:spacing w:after="0" w:line="27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106" w:lineRule="exact"/>
        <w:rPr>
          <w:sz w:val="20"/>
          <w:szCs w:val="20"/>
          <w:color w:val="auto"/>
        </w:rPr>
      </w:pPr>
    </w:p>
    <w:p>
      <w:pPr>
        <w:ind w:right="60" w:firstLine="576"/>
        <w:spacing w:after="0" w:line="239" w:lineRule="auto"/>
        <w:rPr>
          <w:sz w:val="20"/>
          <w:szCs w:val="20"/>
          <w:color w:val="auto"/>
        </w:rPr>
      </w:pPr>
      <w:r>
        <w:rPr>
          <w:rFonts w:ascii="Arial" w:cs="Arial" w:eastAsia="Arial" w:hAnsi="Arial"/>
          <w:sz w:val="18"/>
          <w:szCs w:val="18"/>
          <w:color w:val="auto"/>
        </w:rPr>
        <w:t>The shares may not be offered or sold in Hong Kong by means of any document other than (1) in circumstances which do not constitute an offer to the public within the meaning of the Companies (Winding Up and Miscellaneous Provisions) Ordinance (Cap. 32 of the Laws of Hong Kong), or the Companies Ordinance, or which do not constitute an invitation to the public within the meaning of the Securities and Futures Ordinance (Cap. 571 of the Laws of Hong Kong), or the Securities and Futures Ordinance, or (2) to "professional investors" as defined in the Securities and Futures Ordinance and any rules made thereunder, or (3) in other circumstances which do not result in the document being a "prospectus" as defined in the Companies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106" w:lineRule="exact"/>
        <w:rPr>
          <w:sz w:val="20"/>
          <w:szCs w:val="20"/>
          <w:color w:val="auto"/>
        </w:rPr>
      </w:pPr>
    </w:p>
    <w:p>
      <w:pPr>
        <w:ind w:right="140" w:firstLine="576"/>
        <w:spacing w:after="0"/>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(1) to an institutional investor (as defined under Section 4A of the Securities and Futures Act, Chapter 289 of Singapore, or the SFA, under Section 274 of the SFA, (2) to a relevant person (as defined in Section 275(2) of the SFA) pursuant to Section 275(1) of the SFA, or any person pursuant to Section 275(1A) of the SFA, and in accordance with the conditions specified in Section 275 of the SFA or (3) otherwise pursuant to, and in accordance with the conditions of, any other applicable provision of the SFA, in each case subject to conditions set forth in the SFA.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97" w:name="page198"/>
    <w:bookmarkEnd w:id="197"/>
    <w:p>
      <w:pPr>
        <w:ind w:right="40" w:firstLine="576"/>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76"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80" w:lineRule="exact"/>
        <w:rPr>
          <w:sz w:val="20"/>
          <w:szCs w:val="20"/>
          <w:color w:val="auto"/>
        </w:rPr>
      </w:pPr>
    </w:p>
    <w:p>
      <w:pPr>
        <w:ind w:right="320" w:firstLine="576"/>
        <w:spacing w:after="0" w:line="248" w:lineRule="auto"/>
        <w:rPr>
          <w:sz w:val="20"/>
          <w:szCs w:val="20"/>
          <w:color w:val="auto"/>
        </w:rPr>
      </w:pPr>
      <w:r>
        <w:rPr>
          <w:rFonts w:ascii="Arial" w:cs="Arial" w:eastAsia="Arial" w:hAnsi="Arial"/>
          <w:sz w:val="18"/>
          <w:szCs w:val="18"/>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106" w:lineRule="exact"/>
        <w:rPr>
          <w:sz w:val="20"/>
          <w:szCs w:val="20"/>
          <w:color w:val="auto"/>
        </w:rPr>
      </w:pPr>
    </w:p>
    <w:p>
      <w:pPr>
        <w:ind w:right="200" w:firstLine="576"/>
        <w:spacing w:after="0" w:line="245"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106" w:lineRule="exact"/>
        <w:rPr>
          <w:sz w:val="20"/>
          <w:szCs w:val="20"/>
          <w:color w:val="auto"/>
        </w:rPr>
      </w:pPr>
    </w:p>
    <w:p>
      <w:pPr>
        <w:jc w:val="both"/>
        <w:ind w:firstLine="576"/>
        <w:spacing w:after="0" w:line="248"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 offering document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70"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8" w:name="page199"/>
    <w:bookmarkEnd w:id="198"/>
    <w:p>
      <w:pPr>
        <w:ind w:right="140" w:firstLine="576"/>
        <w:spacing w:after="0" w:line="245"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2"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This offering document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offering document is appropriate to their needs, objectives and circumstances, and, if necessary, seek expert advice on those matters.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Dubai International Financial Centre</w:t>
      </w:r>
    </w:p>
    <w:p>
      <w:pPr>
        <w:spacing w:after="0" w:line="106" w:lineRule="exact"/>
        <w:rPr>
          <w:sz w:val="20"/>
          <w:szCs w:val="20"/>
          <w:color w:val="auto"/>
        </w:rPr>
      </w:pPr>
    </w:p>
    <w:p>
      <w:pPr>
        <w:ind w:right="120" w:firstLine="576"/>
        <w:spacing w:after="0" w:line="241" w:lineRule="auto"/>
        <w:rPr>
          <w:sz w:val="20"/>
          <w:szCs w:val="20"/>
          <w:color w:val="auto"/>
        </w:rPr>
      </w:pPr>
      <w:r>
        <w:rPr>
          <w:rFonts w:ascii="Arial" w:cs="Arial" w:eastAsia="Arial" w:hAnsi="Arial"/>
          <w:sz w:val="18"/>
          <w:szCs w:val="18"/>
          <w:color w:val="auto"/>
        </w:rPr>
        <w:t>This offering document relates to an Exempt Offer in accordance with the Offered Securities Rules of the Dubai Financial Services Authority, or DFSA. This offering document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in this prospectus and has no responsibility for the offering document. The securities to which this offering document relates may be illiquid and/or subject to restrictions on their resale. Prospective purchasers of the securities offered should conduct their own due diligence on the securities. If you do not understand the contents of this offering document you should consult an authorized financial advisor.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106" w:lineRule="exact"/>
        <w:rPr>
          <w:sz w:val="20"/>
          <w:szCs w:val="20"/>
          <w:color w:val="auto"/>
        </w:rPr>
      </w:pPr>
    </w:p>
    <w:p>
      <w:pPr>
        <w:jc w:val="both"/>
        <w:ind w:right="40" w:firstLine="576"/>
        <w:spacing w:after="0" w:line="257" w:lineRule="auto"/>
        <w:rPr>
          <w:sz w:val="20"/>
          <w:szCs w:val="20"/>
          <w:color w:val="auto"/>
        </w:rPr>
      </w:pPr>
      <w:r>
        <w:rPr>
          <w:rFonts w:ascii="Arial" w:cs="Arial" w:eastAsia="Arial" w:hAnsi="Arial"/>
          <w:sz w:val="17"/>
          <w:szCs w:val="17"/>
          <w:color w:val="auto"/>
        </w:rPr>
        <w:t>We have not and will not register with the Swiss Financial Market Supervisory Authority, or FINMA, as a foreign collective investment scheme pursuant to Article 119 of the Federal Act on Collective Investment Scheme of 23 June 2006, as amended, or CISA, and accordingly the securities being offered pursuant to this prospectus have not and will not be approved, and may not be licensable, with FINMA.</w:t>
      </w:r>
    </w:p>
    <w:p>
      <w:pPr>
        <w:spacing w:after="0" w:line="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“qualified investors,” as this term is defined in Article 10 CISA, and in the circumstances set out in Article 3 of the Ordinance on Collective Investment Scheme of 22 November 2006, as amended, or CISO, such that there is no public offer. Investors, however, do not benefit from protection under CISA or CISO or supervision by FINMA. This prospectus and any other materials relating to the securities are strictly personal and confidential to each offeree and do not constitute an offer to any other person. This prospectus may only be used by those qualified investors to whom it has been handed out in connection with the offer described in this prospectus and may neither directly or indirectly be distributed or made available to any person or entity other than its recipients. It may not be used in connection with any other offer and shall in particular not be copied and/or distributed to the public in Switzerland or from Switzerland. This prospectus does not constitute an issue prospectus as that term is understood pursuant to Article 652a and/or 1156 of the Swiss Federal Code of Obligations. We have not applied for a listing of the securities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99" w:name="page200"/>
    <w:bookmarkEnd w:id="199"/>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14" w:lineRule="exact"/>
        <w:rPr>
          <w:sz w:val="20"/>
          <w:szCs w:val="20"/>
          <w:color w:val="auto"/>
        </w:rPr>
      </w:pPr>
    </w:p>
    <w:p>
      <w:pPr>
        <w:ind w:right="100" w:firstLine="576"/>
        <w:spacing w:after="0" w:line="245" w:lineRule="auto"/>
        <w:rPr>
          <w:sz w:val="20"/>
          <w:szCs w:val="20"/>
          <w:color w:val="auto"/>
        </w:rPr>
      </w:pPr>
      <w:r>
        <w:rPr>
          <w:rFonts w:ascii="Arial" w:cs="Arial" w:eastAsia="Arial" w:hAnsi="Arial"/>
          <w:sz w:val="18"/>
          <w:szCs w:val="18"/>
          <w:color w:val="auto"/>
        </w:rPr>
        <w:t>The validity of the shares of the common stock offered hereby will be passed upon for us by Wilson Sonsini Goodrich &amp; Rosati, Professional Corporation, Seattle, Washington. Cooley, LLP, Seattle Washington, is acting as counsel for the underwriters. Investment funds associated with Wilson Sonsini Goodrich &amp; Rosati, Professional Corporation, hold shares of our common stock and preferred stock convertible into our common stock representing an aggregate of 13,706 shares of our common stock, which is less than 1% of our outstanding shares of common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14"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Ernst &amp; Young LLP, independent registered public accounting firm, has audited our financial statements as of December 31, 2018 and December 31, 2019 and for each of the two years in the period ended December 31, 2019, as set forth in their report. We have included our financial statements in the prospectus and elsewhere in the registration statement in reliance on Ernst &amp; Young LLP’s report, given on their authority as experts in accounting and auditing.</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14"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our common stock offered by this prospectus. This prospectus constitutes only a part of the registration statement. Some items are contained in exhibits to the registration statement as permitted by the rules and regulations of the SEC. For further information with respect to us and our common stock, we refer you to the registration statement, including the exhibits. Statements contained in this prospectus concerning the contents of any contract or document referred to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spacing w:after="0" w:line="179"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You may obtain copies of this information by mail from the Public Reference Section of the SEC, 100 F Street, N.E., Room 1580, Washington, D.C. 20549, at prescribed rates. You may obtain information on the operation of the public reference rooms by calling the SEC at 1-800-SEC-0330. The SEC also maintains an Internet website at www.sec.gov that contains reports, proxy statements and other information about issuers, like us, that file electronically with the SEC.</w:t>
      </w:r>
    </w:p>
    <w:p>
      <w:pPr>
        <w:spacing w:after="0" w:line="170" w:lineRule="exact"/>
        <w:rPr>
          <w:sz w:val="20"/>
          <w:szCs w:val="20"/>
          <w:color w:val="auto"/>
        </w:rPr>
      </w:pPr>
    </w:p>
    <w:p>
      <w:pPr>
        <w:ind w:right="120" w:firstLine="576"/>
        <w:spacing w:after="0" w:line="243" w:lineRule="auto"/>
        <w:rPr>
          <w:sz w:val="20"/>
          <w:szCs w:val="20"/>
          <w:color w:val="auto"/>
        </w:rPr>
      </w:pPr>
      <w:r>
        <w:rPr>
          <w:rFonts w:ascii="Arial" w:cs="Arial" w:eastAsia="Arial" w:hAnsi="Arial"/>
          <w:sz w:val="18"/>
          <w:szCs w:val="18"/>
          <w:color w:val="auto"/>
        </w:rPr>
        <w:t>We are subject to the information and reporting requirements of the Exchange Act and, in accordance with this law, file periodic reports, proxy statements and other information with the SEC. These periodic reports, proxy statements and other information are available for inspection and copying at the SEC’s public reference facilities and the website of the SEC referred to above. We also maintain a website at www.athira.com, at which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200" w:name="page201"/>
    <w:bookmarkEnd w:id="200"/>
    <w:p>
      <w:pPr>
        <w:jc w:val="center"/>
        <w:ind w:left="1200"/>
        <w:spacing w:after="0"/>
        <w:rPr>
          <w:sz w:val="20"/>
          <w:szCs w:val="20"/>
          <w:color w:val="auto"/>
        </w:rPr>
      </w:pPr>
      <w:r>
        <w:rPr>
          <w:rFonts w:ascii="Arial" w:cs="Arial" w:eastAsia="Arial" w:hAnsi="Arial"/>
          <w:sz w:val="18"/>
          <w:szCs w:val="18"/>
          <w:b w:val="1"/>
          <w:bCs w:val="1"/>
          <w:color w:val="auto"/>
        </w:rPr>
        <w:t>ATHIRA PHARMA, INC.</w:t>
      </w:r>
    </w:p>
    <w:p>
      <w:pPr>
        <w:spacing w:after="0" w:line="214"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INDEX TO FINANCIAL STATEMENTS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Financial Statements:</w:t>
      </w:r>
    </w:p>
    <w:p>
      <w:pPr>
        <w:spacing w:after="0" w:line="33" w:lineRule="exact"/>
        <w:rPr>
          <w:sz w:val="20"/>
          <w:szCs w:val="20"/>
          <w:color w:val="auto"/>
        </w:rPr>
      </w:pPr>
    </w:p>
    <w:p>
      <w:pPr>
        <w:spacing w:after="0"/>
        <w:rPr>
          <w:rFonts w:ascii="Arial" w:cs="Arial" w:eastAsia="Arial" w:hAnsi="Arial"/>
          <w:sz w:val="18"/>
          <w:szCs w:val="18"/>
          <w:u w:val="single" w:color="auto"/>
          <w:color w:val="0000EE"/>
        </w:rPr>
      </w:pPr>
      <w:hyperlink w:anchor="page202">
        <w:r>
          <w:rPr>
            <w:rFonts w:ascii="Arial" w:cs="Arial" w:eastAsia="Arial" w:hAnsi="Arial"/>
            <w:sz w:val="18"/>
            <w:szCs w:val="18"/>
            <w:u w:val="single" w:color="auto"/>
            <w:color w:val="0000EE"/>
          </w:rPr>
          <w:t>Report of Independent Registered Public Accounting Firm</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3">
        <w:r>
          <w:rPr>
            <w:rFonts w:ascii="Arial" w:cs="Arial" w:eastAsia="Arial" w:hAnsi="Arial"/>
            <w:sz w:val="18"/>
            <w:szCs w:val="18"/>
            <w:u w:val="single" w:color="auto"/>
            <w:color w:val="0000EE"/>
          </w:rPr>
          <w:t>Balance Sheets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Statements of Operations and Comprehensive Loss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Statements of Convertible Preferred Stock and Stockholders’ Deficit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Statements of Cash Flows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7">
        <w:r>
          <w:rPr>
            <w:rFonts w:ascii="Arial" w:cs="Arial" w:eastAsia="Arial" w:hAnsi="Arial"/>
            <w:sz w:val="18"/>
            <w:szCs w:val="18"/>
            <w:u w:val="single" w:color="auto"/>
            <w:color w:val="0000EE"/>
          </w:rPr>
          <w:t>Notes to Financial Statements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Unaudited Interim Condensed Consolidated Financial Statements:</w:t>
      </w:r>
    </w:p>
    <w:p>
      <w:pPr>
        <w:spacing w:after="0" w:line="31" w:lineRule="exact"/>
        <w:rPr>
          <w:sz w:val="20"/>
          <w:szCs w:val="20"/>
          <w:color w:val="auto"/>
        </w:rPr>
      </w:pPr>
    </w:p>
    <w:p>
      <w:pPr>
        <w:spacing w:after="0"/>
        <w:rPr>
          <w:rFonts w:ascii="Arial" w:cs="Arial" w:eastAsia="Arial" w:hAnsi="Arial"/>
          <w:sz w:val="18"/>
          <w:szCs w:val="18"/>
          <w:u w:val="single" w:color="auto"/>
          <w:color w:val="0000EE"/>
        </w:rPr>
      </w:pPr>
      <w:hyperlink w:anchor="page227">
        <w:r>
          <w:rPr>
            <w:rFonts w:ascii="Arial" w:cs="Arial" w:eastAsia="Arial" w:hAnsi="Arial"/>
            <w:sz w:val="18"/>
            <w:szCs w:val="18"/>
            <w:u w:val="single" w:color="auto"/>
            <w:color w:val="0000EE"/>
          </w:rPr>
          <w:t>Condensed Consolidated Balance Sheets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28">
        <w:r>
          <w:rPr>
            <w:rFonts w:ascii="Arial" w:cs="Arial" w:eastAsia="Arial" w:hAnsi="Arial"/>
            <w:sz w:val="18"/>
            <w:szCs w:val="18"/>
            <w:u w:val="single" w:color="auto"/>
            <w:color w:val="0000EE"/>
          </w:rPr>
          <w:t>Condensed Consolidated Statements of Operations and Comprehensive Loss</w:t>
        </w:r>
      </w:hyperlink>
    </w:p>
    <w:p>
      <w:pPr>
        <w:spacing w:after="0" w:line="9" w:lineRule="exact"/>
        <w:rPr>
          <w:sz w:val="20"/>
          <w:szCs w:val="20"/>
          <w:color w:val="auto"/>
        </w:rPr>
      </w:pPr>
    </w:p>
    <w:p>
      <w:pPr>
        <w:ind w:right="2560"/>
        <w:spacing w:after="0" w:line="250" w:lineRule="auto"/>
        <w:rPr>
          <w:rFonts w:ascii="Arial" w:cs="Arial" w:eastAsia="Arial" w:hAnsi="Arial"/>
          <w:sz w:val="18"/>
          <w:szCs w:val="18"/>
          <w:u w:val="single" w:color="auto"/>
          <w:color w:val="0000EE"/>
        </w:rPr>
      </w:pPr>
      <w:hyperlink w:anchor="page229">
        <w:r>
          <w:rPr>
            <w:rFonts w:ascii="Arial" w:cs="Arial" w:eastAsia="Arial" w:hAnsi="Arial"/>
            <w:sz w:val="18"/>
            <w:szCs w:val="18"/>
            <w:u w:val="single" w:color="auto"/>
            <w:color w:val="0000EE"/>
          </w:rPr>
          <w:t>Condensed Consolidated Statements of Convertible Preferred Stock and Stockholders’ Deficit</w:t>
        </w:r>
      </w:hyperlink>
      <w:r>
        <w:rPr>
          <w:rFonts w:ascii="Arial" w:cs="Arial" w:eastAsia="Arial" w:hAnsi="Arial"/>
          <w:sz w:val="18"/>
          <w:szCs w:val="18"/>
          <w:u w:val="single" w:color="auto"/>
          <w:color w:val="0000EE"/>
        </w:rPr>
        <w:t xml:space="preserve"> </w:t>
      </w:r>
      <w:hyperlink w:anchor="page231">
        <w:r>
          <w:rPr>
            <w:rFonts w:ascii="Arial" w:cs="Arial" w:eastAsia="Arial" w:hAnsi="Arial"/>
            <w:sz w:val="18"/>
            <w:szCs w:val="18"/>
            <w:u w:val="single" w:color="auto"/>
            <w:color w:val="0000EE"/>
          </w:rPr>
          <w:t>Condensed Consolidated Statements of Cash Flows</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232">
        <w:r>
          <w:rPr>
            <w:rFonts w:ascii="Arial" w:cs="Arial" w:eastAsia="Arial" w:hAnsi="Arial"/>
            <w:sz w:val="18"/>
            <w:szCs w:val="18"/>
            <w:u w:val="single" w:color="auto"/>
            <w:color w:val="0000EE"/>
          </w:rPr>
          <w:t>Notes to Unaudited Condensed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20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Page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F-2</w:t>
      </w:r>
    </w:p>
    <w:p>
      <w:pPr>
        <w:spacing w:after="0" w:line="4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F-3</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F-4</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F-5</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F-6</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F-7</w:t>
      </w:r>
    </w:p>
    <w:p>
      <w:pPr>
        <w:spacing w:after="0" w:line="200" w:lineRule="exact"/>
        <w:rPr>
          <w:sz w:val="20"/>
          <w:szCs w:val="20"/>
          <w:color w:val="auto"/>
        </w:rPr>
      </w:pPr>
    </w:p>
    <w:p>
      <w:pPr>
        <w:spacing w:after="0" w:line="23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F-27</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F-28</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F-29</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F-30</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F-31</w:t>
      </w:r>
    </w:p>
    <w:p>
      <w:pPr>
        <w:sectPr>
          <w:pgSz w:w="11900" w:h="16838" w:orient="portrait"/>
          <w:cols w:equalWidth="0" w:num="2">
            <w:col w:w="10040" w:space="720"/>
            <w:col w:w="480"/>
          </w:cols>
          <w:pgMar w:left="320" w:top="574" w:right="339" w:bottom="1440" w:gutter="0" w:footer="0" w:header="0"/>
        </w:sectPr>
      </w:pPr>
    </w:p>
    <w:bookmarkStart w:id="201" w:name="page202"/>
    <w:bookmarkEnd w:id="201"/>
    <w:p>
      <w:pPr>
        <w:ind w:right="2580" w:firstLine="2572"/>
        <w:spacing w:after="0" w:line="446"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Athira Pharma, Inc.:</w:t>
      </w: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3" w:lineRule="exact"/>
        <w:rPr>
          <w:sz w:val="20"/>
          <w:szCs w:val="20"/>
          <w:color w:val="auto"/>
        </w:rPr>
      </w:pPr>
    </w:p>
    <w:p>
      <w:pPr>
        <w:ind w:firstLine="864"/>
        <w:spacing w:after="0" w:line="245" w:lineRule="auto"/>
        <w:rPr>
          <w:sz w:val="20"/>
          <w:szCs w:val="20"/>
          <w:color w:val="auto"/>
        </w:rPr>
      </w:pPr>
      <w:r>
        <w:rPr>
          <w:rFonts w:ascii="Arial" w:cs="Arial" w:eastAsia="Arial" w:hAnsi="Arial"/>
          <w:sz w:val="18"/>
          <w:szCs w:val="18"/>
          <w:color w:val="auto"/>
        </w:rPr>
        <w:t>We have audited the accompanying balance sheets of Athira Pharma, Inc. (the “Company”) as of December 31, 2018 and 2019, the related statements of operations and comprehensive loss,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at December 31, 2018 and 2019, and the results of its operations and its cash flows for the years then ended in conformity with U.S. generally accepted accounting principles.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7" w:lineRule="exact"/>
        <w:rPr>
          <w:sz w:val="20"/>
          <w:szCs w:val="20"/>
          <w:color w:val="auto"/>
        </w:rPr>
      </w:pPr>
    </w:p>
    <w:p>
      <w:pPr>
        <w:ind w:firstLine="864"/>
        <w:spacing w:after="0" w:line="24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0" w:lineRule="exact"/>
        <w:rPr>
          <w:sz w:val="20"/>
          <w:szCs w:val="20"/>
          <w:color w:val="auto"/>
        </w:rPr>
      </w:pPr>
    </w:p>
    <w:p>
      <w:pPr>
        <w:ind w:right="20" w:firstLine="864"/>
        <w:spacing w:after="0" w:line="24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2" w:lineRule="exact"/>
        <w:rPr>
          <w:sz w:val="20"/>
          <w:szCs w:val="20"/>
          <w:color w:val="auto"/>
        </w:rPr>
      </w:pPr>
    </w:p>
    <w:p>
      <w:pPr>
        <w:ind w:right="180" w:firstLine="864"/>
        <w:spacing w:after="0" w:line="24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July 24, 2020</w:t>
      </w:r>
    </w:p>
    <w:p>
      <w:pPr>
        <w:spacing w:after="0" w:line="234" w:lineRule="auto"/>
        <w:rPr>
          <w:sz w:val="20"/>
          <w:szCs w:val="20"/>
          <w:color w:val="auto"/>
        </w:rPr>
      </w:pPr>
      <w:r>
        <w:rPr>
          <w:rFonts w:ascii="Arial" w:cs="Arial" w:eastAsia="Arial" w:hAnsi="Arial"/>
          <w:sz w:val="18"/>
          <w:szCs w:val="18"/>
          <w:color w:val="auto"/>
        </w:rPr>
        <w:t>except for note 17(a), 17(g), 17(h) and 17(i), as to which the date 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September 14, 2020</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202" w:name="page203"/>
    <w:bookmarkEnd w:id="202"/>
    <w:p>
      <w:pPr>
        <w:jc w:val="center"/>
        <w:spacing w:after="0"/>
        <w:rPr>
          <w:sz w:val="20"/>
          <w:szCs w:val="20"/>
          <w:color w:val="auto"/>
        </w:rPr>
      </w:pPr>
      <w:r>
        <w:rPr>
          <w:rFonts w:ascii="Arial" w:cs="Arial" w:eastAsia="Arial" w:hAnsi="Arial"/>
          <w:sz w:val="18"/>
          <w:szCs w:val="18"/>
          <w:b w:val="1"/>
          <w:bCs w:val="1"/>
          <w:color w:val="auto"/>
        </w:rPr>
        <w:t>ATHIRA PHARMA, INC</w:t>
      </w:r>
      <w:r>
        <w:rPr>
          <w:rFonts w:ascii="Arial" w:cs="Arial" w:eastAsia="Arial" w:hAnsi="Arial"/>
          <w:sz w:val="18"/>
          <w:szCs w:val="18"/>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940" w:type="dxa"/>
            <w:vAlign w:val="bottom"/>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3,317</w:t>
            </w:r>
          </w:p>
        </w:tc>
        <w:tc>
          <w:tcPr>
            <w:tcW w:w="3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87"/>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unsecured related party note receivable</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4,897</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Unsecured related party note receivable</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940" w:type="dxa"/>
            <w:vAlign w:val="bottom"/>
            <w:tcBorders>
              <w:bottom w:val="single" w:sz="8" w:color="auto"/>
            </w:tcBorders>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4,933</w:t>
            </w:r>
          </w:p>
        </w:tc>
        <w:tc>
          <w:tcPr>
            <w:tcW w:w="3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18"/>
                <w:szCs w:val="18"/>
                <w:color w:val="auto"/>
              </w:rPr>
            </w:pPr>
          </w:p>
        </w:tc>
        <w:tc>
          <w:tcPr>
            <w:tcW w:w="560" w:type="dxa"/>
            <w:vAlign w:val="bottom"/>
            <w:gridSpan w:val="2"/>
          </w:tcPr>
          <w:p>
            <w:pPr>
              <w:jc w:val="right"/>
              <w:ind w:right="387"/>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Grant liability</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Derivative liability</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Convertible notes, net</w:t>
            </w: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9)</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700" w:type="dxa"/>
            <w:vAlign w:val="bottom"/>
          </w:tcPr>
          <w:p>
            <w:pPr>
              <w:spacing w:after="0" w:line="193" w:lineRule="exact"/>
              <w:rPr>
                <w:sz w:val="20"/>
                <w:szCs w:val="20"/>
                <w:color w:val="auto"/>
              </w:rPr>
            </w:pPr>
            <w:r>
              <w:rPr>
                <w:rFonts w:ascii="Arial" w:cs="Arial" w:eastAsia="Arial" w:hAnsi="Arial"/>
                <w:sz w:val="18"/>
                <w:szCs w:val="18"/>
                <w:color w:val="auto"/>
              </w:rPr>
              <w:t>Convertible preferred stock, $0.0001 par value per share;</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700" w:type="dxa"/>
            <w:vAlign w:val="bottom"/>
          </w:tcPr>
          <w:p>
            <w:pPr>
              <w:ind w:left="160"/>
              <w:spacing w:after="0" w:line="202" w:lineRule="exact"/>
              <w:rPr>
                <w:sz w:val="20"/>
                <w:szCs w:val="20"/>
                <w:color w:val="auto"/>
              </w:rPr>
            </w:pPr>
            <w:r>
              <w:rPr>
                <w:rFonts w:ascii="Arial" w:cs="Arial" w:eastAsia="Arial" w:hAnsi="Arial"/>
                <w:sz w:val="18"/>
                <w:szCs w:val="18"/>
                <w:color w:val="auto"/>
              </w:rPr>
              <w:t>2,797,464 shares authorized; 2,617,386 issued and</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line="202" w:lineRule="exact"/>
              <w:rPr>
                <w:sz w:val="20"/>
                <w:szCs w:val="20"/>
                <w:color w:val="auto"/>
              </w:rPr>
            </w:pPr>
            <w:r>
              <w:rPr>
                <w:rFonts w:ascii="Arial" w:cs="Arial" w:eastAsia="Arial" w:hAnsi="Arial"/>
                <w:sz w:val="18"/>
                <w:szCs w:val="18"/>
                <w:color w:val="auto"/>
              </w:rPr>
              <w:t>outstanding at December 31, 2018 and 2019; aggregate</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700" w:type="dxa"/>
            <w:vAlign w:val="bottom"/>
          </w:tcPr>
          <w:p>
            <w:pPr>
              <w:ind w:left="160"/>
              <w:spacing w:after="0"/>
              <w:rPr>
                <w:sz w:val="20"/>
                <w:szCs w:val="20"/>
                <w:color w:val="auto"/>
              </w:rPr>
            </w:pPr>
            <w:r>
              <w:rPr>
                <w:rFonts w:ascii="Arial" w:cs="Arial" w:eastAsia="Arial" w:hAnsi="Arial"/>
                <w:sz w:val="18"/>
                <w:szCs w:val="18"/>
                <w:color w:val="auto"/>
              </w:rPr>
              <w:t>liquidation preference of $16,288 at December 31, 2018 and 2019</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17,051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Stockholders' deficit:</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700" w:type="dxa"/>
            <w:vAlign w:val="bottom"/>
          </w:tcPr>
          <w:p>
            <w:pPr>
              <w:ind w:left="260"/>
              <w:spacing w:after="0" w:line="193" w:lineRule="exact"/>
              <w:rPr>
                <w:sz w:val="20"/>
                <w:szCs w:val="20"/>
                <w:color w:val="auto"/>
              </w:rPr>
            </w:pPr>
            <w:r>
              <w:rPr>
                <w:rFonts w:ascii="Arial" w:cs="Arial" w:eastAsia="Arial" w:hAnsi="Arial"/>
                <w:sz w:val="18"/>
                <w:szCs w:val="18"/>
                <w:color w:val="auto"/>
              </w:rPr>
              <w:t>Common stock, $0.0001 par value per share, 10,088,017 shares</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400"/>
              <w:spacing w:after="0" w:line="202" w:lineRule="exact"/>
              <w:rPr>
                <w:sz w:val="20"/>
                <w:szCs w:val="20"/>
                <w:color w:val="auto"/>
              </w:rPr>
            </w:pPr>
            <w:r>
              <w:rPr>
                <w:rFonts w:ascii="Arial" w:cs="Arial" w:eastAsia="Arial" w:hAnsi="Arial"/>
                <w:sz w:val="18"/>
                <w:szCs w:val="18"/>
                <w:color w:val="auto"/>
              </w:rPr>
              <w:t>authorized; 3,559,484 and 3,641,449 shares issued and</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700" w:type="dxa"/>
            <w:vAlign w:val="bottom"/>
          </w:tcPr>
          <w:p>
            <w:pPr>
              <w:ind w:left="400"/>
              <w:spacing w:after="0"/>
              <w:rPr>
                <w:sz w:val="20"/>
                <w:szCs w:val="20"/>
                <w:color w:val="auto"/>
              </w:rPr>
            </w:pPr>
            <w:r>
              <w:rPr>
                <w:rFonts w:ascii="Arial" w:cs="Arial" w:eastAsia="Arial" w:hAnsi="Arial"/>
                <w:sz w:val="18"/>
                <w:szCs w:val="18"/>
                <w:color w:val="auto"/>
              </w:rPr>
              <w:t>outstanding at December 31, 2018 and 2019, respectively</w:t>
            </w:r>
          </w:p>
        </w:tc>
        <w:tc>
          <w:tcPr>
            <w:tcW w:w="94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9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(15,926)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(21,087)</w:t>
            </w:r>
          </w:p>
        </w:tc>
        <w:tc>
          <w:tcPr>
            <w:tcW w:w="0" w:type="dxa"/>
            <w:vAlign w:val="bottom"/>
          </w:tcPr>
          <w:p>
            <w:pPr>
              <w:spacing w:after="0"/>
              <w:rPr>
                <w:sz w:val="1"/>
                <w:szCs w:val="1"/>
                <w:color w:val="auto"/>
              </w:rPr>
            </w:pPr>
          </w:p>
        </w:tc>
      </w:tr>
      <w:tr>
        <w:trPr>
          <w:trHeight w:val="210"/>
        </w:trPr>
        <w:tc>
          <w:tcPr>
            <w:tcW w:w="77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deficit</w:t>
            </w: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(14,887)</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(19,723)</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700" w:type="dxa"/>
            <w:vAlign w:val="bottom"/>
          </w:tcPr>
          <w:p>
            <w:pPr>
              <w:ind w:left="500"/>
              <w:spacing w:after="0" w:line="187" w:lineRule="exact"/>
              <w:rPr>
                <w:sz w:val="20"/>
                <w:szCs w:val="20"/>
                <w:color w:val="auto"/>
              </w:rPr>
            </w:pPr>
            <w:r>
              <w:rPr>
                <w:rFonts w:ascii="Arial" w:cs="Arial" w:eastAsia="Arial" w:hAnsi="Arial"/>
                <w:sz w:val="18"/>
                <w:szCs w:val="18"/>
                <w:color w:val="auto"/>
              </w:rPr>
              <w:t>Total liabilities, convertible preferred stock and stockholders'</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700" w:type="dxa"/>
            <w:vAlign w:val="bottom"/>
          </w:tcPr>
          <w:p>
            <w:pPr>
              <w:ind w:left="660"/>
              <w:spacing w:after="0"/>
              <w:rPr>
                <w:sz w:val="20"/>
                <w:szCs w:val="20"/>
                <w:color w:val="auto"/>
              </w:rPr>
            </w:pPr>
            <w:r>
              <w:rPr>
                <w:rFonts w:ascii="Arial" w:cs="Arial" w:eastAsia="Arial" w:hAnsi="Arial"/>
                <w:sz w:val="18"/>
                <w:szCs w:val="18"/>
                <w:color w:val="auto"/>
              </w:rPr>
              <w:t>deficit</w:t>
            </w:r>
          </w:p>
        </w:tc>
        <w:tc>
          <w:tcPr>
            <w:tcW w:w="940" w:type="dxa"/>
            <w:vAlign w:val="bottom"/>
            <w:tcBorders>
              <w:bottom w:val="single" w:sz="8" w:color="auto"/>
            </w:tcBorders>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4,933</w:t>
            </w:r>
          </w:p>
        </w:tc>
        <w:tc>
          <w:tcPr>
            <w:tcW w:w="300" w:type="dxa"/>
            <w:vAlign w:val="bottom"/>
          </w:tcPr>
          <w:p>
            <w:pPr>
              <w:spacing w:after="0"/>
              <w:rPr>
                <w:sz w:val="19"/>
                <w:szCs w:val="19"/>
                <w:color w:val="auto"/>
              </w:rPr>
            </w:pPr>
          </w:p>
        </w:tc>
        <w:tc>
          <w:tcPr>
            <w:tcW w:w="560" w:type="dxa"/>
            <w:vAlign w:val="bottom"/>
            <w:tcBorders>
              <w:bottom w:val="single" w:sz="8" w:color="auto"/>
            </w:tcBorders>
            <w:gridSpan w:val="2"/>
          </w:tcPr>
          <w:p>
            <w:pPr>
              <w:jc w:val="right"/>
              <w:ind w:right="387"/>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203" w:name="page204"/>
    <w:bookmarkEnd w:id="203"/>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8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FF0FC"/>
            </w:tcBorders>
          </w:tcPr>
          <w:p>
            <w:pPr>
              <w:spacing w:after="0"/>
              <w:rPr>
                <w:sz w:val="14"/>
                <w:szCs w:val="14"/>
                <w:color w:val="auto"/>
              </w:rPr>
            </w:pPr>
          </w:p>
        </w:tc>
        <w:tc>
          <w:tcPr>
            <w:tcW w:w="120" w:type="dxa"/>
            <w:vAlign w:val="bottom"/>
            <w:tcBorders>
              <w:top w:val="single" w:sz="8" w:color="auto"/>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3,589</w:t>
            </w:r>
          </w:p>
        </w:tc>
        <w:tc>
          <w:tcPr>
            <w:tcW w:w="180" w:type="dxa"/>
            <w:vAlign w:val="bottom"/>
          </w:tcPr>
          <w:p>
            <w:pPr>
              <w:spacing w:after="0"/>
              <w:rPr>
                <w:sz w:val="18"/>
                <w:szCs w:val="18"/>
                <w:color w:val="auto"/>
              </w:rPr>
            </w:pP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(5,097)</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7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7700" w:type="dxa"/>
            <w:vAlign w:val="bottom"/>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(1.47)</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174"/>
        </w:trPr>
        <w:tc>
          <w:tcPr>
            <w:tcW w:w="7700" w:type="dxa"/>
            <w:vAlign w:val="bottom"/>
            <w:tcBorders>
              <w:top w:val="single" w:sz="8" w:color="CFF0FC"/>
            </w:tcBorders>
            <w:shd w:val="clear" w:color="auto" w:fill="CFF0FC"/>
          </w:tcPr>
          <w:p>
            <w:pPr>
              <w:spacing w:after="0" w:line="174" w:lineRule="exact"/>
              <w:rPr>
                <w:sz w:val="20"/>
                <w:szCs w:val="20"/>
                <w:color w:val="auto"/>
              </w:rPr>
            </w:pPr>
            <w:r>
              <w:rPr>
                <w:rFonts w:ascii="Arial" w:cs="Arial" w:eastAsia="Arial" w:hAnsi="Arial"/>
                <w:sz w:val="18"/>
                <w:szCs w:val="18"/>
                <w:color w:val="auto"/>
              </w:rPr>
              <w:t>Weighted-average shares used in computing net loss per share</w:t>
            </w:r>
          </w:p>
        </w:tc>
        <w:tc>
          <w:tcPr>
            <w:tcW w:w="36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7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attributable to common stockholders, basic and diluted</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3,469,153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3,566,849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7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7700" w:type="dxa"/>
            <w:vAlign w:val="bottom"/>
          </w:tcPr>
          <w:p>
            <w:pPr>
              <w:ind w:left="160"/>
              <w:spacing w:after="0"/>
              <w:rPr>
                <w:sz w:val="20"/>
                <w:szCs w:val="20"/>
                <w:color w:val="auto"/>
              </w:rPr>
            </w:pPr>
            <w:r>
              <w:rPr>
                <w:rFonts w:ascii="Arial" w:cs="Arial" w:eastAsia="Arial" w:hAnsi="Arial"/>
                <w:sz w:val="18"/>
                <w:szCs w:val="18"/>
                <w:color w:val="auto"/>
              </w:rPr>
              <w:t>basic and diluted (unaudited)</w:t>
            </w: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174"/>
        </w:trPr>
        <w:tc>
          <w:tcPr>
            <w:tcW w:w="7700" w:type="dxa"/>
            <w:vAlign w:val="bottom"/>
            <w:tcBorders>
              <w:top w:val="single" w:sz="8" w:color="CFF0FC"/>
            </w:tcBorders>
            <w:shd w:val="clear" w:color="auto" w:fill="CFF0FC"/>
          </w:tcPr>
          <w:p>
            <w:pPr>
              <w:spacing w:after="0" w:line="174" w:lineRule="exact"/>
              <w:rPr>
                <w:sz w:val="20"/>
                <w:szCs w:val="20"/>
                <w:color w:val="auto"/>
              </w:rPr>
            </w:pPr>
            <w:r>
              <w:rPr>
                <w:rFonts w:ascii="Arial" w:cs="Arial" w:eastAsia="Arial" w:hAnsi="Arial"/>
                <w:sz w:val="18"/>
                <w:szCs w:val="18"/>
                <w:color w:val="auto"/>
              </w:rPr>
              <w:t>Weighted-average shares used in computing pro forma net loss per</w:t>
            </w:r>
          </w:p>
        </w:tc>
        <w:tc>
          <w:tcPr>
            <w:tcW w:w="360" w:type="dxa"/>
            <w:vAlign w:val="bottom"/>
            <w:tcBorders>
              <w:top w:val="single" w:sz="8" w:color="CFF0FC"/>
            </w:tcBorders>
            <w:shd w:val="clear" w:color="auto" w:fill="CFF0FC"/>
          </w:tcPr>
          <w:p>
            <w:pPr>
              <w:spacing w:after="0"/>
              <w:rPr>
                <w:sz w:val="15"/>
                <w:szCs w:val="15"/>
                <w:color w:val="auto"/>
              </w:rPr>
            </w:pPr>
          </w:p>
        </w:tc>
        <w:tc>
          <w:tcPr>
            <w:tcW w:w="12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share attributable to common stockholders, basic and diluted</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7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(unaudited)</w:t>
            </w:r>
          </w:p>
        </w:tc>
        <w:tc>
          <w:tcPr>
            <w:tcW w:w="3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6,186,544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204" w:name="page205"/>
    <w:bookmarkEnd w:id="204"/>
    <w:p>
      <w:pPr>
        <w:jc w:val="center"/>
        <w:ind w:right="-19"/>
        <w:spacing w:after="0"/>
        <w:rPr>
          <w:sz w:val="20"/>
          <w:szCs w:val="20"/>
          <w:color w:val="auto"/>
        </w:rPr>
      </w:pPr>
      <w:r>
        <w:rPr>
          <w:rFonts w:ascii="Arial" w:cs="Arial" w:eastAsia="Arial" w:hAnsi="Arial"/>
          <w:sz w:val="18"/>
          <w:szCs w:val="18"/>
          <w:b w:val="1"/>
          <w:bCs w:val="1"/>
          <w:color w:val="auto"/>
        </w:rPr>
        <w:t>ATHIRA PHARMA,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Convertible Preferred Stock and Stockholders’ Deficit</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ectPr>
          <w:pgSz w:w="11900" w:h="16838" w:orient="portrait"/>
          <w:cols w:equalWidth="0" w:num="1">
            <w:col w:w="11220"/>
          </w:cols>
          <w:pgMar w:left="320" w:top="574" w:right="359" w:bottom="1440" w:gutter="0" w:footer="0" w:header="0"/>
        </w:sect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1940" w:type="dxa"/>
            <w:vAlign w:val="bottom"/>
            <w:gridSpan w:val="5"/>
          </w:tcPr>
          <w:p>
            <w:pPr>
              <w:jc w:val="right"/>
              <w:ind w:right="492"/>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7"/>
        </w:trPr>
        <w:tc>
          <w:tcPr>
            <w:tcW w:w="3680" w:type="dxa"/>
            <w:vAlign w:val="bottom"/>
          </w:tcPr>
          <w:p>
            <w:pPr>
              <w:spacing w:after="0"/>
              <w:rPr>
                <w:sz w:val="15"/>
                <w:szCs w:val="15"/>
                <w:color w:val="auto"/>
              </w:rPr>
            </w:pPr>
          </w:p>
        </w:tc>
        <w:tc>
          <w:tcPr>
            <w:tcW w:w="1940" w:type="dxa"/>
            <w:vAlign w:val="bottom"/>
            <w:tcBorders>
              <w:bottom w:val="single" w:sz="8" w:color="auto"/>
            </w:tcBorders>
            <w:gridSpan w:val="5"/>
          </w:tcPr>
          <w:p>
            <w:pPr>
              <w:jc w:val="right"/>
              <w:ind w:right="352"/>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169"/>
        </w:trPr>
        <w:tc>
          <w:tcPr>
            <w:tcW w:w="368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December 31, 2017</w:t>
            </w: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00"/>
        </w:trPr>
        <w:tc>
          <w:tcPr>
            <w:tcW w:w="3680" w:type="dxa"/>
            <w:vAlign w:val="bottom"/>
            <w:vMerge w:val="continue"/>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2,607,298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16,951</w:t>
            </w: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2" w:lineRule="exact"/>
              <w:rPr>
                <w:sz w:val="20"/>
                <w:szCs w:val="20"/>
                <w:color w:val="auto"/>
              </w:rPr>
            </w:pPr>
            <w:r>
              <w:rPr>
                <w:rFonts w:ascii="Arial" w:cs="Arial" w:eastAsia="Arial" w:hAnsi="Arial"/>
                <w:sz w:val="18"/>
                <w:szCs w:val="18"/>
                <w:color w:val="auto"/>
              </w:rPr>
              <w:t>Issuance of common stock upon exercise</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2" w:lineRule="exact"/>
              <w:rPr>
                <w:sz w:val="20"/>
                <w:szCs w:val="20"/>
                <w:color w:val="auto"/>
              </w:rPr>
            </w:pPr>
            <w:r>
              <w:rPr>
                <w:rFonts w:ascii="Arial" w:cs="Arial" w:eastAsia="Arial" w:hAnsi="Arial"/>
                <w:sz w:val="18"/>
                <w:szCs w:val="18"/>
                <w:color w:val="auto"/>
              </w:rPr>
              <w:t>of</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400"/>
              <w:spacing w:after="0"/>
              <w:rPr>
                <w:sz w:val="20"/>
                <w:szCs w:val="20"/>
                <w:color w:val="auto"/>
              </w:rPr>
            </w:pPr>
            <w:r>
              <w:rPr>
                <w:rFonts w:ascii="Arial" w:cs="Arial" w:eastAsia="Arial" w:hAnsi="Arial"/>
                <w:sz w:val="18"/>
                <w:szCs w:val="18"/>
                <w:color w:val="auto"/>
              </w:rPr>
              <w:t>stock options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2" w:lineRule="exact"/>
              <w:rPr>
                <w:sz w:val="20"/>
                <w:szCs w:val="20"/>
                <w:color w:val="auto"/>
              </w:rPr>
            </w:pPr>
            <w:r>
              <w:rPr>
                <w:rFonts w:ascii="Arial" w:cs="Arial" w:eastAsia="Arial" w:hAnsi="Arial"/>
                <w:sz w:val="18"/>
                <w:szCs w:val="18"/>
                <w:color w:val="auto"/>
              </w:rPr>
              <w:t>Issuance of convertible preferred stock</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2" w:lineRule="exact"/>
              <w:rPr>
                <w:sz w:val="20"/>
                <w:szCs w:val="20"/>
                <w:color w:val="auto"/>
              </w:rPr>
            </w:pPr>
            <w:r>
              <w:rPr>
                <w:rFonts w:ascii="Arial" w:cs="Arial" w:eastAsia="Arial" w:hAnsi="Arial"/>
                <w:sz w:val="18"/>
                <w:szCs w:val="18"/>
                <w:color w:val="auto"/>
              </w:rPr>
              <w:t>for cash</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400"/>
              <w:spacing w:after="0"/>
              <w:rPr>
                <w:sz w:val="20"/>
                <w:szCs w:val="20"/>
                <w:color w:val="auto"/>
              </w:rPr>
            </w:pPr>
            <w:r>
              <w:rPr>
                <w:rFonts w:ascii="Arial" w:cs="Arial" w:eastAsia="Arial" w:hAnsi="Arial"/>
                <w:sz w:val="18"/>
                <w:szCs w:val="18"/>
                <w:color w:val="auto"/>
              </w:rPr>
              <w:t>of $1.25 per share</w:t>
            </w:r>
          </w:p>
        </w:tc>
        <w:tc>
          <w:tcPr>
            <w:tcW w:w="940" w:type="dxa"/>
            <w:vAlign w:val="bottom"/>
          </w:tcPr>
          <w:p>
            <w:pPr>
              <w:jc w:val="right"/>
              <w:spacing w:after="0"/>
              <w:rPr>
                <w:sz w:val="20"/>
                <w:szCs w:val="20"/>
                <w:color w:val="auto"/>
              </w:rPr>
            </w:pPr>
            <w:r>
              <w:rPr>
                <w:rFonts w:ascii="Arial" w:cs="Arial" w:eastAsia="Arial" w:hAnsi="Arial"/>
                <w:sz w:val="18"/>
                <w:szCs w:val="18"/>
                <w:color w:val="auto"/>
              </w:rPr>
              <w:t>10,088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2" w:lineRule="exact"/>
              <w:rPr>
                <w:sz w:val="20"/>
                <w:szCs w:val="20"/>
                <w:color w:val="auto"/>
              </w:rPr>
            </w:pPr>
            <w:r>
              <w:rPr>
                <w:rFonts w:ascii="Arial" w:cs="Arial" w:eastAsia="Arial" w:hAnsi="Arial"/>
                <w:sz w:val="18"/>
                <w:szCs w:val="18"/>
                <w:color w:val="auto"/>
              </w:rPr>
              <w:t>Issuance of restricted stock awards for</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2" w:lineRule="exact"/>
              <w:rPr>
                <w:sz w:val="20"/>
                <w:szCs w:val="20"/>
                <w:color w:val="auto"/>
              </w:rPr>
            </w:pPr>
            <w:r>
              <w:rPr>
                <w:rFonts w:ascii="Arial" w:cs="Arial" w:eastAsia="Arial" w:hAnsi="Arial"/>
                <w:sz w:val="18"/>
                <w:szCs w:val="18"/>
                <w:color w:val="auto"/>
              </w:rPr>
              <w:t>advisory</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400"/>
              <w:spacing w:after="0"/>
              <w:rPr>
                <w:sz w:val="20"/>
                <w:szCs w:val="20"/>
                <w:color w:val="auto"/>
              </w:rPr>
            </w:pPr>
            <w:r>
              <w:rPr>
                <w:rFonts w:ascii="Arial" w:cs="Arial" w:eastAsia="Arial" w:hAnsi="Arial"/>
                <w:sz w:val="18"/>
                <w:szCs w:val="18"/>
                <w:color w:val="auto"/>
              </w:rPr>
              <w:t>services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6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3680" w:type="dxa"/>
            <w:vAlign w:val="bottom"/>
          </w:tcPr>
          <w:p>
            <w:pPr>
              <w:spacing w:after="0" w:line="201" w:lineRule="exact"/>
              <w:rPr>
                <w:sz w:val="20"/>
                <w:szCs w:val="20"/>
                <w:color w:val="auto"/>
              </w:rPr>
            </w:pPr>
            <w:r>
              <w:rPr>
                <w:rFonts w:ascii="Arial" w:cs="Arial" w:eastAsia="Arial" w:hAnsi="Arial"/>
                <w:sz w:val="18"/>
                <w:szCs w:val="18"/>
                <w:b w:val="1"/>
                <w:bCs w:val="1"/>
                <w:color w:val="auto"/>
              </w:rPr>
              <w:t>Balance as of December 31, 2018</w:t>
            </w: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2,617,386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17,051</w:t>
            </w: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2" w:lineRule="exact"/>
              <w:rPr>
                <w:sz w:val="20"/>
                <w:szCs w:val="20"/>
                <w:color w:val="auto"/>
              </w:rPr>
            </w:pPr>
            <w:r>
              <w:rPr>
                <w:rFonts w:ascii="Arial" w:cs="Arial" w:eastAsia="Arial" w:hAnsi="Arial"/>
                <w:sz w:val="18"/>
                <w:szCs w:val="18"/>
                <w:color w:val="auto"/>
              </w:rPr>
              <w:t>Issuance of common stock upon exercise</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2" w:lineRule="exact"/>
              <w:rPr>
                <w:sz w:val="20"/>
                <w:szCs w:val="20"/>
                <w:color w:val="auto"/>
              </w:rPr>
            </w:pPr>
            <w:r>
              <w:rPr>
                <w:rFonts w:ascii="Arial" w:cs="Arial" w:eastAsia="Arial" w:hAnsi="Arial"/>
                <w:sz w:val="18"/>
                <w:szCs w:val="18"/>
                <w:color w:val="auto"/>
              </w:rPr>
              <w:t>of</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400"/>
              <w:spacing w:after="0"/>
              <w:rPr>
                <w:sz w:val="20"/>
                <w:szCs w:val="20"/>
                <w:color w:val="auto"/>
              </w:rPr>
            </w:pPr>
            <w:r>
              <w:rPr>
                <w:rFonts w:ascii="Arial" w:cs="Arial" w:eastAsia="Arial" w:hAnsi="Arial"/>
                <w:sz w:val="18"/>
                <w:szCs w:val="18"/>
                <w:color w:val="auto"/>
              </w:rPr>
              <w:t>stock options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6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680" w:type="dxa"/>
            <w:vAlign w:val="bottom"/>
          </w:tcPr>
          <w:p>
            <w:pPr>
              <w:spacing w:after="0"/>
              <w:rPr>
                <w:sz w:val="20"/>
                <w:szCs w:val="20"/>
                <w:color w:val="auto"/>
              </w:rPr>
            </w:pPr>
            <w:r>
              <w:rPr>
                <w:rFonts w:ascii="Arial" w:cs="Arial" w:eastAsia="Arial" w:hAnsi="Arial"/>
                <w:sz w:val="18"/>
                <w:szCs w:val="18"/>
                <w:b w:val="1"/>
                <w:bCs w:val="1"/>
                <w:color w:val="auto"/>
              </w:rPr>
              <w:t>Balance as of December 31, 2019</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2,617,386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17,051</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-2922270</wp:posOffset>
            </wp:positionV>
            <wp:extent cx="7132320" cy="29229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2922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301"/>
              <w:spacing w:after="0"/>
              <w:rPr>
                <w:sz w:val="20"/>
                <w:szCs w:val="20"/>
                <w:color w:val="auto"/>
              </w:rPr>
            </w:pPr>
            <w:r>
              <w:rPr>
                <w:rFonts w:ascii="Arial" w:cs="Arial" w:eastAsia="Arial" w:hAnsi="Arial"/>
                <w:sz w:val="14"/>
                <w:szCs w:val="14"/>
                <w:b w:val="1"/>
                <w:bCs w:val="1"/>
                <w:color w:val="auto"/>
              </w:rPr>
              <w:t>Total</w:t>
            </w:r>
          </w:p>
        </w:tc>
      </w:tr>
      <w:tr>
        <w:trPr>
          <w:trHeight w:val="177"/>
        </w:trPr>
        <w:tc>
          <w:tcPr>
            <w:tcW w:w="19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Stockholders’</w:t>
            </w:r>
          </w:p>
        </w:tc>
      </w:tr>
      <w:tr>
        <w:trPr>
          <w:trHeight w:val="169"/>
        </w:trPr>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960" w:type="dxa"/>
            <w:vAlign w:val="bottom"/>
            <w:gridSpan w:val="2"/>
          </w:tcPr>
          <w:p>
            <w:pPr>
              <w:jc w:val="right"/>
              <w:ind w:right="381"/>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rPr>
              <w:t>Deficit</w:t>
            </w:r>
          </w:p>
        </w:tc>
      </w:tr>
      <w:tr>
        <w:trPr>
          <w:trHeight w:val="236"/>
        </w:trPr>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3,243,291</w:t>
            </w:r>
          </w:p>
        </w:tc>
        <w:tc>
          <w:tcPr>
            <w:tcW w:w="2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(10,098)</w:t>
            </w:r>
          </w:p>
        </w:tc>
        <w:tc>
          <w:tcPr>
            <w:tcW w:w="60" w:type="dxa"/>
            <w:vAlign w:val="bottom"/>
          </w:tcPr>
          <w:p>
            <w:pPr>
              <w:spacing w:after="0"/>
              <w:rPr>
                <w:sz w:val="20"/>
                <w:szCs w:val="20"/>
                <w:color w:val="auto"/>
              </w:rPr>
            </w:pPr>
          </w:p>
        </w:tc>
      </w:tr>
      <w:tr>
        <w:trPr>
          <w:trHeight w:val="612"/>
        </w:trPr>
        <w:tc>
          <w:tcPr>
            <w:tcW w:w="920" w:type="dxa"/>
            <w:vAlign w:val="bottom"/>
          </w:tcPr>
          <w:p>
            <w:pPr>
              <w:jc w:val="right"/>
              <w:spacing w:after="0"/>
              <w:rPr>
                <w:sz w:val="20"/>
                <w:szCs w:val="20"/>
                <w:color w:val="auto"/>
              </w:rPr>
            </w:pPr>
            <w:r>
              <w:rPr>
                <w:rFonts w:ascii="Arial" w:cs="Arial" w:eastAsia="Arial" w:hAnsi="Arial"/>
                <w:sz w:val="18"/>
                <w:szCs w:val="18"/>
                <w:color w:val="auto"/>
              </w:rPr>
              <w:t>303,583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24"/>
                <w:szCs w:val="24"/>
                <w:color w:val="auto"/>
              </w:rPr>
            </w:pPr>
          </w:p>
        </w:tc>
      </w:tr>
      <w:tr>
        <w:trPr>
          <w:trHeight w:val="621"/>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594"/>
        </w:trPr>
        <w:tc>
          <w:tcPr>
            <w:tcW w:w="920" w:type="dxa"/>
            <w:vAlign w:val="bottom"/>
          </w:tcPr>
          <w:p>
            <w:pPr>
              <w:jc w:val="right"/>
              <w:spacing w:after="0"/>
              <w:rPr>
                <w:sz w:val="20"/>
                <w:szCs w:val="20"/>
                <w:color w:val="auto"/>
              </w:rPr>
            </w:pPr>
            <w:r>
              <w:rPr>
                <w:rFonts w:ascii="Arial" w:cs="Arial" w:eastAsia="Arial" w:hAnsi="Arial"/>
                <w:sz w:val="18"/>
                <w:szCs w:val="18"/>
                <w:color w:val="auto"/>
              </w:rPr>
              <w:t>12,610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216"/>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18"/>
                <w:szCs w:val="18"/>
                <w:color w:val="auto"/>
              </w:rPr>
            </w:pPr>
          </w:p>
        </w:tc>
      </w:tr>
      <w:tr>
        <w:trPr>
          <w:trHeight w:val="225"/>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(5,097)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(5,097)</w:t>
            </w:r>
          </w:p>
        </w:tc>
      </w:tr>
      <w:tr>
        <w:trPr>
          <w:trHeight w:val="236"/>
        </w:trPr>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3,559,484</w:t>
            </w:r>
          </w:p>
        </w:tc>
        <w:tc>
          <w:tcPr>
            <w:tcW w:w="2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(15,926)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(14,887)</w:t>
            </w:r>
          </w:p>
        </w:tc>
        <w:tc>
          <w:tcPr>
            <w:tcW w:w="60" w:type="dxa"/>
            <w:vAlign w:val="bottom"/>
          </w:tcPr>
          <w:p>
            <w:pPr>
              <w:spacing w:after="0"/>
              <w:rPr>
                <w:sz w:val="20"/>
                <w:szCs w:val="20"/>
                <w:color w:val="auto"/>
              </w:rPr>
            </w:pPr>
          </w:p>
        </w:tc>
      </w:tr>
      <w:tr>
        <w:trPr>
          <w:trHeight w:val="585"/>
        </w:trPr>
        <w:tc>
          <w:tcPr>
            <w:tcW w:w="920" w:type="dxa"/>
            <w:vAlign w:val="bottom"/>
          </w:tcPr>
          <w:p>
            <w:pPr>
              <w:jc w:val="right"/>
              <w:spacing w:after="0"/>
              <w:rPr>
                <w:sz w:val="20"/>
                <w:szCs w:val="20"/>
                <w:color w:val="auto"/>
              </w:rPr>
            </w:pPr>
            <w:r>
              <w:rPr>
                <w:rFonts w:ascii="Arial" w:cs="Arial" w:eastAsia="Arial" w:hAnsi="Arial"/>
                <w:sz w:val="18"/>
                <w:szCs w:val="18"/>
                <w:color w:val="auto"/>
              </w:rPr>
              <w:t>81,965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24"/>
                <w:szCs w:val="24"/>
                <w:color w:val="auto"/>
              </w:rPr>
            </w:pPr>
          </w:p>
        </w:tc>
      </w:tr>
      <w:tr>
        <w:trPr>
          <w:trHeight w:val="216"/>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253</w:t>
            </w:r>
          </w:p>
        </w:tc>
        <w:tc>
          <w:tcPr>
            <w:tcW w:w="60" w:type="dxa"/>
            <w:vAlign w:val="bottom"/>
          </w:tcPr>
          <w:p>
            <w:pPr>
              <w:spacing w:after="0"/>
              <w:rPr>
                <w:sz w:val="18"/>
                <w:szCs w:val="18"/>
                <w:color w:val="auto"/>
              </w:rPr>
            </w:pPr>
          </w:p>
        </w:tc>
      </w:tr>
      <w:tr>
        <w:trPr>
          <w:trHeight w:val="225"/>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(5,161)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(5,161)</w:t>
            </w:r>
          </w:p>
        </w:tc>
      </w:tr>
      <w:tr>
        <w:trPr>
          <w:trHeight w:val="209"/>
        </w:trPr>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3,641,449</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(21,087</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(19,723</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5" w:lineRule="exact"/>
        <w:rPr>
          <w:sz w:val="20"/>
          <w:szCs w:val="20"/>
          <w:color w:val="auto"/>
        </w:rPr>
      </w:pPr>
    </w:p>
    <w:p>
      <w:pPr>
        <w:sectPr>
          <w:pgSz w:w="11900" w:h="16838" w:orient="portrait"/>
          <w:cols w:equalWidth="0" w:num="2">
            <w:col w:w="5620" w:space="320"/>
            <w:col w:w="5280"/>
          </w:cols>
          <w:pgMar w:left="320" w:top="574" w:right="359" w:bottom="1440" w:gutter="0" w:footer="0" w:header="0"/>
          <w:type w:val="continuous"/>
        </w:sect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4" w:right="359" w:bottom="1440" w:gutter="0" w:footer="0" w:header="0"/>
          <w:type w:val="continuous"/>
        </w:sectPr>
      </w:pPr>
    </w:p>
    <w:bookmarkStart w:id="205" w:name="page206"/>
    <w:bookmarkEnd w:id="205"/>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840" w:type="dxa"/>
            <w:vAlign w:val="bottom"/>
            <w:tcBorders>
              <w:bottom w:val="single" w:sz="8" w:color="auto"/>
            </w:tcBorders>
            <w:gridSpan w:val="5"/>
          </w:tcPr>
          <w:p>
            <w:pPr>
              <w:jc w:val="right"/>
              <w:ind w:right="187"/>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0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(5,097)</w:t>
            </w:r>
          </w:p>
        </w:tc>
        <w:tc>
          <w:tcPr>
            <w:tcW w:w="980" w:type="dxa"/>
            <w:vAlign w:val="bottom"/>
            <w:gridSpan w:val="2"/>
          </w:tcPr>
          <w:p>
            <w:pPr>
              <w:jc w:val="right"/>
              <w:ind w:right="807"/>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(5,161)</w:t>
            </w:r>
          </w:p>
        </w:tc>
      </w:tr>
      <w:tr>
        <w:trPr>
          <w:trHeight w:val="193"/>
        </w:trPr>
        <w:tc>
          <w:tcPr>
            <w:tcW w:w="7700" w:type="dxa"/>
            <w:vAlign w:val="bottom"/>
            <w:shd w:val="clear" w:color="auto" w:fill="CFF0FC"/>
          </w:tcPr>
          <w:p>
            <w:pPr>
              <w:ind w:left="260"/>
              <w:spacing w:after="0" w:line="193" w:lineRule="exact"/>
              <w:rPr>
                <w:sz w:val="20"/>
                <w:szCs w:val="20"/>
                <w:color w:val="auto"/>
              </w:rPr>
            </w:pPr>
            <w:r>
              <w:rPr>
                <w:rFonts w:ascii="Arial" w:cs="Arial" w:eastAsia="Arial" w:hAnsi="Arial"/>
                <w:sz w:val="18"/>
                <w:szCs w:val="18"/>
                <w:color w:val="auto"/>
              </w:rPr>
              <w:t>Adjustments to reconcile net loss to net cash used in operating</w:t>
            </w: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25"/>
        </w:trPr>
        <w:tc>
          <w:tcPr>
            <w:tcW w:w="77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6"/>
        </w:trPr>
        <w:tc>
          <w:tcPr>
            <w:tcW w:w="770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Non-cash interest expense on convertible notes</w:t>
            </w:r>
          </w:p>
        </w:tc>
        <w:tc>
          <w:tcPr>
            <w:tcW w:w="10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500"/>
              <w:spacing w:after="0"/>
              <w:rPr>
                <w:sz w:val="20"/>
                <w:szCs w:val="20"/>
                <w:color w:val="auto"/>
              </w:rPr>
            </w:pPr>
            <w:r>
              <w:rPr>
                <w:rFonts w:ascii="Arial" w:cs="Arial" w:eastAsia="Arial" w:hAnsi="Arial"/>
                <w:sz w:val="18"/>
                <w:szCs w:val="18"/>
                <w:color w:val="auto"/>
              </w:rPr>
              <w:t>Accretion of discounts on convertible notes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fair value of derivative liability</w:t>
            </w:r>
          </w:p>
        </w:tc>
        <w:tc>
          <w:tcPr>
            <w:tcW w:w="10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500"/>
              <w:spacing w:after="0"/>
              <w:rPr>
                <w:sz w:val="20"/>
                <w:szCs w:val="20"/>
                <w:color w:val="auto"/>
              </w:rPr>
            </w:pPr>
            <w:r>
              <w:rPr>
                <w:rFonts w:ascii="Arial" w:cs="Arial" w:eastAsia="Arial" w:hAnsi="Arial"/>
                <w:sz w:val="18"/>
                <w:szCs w:val="18"/>
                <w:color w:val="auto"/>
              </w:rPr>
              <w:t>Change in fair value of grant liability</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620"/>
              <w:spacing w:after="0"/>
              <w:rPr>
                <w:sz w:val="20"/>
                <w:szCs w:val="20"/>
                <w:color w:val="auto"/>
              </w:rPr>
            </w:pPr>
            <w:r>
              <w:rPr>
                <w:rFonts w:ascii="Arial" w:cs="Arial" w:eastAsia="Arial" w:hAnsi="Arial"/>
                <w:sz w:val="18"/>
                <w:szCs w:val="18"/>
                <w:color w:val="auto"/>
              </w:rPr>
              <w:t>Prepaid expenses</w:t>
            </w: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77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Accounts payable and accrued expenses</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Borders>
              <w:bottom w:val="single" w:sz="8" w:color="CFF0FC"/>
            </w:tcBorders>
          </w:tcPr>
          <w:p>
            <w:pPr>
              <w:ind w:left="880"/>
              <w:spacing w:after="0"/>
              <w:rPr>
                <w:sz w:val="20"/>
                <w:szCs w:val="20"/>
                <w:color w:val="auto"/>
              </w:rPr>
            </w:pPr>
            <w:r>
              <w:rPr>
                <w:rFonts w:ascii="Arial" w:cs="Arial" w:eastAsia="Arial" w:hAnsi="Arial"/>
                <w:sz w:val="18"/>
                <w:szCs w:val="18"/>
                <w:color w:val="auto"/>
              </w:rPr>
              <w:t>Net cash used in operating activities</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(4,483)</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(3,713)</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Purchases of available-for-sale securities</w:t>
            </w: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(5,250)</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(995)</w:t>
            </w: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Maturities of available-for-sale securities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7,250</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2,495</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Principal payments received on related party note receivable</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shd w:val="clear" w:color="auto" w:fill="CFF0FC"/>
          </w:tcPr>
          <w:p>
            <w:pPr>
              <w:ind w:left="880"/>
              <w:spacing w:after="0"/>
              <w:rPr>
                <w:sz w:val="20"/>
                <w:szCs w:val="20"/>
                <w:color w:val="auto"/>
              </w:rPr>
            </w:pPr>
            <w:r>
              <w:rPr>
                <w:rFonts w:ascii="Arial" w:cs="Arial" w:eastAsia="Arial" w:hAnsi="Arial"/>
                <w:sz w:val="18"/>
                <w:szCs w:val="18"/>
                <w:color w:val="auto"/>
              </w:rPr>
              <w:t>Net cash provided by investing activities</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2,007</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1,506</w:t>
            </w:r>
          </w:p>
        </w:tc>
        <w:tc>
          <w:tcPr>
            <w:tcW w:w="120" w:type="dxa"/>
            <w:vAlign w:val="bottom"/>
            <w:shd w:val="clear" w:color="auto" w:fill="CFF0FC"/>
          </w:tcPr>
          <w:p>
            <w:pPr>
              <w:spacing w:after="0"/>
              <w:rPr>
                <w:sz w:val="18"/>
                <w:szCs w:val="18"/>
                <w:color w:val="auto"/>
              </w:rPr>
            </w:pPr>
          </w:p>
        </w:tc>
      </w:tr>
      <w:tr>
        <w:trPr>
          <w:trHeight w:val="209"/>
        </w:trPr>
        <w:tc>
          <w:tcPr>
            <w:tcW w:w="77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common stock options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FF0FC"/>
          </w:tcPr>
          <w:p>
            <w:pPr>
              <w:spacing w:after="0"/>
              <w:rPr>
                <w:sz w:val="18"/>
                <w:szCs w:val="18"/>
                <w:color w:val="auto"/>
              </w:rPr>
            </w:pPr>
          </w:p>
        </w:tc>
      </w:tr>
      <w:tr>
        <w:trPr>
          <w:trHeight w:val="193"/>
        </w:trPr>
        <w:tc>
          <w:tcPr>
            <w:tcW w:w="7700" w:type="dxa"/>
            <w:vAlign w:val="bottom"/>
          </w:tcPr>
          <w:p>
            <w:pPr>
              <w:ind w:left="260"/>
              <w:spacing w:after="0" w:line="193" w:lineRule="exact"/>
              <w:rPr>
                <w:sz w:val="20"/>
                <w:szCs w:val="20"/>
                <w:color w:val="auto"/>
              </w:rPr>
            </w:pPr>
            <w:r>
              <w:rPr>
                <w:rFonts w:ascii="Arial" w:cs="Arial" w:eastAsia="Arial" w:hAnsi="Arial"/>
                <w:sz w:val="18"/>
                <w:szCs w:val="18"/>
                <w:color w:val="auto"/>
              </w:rPr>
              <w:t>Proceeds from sales of convertible preferred stock, net of</w:t>
            </w: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5"/>
        </w:trPr>
        <w:tc>
          <w:tcPr>
            <w:tcW w:w="7700" w:type="dxa"/>
            <w:vAlign w:val="bottom"/>
          </w:tcPr>
          <w:p>
            <w:pPr>
              <w:ind w:left="400"/>
              <w:spacing w:after="0"/>
              <w:rPr>
                <w:sz w:val="20"/>
                <w:szCs w:val="20"/>
                <w:color w:val="auto"/>
              </w:rPr>
            </w:pPr>
            <w:r>
              <w:rPr>
                <w:rFonts w:ascii="Arial" w:cs="Arial" w:eastAsia="Arial" w:hAnsi="Arial"/>
                <w:sz w:val="18"/>
                <w:szCs w:val="18"/>
                <w:color w:val="auto"/>
              </w:rPr>
              <w:t>issuance costs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193"/>
        </w:trPr>
        <w:tc>
          <w:tcPr>
            <w:tcW w:w="7700" w:type="dxa"/>
            <w:vAlign w:val="bottom"/>
            <w:shd w:val="clear" w:color="auto" w:fill="CFF0FC"/>
          </w:tcPr>
          <w:p>
            <w:pPr>
              <w:ind w:left="260"/>
              <w:spacing w:after="0" w:line="193" w:lineRule="exact"/>
              <w:rPr>
                <w:sz w:val="20"/>
                <w:szCs w:val="20"/>
                <w:color w:val="auto"/>
              </w:rPr>
            </w:pPr>
            <w:r>
              <w:rPr>
                <w:rFonts w:ascii="Arial" w:cs="Arial" w:eastAsia="Arial" w:hAnsi="Arial"/>
                <w:sz w:val="18"/>
                <w:szCs w:val="18"/>
                <w:color w:val="auto"/>
              </w:rPr>
              <w:t>Proceeds from issuance of convertible notes, including</w:t>
            </w: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25"/>
        </w:trPr>
        <w:tc>
          <w:tcPr>
            <w:tcW w:w="77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derivative</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w:t>
            </w:r>
          </w:p>
        </w:tc>
        <w:tc>
          <w:tcPr>
            <w:tcW w:w="120" w:type="dxa"/>
            <w:vAlign w:val="bottom"/>
            <w:shd w:val="clear" w:color="auto" w:fill="CFF0FC"/>
          </w:tcPr>
          <w:p>
            <w:pPr>
              <w:spacing w:after="0"/>
              <w:rPr>
                <w:sz w:val="19"/>
                <w:szCs w:val="19"/>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Issuance costs of convertible notes</w:t>
            </w: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0"/>
        </w:trPr>
        <w:tc>
          <w:tcPr>
            <w:tcW w:w="7700" w:type="dxa"/>
            <w:vAlign w:val="bottom"/>
            <w:tcBorders>
              <w:top w:val="single" w:sz="8" w:color="CFF0FC"/>
            </w:tcBorders>
            <w:shd w:val="clear" w:color="auto" w:fill="CFF0FC"/>
          </w:tcPr>
          <w:p>
            <w:pPr>
              <w:ind w:left="880"/>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1,464</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Borders>
              <w:top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(1,012)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(1,261)</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year</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4,329</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3,317</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206" w:name="page207"/>
    <w:bookmarkEnd w:id="206"/>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0"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96" w:lineRule="exact"/>
        <w:rPr>
          <w:sz w:val="20"/>
          <w:szCs w:val="20"/>
          <w:color w:val="auto"/>
        </w:rPr>
      </w:pPr>
    </w:p>
    <w:p>
      <w:pPr>
        <w:ind w:left="580" w:hanging="572"/>
        <w:spacing w:after="0"/>
        <w:tabs>
          <w:tab w:leader="none" w:pos="58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Financial Condition</w:t>
      </w:r>
    </w:p>
    <w:p>
      <w:pPr>
        <w:spacing w:after="0" w:line="106"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Athira Pharma, Inc. (the “Company”) was incorporated as M3 Biotechnology, Inc. in the state of Washington on March 31, 2011 and reincorporated in the state of Delaware on October 27, 2015. In April 2019, the Company changed its name to Athira Pharma, Inc. The Company currently has office and laboratory space in Seattle, Washington. The Company is a late clinical-stage biopharmaceutical company focused on developing small molecules to restore neuronal health and stop neurodegradation.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04" w:lineRule="exact"/>
        <w:rPr>
          <w:sz w:val="20"/>
          <w:szCs w:val="20"/>
          <w:color w:val="auto"/>
        </w:rPr>
      </w:pPr>
    </w:p>
    <w:p>
      <w:pPr>
        <w:ind w:right="60" w:firstLine="576"/>
        <w:spacing w:after="0"/>
        <w:rPr>
          <w:sz w:val="20"/>
          <w:szCs w:val="20"/>
          <w:color w:val="auto"/>
        </w:rPr>
      </w:pPr>
      <w:r>
        <w:rPr>
          <w:rFonts w:ascii="Arial" w:cs="Arial" w:eastAsia="Arial" w:hAnsi="Arial"/>
          <w:sz w:val="18"/>
          <w:szCs w:val="18"/>
          <w:color w:val="auto"/>
        </w:rPr>
        <w:t>The Company is subject to a number of inherent risks which include, but are not limited to, the need to obtain adequate additional funding, possible failure of clinical trials or other events demonstrating a lack of clinical safety or efficacy of its product candidates, dependence on key personnel, reliance on third-party service providers for manufacturing or drug product and conduct of clinical trials, the ability to successfully secure its proprietary technology, and risks related to the regulatory approval and commercialization of a product candidate. Additionally, the development and commercialization of new drug products is highly competitive. There are a number of large pharmaceutical and biotechnology companies developing products for the treatment of neurodegenerative diseases that may have significantly greater financial resources and expertise in drug product development. Products or technologies developed by competitors may diminish or render obsolete the Company’s existing products under development.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04"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The Company has incurred net operating losses since its inception and had an accumulated deficit of $21.1 million as of December 31, 2019. The Company had cash and cash equivalents of $2.1 million as of December 31, 2019 and has not generated positive cash flows from operations. To date, the Company has been able to fund its operations primarily through the issuance of convertible notes and convertible preferred stock. In the second quarter of 2020, the Company received an aggregate of $ 81.8 million in net proceeds from the issuance of Series B convertible preferred stock. The Company’s currently available cash and cash equivalents as of December 31, 2019, together with the proceeds received from the Series B convertible preferred stock financing in the second quarter of 2020, will be sufficient to meet its anticipated cash requirements and management considers that there are no conditions or events, in the aggregate, that raise substantial doubt about the entity’s ability to continue as a going concern for a period of at least one year from the date the financial statements are issued.</w:t>
      </w:r>
    </w:p>
    <w:p>
      <w:pPr>
        <w:spacing w:after="0" w:line="180"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Management expects operating losses to continue for the foreseeable future. There can be no assurance that the Company will ever earn revenues or achieve profitability, or if achieved, that they will be sustained on a continuing basis. In addition, the manufacturing, clinical and preclinical development activities as well as the commercialization of the Company’s therapies, if approved, will require significant additional financing. The Company may be unable to secure such financing when needed, or if available, such financings may be under terms that are unfavorable to the Company or the current stockholders. If the Company is unable to raise additional funds when needed, it may be required to delay, reduce the scope of, or eliminate development programs, which may adversely affect its business and operations.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207" w:name="page208"/>
    <w:bookmarkEnd w:id="207"/>
    <w:p>
      <w:pPr>
        <w:ind w:right="7900" w:firstLine="8"/>
        <w:spacing w:after="0" w:line="361" w:lineRule="auto"/>
        <w:tabs>
          <w:tab w:leader="none" w:pos="567"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b w:val="1"/>
          <w:bCs w:val="1"/>
          <w:i w:val="1"/>
          <w:iCs w:val="1"/>
          <w:color w:val="auto"/>
        </w:rPr>
        <w:t>Basis of Presentation</w:t>
      </w: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financial statements have been prepared in conformity with U.S. generally accepted accounting principles (“U.S. GAAP”).</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accrued liabilities, valuation allowance for deferred tax assets, and stock-based compensation. Management evaluates related assumptions on an ongoing basis using historical experience and other factors, and adjusts those estimates and assumptions when facts and circumstances dictate. Actual results could differ from those estimates.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considers highly liquid investments with original maturities of three months or less to be cash equivalents.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04"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Short-term investments consist entirely of fixed income certificates of deposit with original maturities of greater than 90 days but not more than one year. These securities are classified as available-for-sale and reported at estimated fair value with unrealized gains and losses, if any, included in accumulated other comprehensive loss in stockholders’ deficit. The cost of investments for purposes of computing realized and unrealized gains and losses is based on the specific identification method.</w:t>
      </w:r>
    </w:p>
    <w:p>
      <w:pPr>
        <w:spacing w:after="0" w:line="170" w:lineRule="exact"/>
        <w:rPr>
          <w:sz w:val="20"/>
          <w:szCs w:val="20"/>
          <w:color w:val="auto"/>
        </w:rPr>
      </w:pPr>
    </w:p>
    <w:p>
      <w:pPr>
        <w:ind w:right="40" w:firstLine="576"/>
        <w:spacing w:after="0" w:line="248" w:lineRule="auto"/>
        <w:rPr>
          <w:sz w:val="20"/>
          <w:szCs w:val="20"/>
          <w:color w:val="auto"/>
        </w:rPr>
      </w:pPr>
      <w:r>
        <w:rPr>
          <w:rFonts w:ascii="Arial" w:cs="Arial" w:eastAsia="Arial" w:hAnsi="Arial"/>
          <w:sz w:val="18"/>
          <w:szCs w:val="18"/>
          <w:color w:val="auto"/>
        </w:rPr>
        <w:t>If the estimated fair value of a security is below its carrying value, the Company evaluates whether it is more likely than not that it will sell the security before its anticipated recover in market value and whether evidence indicating that the cost of the investment is recoverable within a reasonable period of time outweighs the evidence to the contrary. Realized gains, realized losses and declines in the value of investments judged to be other than temporary, are included in other income (expense), net.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4" w:lineRule="exact"/>
        <w:rPr>
          <w:sz w:val="20"/>
          <w:szCs w:val="20"/>
          <w:color w:val="auto"/>
        </w:rPr>
      </w:pPr>
    </w:p>
    <w:p>
      <w:pPr>
        <w:ind w:right="440" w:firstLine="576"/>
        <w:spacing w:after="0" w:line="276" w:lineRule="auto"/>
        <w:rPr>
          <w:sz w:val="20"/>
          <w:szCs w:val="20"/>
          <w:color w:val="auto"/>
        </w:rPr>
      </w:pPr>
      <w:r>
        <w:rPr>
          <w:rFonts w:ascii="Arial" w:cs="Arial" w:eastAsia="Arial" w:hAnsi="Arial"/>
          <w:sz w:val="18"/>
          <w:szCs w:val="18"/>
          <w:color w:val="auto"/>
        </w:rPr>
        <w:t>The Company is exposed to credit risk from its deposits of cash in excess of amounts insured by the Federal Deposit Insurance Corporation. The Company has not experienced any losses on its deposits of cash since inception.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4" w:lineRule="exact"/>
        <w:rPr>
          <w:sz w:val="20"/>
          <w:szCs w:val="20"/>
          <w:color w:val="auto"/>
        </w:rPr>
      </w:pPr>
    </w:p>
    <w:p>
      <w:pPr>
        <w:jc w:val="both"/>
        <w:ind w:right="280" w:firstLine="576"/>
        <w:spacing w:after="0" w:line="255" w:lineRule="auto"/>
        <w:rPr>
          <w:sz w:val="20"/>
          <w:szCs w:val="20"/>
          <w:color w:val="auto"/>
        </w:rPr>
      </w:pPr>
      <w:r>
        <w:rPr>
          <w:rFonts w:ascii="Arial" w:cs="Arial" w:eastAsia="Arial" w:hAnsi="Arial"/>
          <w:sz w:val="18"/>
          <w:szCs w:val="18"/>
          <w:color w:val="auto"/>
        </w:rPr>
        <w:t>The carrying amounts of certain financial instruments, including cash and cash equivalents, short-term investments, and accounts payable and accrued expenses approximate their fair values due to the short-term nature of those amounts. The fair values of the grant liability to Life Services Discovery Fund (“LSDF”) and the derivative liability were estimated using Level 3 unobservable inputs.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Liability</w:t>
      </w:r>
    </w:p>
    <w:p>
      <w:pPr>
        <w:spacing w:after="0" w:line="104"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 xml:space="preserve">The grant liability associated with the grants from the Washington LSDF is accounted for under Accounting Standards Codification (“ASC”) 825-10, </w:t>
      </w:r>
      <w:r>
        <w:rPr>
          <w:rFonts w:ascii="Arial" w:cs="Arial" w:eastAsia="Arial" w:hAnsi="Arial"/>
          <w:sz w:val="18"/>
          <w:szCs w:val="18"/>
          <w:i w:val="1"/>
          <w:iCs w:val="1"/>
          <w:color w:val="auto"/>
        </w:rPr>
        <w:t>Financial Instruments − Overall</w:t>
      </w:r>
      <w:r>
        <w:rPr>
          <w:rFonts w:ascii="Arial" w:cs="Arial" w:eastAsia="Arial" w:hAnsi="Arial"/>
          <w:sz w:val="18"/>
          <w:szCs w:val="18"/>
          <w:color w:val="auto"/>
        </w:rPr>
        <w:t>. The estimated fair value of the grant liability is reassessed at each balance sheet date, with changes in fair value reflected in other income (expense), net. The Company estimates the fair value of the grant liability by using a</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682" w:right="419" w:bottom="1440" w:gutter="0" w:footer="0" w:header="0"/>
        </w:sectPr>
      </w:pPr>
    </w:p>
    <w:bookmarkStart w:id="208" w:name="page209"/>
    <w:bookmarkEnd w:id="208"/>
    <w:p>
      <w:pPr>
        <w:ind w:right="200"/>
        <w:spacing w:after="0" w:line="248" w:lineRule="auto"/>
        <w:rPr>
          <w:sz w:val="20"/>
          <w:szCs w:val="20"/>
          <w:color w:val="auto"/>
        </w:rPr>
      </w:pPr>
      <w:r>
        <w:rPr>
          <w:rFonts w:ascii="Arial" w:cs="Arial" w:eastAsia="Arial" w:hAnsi="Arial"/>
          <w:sz w:val="18"/>
          <w:szCs w:val="18"/>
          <w:color w:val="auto"/>
        </w:rPr>
        <w:t>discounted cash flow simulation methodology that assigns probabilities to the timing and likelihood of each triggering event, a discount rate based on market data for securities with similar durations and credit ratings to the Company, and the expected payment amount. The assumptions used to calculate the fair value of the grant liability are subject to significant judgment, and payment may be in an amount different from the liability that the Company estimates. However, total payments under the agreements will not exceed $1.5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Liability, Convertible Notes Discount and Amortization</w:t>
      </w:r>
    </w:p>
    <w:p>
      <w:pPr>
        <w:spacing w:after="0" w:line="104" w:lineRule="exact"/>
        <w:rPr>
          <w:sz w:val="20"/>
          <w:szCs w:val="20"/>
          <w:color w:val="auto"/>
        </w:rPr>
      </w:pPr>
    </w:p>
    <w:p>
      <w:pPr>
        <w:ind w:right="160" w:firstLine="576"/>
        <w:spacing w:after="0"/>
        <w:rPr>
          <w:sz w:val="20"/>
          <w:szCs w:val="20"/>
          <w:color w:val="auto"/>
        </w:rPr>
      </w:pPr>
      <w:r>
        <w:rPr>
          <w:rFonts w:ascii="Arial" w:cs="Arial" w:eastAsia="Arial" w:hAnsi="Arial"/>
          <w:sz w:val="18"/>
          <w:szCs w:val="18"/>
          <w:color w:val="auto"/>
        </w:rPr>
        <w:t>The Company’s convertible notes (see Note 8) have conversion and redemption features that meet the definition of an embedded derivative and are therefore subject to derivative accounting. The initial fair value of the derivative is recorded as a discount to the convertible notes, with a corresponding derivative liability. The discount to the convertible notes is amortized using the effective interest method. The amortization of the discount is included in other income (expense), net in the statements of operations and comprehensive loss. The derivative liability related to these features is recorded at estimated fair value on a recurring basis. Any changes in fair value are reflected in other income (expense), net in the statements of operations and comprehensive loss at each period end while such instruments are outstanding. The derivative liability was settled in May 2020 upon conversion of the underlying convertible notes into Series B-1 convertible preferred stock. See Note 17.</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0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 xml:space="preserve">In January 2019, the Alzheimer’s Association awarded the Company a $1.0 million </w:t>
      </w:r>
      <w:r>
        <w:rPr>
          <w:rFonts w:ascii="Arial" w:cs="Arial" w:eastAsia="Arial" w:hAnsi="Arial"/>
          <w:sz w:val="18"/>
          <w:szCs w:val="18"/>
          <w:i w:val="1"/>
          <w:iCs w:val="1"/>
          <w:color w:val="auto"/>
        </w:rPr>
        <w:t>Part the Cloud</w:t>
      </w:r>
      <w:r>
        <w:rPr>
          <w:rFonts w:ascii="Arial" w:cs="Arial" w:eastAsia="Arial" w:hAnsi="Arial"/>
          <w:sz w:val="18"/>
          <w:szCs w:val="18"/>
          <w:color w:val="auto"/>
        </w:rPr>
        <w:t xml:space="preserve"> research grant. Grant proceeds must be used to advance the Company’s ATH-1017 product candidate in the Alzheimer’s disease setting. Reporting of expenses incurred supported by the grant as well as research updates are sent to the Alzheimer’s Association semi-annually. Under the terms of the agreement, the Company received $776,000 in 2019 and may potentially receive the remaining $224,000 in 2020 upon the completion of certain development milestones. The Company recognizes income related to the grant as qualifying expenses under the grant agreement are incurred. As of December 31, 2019, the Company had recognized $ 754,000 in grant income, which is included in other income (expense), net in the statement of operations and comprehensive loss, and had cash received in excess of qualifying expenses of approximately $22,000, which is included in accrued expenses on the balance sheets.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Research and development expenses consist primarily of direct and indirect costs incurred for research activities, including development of the ATH platform, the Company’s drug discovery efforts and the development of its product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spacing w:after="0" w:line="174" w:lineRule="exact"/>
        <w:rPr>
          <w:sz w:val="20"/>
          <w:szCs w:val="20"/>
          <w:color w:val="auto"/>
        </w:rPr>
      </w:pPr>
    </w:p>
    <w:p>
      <w:pPr>
        <w:ind w:right="40" w:firstLine="576"/>
        <w:spacing w:after="0" w:line="241" w:lineRule="auto"/>
        <w:rPr>
          <w:sz w:val="20"/>
          <w:szCs w:val="20"/>
          <w:color w:val="auto"/>
        </w:rPr>
      </w:pPr>
      <w:r>
        <w:rPr>
          <w:rFonts w:ascii="Arial" w:cs="Arial" w:eastAsia="Arial" w:hAnsi="Arial"/>
          <w:sz w:val="18"/>
          <w:szCs w:val="18"/>
          <w:color w:val="auto"/>
        </w:rPr>
        <w:t>Research and development costs are expensed as incurred. In-licensing fees and other costs to acquire technologies used in research and development that have not yet received regulatory approval and that are not expected to have an alternative future use are expense when incurred. Non-refundable 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will adjust the amounts recorded accordingly. The Company has not experienced any material differences between accrued or prepaid costs and actual costs since inception.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140" w:firstLine="576"/>
        <w:spacing w:after="0" w:line="245" w:lineRule="auto"/>
        <w:rPr>
          <w:sz w:val="20"/>
          <w:szCs w:val="20"/>
          <w:color w:val="auto"/>
        </w:rPr>
      </w:pPr>
      <w:r>
        <w:rPr>
          <w:rFonts w:ascii="Arial" w:cs="Arial" w:eastAsia="Arial" w:hAnsi="Arial"/>
          <w:sz w:val="18"/>
          <w:szCs w:val="18"/>
          <w:color w:val="auto"/>
        </w:rPr>
        <w:t>General and administrative expenses consist primarily of personnel-related costs, consisting of employee salaries, related benefits, and stock-based compensation expense for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General and administrative costs are expensed as incurred.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Compensation expense is recognized over the requisite service period on a straight-line basis. Forfeitures are recognized as they occur.</w:t>
      </w:r>
    </w:p>
    <w:p>
      <w:pPr>
        <w:spacing w:after="0" w:line="170"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The Company records compensation expense for stock option grants subject to performance-based milestone vesting using the accelerated attribution method over the remaining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spacing w:after="0" w:line="170"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Stock-based payments issued to non-employees are recorded at their fair values, subject to periodic adjustments as the underlying equity instruments vest. Compensation expense is recognized over the vesting term on a straight-line basis, which reflects the service period. Options granted to non-employee service providers are valued at estimated fair value using the Black-Scholes option-pricing model and are remeasured over the vesting term as earned. Awards of restricted stock to non-employees are adjusted through stock-based compensation expense at each reporting period end until the shares vest to reflect the current fair value of such awards.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72"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In assessing the Company’s ability to realize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are deductible. Management considers the scheduled reversal of deferred tax liabilities, projected future income, tax planning strategies in making this assessment.</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w:t>
      </w:r>
    </w:p>
    <w:p>
      <w:pPr>
        <w:spacing w:after="0" w:line="18"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sustained. Recognized income tax positions are measured at the largest amount that is greater than 50% likely of being realized. Changes in recognition or measurement are reflected in the period in which the change in judgment occurs. The Company accrues interest and penalties related to unrecognized tax benefits in its provision for incomes taxes.</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684" w:right="43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04" w:lineRule="exact"/>
        <w:rPr>
          <w:sz w:val="20"/>
          <w:szCs w:val="20"/>
          <w:color w:val="auto"/>
        </w:rPr>
      </w:pPr>
    </w:p>
    <w:p>
      <w:pPr>
        <w:ind w:right="720" w:firstLine="576"/>
        <w:spacing w:after="0" w:line="276" w:lineRule="auto"/>
        <w:rPr>
          <w:sz w:val="20"/>
          <w:szCs w:val="20"/>
          <w:color w:val="auto"/>
        </w:rPr>
      </w:pPr>
      <w:r>
        <w:rPr>
          <w:rFonts w:ascii="Arial" w:cs="Arial" w:eastAsia="Arial" w:hAnsi="Arial"/>
          <w:sz w:val="18"/>
          <w:szCs w:val="18"/>
          <w:color w:val="auto"/>
        </w:rPr>
        <w:t>Comprehensive loss consists of net loss and other gains and losses affecting stockholders’ deficit that, under U.S. GAAP, are excluded from net loss. The Company has no items of other comprehensive loss. As such, net loss equals comprehensive loss.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04" w:lineRule="exact"/>
        <w:rPr>
          <w:sz w:val="20"/>
          <w:szCs w:val="20"/>
          <w:color w:val="auto"/>
        </w:rPr>
      </w:pPr>
    </w:p>
    <w:p>
      <w:pPr>
        <w:ind w:right="400" w:firstLine="576"/>
        <w:spacing w:after="0" w:line="248"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Net Loss Per Share Attributable to Common Stockholders</w:t>
      </w:r>
    </w:p>
    <w:p>
      <w:pPr>
        <w:spacing w:after="0" w:line="104" w:lineRule="exact"/>
        <w:rPr>
          <w:sz w:val="20"/>
          <w:szCs w:val="20"/>
          <w:color w:val="auto"/>
        </w:rPr>
      </w:pPr>
    </w:p>
    <w:p>
      <w:pPr>
        <w:ind w:right="100" w:firstLine="576"/>
        <w:spacing w:after="0" w:line="245" w:lineRule="auto"/>
        <w:rPr>
          <w:sz w:val="20"/>
          <w:szCs w:val="20"/>
          <w:color w:val="auto"/>
        </w:rPr>
      </w:pPr>
      <w:r>
        <w:rPr>
          <w:rFonts w:ascii="Arial" w:cs="Arial" w:eastAsia="Arial" w:hAnsi="Arial"/>
          <w:sz w:val="18"/>
          <w:szCs w:val="18"/>
          <w:color w:val="auto"/>
        </w:rPr>
        <w:t>The unaudited pro forma basic and diluted net loss per share attributable to common stockholders has been computed to give effect to the conversion of all shares of convertible preferred stock into common stock, the net exercise of outstanding warrants for shares of common stock, and the repayment of the grant liability upon the closing of a firm-commitment underwritten public offering (“IPO”) resulting in at least $50.0 million in gross proceeds. The unaudited pro forma net loss per share attributable to common stockholders does not include the shares to be sold from the proposed IPO.</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04" w:lineRule="exact"/>
        <w:rPr>
          <w:sz w:val="20"/>
          <w:szCs w:val="20"/>
          <w:color w:val="auto"/>
        </w:rPr>
      </w:pPr>
    </w:p>
    <w:p>
      <w:pPr>
        <w:ind w:right="160" w:firstLine="576"/>
        <w:spacing w:after="0" w:line="255" w:lineRule="auto"/>
        <w:rPr>
          <w:sz w:val="20"/>
          <w:szCs w:val="20"/>
          <w:color w:val="auto"/>
        </w:rPr>
      </w:pPr>
      <w:r>
        <w:rPr>
          <w:rFonts w:ascii="Arial" w:cs="Arial" w:eastAsia="Arial" w:hAnsi="Arial"/>
          <w:sz w:val="18"/>
          <w:szCs w:val="18"/>
          <w:color w:val="auto"/>
        </w:rPr>
        <w:t>The Company has determined that it operates and manages one operating segment, which is the business of developing and commercializing therapeutics. The Company’s chief operating decision maker, its chief executive officer, reviews financial information on an aggregate basis for the purpose of allocating resources.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04" w:lineRule="exact"/>
        <w:rPr>
          <w:sz w:val="20"/>
          <w:szCs w:val="20"/>
          <w:color w:val="auto"/>
        </w:rPr>
      </w:pPr>
    </w:p>
    <w:p>
      <w:pPr>
        <w:ind w:right="100" w:firstLine="576"/>
        <w:spacing w:after="0" w:line="245" w:lineRule="auto"/>
        <w:rPr>
          <w:sz w:val="20"/>
          <w:szCs w:val="20"/>
          <w:color w:val="auto"/>
        </w:rPr>
      </w:pPr>
      <w:r>
        <w:rPr>
          <w:rFonts w:ascii="Arial" w:cs="Arial" w:eastAsia="Arial" w:hAnsi="Arial"/>
          <w:sz w:val="18"/>
          <w:szCs w:val="18"/>
          <w:color w:val="auto"/>
        </w:rPr>
        <w:t>As of December 31, 2018 and 2019, the Company had an unsecured note receivable outstanding from its chief executive officer of approximately $ 42,000 and $36,000, respectively. The note bears interest at 1.45% and requires monthly payments with final repayment in April 2025. The note is included in current portion of unsecured related party note receivable and unsecured related party note receivable in the accompanying balance sheets. Interest income is recognized using the effective interest method, and is included in other income (expense), net in the statements of operations and comprehensive loss.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04"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(a) no longer an emerging growth company or (b)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04" w:lineRule="exact"/>
        <w:rPr>
          <w:sz w:val="20"/>
          <w:szCs w:val="20"/>
          <w:color w:val="auto"/>
        </w:rPr>
      </w:pPr>
    </w:p>
    <w:p>
      <w:pPr>
        <w:ind w:right="640" w:firstLine="576"/>
        <w:spacing w:after="0" w:line="276"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The ASU requires entities to recognize in the balance sheet a liability to</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1" w:name="page212"/>
    <w:bookmarkEnd w:id="211"/>
    <w:p>
      <w:pPr>
        <w:ind w:right="180"/>
        <w:spacing w:after="0" w:line="245" w:lineRule="auto"/>
        <w:rPr>
          <w:sz w:val="20"/>
          <w:szCs w:val="20"/>
          <w:color w:val="auto"/>
        </w:rPr>
      </w:pPr>
      <w:r>
        <w:rPr>
          <w:rFonts w:ascii="Arial" w:cs="Arial" w:eastAsia="Arial" w:hAnsi="Arial"/>
          <w:sz w:val="18"/>
          <w:szCs w:val="18"/>
          <w:color w:val="auto"/>
        </w:rPr>
        <w:t>make lease payments and a right-of-use asset representing its right to use the underlying asset for the lease term. The Company will adopt the standard on January 1, 2021 using the modified retrospective method in the year of adoption and electing certain transition practical expedients. The Company is currently evaluating the guidance to determine the potential impact on its financial condition, results of operations and cash flows, and financial statement disclosures, and expects that the adoption of the ASU will increase assets and liabilities related to the Company’s operating leases in the balance sheets.</w:t>
      </w:r>
    </w:p>
    <w:p>
      <w:pPr>
        <w:spacing w:after="0" w:line="172"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Credit Losses (Topic 326)</w:t>
      </w:r>
      <w:r>
        <w:rPr>
          <w:rFonts w:ascii="Arial" w:cs="Arial" w:eastAsia="Arial" w:hAnsi="Arial"/>
          <w:sz w:val="18"/>
          <w:szCs w:val="18"/>
          <w:color w:val="auto"/>
        </w:rPr>
        <w:t xml:space="preserve"> as clarified in ASU 2019-04 and ASU 2019-05. The objective of the standard is to provide information about expected credit losses on financial instruments at each reporting date and to change how other-than-temporary impairments on investment securities are recorded. The ASU will become effective beginning January 1, 2023, with early adoption permitted. The Company is currently evaluating the potential impacts of the ASU on its financial statements.</w:t>
      </w:r>
    </w:p>
    <w:p>
      <w:pPr>
        <w:spacing w:after="0" w:line="172" w:lineRule="exact"/>
        <w:rPr>
          <w:sz w:val="20"/>
          <w:szCs w:val="20"/>
          <w:color w:val="auto"/>
        </w:rPr>
      </w:pPr>
    </w:p>
    <w:p>
      <w:pPr>
        <w:ind w:right="20" w:firstLine="576"/>
        <w:spacing w:after="0" w:line="239"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 − Goodwill and Others − 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Accounting for Implementation Costs Incurred in a Cloud Computing Arrangement That Is a Service Contract</w:t>
      </w:r>
      <w:r>
        <w:rPr>
          <w:rFonts w:ascii="Arial" w:cs="Arial" w:eastAsia="Arial" w:hAnsi="Arial"/>
          <w:sz w:val="18"/>
          <w:szCs w:val="18"/>
          <w:color w:val="auto"/>
        </w:rPr>
        <w:t>. The objective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ASU is to align the requirements for capitalizing implementation costs incurred in a hosting arrangement that is a service contract with the requirements for capitalizing implementation costs incurred to develop or obtain internal-use software. The ASU will become effective beginning January 1, 2021, with early adoption permitted. The Company does not expect the adoption of this ASU to have a significant impact on its financial condition, results of operations, cash flows and financial statement disclosures. In August 2018, the FASB issued ASU No. 2018-13, </w:t>
      </w:r>
      <w:r>
        <w:rPr>
          <w:rFonts w:ascii="Arial" w:cs="Arial" w:eastAsia="Arial" w:hAnsi="Arial"/>
          <w:sz w:val="18"/>
          <w:szCs w:val="18"/>
          <w:i w:val="1"/>
          <w:iCs w:val="1"/>
          <w:color w:val="auto"/>
        </w:rPr>
        <w:t>Disclosure Framework – Changes to the Disclosure Requirements for Fair Value Measurement</w:t>
      </w:r>
      <w:r>
        <w:rPr>
          <w:rFonts w:ascii="Arial" w:cs="Arial" w:eastAsia="Arial" w:hAnsi="Arial"/>
          <w:sz w:val="18"/>
          <w:szCs w:val="18"/>
          <w:color w:val="auto"/>
        </w:rPr>
        <w:t>, which eliminates certain disclosure requirements for fair value measurements for all entities, requires public entities to disclose certain new information and modifies some disclosure requirements. The Company adopted this standard on January 1, 2020 and it did not have a material impact on its financial statements.</w:t>
      </w:r>
    </w:p>
    <w:p>
      <w:pPr>
        <w:spacing w:after="0" w:line="180" w:lineRule="exact"/>
        <w:rPr>
          <w:sz w:val="20"/>
          <w:szCs w:val="20"/>
          <w:color w:val="auto"/>
        </w:rPr>
      </w:pPr>
    </w:p>
    <w:p>
      <w:pPr>
        <w:ind w:right="180" w:firstLine="576"/>
        <w:spacing w:after="0" w:line="248"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(Topic 326) Improvements to Nonemployee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Share-Based Payment Accounting</w:t>
      </w:r>
      <w:r>
        <w:rPr>
          <w:rFonts w:ascii="Arial" w:cs="Arial" w:eastAsia="Arial" w:hAnsi="Arial"/>
          <w:sz w:val="18"/>
          <w:szCs w:val="18"/>
          <w:color w:val="auto"/>
        </w:rPr>
        <w:t>. The new ASU simplifies the accounting for share-based payments to non-employees by aligning it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accounting for share-based payments to employees, with certain exceptions. The Company adopted the standard on January 1, 2020 and it did not have a material impact on the Company’s financial condition, results of operations and cash flows.</w:t>
      </w:r>
    </w:p>
    <w:p>
      <w:pPr>
        <w:spacing w:after="0" w:line="276" w:lineRule="exact"/>
        <w:rPr>
          <w:sz w:val="20"/>
          <w:szCs w:val="20"/>
          <w:color w:val="auto"/>
        </w:rPr>
      </w:pPr>
    </w:p>
    <w:p>
      <w:pPr>
        <w:ind w:left="580" w:hanging="572"/>
        <w:spacing w:after="0"/>
        <w:tabs>
          <w:tab w:leader="none" w:pos="58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10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Short-term investments consisted of available-for-sale securities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139"/>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r>
      <w:tr>
        <w:trPr>
          <w:trHeight w:val="177"/>
        </w:trPr>
        <w:tc>
          <w:tcPr>
            <w:tcW w:w="5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339"/>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5"/>
                <w:szCs w:val="15"/>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w w:val="99"/>
              </w:rPr>
              <w:t>Losses</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2018</w:t>
            </w: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80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2019</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3"/>
        </w:trPr>
        <w:tc>
          <w:tcPr>
            <w:tcW w:w="582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80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0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All short-term investments had contractual maturities of less than one year.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12" w:name="page213"/>
    <w:bookmarkEnd w:id="212"/>
    <w:p>
      <w:pPr>
        <w:ind w:left="580" w:hanging="572"/>
        <w:spacing w:after="0"/>
        <w:tabs>
          <w:tab w:leader="none" w:pos="58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06" w:lineRule="exact"/>
        <w:rPr>
          <w:sz w:val="20"/>
          <w:szCs w:val="20"/>
          <w:color w:val="auto"/>
        </w:rPr>
      </w:pPr>
    </w:p>
    <w:p>
      <w:pPr>
        <w:ind w:right="80" w:firstLine="576"/>
        <w:spacing w:after="0" w:line="306" w:lineRule="auto"/>
        <w:rPr>
          <w:sz w:val="20"/>
          <w:szCs w:val="20"/>
          <w:color w:val="auto"/>
        </w:rPr>
      </w:pPr>
      <w:r>
        <w:rPr>
          <w:rFonts w:ascii="Arial" w:cs="Arial" w:eastAsia="Arial" w:hAnsi="Arial"/>
          <w:sz w:val="17"/>
          <w:szCs w:val="17"/>
          <w:color w:val="auto"/>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spacing w:after="0" w:line="15" w:lineRule="exact"/>
        <w:rPr>
          <w:sz w:val="20"/>
          <w:szCs w:val="20"/>
          <w:color w:val="auto"/>
        </w:rPr>
      </w:pPr>
    </w:p>
    <w:p>
      <w:pPr>
        <w:ind w:left="580" w:right="60"/>
        <w:spacing w:after="0" w:line="276"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—Unadjusted quoted prices in active markets that are accessible at the measurement date for identical, unrestricted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37" w:lineRule="exact"/>
        <w:rPr>
          <w:sz w:val="20"/>
          <w:szCs w:val="20"/>
          <w:color w:val="auto"/>
        </w:rPr>
      </w:pPr>
    </w:p>
    <w:p>
      <w:pPr>
        <w:ind w:left="580" w:right="340"/>
        <w:spacing w:after="0" w:line="276"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—Quoted prices in markets that are not active or financial instruments for which all significant inputs are observable,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w:t>
      </w:r>
    </w:p>
    <w:p>
      <w:pPr>
        <w:spacing w:after="0" w:line="37" w:lineRule="exact"/>
        <w:rPr>
          <w:sz w:val="20"/>
          <w:szCs w:val="20"/>
          <w:color w:val="auto"/>
        </w:rPr>
      </w:pPr>
    </w:p>
    <w:p>
      <w:pPr>
        <w:ind w:left="580" w:right="20"/>
        <w:spacing w:after="0" w:line="255"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are generally unobservable and reflect management’s estimates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 The fair values are determined using model-based techniques, including probability-based simulation methodologies.</w:t>
      </w:r>
    </w:p>
    <w:p>
      <w:pPr>
        <w:spacing w:after="0" w:line="164" w:lineRule="exact"/>
        <w:rPr>
          <w:sz w:val="20"/>
          <w:szCs w:val="20"/>
          <w:color w:val="auto"/>
        </w:rPr>
      </w:pPr>
    </w:p>
    <w:p>
      <w:pPr>
        <w:jc w:val="both"/>
        <w:ind w:right="80" w:firstLine="576"/>
        <w:spacing w:after="0" w:line="248" w:lineRule="auto"/>
        <w:rPr>
          <w:sz w:val="20"/>
          <w:szCs w:val="20"/>
          <w:color w:val="auto"/>
        </w:rPr>
      </w:pPr>
      <w:r>
        <w:rPr>
          <w:rFonts w:ascii="Arial" w:cs="Arial" w:eastAsia="Arial" w:hAnsi="Arial"/>
          <w:sz w:val="18"/>
          <w:szCs w:val="18"/>
          <w:color w:val="auto"/>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p>
    <w:p>
      <w:pPr>
        <w:spacing w:after="0" w:line="170" w:lineRule="exact"/>
        <w:rPr>
          <w:sz w:val="20"/>
          <w:szCs w:val="20"/>
          <w:color w:val="auto"/>
        </w:rPr>
      </w:pPr>
    </w:p>
    <w:p>
      <w:pPr>
        <w:jc w:val="both"/>
        <w:ind w:right="60" w:firstLine="576"/>
        <w:spacing w:after="0" w:line="276" w:lineRule="auto"/>
        <w:rPr>
          <w:sz w:val="20"/>
          <w:szCs w:val="20"/>
          <w:color w:val="auto"/>
        </w:rPr>
      </w:pPr>
      <w:r>
        <w:rPr>
          <w:rFonts w:ascii="Arial" w:cs="Arial" w:eastAsia="Arial" w:hAnsi="Arial"/>
          <w:sz w:val="18"/>
          <w:szCs w:val="18"/>
          <w:color w:val="auto"/>
        </w:rPr>
        <w:t>The fair value hierarchy of the Company’s assets and liabilities carried at fair value and measured on a recurring basis was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As of December 31, 2018</w:t>
            </w: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8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940" w:type="dxa"/>
            <w:vAlign w:val="bottom"/>
          </w:tcPr>
          <w:p>
            <w:pPr>
              <w:jc w:val="right"/>
              <w:ind w:right="254"/>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Short-term investments – Certificates of Deposit</w:t>
            </w:r>
          </w:p>
        </w:tc>
        <w:tc>
          <w:tcPr>
            <w:tcW w:w="880" w:type="dxa"/>
            <w:vAlign w:val="bottom"/>
          </w:tcPr>
          <w:p>
            <w:pPr>
              <w:jc w:val="right"/>
              <w:ind w:right="695"/>
              <w:spacing w:after="0"/>
              <w:rPr>
                <w:sz w:val="20"/>
                <w:szCs w:val="20"/>
                <w:color w:val="auto"/>
              </w:rPr>
            </w:pPr>
            <w:r>
              <w:rPr>
                <w:rFonts w:ascii="Arial" w:cs="Arial" w:eastAsia="Arial" w:hAnsi="Arial"/>
                <w:sz w:val="18"/>
                <w:szCs w:val="18"/>
                <w:color w:val="auto"/>
                <w:w w:val="79"/>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r>
      <w:tr>
        <w:trPr>
          <w:trHeight w:val="209"/>
        </w:trPr>
        <w:tc>
          <w:tcPr>
            <w:tcW w:w="58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shd w:val="clear" w:color="auto" w:fill="CFF0FC"/>
          </w:tcPr>
          <w:p>
            <w:pPr>
              <w:jc w:val="right"/>
              <w:ind w:right="695"/>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Grant liability</w:t>
            </w:r>
          </w:p>
        </w:tc>
        <w:tc>
          <w:tcPr>
            <w:tcW w:w="88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liability (see Note 8)</w:t>
            </w: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FF0FC"/>
          </w:tcPr>
          <w:p>
            <w:pPr>
              <w:spacing w:after="0"/>
              <w:rPr>
                <w:sz w:val="18"/>
                <w:szCs w:val="18"/>
                <w:color w:val="auto"/>
              </w:rPr>
            </w:pPr>
          </w:p>
        </w:tc>
      </w:tr>
      <w:tr>
        <w:trPr>
          <w:trHeight w:val="210"/>
        </w:trPr>
        <w:tc>
          <w:tcPr>
            <w:tcW w:w="5820" w:type="dxa"/>
            <w:vAlign w:val="bottom"/>
          </w:tcPr>
          <w:p>
            <w:pPr>
              <w:ind w:left="26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2,975</w:t>
            </w:r>
          </w:p>
        </w:tc>
        <w:tc>
          <w:tcPr>
            <w:tcW w:w="10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58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As of December 31, 2019</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8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940" w:type="dxa"/>
            <w:vAlign w:val="bottom"/>
          </w:tcPr>
          <w:p>
            <w:pPr>
              <w:jc w:val="right"/>
              <w:ind w:right="254"/>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Grant liability</w:t>
            </w:r>
          </w:p>
        </w:tc>
        <w:tc>
          <w:tcPr>
            <w:tcW w:w="880" w:type="dxa"/>
            <w:vAlign w:val="bottom"/>
          </w:tcPr>
          <w:p>
            <w:pPr>
              <w:jc w:val="right"/>
              <w:ind w:right="695"/>
              <w:spacing w:after="0"/>
              <w:rPr>
                <w:sz w:val="20"/>
                <w:szCs w:val="20"/>
                <w:color w:val="auto"/>
              </w:rPr>
            </w:pPr>
            <w:r>
              <w:rPr>
                <w:rFonts w:ascii="Arial" w:cs="Arial" w:eastAsia="Arial" w:hAnsi="Arial"/>
                <w:sz w:val="18"/>
                <w:szCs w:val="18"/>
                <w:color w:val="auto"/>
                <w:w w:val="79"/>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1,036</w:t>
            </w:r>
          </w:p>
        </w:tc>
        <w:tc>
          <w:tcPr>
            <w:tcW w:w="50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liability (see Note 8)</w:t>
            </w: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FF0FC"/>
          </w:tcPr>
          <w:p>
            <w:pPr>
              <w:spacing w:after="0"/>
              <w:rPr>
                <w:sz w:val="18"/>
                <w:szCs w:val="18"/>
                <w:color w:val="auto"/>
              </w:rPr>
            </w:pPr>
          </w:p>
        </w:tc>
      </w:tr>
      <w:tr>
        <w:trPr>
          <w:trHeight w:val="209"/>
        </w:trPr>
        <w:tc>
          <w:tcPr>
            <w:tcW w:w="5820" w:type="dxa"/>
            <w:vAlign w:val="bottom"/>
          </w:tcPr>
          <w:p>
            <w:pPr>
              <w:ind w:left="26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tcBorders>
          </w:tcPr>
          <w:p>
            <w:pPr>
              <w:jc w:val="right"/>
              <w:ind w:right="695"/>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2,035</w:t>
            </w:r>
          </w:p>
        </w:tc>
        <w:tc>
          <w:tcPr>
            <w:tcW w:w="260" w:type="dxa"/>
            <w:vAlign w:val="bottom"/>
            <w:gridSpan w:val="2"/>
          </w:tcPr>
          <w:p>
            <w:pPr>
              <w:spacing w:after="0"/>
              <w:rPr>
                <w:sz w:val="18"/>
                <w:szCs w:val="18"/>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presents the activity for grant liability for the years ended December 31, 2018 and 2019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88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1100" w:type="dxa"/>
            <w:vAlign w:val="bottom"/>
            <w:tcBorders>
              <w:top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3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fair value of grant liability</w:t>
            </w: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end of period</w:t>
            </w: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3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table presents the activity for derivative liability for the years ended December 31, 2018 and 2019 (in thousands):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940" w:type="dxa"/>
            <w:vAlign w:val="bottom"/>
            <w:tcBorders>
              <w:bottom w:val="single" w:sz="8" w:color="auto"/>
            </w:tcBorders>
            <w:gridSpan w:val="5"/>
          </w:tcPr>
          <w:p>
            <w:pPr>
              <w:jc w:val="right"/>
              <w:ind w:right="287"/>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right"/>
              <w:ind w:right="87"/>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1100" w:type="dxa"/>
            <w:vAlign w:val="bottom"/>
            <w:tcBorders>
              <w:top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Derivative liability recorded upon issuance of convertible notes</w:t>
            </w:r>
          </w:p>
        </w:tc>
        <w:tc>
          <w:tcPr>
            <w:tcW w:w="1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derivative liability</w:t>
            </w:r>
          </w:p>
        </w:tc>
        <w:tc>
          <w:tcPr>
            <w:tcW w:w="1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FF0FC"/>
          </w:tcPr>
          <w:p>
            <w:pPr>
              <w:spacing w:after="0"/>
              <w:rPr>
                <w:sz w:val="18"/>
                <w:szCs w:val="18"/>
                <w:color w:val="auto"/>
              </w:rPr>
            </w:pPr>
          </w:p>
        </w:tc>
      </w:tr>
      <w:tr>
        <w:trPr>
          <w:trHeight w:val="209"/>
        </w:trPr>
        <w:tc>
          <w:tcPr>
            <w:tcW w:w="7700" w:type="dxa"/>
            <w:vAlign w:val="bottom"/>
          </w:tcPr>
          <w:p>
            <w:pPr>
              <w:spacing w:after="0"/>
              <w:rPr>
                <w:sz w:val="20"/>
                <w:szCs w:val="20"/>
                <w:color w:val="auto"/>
              </w:rPr>
            </w:pPr>
            <w:r>
              <w:rPr>
                <w:rFonts w:ascii="Arial" w:cs="Arial" w:eastAsia="Arial" w:hAnsi="Arial"/>
                <w:sz w:val="18"/>
                <w:szCs w:val="18"/>
                <w:color w:val="auto"/>
              </w:rPr>
              <w:t>Fair value at end of period</w:t>
            </w: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90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4" w:lineRule="exact"/>
        <w:rPr>
          <w:sz w:val="20"/>
          <w:szCs w:val="20"/>
          <w:color w:val="auto"/>
        </w:rPr>
      </w:pPr>
    </w:p>
    <w:p>
      <w:pPr>
        <w:ind w:right="180" w:firstLine="576"/>
        <w:spacing w:after="0" w:line="248" w:lineRule="auto"/>
        <w:rPr>
          <w:sz w:val="20"/>
          <w:szCs w:val="20"/>
          <w:color w:val="auto"/>
        </w:rPr>
      </w:pPr>
      <w:r>
        <w:rPr>
          <w:rFonts w:ascii="Arial" w:cs="Arial" w:eastAsia="Arial" w:hAnsi="Arial"/>
          <w:sz w:val="18"/>
          <w:szCs w:val="18"/>
          <w:color w:val="auto"/>
        </w:rPr>
        <w:t>The losses resulting from the change in fair value of the grant liability and the bifurcated conversion and redemption features related to the derivative liability are classified as other income (expense), net in the accompanying statements of operations and comprehensive loss. Changes in any of the assumptions related to the unobservable inputs identified may change the fair value of these instruments. For example, an increase in interest rates would generally correspond to a decrease in the fair value of the liabilities.</w:t>
      </w:r>
    </w:p>
    <w:p>
      <w:pPr>
        <w:spacing w:after="0" w:line="276" w:lineRule="exact"/>
        <w:rPr>
          <w:sz w:val="20"/>
          <w:szCs w:val="20"/>
          <w:color w:val="auto"/>
        </w:rPr>
      </w:pPr>
    </w:p>
    <w:p>
      <w:pPr>
        <w:ind w:left="580" w:hanging="572"/>
        <w:spacing w:after="0"/>
        <w:tabs>
          <w:tab w:leader="none" w:pos="58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0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consisted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Employee compensation and benefits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 and other</w:t>
            </w: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Pr>
          <w:p>
            <w:pPr>
              <w:ind w:left="260"/>
              <w:spacing w:after="0"/>
              <w:rPr>
                <w:sz w:val="20"/>
                <w:szCs w:val="20"/>
                <w:color w:val="auto"/>
              </w:rPr>
            </w:pPr>
            <w:r>
              <w:rPr>
                <w:rFonts w:ascii="Arial" w:cs="Arial" w:eastAsia="Arial" w:hAnsi="Arial"/>
                <w:sz w:val="18"/>
                <w:szCs w:val="18"/>
                <w:color w:val="auto"/>
              </w:rPr>
              <w:t>Total accrued expenses</w:t>
            </w: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6" w:lineRule="exact"/>
        <w:rPr>
          <w:sz w:val="20"/>
          <w:szCs w:val="20"/>
          <w:color w:val="auto"/>
        </w:rPr>
      </w:pPr>
    </w:p>
    <w:p>
      <w:pPr>
        <w:ind w:left="580" w:hanging="572"/>
        <w:spacing w:after="0"/>
        <w:tabs>
          <w:tab w:leader="none" w:pos="58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 (Expense), Net</w:t>
      </w:r>
    </w:p>
    <w:p>
      <w:pPr>
        <w:spacing w:after="0" w:line="119"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Other income (expense), net consisted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920" w:type="dxa"/>
            <w:vAlign w:val="bottom"/>
            <w:tcBorders>
              <w:bottom w:val="single" w:sz="8" w:color="auto"/>
            </w:tcBorders>
            <w:gridSpan w:val="5"/>
          </w:tcPr>
          <w:p>
            <w:pPr>
              <w:jc w:val="right"/>
              <w:ind w:right="267"/>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060" w:type="dxa"/>
            <w:vAlign w:val="bottom"/>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right"/>
              <w:ind w:right="67"/>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 xml:space="preserve">Part the Cloud </w:t>
            </w:r>
            <w:r>
              <w:rPr>
                <w:rFonts w:ascii="Arial" w:cs="Arial" w:eastAsia="Arial" w:hAnsi="Arial"/>
                <w:sz w:val="18"/>
                <w:szCs w:val="18"/>
                <w:color w:val="auto"/>
              </w:rPr>
              <w:t>research grant</w:t>
            </w:r>
          </w:p>
        </w:tc>
        <w:tc>
          <w:tcPr>
            <w:tcW w:w="1060" w:type="dxa"/>
            <w:vAlign w:val="bottom"/>
            <w:tcBorders>
              <w:top w:val="single" w:sz="8" w:color="auto"/>
            </w:tcBorders>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0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w:t>
            </w: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(346)</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Change in fair value of derivative liability</w:t>
            </w:r>
          </w:p>
        </w:tc>
        <w:tc>
          <w:tcPr>
            <w:tcW w:w="10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grant liability</w:t>
            </w:r>
          </w:p>
        </w:tc>
        <w:tc>
          <w:tcPr>
            <w:tcW w:w="10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(164)</w:t>
            </w: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w:t>
            </w:r>
          </w:p>
        </w:tc>
      </w:tr>
      <w:tr>
        <w:trPr>
          <w:trHeight w:val="210"/>
        </w:trPr>
        <w:tc>
          <w:tcPr>
            <w:tcW w:w="7700" w:type="dxa"/>
            <w:vAlign w:val="bottom"/>
          </w:tcPr>
          <w:p>
            <w:pPr>
              <w:ind w:left="260"/>
              <w:spacing w:after="0"/>
              <w:rPr>
                <w:sz w:val="20"/>
                <w:szCs w:val="20"/>
                <w:color w:val="auto"/>
              </w:rPr>
            </w:pPr>
            <w:r>
              <w:rPr>
                <w:rFonts w:ascii="Arial" w:cs="Arial" w:eastAsia="Arial" w:hAnsi="Arial"/>
                <w:sz w:val="18"/>
                <w:szCs w:val="18"/>
                <w:color w:val="auto"/>
              </w:rPr>
              <w:t>Total other income (expense), net</w:t>
            </w: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88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6" w:lineRule="exact"/>
        <w:rPr>
          <w:sz w:val="20"/>
          <w:szCs w:val="20"/>
          <w:color w:val="auto"/>
        </w:rPr>
      </w:pPr>
    </w:p>
    <w:p>
      <w:pPr>
        <w:ind w:left="580" w:hanging="572"/>
        <w:spacing w:after="0"/>
        <w:tabs>
          <w:tab w:leader="none" w:pos="58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Agreements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Washington State University (“WSU”) License Agreement</w:t>
      </w:r>
    </w:p>
    <w:p>
      <w:pPr>
        <w:spacing w:after="0" w:line="104"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In December 2011, the Company entered into an exclusive license agreement with sublicensing terms with Washington State University Research Fund (“WSURF”), which, after the dissolution of WSURF in 2013, was superseded by an amended and restated exclusive license agreement with sublicensing terms between the Company and WSU in 2015. Under this agreement, the Company has an exclusive license to make, use, sell, and offer for sale a chemical compound that forms the underlying technology of the drug therapies being developed by the Company.</w:t>
      </w:r>
    </w:p>
    <w:p>
      <w:pPr>
        <w:spacing w:after="0" w:line="172" w:lineRule="exact"/>
        <w:rPr>
          <w:sz w:val="20"/>
          <w:szCs w:val="20"/>
          <w:color w:val="auto"/>
        </w:rPr>
      </w:pPr>
    </w:p>
    <w:p>
      <w:pPr>
        <w:ind w:right="820" w:firstLine="576"/>
        <w:spacing w:after="0" w:line="276" w:lineRule="auto"/>
        <w:rPr>
          <w:sz w:val="20"/>
          <w:szCs w:val="20"/>
          <w:color w:val="auto"/>
        </w:rPr>
      </w:pPr>
      <w:r>
        <w:rPr>
          <w:rFonts w:ascii="Arial" w:cs="Arial" w:eastAsia="Arial" w:hAnsi="Arial"/>
          <w:sz w:val="18"/>
          <w:szCs w:val="18"/>
          <w:color w:val="auto"/>
        </w:rPr>
        <w:t>To keep in good standing, the agreement requires the Company to meet certain development milestones and pay an annual maintenance fee. All contractual requirements have been met as of December 31, 2019.</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7" w:right="339" w:bottom="1440" w:gutter="0" w:footer="0" w:header="0"/>
        </w:sectPr>
      </w:pPr>
    </w:p>
    <w:bookmarkStart w:id="214" w:name="page215"/>
    <w:bookmarkEnd w:id="214"/>
    <w:p>
      <w:pPr>
        <w:ind w:left="580"/>
        <w:spacing w:after="0"/>
        <w:rPr>
          <w:sz w:val="20"/>
          <w:szCs w:val="20"/>
          <w:color w:val="auto"/>
        </w:rPr>
      </w:pPr>
      <w:r>
        <w:rPr>
          <w:rFonts w:ascii="Arial" w:cs="Arial" w:eastAsia="Arial" w:hAnsi="Arial"/>
          <w:sz w:val="18"/>
          <w:szCs w:val="18"/>
          <w:color w:val="auto"/>
        </w:rPr>
        <w:t>The Company may also be obligated to pay the following if the related milestones are reached:</w:t>
      </w:r>
    </w:p>
    <w:p>
      <w:pPr>
        <w:spacing w:after="0" w:line="104" w:lineRule="exact"/>
        <w:rPr>
          <w:sz w:val="20"/>
          <w:szCs w:val="20"/>
          <w:color w:val="auto"/>
        </w:rPr>
      </w:pPr>
    </w:p>
    <w:p>
      <w:pPr>
        <w:ind w:left="800" w:hanging="225"/>
        <w:spacing w:after="0"/>
        <w:tabs>
          <w:tab w:leader="none" w:pos="800" w:val="left"/>
        </w:tabs>
        <w:numPr>
          <w:ilvl w:val="0"/>
          <w:numId w:val="132"/>
        </w:numPr>
        <w:rPr>
          <w:rFonts w:ascii="Times New Roman" w:cs="Times New Roman" w:eastAsia="Times New Roman" w:hAnsi="Times New Roman"/>
          <w:sz w:val="18"/>
          <w:szCs w:val="18"/>
          <w:color w:val="auto"/>
        </w:rPr>
      </w:pPr>
      <w:r>
        <w:rPr>
          <w:rFonts w:ascii="Arial" w:cs="Arial" w:eastAsia="Arial" w:hAnsi="Arial"/>
          <w:sz w:val="18"/>
          <w:szCs w:val="18"/>
          <w:color w:val="auto"/>
        </w:rPr>
        <w:t>$50,000 – At initiation of the first Phase 2 clinical trial in the United States, European Union or Japan for the first licensed product.</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32"/>
        </w:numPr>
        <w:rPr>
          <w:rFonts w:ascii="Times New Roman" w:cs="Times New Roman" w:eastAsia="Times New Roman" w:hAnsi="Times New Roman"/>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32"/>
        </w:numPr>
        <w:rPr>
          <w:rFonts w:ascii="Times New Roman" w:cs="Times New Roman" w:eastAsia="Times New Roman" w:hAnsi="Times New Roman"/>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December 31, 2019, none of these milestones had been reached.</w:t>
      </w:r>
    </w:p>
    <w:p>
      <w:pPr>
        <w:spacing w:after="0" w:line="212" w:lineRule="exact"/>
        <w:rPr>
          <w:sz w:val="20"/>
          <w:szCs w:val="20"/>
          <w:color w:val="auto"/>
        </w:rPr>
      </w:pPr>
    </w:p>
    <w:p>
      <w:pPr>
        <w:jc w:val="both"/>
        <w:ind w:right="240" w:firstLine="576"/>
        <w:spacing w:after="0" w:line="255" w:lineRule="auto"/>
        <w:rPr>
          <w:sz w:val="20"/>
          <w:szCs w:val="20"/>
          <w:color w:val="auto"/>
        </w:rPr>
      </w:pPr>
      <w:r>
        <w:rPr>
          <w:rFonts w:ascii="Arial" w:cs="Arial" w:eastAsia="Arial" w:hAnsi="Arial"/>
          <w:sz w:val="18"/>
          <w:szCs w:val="18"/>
          <w:color w:val="auto"/>
        </w:rPr>
        <w:t>Under the terms of the agreement, the Company will pay a royalty in the mid-single digits of net sales, with the first $100,000 of net sales being exempt from royalty payment, and annual minimum royalty payments of $25,000 beginning after the first commercial sale of a licensed product. As of December 31, 2019, the Company had not incurred a royalty obligation under this agreement.</w:t>
      </w:r>
    </w:p>
    <w:p>
      <w:pPr>
        <w:spacing w:after="0" w:line="164" w:lineRule="exact"/>
        <w:rPr>
          <w:sz w:val="20"/>
          <w:szCs w:val="20"/>
          <w:color w:val="auto"/>
        </w:rPr>
      </w:pPr>
    </w:p>
    <w:p>
      <w:pPr>
        <w:ind w:right="120" w:firstLine="576"/>
        <w:spacing w:after="0" w:line="248" w:lineRule="auto"/>
        <w:rPr>
          <w:sz w:val="20"/>
          <w:szCs w:val="20"/>
          <w:color w:val="auto"/>
        </w:rPr>
      </w:pPr>
      <w:r>
        <w:rPr>
          <w:rFonts w:ascii="Arial" w:cs="Arial" w:eastAsia="Arial" w:hAnsi="Arial"/>
          <w:sz w:val="18"/>
          <w:szCs w:val="18"/>
          <w:color w:val="auto"/>
        </w:rPr>
        <w:t>Additionally, the agreement allows the Company to sublicense the rights conveyed by the agreement, subject to additional payments to WSU for sublicense consideration received. Such amounts are dependent on the terms of the underlying sublicense, and range from the mid-single digits to mid-tens of any non -sales based payments received, and low twenties of net sales based sublicense royalties. As of December 31, 2019, the Company had not entered into or incurred any liability from a sublicense agreement.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Liability</w:t>
      </w:r>
    </w:p>
    <w:p>
      <w:pPr>
        <w:spacing w:after="0" w:line="104" w:lineRule="exact"/>
        <w:rPr>
          <w:sz w:val="20"/>
          <w:szCs w:val="20"/>
          <w:color w:val="auto"/>
        </w:rPr>
      </w:pPr>
    </w:p>
    <w:p>
      <w:pPr>
        <w:jc w:val="both"/>
        <w:ind w:right="160" w:firstLine="576"/>
        <w:spacing w:after="0" w:line="255" w:lineRule="auto"/>
        <w:rPr>
          <w:sz w:val="20"/>
          <w:szCs w:val="20"/>
          <w:color w:val="auto"/>
        </w:rPr>
      </w:pPr>
      <w:r>
        <w:rPr>
          <w:rFonts w:ascii="Arial" w:cs="Arial" w:eastAsia="Arial" w:hAnsi="Arial"/>
          <w:sz w:val="18"/>
          <w:szCs w:val="18"/>
          <w:color w:val="auto"/>
        </w:rPr>
        <w:t>In 2014 and 2015, the Company received $250,000 and $500,000, respectively, from the Washington LSDF under the terms of two matching grant award agreements. In connection with the agreements, LSDF retained the right to receive cash payments of up to 2.0 times the amounts received, or $1.5 million, upon the occurrence of specified triggering events, including:</w:t>
      </w:r>
    </w:p>
    <w:p>
      <w:pPr>
        <w:spacing w:after="0" w:line="56" w:lineRule="exact"/>
        <w:rPr>
          <w:sz w:val="20"/>
          <w:szCs w:val="20"/>
          <w:color w:val="auto"/>
        </w:rPr>
      </w:pPr>
    </w:p>
    <w:p>
      <w:pPr>
        <w:ind w:left="800" w:hanging="225"/>
        <w:spacing w:after="0"/>
        <w:tabs>
          <w:tab w:leader="none" w:pos="800" w:val="left"/>
        </w:tabs>
        <w:numPr>
          <w:ilvl w:val="0"/>
          <w:numId w:val="133"/>
        </w:numPr>
        <w:rPr>
          <w:rFonts w:ascii="Times New Roman" w:cs="Times New Roman" w:eastAsia="Times New Roman" w:hAnsi="Times New Roman"/>
          <w:sz w:val="18"/>
          <w:szCs w:val="18"/>
          <w:color w:val="auto"/>
        </w:rPr>
      </w:pPr>
      <w:r>
        <w:rPr>
          <w:rFonts w:ascii="Arial" w:cs="Arial" w:eastAsia="Arial" w:hAnsi="Arial"/>
          <w:sz w:val="18"/>
          <w:szCs w:val="18"/>
          <w:color w:val="auto"/>
        </w:rPr>
        <w:t>receipt of license revenue, sales revenue, or consideration related to the underlying IP;</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33"/>
        </w:numPr>
        <w:rPr>
          <w:rFonts w:ascii="Times New Roman" w:cs="Times New Roman" w:eastAsia="Times New Roman" w:hAnsi="Times New Roman"/>
          <w:sz w:val="18"/>
          <w:szCs w:val="18"/>
          <w:color w:val="auto"/>
        </w:rPr>
      </w:pPr>
      <w:r>
        <w:rPr>
          <w:rFonts w:ascii="Arial" w:cs="Arial" w:eastAsia="Arial" w:hAnsi="Arial"/>
          <w:sz w:val="18"/>
          <w:szCs w:val="18"/>
          <w:color w:val="auto"/>
        </w:rPr>
        <w:t>transfers the underlying IP without receiving consideration;</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33"/>
        </w:numPr>
        <w:rPr>
          <w:rFonts w:ascii="Times New Roman" w:cs="Times New Roman" w:eastAsia="Times New Roman" w:hAnsi="Times New Roman"/>
          <w:sz w:val="18"/>
          <w:szCs w:val="18"/>
          <w:color w:val="auto"/>
        </w:rPr>
      </w:pPr>
      <w:r>
        <w:rPr>
          <w:rFonts w:ascii="Arial" w:cs="Arial" w:eastAsia="Arial" w:hAnsi="Arial"/>
          <w:sz w:val="18"/>
          <w:szCs w:val="18"/>
          <w:color w:val="auto"/>
        </w:rPr>
        <w:t>relocation of the Company from Washington state;</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33"/>
        </w:numPr>
        <w:rPr>
          <w:rFonts w:ascii="Times New Roman" w:cs="Times New Roman" w:eastAsia="Times New Roman" w:hAnsi="Times New Roman"/>
          <w:sz w:val="18"/>
          <w:szCs w:val="18"/>
          <w:color w:val="auto"/>
        </w:rPr>
      </w:pPr>
      <w:r>
        <w:rPr>
          <w:rFonts w:ascii="Arial" w:cs="Arial" w:eastAsia="Arial" w:hAnsi="Arial"/>
          <w:sz w:val="18"/>
          <w:szCs w:val="18"/>
          <w:color w:val="auto"/>
        </w:rPr>
        <w:t>completion of an initial public offering;</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33"/>
        </w:numPr>
        <w:rPr>
          <w:rFonts w:ascii="Times New Roman" w:cs="Times New Roman" w:eastAsia="Times New Roman" w:hAnsi="Times New Roman"/>
          <w:sz w:val="18"/>
          <w:szCs w:val="18"/>
          <w:color w:val="auto"/>
        </w:rPr>
      </w:pPr>
      <w:r>
        <w:rPr>
          <w:rFonts w:ascii="Arial" w:cs="Arial" w:eastAsia="Arial" w:hAnsi="Arial"/>
          <w:sz w:val="18"/>
          <w:szCs w:val="18"/>
          <w:color w:val="auto"/>
        </w:rPr>
        <w:t>a third-party acquisition of a controlling interest in the Company, and;</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33"/>
        </w:numPr>
        <w:rPr>
          <w:rFonts w:ascii="Times New Roman" w:cs="Times New Roman" w:eastAsia="Times New Roman" w:hAnsi="Times New Roman"/>
          <w:sz w:val="18"/>
          <w:szCs w:val="18"/>
          <w:color w:val="auto"/>
        </w:rPr>
      </w:pPr>
      <w:r>
        <w:rPr>
          <w:rFonts w:ascii="Arial" w:cs="Arial" w:eastAsia="Arial" w:hAnsi="Arial"/>
          <w:sz w:val="18"/>
          <w:szCs w:val="18"/>
          <w:color w:val="auto"/>
        </w:rPr>
        <w:t>termination of the agreements.</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December 31, 2019, no triggering events have occurred and no payments to LSDF have been made.</w:t>
      </w:r>
    </w:p>
    <w:p>
      <w:pPr>
        <w:spacing w:after="0" w:line="212"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 xml:space="preserve">To appropriately capture the economics of this arrangement, the grant liability is accounted for under ASC 825-10,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−Overall</w:t>
      </w:r>
      <w:r>
        <w:rPr>
          <w:rFonts w:ascii="Arial" w:cs="Arial" w:eastAsia="Arial" w:hAnsi="Arial"/>
          <w:sz w:val="18"/>
          <w:szCs w:val="18"/>
          <w:color w:val="auto"/>
        </w:rPr>
        <w:t>. The estimated fair value of the grant liability is reassessed at each balance sheet date, with changes in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reflected in other income (expense), net. To determine the estimated fair value of the grant liability at December 31, 2018 and 2019, the Company used a discounted cash flow simulation methodology that assigns probabilities to the timing and likelihood of each triggering event, a discount rate based on market data for securities with similar durations and credit ratings to the Company, and the expected payment amount. The assumptions used to calculate the fair value of the grant liability are subject to significant judgment, and payment may be in an amount different from the liability that the Company estimates. However, total payments under the agreements will not exceed $1.5 million.</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15" w:name="page216"/>
    <w:bookmarkEnd w:id="215"/>
    <w:p>
      <w:pPr>
        <w:ind w:right="340" w:firstLine="576"/>
        <w:spacing w:after="0" w:line="277" w:lineRule="auto"/>
        <w:rPr>
          <w:sz w:val="20"/>
          <w:szCs w:val="20"/>
          <w:color w:val="auto"/>
        </w:rPr>
      </w:pPr>
      <w:r>
        <w:rPr>
          <w:rFonts w:ascii="Arial" w:cs="Arial" w:eastAsia="Arial" w:hAnsi="Arial"/>
          <w:sz w:val="17"/>
          <w:szCs w:val="17"/>
          <w:color w:val="auto"/>
        </w:rPr>
        <w:t>The estimated fair value of the grant liability was $936,000 and $1.0 million as of December 31, 2018 and 2019, respectively. The changes in the fair value of the liability resulted in losses of $164,000 and $100,000 for the years ended December 31, 2018 and 2019, respectively, which were included in other income (expense), net in the accompanying statements of operations and comprehensive loss.</w:t>
      </w:r>
    </w:p>
    <w:p>
      <w:pPr>
        <w:spacing w:after="0" w:line="253" w:lineRule="exact"/>
        <w:rPr>
          <w:sz w:val="20"/>
          <w:szCs w:val="20"/>
          <w:color w:val="auto"/>
        </w:rPr>
      </w:pPr>
    </w:p>
    <w:p>
      <w:pPr>
        <w:ind w:left="580" w:hanging="572"/>
        <w:spacing w:after="0"/>
        <w:tabs>
          <w:tab w:leader="none" w:pos="58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w:t>
      </w:r>
    </w:p>
    <w:p>
      <w:pPr>
        <w:spacing w:after="0" w:line="106" w:lineRule="exact"/>
        <w:rPr>
          <w:sz w:val="20"/>
          <w:szCs w:val="20"/>
          <w:color w:val="auto"/>
        </w:rPr>
      </w:pPr>
    </w:p>
    <w:p>
      <w:pPr>
        <w:ind w:right="160" w:firstLine="576"/>
        <w:spacing w:after="0"/>
        <w:rPr>
          <w:sz w:val="20"/>
          <w:szCs w:val="20"/>
          <w:color w:val="auto"/>
        </w:rPr>
      </w:pPr>
      <w:r>
        <w:rPr>
          <w:rFonts w:ascii="Arial" w:cs="Arial" w:eastAsia="Arial" w:hAnsi="Arial"/>
          <w:sz w:val="18"/>
          <w:szCs w:val="18"/>
          <w:color w:val="auto"/>
        </w:rPr>
        <w:t>The Company issued unsecured convertible notes with aggregate principal amounts of $ 1.3 million and $884,000 in 2018 and 2019, respectively. The notes accrue interest at a rate of 5% per year and mature in December 2021, unless earlier converted. No principal or interest is payable prior to maturity as the convertible notes and any accrued interest will automatically convert upon a qualified financing event at a conversion price equal to 85% of the price per share of the qualified financing. Holders may also elect to convert their notes to shares of common stock upon the maturity of the notes at the then fair value of common stock. If the Company experiences a change in control, holders may either convert the outstanding principal amount plus any accrued interest into shares of common stock at the then fair value of common stock or may require the Company to repurchase the notes in cash at a price equal to 200% of the outstanding principal amount plus any accrued interest.</w:t>
      </w:r>
    </w:p>
    <w:p>
      <w:pPr>
        <w:spacing w:after="0" w:line="180" w:lineRule="exact"/>
        <w:rPr>
          <w:sz w:val="20"/>
          <w:szCs w:val="20"/>
          <w:color w:val="auto"/>
        </w:rPr>
      </w:pPr>
    </w:p>
    <w:p>
      <w:pPr>
        <w:ind w:right="100" w:firstLine="576"/>
        <w:spacing w:after="0" w:line="241" w:lineRule="auto"/>
        <w:rPr>
          <w:sz w:val="20"/>
          <w:szCs w:val="20"/>
          <w:color w:val="auto"/>
        </w:rPr>
      </w:pPr>
      <w:r>
        <w:rPr>
          <w:rFonts w:ascii="Arial" w:cs="Arial" w:eastAsia="Arial" w:hAnsi="Arial"/>
          <w:sz w:val="18"/>
          <w:szCs w:val="18"/>
          <w:color w:val="auto"/>
        </w:rPr>
        <w:t xml:space="preserve">Certain conversion and redemption features as described above were determined to be an embedded derivative requiring bifurcation and separate accounting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fair value of the embedded derivative was determined using a discounted cash flow simulation methodology that assigns probabilities to the timing and likelihood of each event. The discount rate was determined based on market interest rate data for securities with similar durations and credit ratings to the convertible notes. The fair value of the embedded derivative was recorded as a liability with an offsetting amount recorded as a discount on the convertible notes at each issuance. The discount is being amortized to interest expense using the effective interest method over the contractual term of the notes.</w:t>
      </w:r>
    </w:p>
    <w:p>
      <w:pPr>
        <w:spacing w:after="0" w:line="179" w:lineRule="exact"/>
        <w:rPr>
          <w:sz w:val="20"/>
          <w:szCs w:val="20"/>
          <w:color w:val="auto"/>
        </w:rPr>
      </w:pPr>
    </w:p>
    <w:p>
      <w:pPr>
        <w:ind w:firstLine="576"/>
        <w:spacing w:after="0" w:line="276" w:lineRule="auto"/>
        <w:rPr>
          <w:sz w:val="20"/>
          <w:szCs w:val="20"/>
          <w:color w:val="auto"/>
        </w:rPr>
      </w:pPr>
      <w:r>
        <w:rPr>
          <w:rFonts w:ascii="Arial" w:cs="Arial" w:eastAsia="Arial" w:hAnsi="Arial"/>
          <w:sz w:val="18"/>
          <w:szCs w:val="18"/>
          <w:color w:val="auto"/>
        </w:rPr>
        <w:t>In May 2020, the outstanding principal balance of the convertible notes of $2.2 million and accrued interest of $131,000 converted into 294,197 shares of Series B-1 convertible preferred stock. See Note 17.</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carrying value of the convertible notes as of December 31 were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Convertible note principal and accrued interest</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Less: unamortized discount for issuance costs</w:t>
            </w:r>
          </w:p>
        </w:tc>
        <w:tc>
          <w:tcPr>
            <w:tcW w:w="9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discount related to derivative liability</w:t>
            </w:r>
          </w:p>
        </w:tc>
        <w:tc>
          <w:tcPr>
            <w:tcW w:w="9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(532)</w:t>
            </w: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(670)</w:t>
            </w:r>
          </w:p>
        </w:tc>
      </w:tr>
      <w:tr>
        <w:trPr>
          <w:trHeight w:val="210"/>
        </w:trPr>
        <w:tc>
          <w:tcPr>
            <w:tcW w:w="7700" w:type="dxa"/>
            <w:vAlign w:val="bottom"/>
          </w:tcPr>
          <w:p>
            <w:pPr>
              <w:ind w:left="260"/>
              <w:spacing w:after="0"/>
              <w:rPr>
                <w:sz w:val="20"/>
                <w:szCs w:val="20"/>
                <w:color w:val="auto"/>
              </w:rPr>
            </w:pPr>
            <w:r>
              <w:rPr>
                <w:rFonts w:ascii="Arial" w:cs="Arial" w:eastAsia="Arial" w:hAnsi="Arial"/>
                <w:sz w:val="18"/>
                <w:szCs w:val="18"/>
                <w:color w:val="auto"/>
              </w:rPr>
              <w:t>Net carrying value, convertible notes</w:t>
            </w: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0" w:lineRule="exact"/>
        <w:rPr>
          <w:sz w:val="20"/>
          <w:szCs w:val="20"/>
          <w:color w:val="auto"/>
        </w:rPr>
      </w:pPr>
    </w:p>
    <w:p>
      <w:pPr>
        <w:ind w:right="7800" w:firstLine="8"/>
        <w:spacing w:after="0" w:line="361" w:lineRule="auto"/>
        <w:tabs>
          <w:tab w:leader="none" w:pos="567"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Operating Leases</w:t>
      </w:r>
    </w:p>
    <w:p>
      <w:pPr>
        <w:ind w:right="180" w:firstLine="576"/>
        <w:spacing w:after="0" w:line="248" w:lineRule="auto"/>
        <w:rPr>
          <w:sz w:val="20"/>
          <w:szCs w:val="20"/>
          <w:color w:val="auto"/>
        </w:rPr>
      </w:pPr>
      <w:r>
        <w:rPr>
          <w:rFonts w:ascii="Arial" w:cs="Arial" w:eastAsia="Arial" w:hAnsi="Arial"/>
          <w:sz w:val="18"/>
          <w:szCs w:val="18"/>
          <w:color w:val="auto"/>
        </w:rPr>
        <w:t xml:space="preserve">The Company leases office and laboratory space with a one-year lease term. Rent is expensed as incurred. The Company incurred rent expense of approximately $82,000 and $97,000 for the years ended December 31, 2018 and 2019, respectively. The Company will continue to account for its leases under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until it adopts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discussed further under </w:t>
      </w:r>
      <w:r>
        <w:rPr>
          <w:rFonts w:ascii="Arial" w:cs="Arial" w:eastAsia="Arial" w:hAnsi="Arial"/>
          <w:sz w:val="18"/>
          <w:szCs w:val="18"/>
          <w:i w:val="1"/>
          <w:iCs w:val="1"/>
          <w:color w:val="auto"/>
        </w:rPr>
        <w:t>Recent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Pronouncements Not Yet Adopted </w:t>
      </w:r>
      <w:r>
        <w:rPr>
          <w:rFonts w:ascii="Arial" w:cs="Arial" w:eastAsia="Arial" w:hAnsi="Arial"/>
          <w:sz w:val="18"/>
          <w:szCs w:val="18"/>
          <w:color w:val="auto"/>
        </w:rPr>
        <w:t>in Note 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04" w:lineRule="exact"/>
        <w:rPr>
          <w:sz w:val="20"/>
          <w:szCs w:val="20"/>
          <w:color w:val="auto"/>
        </w:rPr>
      </w:pPr>
    </w:p>
    <w:p>
      <w:pPr>
        <w:ind w:right="140" w:firstLine="576"/>
        <w:spacing w:after="0" w:line="276"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it is probable that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6" w:name="page217"/>
    <w:bookmarkEnd w:id="216"/>
    <w:p>
      <w:pPr>
        <w:ind w:right="20"/>
        <w:spacing w:after="0" w:line="276" w:lineRule="auto"/>
        <w:rPr>
          <w:sz w:val="20"/>
          <w:szCs w:val="20"/>
          <w:color w:val="auto"/>
        </w:rPr>
      </w:pPr>
      <w:r>
        <w:rPr>
          <w:rFonts w:ascii="Arial" w:cs="Arial" w:eastAsia="Arial" w:hAnsi="Arial"/>
          <w:sz w:val="18"/>
          <w:szCs w:val="18"/>
          <w:color w:val="auto"/>
        </w:rPr>
        <w:t>future expenditures will be made and that such expenditures can be reasonably estimated. Significant judgment is required to determine both probability and the estimated amount.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04" w:lineRule="exact"/>
        <w:rPr>
          <w:sz w:val="20"/>
          <w:szCs w:val="20"/>
          <w:color w:val="auto"/>
        </w:rPr>
      </w:pPr>
    </w:p>
    <w:p>
      <w:pPr>
        <w:ind w:right="40" w:firstLine="576"/>
        <w:spacing w:after="0" w:line="239" w:lineRule="auto"/>
        <w:rPr>
          <w:sz w:val="20"/>
          <w:szCs w:val="20"/>
          <w:color w:val="auto"/>
        </w:rPr>
      </w:pPr>
      <w:r>
        <w:rPr>
          <w:rFonts w:ascii="Arial" w:cs="Arial" w:eastAsia="Arial" w:hAnsi="Arial"/>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intends to enter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 coverage that reduces its exposure and enables the Company to recover a portion of any future amounts paid. The Company believes the estimated fair value of these indemnification agreements in excess of applicable insurance coverage is minimal.</w:t>
      </w:r>
    </w:p>
    <w:p>
      <w:pPr>
        <w:spacing w:after="0" w:line="286" w:lineRule="exact"/>
        <w:rPr>
          <w:sz w:val="20"/>
          <w:szCs w:val="20"/>
          <w:color w:val="auto"/>
        </w:rPr>
      </w:pPr>
    </w:p>
    <w:p>
      <w:pPr>
        <w:ind w:left="580" w:hanging="572"/>
        <w:spacing w:after="0"/>
        <w:tabs>
          <w:tab w:leader="none" w:pos="58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0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Convertible preferred stock as of December 31, 2018 and 2019 consisted of the following (in thousands, except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Carrying Value at</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Aggregate</w:t>
            </w:r>
          </w:p>
        </w:tc>
      </w:tr>
      <w:tr>
        <w:trPr>
          <w:trHeight w:val="177"/>
        </w:trPr>
        <w:tc>
          <w:tcPr>
            <w:tcW w:w="3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Convertible</w:t>
            </w: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Shares</w:t>
            </w: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Issued and</w:t>
            </w: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Liquidation</w:t>
            </w:r>
          </w:p>
        </w:tc>
      </w:tr>
      <w:tr>
        <w:trPr>
          <w:trHeight w:val="169"/>
        </w:trPr>
        <w:tc>
          <w:tcPr>
            <w:tcW w:w="3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Preferred Stock</w:t>
            </w: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Authorized</w:t>
            </w: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280" w:type="dxa"/>
            <w:vAlign w:val="bottom"/>
          </w:tcPr>
          <w:p>
            <w:pPr>
              <w:spacing w:after="0"/>
              <w:rPr>
                <w:sz w:val="14"/>
                <w:szCs w:val="14"/>
                <w:color w:val="auto"/>
              </w:rPr>
            </w:pPr>
          </w:p>
        </w:tc>
        <w:tc>
          <w:tcPr>
            <w:tcW w:w="1000" w:type="dxa"/>
            <w:vAlign w:val="bottom"/>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Preference</w:t>
            </w:r>
          </w:p>
        </w:tc>
      </w:tr>
      <w:tr>
        <w:trPr>
          <w:trHeight w:val="209"/>
        </w:trPr>
        <w:tc>
          <w:tcPr>
            <w:tcW w:w="3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Series A</w:t>
            </w:r>
          </w:p>
        </w:tc>
        <w:tc>
          <w:tcPr>
            <w:tcW w:w="16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1,714,963</w:t>
            </w:r>
          </w:p>
        </w:tc>
        <w:tc>
          <w:tcPr>
            <w:tcW w:w="26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1,534,885</w:t>
            </w:r>
          </w:p>
        </w:tc>
        <w:tc>
          <w:tcPr>
            <w:tcW w:w="2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15,163</w:t>
            </w:r>
          </w:p>
        </w:tc>
        <w:tc>
          <w:tcPr>
            <w:tcW w:w="26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15,163</w:t>
            </w: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3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Series A-1</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1,082,501</w:t>
            </w:r>
          </w:p>
        </w:tc>
        <w:tc>
          <w:tcPr>
            <w:tcW w:w="260" w:type="dxa"/>
            <w:vAlign w:val="bottom"/>
            <w:tcBorders>
              <w:bottom w:val="single" w:sz="8" w:color="CFF0FC"/>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1,082,501</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26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120" w:type="dxa"/>
            <w:vAlign w:val="bottom"/>
            <w:tcBorders>
              <w:bottom w:val="single" w:sz="8" w:color="CFF0FC"/>
            </w:tcBorders>
          </w:tcPr>
          <w:p>
            <w:pPr>
              <w:spacing w:after="0"/>
              <w:rPr>
                <w:sz w:val="18"/>
                <w:szCs w:val="18"/>
                <w:color w:val="auto"/>
              </w:rPr>
            </w:pPr>
          </w:p>
        </w:tc>
      </w:tr>
      <w:tr>
        <w:trPr>
          <w:trHeight w:val="210"/>
        </w:trPr>
        <w:tc>
          <w:tcPr>
            <w:tcW w:w="374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2,797,464</w:t>
            </w:r>
          </w:p>
        </w:tc>
        <w:tc>
          <w:tcPr>
            <w:tcW w:w="26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17,051</w:t>
            </w:r>
          </w:p>
        </w:tc>
        <w:tc>
          <w:tcPr>
            <w:tcW w:w="2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17,051</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right="20" w:firstLine="576"/>
        <w:spacing w:after="0" w:line="276" w:lineRule="auto"/>
        <w:rPr>
          <w:sz w:val="20"/>
          <w:szCs w:val="20"/>
          <w:color w:val="auto"/>
        </w:rPr>
      </w:pPr>
      <w:r>
        <w:rPr>
          <w:rFonts w:ascii="Arial" w:cs="Arial" w:eastAsia="Arial" w:hAnsi="Arial"/>
          <w:sz w:val="18"/>
          <w:szCs w:val="18"/>
          <w:color w:val="auto"/>
        </w:rPr>
        <w:t>The rights, preferences, and privileges of the Series A and Series A-1 convertible preferred stock (collectively, Preferred Stock) are as follows: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The holders of shares of Series A and Series A-1 Preferred Stock are entitled to receive non-cumulative dividends and non-dividend distributions in preference to any dividend or non-dividend distribution on the common stock, when, and if declared by the Company’s board of directors. Such dividend and non-dividend distribution preference survives until the holders of the Series A Preferred Stock and Series A-1 Preferred Stock have received a per share amount equal to: (a) in the case of dividends, 1.32 times the Series A Purchase Price or Series A-1 Purchase Price, as applicable, or (b) in the case of non-dividend distributions, the Series A Purchase Price or Series A-1 Purchase Price, as applicable.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104" w:lineRule="exact"/>
        <w:rPr>
          <w:sz w:val="20"/>
          <w:szCs w:val="20"/>
          <w:color w:val="auto"/>
        </w:rPr>
      </w:pPr>
    </w:p>
    <w:p>
      <w:pPr>
        <w:jc w:val="both"/>
        <w:ind w:right="60" w:firstLine="576"/>
        <w:spacing w:after="0" w:line="243" w:lineRule="auto"/>
        <w:rPr>
          <w:sz w:val="20"/>
          <w:szCs w:val="20"/>
          <w:color w:val="auto"/>
        </w:rPr>
      </w:pPr>
      <w:r>
        <w:rPr>
          <w:rFonts w:ascii="Arial" w:cs="Arial" w:eastAsia="Arial" w:hAnsi="Arial"/>
          <w:sz w:val="18"/>
          <w:szCs w:val="18"/>
          <w:color w:val="auto"/>
        </w:rPr>
        <w:t>Preferred Stock will automatically convert into shares of common stock on a 1:1 basis upon the earlier to occur: (a) after the payment of the distribution preference to the holders of the Series A and Series A-1 Preferred Stock, and (b) upon the closing of a firmly underwritten public offering pursuant to an effective registration statement covering the offer and sale of common stock in which the gross proceeds to the Company are at least $50.0 million. The conversion ratio will be adjusted in the case of specified changes to the Company’s capitalization as a result of stock splits, combinations, common stock dividends and distributions, reclassifications, exchanges, substitutions, reorganizations, mergers or consolidations.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17" w:name="page218"/>
    <w:bookmarkEnd w:id="217"/>
    <w:p>
      <w:pPr>
        <w:ind w:right="60" w:firstLine="576"/>
        <w:spacing w:after="0" w:line="255" w:lineRule="auto"/>
        <w:rPr>
          <w:sz w:val="20"/>
          <w:szCs w:val="20"/>
          <w:color w:val="auto"/>
        </w:rPr>
      </w:pPr>
      <w:r>
        <w:rPr>
          <w:rFonts w:ascii="Arial" w:cs="Arial" w:eastAsia="Arial" w:hAnsi="Arial"/>
          <w:sz w:val="18"/>
          <w:szCs w:val="18"/>
          <w:color w:val="auto"/>
        </w:rPr>
        <w:t>In addition to the automatic conversion, the holders of Series A and Series A-1 Preferred Stock have the right to convert such shares, at any time, into shares of common stock. The initial conversion rate shall be 1:1, subject to any adjustments for stock splits, combinations, common stock dividends and distributions, reclassifications, exchanges, substitutions, reorganizations, mergers or consolidations.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Distributions After Conversion</w:t>
      </w:r>
    </w:p>
    <w:p>
      <w:pPr>
        <w:spacing w:after="0" w:line="104" w:lineRule="exact"/>
        <w:rPr>
          <w:sz w:val="20"/>
          <w:szCs w:val="20"/>
          <w:color w:val="auto"/>
        </w:rPr>
      </w:pPr>
    </w:p>
    <w:p>
      <w:pPr>
        <w:jc w:val="both"/>
        <w:ind w:right="80" w:firstLine="576"/>
        <w:spacing w:after="0" w:line="255" w:lineRule="auto"/>
        <w:rPr>
          <w:sz w:val="20"/>
          <w:szCs w:val="20"/>
          <w:color w:val="auto"/>
        </w:rPr>
      </w:pPr>
      <w:r>
        <w:rPr>
          <w:rFonts w:ascii="Arial" w:cs="Arial" w:eastAsia="Arial" w:hAnsi="Arial"/>
          <w:sz w:val="18"/>
          <w:szCs w:val="18"/>
          <w:color w:val="auto"/>
        </w:rPr>
        <w:t>After such conversions, the holders of common stock (including the holders of common stock issued upon conversion of the Series A and Series A-1 Preferred Stock) are entitled to participate pro rata in any dividends or non-dividend distributions paid on the Common Stock, when, as and if declared by the board of directors.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Acquisition or Asset Sale</w:t>
      </w:r>
    </w:p>
    <w:p>
      <w:pPr>
        <w:spacing w:after="0" w:line="104"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In the event of any liquidation or winding up of the Company, or upon an acquisition of the Company or the sale or other disposition of substantially all of the Company’s assets, the proceeds shall be paid first to the holders of the Series A and Series A-1 Preferred Stock equal to their purchase price, less any declared and paid dividends or non-dividend distributions. Any remaining amounts shall be distributed to the holders of the common stock, Series A Preferred Stock and Series A-1 Preferred Stock on a pro rata basis. The liquidation preference is less than the carrying value of the Series A-1 preferred stock as a portion of the carrying value originated from an $815,000 beneficial conversion feature recorded upon issuance of the underlying shares.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holder has one vote for each share of Series A or Series A-1 Preferred Stock.</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w:t>
      </w:r>
    </w:p>
    <w:p>
      <w:pPr>
        <w:spacing w:after="0" w:line="104"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Upon the occurrence of certain change in control events that are outside the Company’s control, including liquidation, sale or transfer of the Company, holders of the convertible preferred stock can effectively cause redemption for cash. As a result, the Company has classified the convertible preferred stock as mezzanine equity on the balance sheets as the stock is contingently redeemable. The Company has elected not to adjust the carrying values of the convertible preferred stock to the liquidation preferences of such shares because it is uncertain whether or when an event would occur that would obligate the Company to pay the liquidation preferences to holders of shares of convertible preferred stock. Subsequent adjustments to the carrying values to the liquidation preferences will be made only when it becomes probable that such a liquidation event will occur.</w:t>
      </w:r>
    </w:p>
    <w:p>
      <w:pPr>
        <w:spacing w:after="0" w:line="285" w:lineRule="exact"/>
        <w:rPr>
          <w:sz w:val="20"/>
          <w:szCs w:val="20"/>
          <w:color w:val="auto"/>
        </w:rPr>
      </w:pPr>
    </w:p>
    <w:p>
      <w:pPr>
        <w:ind w:left="580" w:hanging="572"/>
        <w:spacing w:after="0"/>
        <w:tabs>
          <w:tab w:leader="none" w:pos="58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06" w:lineRule="exact"/>
        <w:rPr>
          <w:sz w:val="20"/>
          <w:szCs w:val="20"/>
          <w:color w:val="auto"/>
        </w:rPr>
      </w:pPr>
    </w:p>
    <w:p>
      <w:pPr>
        <w:ind w:right="100" w:firstLine="576"/>
        <w:spacing w:after="0" w:line="255" w:lineRule="auto"/>
        <w:rPr>
          <w:sz w:val="20"/>
          <w:szCs w:val="20"/>
          <w:color w:val="auto"/>
        </w:rPr>
      </w:pPr>
      <w:r>
        <w:rPr>
          <w:rFonts w:ascii="Arial" w:cs="Arial" w:eastAsia="Arial" w:hAnsi="Arial"/>
          <w:sz w:val="18"/>
          <w:szCs w:val="18"/>
          <w:color w:val="auto"/>
        </w:rPr>
        <w:t>Each share of common stock has the right to one vote. The holders of common stock are also entitled to receive dividends whenever funds are legally available and if declared by the board of directors, subject to the prior rights of holders of all classes of stock outstanding having priority rights as to dividends. No cash dividends have been declared by the board of directors from inception.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8" w:name="page219"/>
    <w:bookmarkEnd w:id="218"/>
    <w:p>
      <w:pPr>
        <w:ind w:left="580"/>
        <w:spacing w:after="0"/>
        <w:rPr>
          <w:sz w:val="20"/>
          <w:szCs w:val="20"/>
          <w:color w:val="auto"/>
        </w:rPr>
      </w:pPr>
      <w:r>
        <w:rPr>
          <w:rFonts w:ascii="Arial" w:cs="Arial" w:eastAsia="Arial" w:hAnsi="Arial"/>
          <w:sz w:val="18"/>
          <w:szCs w:val="18"/>
          <w:color w:val="auto"/>
        </w:rPr>
        <w:t>The Company has reserved the following shares of common stock for future issuance, on an as-converted basis, as follows:</w:t>
      </w:r>
    </w:p>
    <w:p>
      <w:pPr>
        <w:spacing w:after="0" w:line="233"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As of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Borders>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Stock options outstanding</w:t>
            </w:r>
          </w:p>
        </w:tc>
        <w:tc>
          <w:tcPr>
            <w:tcW w:w="1560" w:type="dxa"/>
            <w:vAlign w:val="bottom"/>
          </w:tcPr>
          <w:p>
            <w:pPr>
              <w:jc w:val="right"/>
              <w:spacing w:after="0"/>
              <w:rPr>
                <w:sz w:val="20"/>
                <w:szCs w:val="20"/>
                <w:color w:val="auto"/>
              </w:rPr>
            </w:pPr>
            <w:r>
              <w:rPr>
                <w:rFonts w:ascii="Arial" w:cs="Arial" w:eastAsia="Arial" w:hAnsi="Arial"/>
                <w:sz w:val="18"/>
                <w:szCs w:val="18"/>
                <w:color w:val="auto"/>
              </w:rPr>
              <w:t>1,263,831</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1,514,770</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future grant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220,675</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399,737</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Common stock 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280" w:type="dxa"/>
            <w:vAlign w:val="bottom"/>
            <w:tcBorders>
              <w:bottom w:val="single" w:sz="8" w:color="CFF0FC"/>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120" w:type="dxa"/>
            <w:vAlign w:val="bottom"/>
            <w:tcBorders>
              <w:bottom w:val="single" w:sz="8" w:color="CFF0FC"/>
            </w:tcBorders>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4,105,202</w:t>
            </w:r>
          </w:p>
        </w:tc>
        <w:tc>
          <w:tcPr>
            <w:tcW w:w="28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4,535,203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Common stock warrants are exercisable at a price of $7.93 per share through April 8, 2021.</w:t>
      </w:r>
    </w:p>
    <w:p>
      <w:pPr>
        <w:spacing w:after="0" w:line="318" w:lineRule="exact"/>
        <w:rPr>
          <w:sz w:val="20"/>
          <w:szCs w:val="20"/>
          <w:color w:val="auto"/>
        </w:rPr>
      </w:pPr>
    </w:p>
    <w:p>
      <w:pPr>
        <w:ind w:left="580" w:hanging="572"/>
        <w:spacing w:after="0"/>
        <w:tabs>
          <w:tab w:leader="none" w:pos="58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06" w:lineRule="exact"/>
        <w:rPr>
          <w:sz w:val="20"/>
          <w:szCs w:val="20"/>
          <w:color w:val="auto"/>
        </w:rPr>
      </w:pPr>
    </w:p>
    <w:p>
      <w:pPr>
        <w:jc w:val="both"/>
        <w:ind w:right="340" w:firstLine="576"/>
        <w:spacing w:after="0" w:line="248" w:lineRule="auto"/>
        <w:rPr>
          <w:sz w:val="20"/>
          <w:szCs w:val="20"/>
          <w:color w:val="auto"/>
        </w:rPr>
      </w:pPr>
      <w:r>
        <w:rPr>
          <w:rFonts w:ascii="Arial" w:cs="Arial" w:eastAsia="Arial" w:hAnsi="Arial"/>
          <w:sz w:val="18"/>
          <w:szCs w:val="18"/>
          <w:color w:val="auto"/>
        </w:rPr>
        <w:t>The Company maintains the 2014 Equity Incentive Plan (“2014 Plan”), as amended in August 2016, which allows for the grant of incentive stock options, non-statutory stock options, stock appreciation rights, restricted stock awards, and restricted stock unit awards to employees, officers, non-employee directors, consultants and advisors. As of December 31, 2019, the Company has reserved 3,076,214 shares of common stock for issuance under the 2014 Plan.</w:t>
      </w:r>
    </w:p>
    <w:p>
      <w:pPr>
        <w:spacing w:after="0" w:line="170"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color w:val="auto"/>
        </w:rPr>
        <w:t>The Company grants stock options with exercise prices equal to the estimated fair value of common stock on the date of the grant as determined by the board of directors based on the most recent third-party valuation of the common stock. Terms of stock award agreements, including vesting requirements, are determined by the board of directors, subject to the provisions of the plan, and typically have a contractual term of ten years from the date of grant. In the case of options granted to holders of more than 10% of the voting power of the Company, the exercise price may not be less than 110% of the fair market value of the common stock on the date the option is granted, and the term of the option may not exceed five years. Stock options granted have multiple vesting schedules ranging from immediate 100% vesting to cliff vesting ratably over four years.</w:t>
      </w:r>
    </w:p>
    <w:p>
      <w:pPr>
        <w:spacing w:after="0" w:line="179" w:lineRule="exact"/>
        <w:rPr>
          <w:sz w:val="20"/>
          <w:szCs w:val="20"/>
          <w:color w:val="auto"/>
        </w:rPr>
      </w:pPr>
    </w:p>
    <w:p>
      <w:pPr>
        <w:ind w:right="340" w:firstLine="576"/>
        <w:spacing w:after="0" w:line="276" w:lineRule="auto"/>
        <w:rPr>
          <w:sz w:val="20"/>
          <w:szCs w:val="20"/>
          <w:color w:val="auto"/>
        </w:rPr>
      </w:pPr>
      <w:r>
        <w:rPr>
          <w:rFonts w:ascii="Arial" w:cs="Arial" w:eastAsia="Arial" w:hAnsi="Arial"/>
          <w:sz w:val="18"/>
          <w:szCs w:val="18"/>
          <w:color w:val="auto"/>
        </w:rPr>
        <w:t>Restricted stock awards are awards of a specific number of shares of the Company’s common stock, and are subject to continued service and vesting conditions.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79" w:lineRule="exact"/>
        <w:rPr>
          <w:sz w:val="20"/>
          <w:szCs w:val="20"/>
          <w:color w:val="auto"/>
        </w:rPr>
      </w:pPr>
    </w:p>
    <w:p>
      <w:pPr>
        <w:ind w:left="58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was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9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100" w:type="dxa"/>
            <w:vAlign w:val="bottom"/>
            <w:tcBorders>
              <w:top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30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stock-based compensation expense</w:t>
            </w: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3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04" w:lineRule="exact"/>
        <w:rPr>
          <w:sz w:val="20"/>
          <w:szCs w:val="20"/>
          <w:color w:val="auto"/>
        </w:rPr>
      </w:pPr>
    </w:p>
    <w:p>
      <w:pPr>
        <w:ind w:right="380" w:firstLine="576"/>
        <w:spacing w:after="0" w:line="276" w:lineRule="auto"/>
        <w:rPr>
          <w:sz w:val="20"/>
          <w:szCs w:val="20"/>
          <w:color w:val="auto"/>
        </w:rPr>
      </w:pPr>
      <w:r>
        <w:rPr>
          <w:rFonts w:ascii="Arial" w:cs="Arial" w:eastAsia="Arial" w:hAnsi="Arial"/>
          <w:sz w:val="18"/>
          <w:szCs w:val="18"/>
          <w:color w:val="auto"/>
        </w:rPr>
        <w:t>The fair value of stock options was determined using the Black-Scholes option-pricing model and the assumptions below. Each of these inputs is subjective and generally required significant judgment.</w:t>
      </w:r>
    </w:p>
    <w:p>
      <w:pPr>
        <w:spacing w:after="0" w:line="37" w:lineRule="exact"/>
        <w:rPr>
          <w:sz w:val="20"/>
          <w:szCs w:val="20"/>
          <w:color w:val="auto"/>
        </w:rPr>
      </w:pPr>
    </w:p>
    <w:p>
      <w:pPr>
        <w:ind w:left="800" w:hanging="225"/>
        <w:spacing w:after="0" w:line="244" w:lineRule="auto"/>
        <w:tabs>
          <w:tab w:leader="none" w:pos="800" w:val="left"/>
        </w:tabs>
        <w:numPr>
          <w:ilvl w:val="0"/>
          <w:numId w:val="13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grant date fair market value of the shares of common stock underlying stock options has</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historically been determined by the Company’s board of directors. Because there has been no public market for the Company’s common stock, the board of directors exercises reasonable judgment and considers a number of objective and subjective factors to determine the best estimate of the fair market value, which include contemporaneous valuations performed by an independent third-party, important developments in the Company’s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9" w:name="page220"/>
    <w:bookmarkEnd w:id="219"/>
    <w:p>
      <w:pPr>
        <w:ind w:left="800" w:right="40"/>
        <w:spacing w:after="0" w:line="245" w:lineRule="auto"/>
        <w:rPr>
          <w:sz w:val="20"/>
          <w:szCs w:val="20"/>
          <w:color w:val="auto"/>
        </w:rPr>
      </w:pPr>
      <w:r>
        <w:rPr>
          <w:rFonts w:ascii="Arial" w:cs="Arial" w:eastAsia="Arial" w:hAnsi="Arial"/>
          <w:sz w:val="18"/>
          <w:szCs w:val="18"/>
          <w:color w:val="auto"/>
        </w:rPr>
        <w:t>operations, sales of convertible preferred stock, the rights, preferences and privileges of the Company’s convertible preferred stock relative to those of its common stock, lack of marketability of its common stock, actual operating results, financial performance, the progress of clinical development, the likelihood of achieving a liquidity event for the Company’s security holders, the trends, development and conditions in the life sciences and biotechnology sectors, the economy in general, the stock price performance and volatility of comparable public companies.</w:t>
      </w:r>
    </w:p>
    <w:p>
      <w:pPr>
        <w:spacing w:after="0" w:line="64" w:lineRule="exact"/>
        <w:rPr>
          <w:sz w:val="20"/>
          <w:szCs w:val="20"/>
          <w:color w:val="auto"/>
        </w:rPr>
      </w:pPr>
    </w:p>
    <w:p>
      <w:pPr>
        <w:ind w:left="800" w:right="140" w:hanging="225"/>
        <w:spacing w:after="0" w:line="275" w:lineRule="auto"/>
        <w:tabs>
          <w:tab w:leader="none" w:pos="800" w:val="left"/>
        </w:tabs>
        <w:numPr>
          <w:ilvl w:val="0"/>
          <w:numId w:val="14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w:t>
      </w:r>
      <w:r>
        <w:rPr>
          <w:rFonts w:ascii="Arial" w:cs="Arial" w:eastAsia="Arial" w:hAnsi="Arial"/>
          <w:sz w:val="18"/>
          <w:szCs w:val="18"/>
          <w:i w:val="1"/>
          <w:iCs w:val="1"/>
          <w:color w:val="auto"/>
        </w:rPr>
        <w:t xml:space="preserve"> </w:t>
      </w:r>
      <w:r>
        <w:rPr>
          <w:rFonts w:ascii="Arial" w:cs="Arial" w:eastAsia="Arial" w:hAnsi="Arial"/>
          <w:sz w:val="18"/>
          <w:szCs w:val="18"/>
          <w:color w:val="auto"/>
        </w:rPr>
        <w:t>for periods corresponding with the expected term of the option.</w:t>
      </w:r>
    </w:p>
    <w:p>
      <w:pPr>
        <w:spacing w:after="0" w:line="37" w:lineRule="exact"/>
        <w:rPr>
          <w:rFonts w:ascii="Times New Roman" w:cs="Times New Roman" w:eastAsia="Times New Roman" w:hAnsi="Times New Roman"/>
          <w:sz w:val="18"/>
          <w:szCs w:val="18"/>
          <w:color w:val="auto"/>
        </w:rPr>
      </w:pPr>
    </w:p>
    <w:p>
      <w:pPr>
        <w:ind w:left="800" w:right="80" w:hanging="225"/>
        <w:spacing w:after="0" w:line="244" w:lineRule="auto"/>
        <w:tabs>
          <w:tab w:leader="none" w:pos="800" w:val="left"/>
        </w:tabs>
        <w:numPr>
          <w:ilvl w:val="0"/>
          <w:numId w:val="14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—Because the Company has been privately held and does not have any trading history for its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w:t>
      </w:r>
    </w:p>
    <w:p>
      <w:pPr>
        <w:spacing w:after="0" w:line="67" w:lineRule="exact"/>
        <w:rPr>
          <w:rFonts w:ascii="Times New Roman" w:cs="Times New Roman" w:eastAsia="Times New Roman" w:hAnsi="Times New Roman"/>
          <w:sz w:val="18"/>
          <w:szCs w:val="18"/>
          <w:color w:val="auto"/>
        </w:rPr>
      </w:pPr>
    </w:p>
    <w:p>
      <w:pPr>
        <w:ind w:left="800" w:right="180" w:hanging="225"/>
        <w:spacing w:after="0" w:line="255" w:lineRule="auto"/>
        <w:tabs>
          <w:tab w:leader="none" w:pos="800" w:val="left"/>
        </w:tabs>
        <w:numPr>
          <w:ilvl w:val="0"/>
          <w:numId w:val="14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simplified method (based on the mid-point between the vesting date and the end of the contractual term) as the Company has limited history of relevant stock option exercise activity.</w:t>
      </w:r>
    </w:p>
    <w:p>
      <w:pPr>
        <w:spacing w:after="0" w:line="54" w:lineRule="exact"/>
        <w:rPr>
          <w:rFonts w:ascii="Times New Roman" w:cs="Times New Roman" w:eastAsia="Times New Roman" w:hAnsi="Times New Roman"/>
          <w:sz w:val="18"/>
          <w:szCs w:val="18"/>
          <w:color w:val="auto"/>
        </w:rPr>
      </w:pPr>
    </w:p>
    <w:p>
      <w:pPr>
        <w:ind w:left="800" w:right="200" w:hanging="225"/>
        <w:spacing w:after="0" w:line="275" w:lineRule="auto"/>
        <w:tabs>
          <w:tab w:leader="none" w:pos="800" w:val="left"/>
        </w:tabs>
        <w:numPr>
          <w:ilvl w:val="0"/>
          <w:numId w:val="14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—The Company has never paid dividends on its common stock and has no plans to pay dividends on its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Therefore, it used an expected dividend yield of zero.</w:t>
      </w:r>
    </w:p>
    <w:p>
      <w:pPr>
        <w:spacing w:after="0" w:line="122" w:lineRule="exact"/>
        <w:rPr>
          <w:sz w:val="20"/>
          <w:szCs w:val="20"/>
          <w:color w:val="auto"/>
        </w:rPr>
      </w:pPr>
    </w:p>
    <w:p>
      <w:pPr>
        <w:ind w:right="160" w:firstLine="576"/>
        <w:spacing w:after="0" w:line="235" w:lineRule="exact"/>
        <w:rPr>
          <w:sz w:val="20"/>
          <w:szCs w:val="20"/>
          <w:color w:val="auto"/>
        </w:rPr>
      </w:pPr>
      <w:r>
        <w:rPr>
          <w:rFonts w:ascii="Arial" w:cs="Arial" w:eastAsia="Arial" w:hAnsi="Arial"/>
          <w:sz w:val="18"/>
          <w:szCs w:val="18"/>
          <w:color w:val="auto"/>
        </w:rPr>
        <w:t>The fair value of each stock option was estimated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with the following weighted-average assumptions:</w:t>
      </w:r>
    </w:p>
    <w:p>
      <w:pPr>
        <w:spacing w:after="0" w:line="197"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Year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00" w:type="dxa"/>
            <w:vAlign w:val="bottom"/>
            <w:tcBorders>
              <w:bottom w:val="single" w:sz="8" w:color="CFF0FC"/>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CFF0FC"/>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r>
      <w:tr>
        <w:trPr>
          <w:trHeight w:val="21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0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76.3%</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r>
      <w:tr>
        <w:trPr>
          <w:trHeight w:val="216"/>
        </w:trPr>
        <w:tc>
          <w:tcPr>
            <w:tcW w:w="8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FF0FC"/>
          </w:tcPr>
          <w:p>
            <w:pPr>
              <w:spacing w:after="0"/>
              <w:rPr>
                <w:sz w:val="18"/>
                <w:szCs w:val="18"/>
                <w:color w:val="auto"/>
              </w:rPr>
            </w:pPr>
          </w:p>
        </w:tc>
      </w:tr>
      <w:tr>
        <w:trPr>
          <w:trHeight w:val="243"/>
        </w:trPr>
        <w:tc>
          <w:tcPr>
            <w:tcW w:w="866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207" w:lineRule="exact"/>
        <w:rPr>
          <w:sz w:val="20"/>
          <w:szCs w:val="20"/>
          <w:color w:val="auto"/>
        </w:rPr>
      </w:pPr>
    </w:p>
    <w:p>
      <w:pPr>
        <w:ind w:right="160" w:firstLine="576"/>
        <w:spacing w:after="0" w:line="255" w:lineRule="auto"/>
        <w:rPr>
          <w:sz w:val="20"/>
          <w:szCs w:val="20"/>
          <w:color w:val="auto"/>
        </w:rPr>
      </w:pPr>
      <w:r>
        <w:rPr>
          <w:rFonts w:ascii="Arial" w:cs="Arial" w:eastAsia="Arial" w:hAnsi="Arial"/>
          <w:sz w:val="18"/>
          <w:szCs w:val="18"/>
          <w:color w:val="auto"/>
        </w:rPr>
        <w:t>The weighted-average grant-date fair value of options granted to employees and directors during the years ended December 31, 2018 and 2019 were $0.79 and $ 0.89, respectively. The re-measured weighted-average fair value of options granted to advisors during the years ended December 31, 2018 and 2019 were $1.08 and $1.06, respectively.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summary of option activity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Weighted-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Average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Available</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Price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77"/>
        </w:trPr>
        <w:tc>
          <w:tcPr>
            <w:tcW w:w="5200" w:type="dxa"/>
            <w:vAlign w:val="bottom"/>
          </w:tcPr>
          <w:p>
            <w:pPr>
              <w:spacing w:after="0"/>
              <w:rPr>
                <w:sz w:val="15"/>
                <w:szCs w:val="15"/>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for Grant</w:t>
            </w: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Per Share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09"/>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220,675</w:t>
            </w:r>
          </w:p>
        </w:tc>
        <w:tc>
          <w:tcPr>
            <w:tcW w:w="2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1,263,831</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0.93</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Authorized</w:t>
            </w:r>
          </w:p>
        </w:tc>
        <w:tc>
          <w:tcPr>
            <w:tcW w:w="1000" w:type="dxa"/>
            <w:vAlign w:val="bottom"/>
          </w:tcPr>
          <w:p>
            <w:pPr>
              <w:jc w:val="right"/>
              <w:spacing w:after="0"/>
              <w:rPr>
                <w:sz w:val="20"/>
                <w:szCs w:val="20"/>
                <w:color w:val="auto"/>
              </w:rPr>
            </w:pPr>
            <w:r>
              <w:rPr>
                <w:rFonts w:ascii="Arial" w:cs="Arial" w:eastAsia="Arial" w:hAnsi="Arial"/>
                <w:sz w:val="18"/>
                <w:szCs w:val="18"/>
                <w:color w:val="auto"/>
              </w:rPr>
              <w:t>511,966</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(351,819)</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351,819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Exercised</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(81,965)</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0.89</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Forfeited/expired</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18,915</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(18,915)</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December 31, 2019</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399,737</w:t>
            </w:r>
          </w:p>
        </w:tc>
        <w:tc>
          <w:tcPr>
            <w:tcW w:w="200" w:type="dxa"/>
            <w:vAlign w:val="bottom"/>
            <w:tcBorders>
              <w:bottom w:val="single" w:sz="8" w:color="CFF0FC"/>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1,514,770</w:t>
            </w: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7.16</w:t>
            </w:r>
          </w:p>
        </w:tc>
        <w:tc>
          <w:tcPr>
            <w:tcW w:w="32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2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Expected to vest</w:t>
            </w:r>
          </w:p>
        </w:tc>
        <w:tc>
          <w:tcPr>
            <w:tcW w:w="10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593,093</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1.35</w:t>
            </w: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8.79</w:t>
            </w:r>
          </w:p>
        </w:tc>
        <w:tc>
          <w:tcPr>
            <w:tcW w:w="32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0.83</w:t>
            </w:r>
          </w:p>
        </w:tc>
        <w:tc>
          <w:tcPr>
            <w:tcW w:w="22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6.11</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921,677</w:t>
            </w: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right="120" w:firstLine="576"/>
        <w:spacing w:after="0" w:line="248" w:lineRule="auto"/>
        <w:rPr>
          <w:sz w:val="20"/>
          <w:szCs w:val="20"/>
          <w:color w:val="auto"/>
        </w:rPr>
      </w:pPr>
      <w:r>
        <w:rPr>
          <w:rFonts w:ascii="Arial" w:cs="Arial" w:eastAsia="Arial" w:hAnsi="Arial"/>
          <w:sz w:val="18"/>
          <w:szCs w:val="18"/>
          <w:color w:val="auto"/>
        </w:rPr>
        <w:t>The total fair value of options granted to employees, directors, and advisors that vested during the year ended December 31, 2018 was $160,000, which included $115,000 for options granted to employees and directors and $45,000 for options granted to advisors. The total fair value of options that vested during the year ended December 31, 2019 was $183,000, which included $104,000 for options granted to employees and directors and $79,000 for options granted to advisors.</w:t>
      </w:r>
    </w:p>
    <w:p>
      <w:pPr>
        <w:spacing w:after="0" w:line="170" w:lineRule="exact"/>
        <w:rPr>
          <w:sz w:val="20"/>
          <w:szCs w:val="20"/>
          <w:color w:val="auto"/>
        </w:rPr>
      </w:pPr>
    </w:p>
    <w:p>
      <w:pPr>
        <w:ind w:right="120" w:firstLine="576"/>
        <w:spacing w:after="0" w:line="243" w:lineRule="auto"/>
        <w:rPr>
          <w:sz w:val="20"/>
          <w:szCs w:val="20"/>
          <w:color w:val="auto"/>
        </w:rPr>
      </w:pPr>
      <w:r>
        <w:rPr>
          <w:rFonts w:ascii="Arial" w:cs="Arial" w:eastAsia="Arial" w:hAnsi="Arial"/>
          <w:sz w:val="18"/>
          <w:szCs w:val="18"/>
          <w:color w:val="auto"/>
        </w:rPr>
        <w:t>The aggregate intrinsic value in the table above is calculated as the difference between the exercise price of the underlying options and the estimated fair value of the Company’s common stock for all options that were in-the-money at December 31, 2019. The aggregate intrinsic value of options exercised was $297,000 during 2018 and $38,500 during 2019, determined as of the date of option exercise. As of December 31, 2019, there was $374,000 of total unrecognized compensation cost related to unvested stock options. The Company expects to recognize this cost over a remaining weighted-average period of 1.41 years. The Company utilizes newly issued shares to satisfy option exercises.</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Stock options outstanding and exercisable consisted of the following at December 31, 2019: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60" w:type="dxa"/>
            <w:vAlign w:val="bottom"/>
            <w:gridSpan w:val="4"/>
          </w:tcPr>
          <w:p>
            <w:pPr>
              <w:ind w:left="380"/>
              <w:spacing w:after="0"/>
              <w:rPr>
                <w:sz w:val="20"/>
                <w:szCs w:val="20"/>
                <w:color w:val="auto"/>
              </w:rPr>
            </w:pPr>
            <w:r>
              <w:rPr>
                <w:rFonts w:ascii="Arial" w:cs="Arial" w:eastAsia="Arial" w:hAnsi="Arial"/>
                <w:sz w:val="14"/>
                <w:szCs w:val="14"/>
                <w:b w:val="1"/>
                <w:bCs w:val="1"/>
                <w:color w:val="auto"/>
              </w:rPr>
              <w:t>Employees and Directors</w:t>
            </w:r>
          </w:p>
        </w:tc>
        <w:tc>
          <w:tcPr>
            <w:tcW w:w="2640" w:type="dxa"/>
            <w:vAlign w:val="bottom"/>
            <w:gridSpan w:val="4"/>
          </w:tcPr>
          <w:p>
            <w:pPr>
              <w:ind w:left="720"/>
              <w:spacing w:after="0"/>
              <w:rPr>
                <w:sz w:val="20"/>
                <w:szCs w:val="20"/>
                <w:color w:val="auto"/>
              </w:rPr>
            </w:pPr>
            <w:r>
              <w:rPr>
                <w:rFonts w:ascii="Arial" w:cs="Arial" w:eastAsia="Arial" w:hAnsi="Arial"/>
                <w:sz w:val="14"/>
                <w:szCs w:val="14"/>
                <w:b w:val="1"/>
                <w:bCs w:val="1"/>
                <w:color w:val="auto"/>
              </w:rPr>
              <w:t>Non-employees</w:t>
            </w:r>
          </w:p>
        </w:tc>
      </w:tr>
      <w:tr>
        <w:trPr>
          <w:trHeight w:val="154"/>
        </w:trPr>
        <w:tc>
          <w:tcPr>
            <w:tcW w:w="5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Borders>
              <w:top w:val="single" w:sz="8" w:color="auto"/>
            </w:tcBorders>
            <w:gridSpan w:val="2"/>
          </w:tcPr>
          <w:p>
            <w:pPr>
              <w:jc w:val="center"/>
              <w:ind w:right="260"/>
              <w:spacing w:after="0" w:line="154" w:lineRule="exact"/>
              <w:rPr>
                <w:sz w:val="20"/>
                <w:szCs w:val="20"/>
                <w:color w:val="auto"/>
              </w:rPr>
            </w:pPr>
            <w:r>
              <w:rPr>
                <w:rFonts w:ascii="Arial" w:cs="Arial" w:eastAsia="Arial" w:hAnsi="Arial"/>
                <w:sz w:val="14"/>
                <w:szCs w:val="14"/>
                <w:b w:val="1"/>
                <w:bCs w:val="1"/>
                <w:color w:val="auto"/>
              </w:rPr>
              <w:t>Share</w:t>
            </w:r>
          </w:p>
        </w:tc>
        <w:tc>
          <w:tcPr>
            <w:tcW w:w="114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Share</w:t>
            </w:r>
          </w:p>
        </w:tc>
        <w:tc>
          <w:tcPr>
            <w:tcW w:w="240" w:type="dxa"/>
            <w:vAlign w:val="bottom"/>
          </w:tcPr>
          <w:p>
            <w:pPr>
              <w:spacing w:after="0"/>
              <w:rPr>
                <w:sz w:val="13"/>
                <w:szCs w:val="13"/>
                <w:color w:val="auto"/>
              </w:rPr>
            </w:pPr>
          </w:p>
        </w:tc>
        <w:tc>
          <w:tcPr>
            <w:tcW w:w="1380" w:type="dxa"/>
            <w:vAlign w:val="bottom"/>
            <w:tcBorders>
              <w:top w:val="single" w:sz="8" w:color="auto"/>
            </w:tcBorders>
            <w:gridSpan w:val="2"/>
          </w:tcPr>
          <w:p>
            <w:pPr>
              <w:jc w:val="center"/>
              <w:ind w:right="260"/>
              <w:spacing w:after="0" w:line="154" w:lineRule="exact"/>
              <w:rPr>
                <w:sz w:val="20"/>
                <w:szCs w:val="20"/>
                <w:color w:val="auto"/>
              </w:rPr>
            </w:pPr>
            <w:r>
              <w:rPr>
                <w:rFonts w:ascii="Arial" w:cs="Arial" w:eastAsia="Arial" w:hAnsi="Arial"/>
                <w:sz w:val="14"/>
                <w:szCs w:val="14"/>
                <w:b w:val="1"/>
                <w:bCs w:val="1"/>
                <w:color w:val="auto"/>
              </w:rPr>
              <w:t>Share</w:t>
            </w:r>
          </w:p>
        </w:tc>
        <w:tc>
          <w:tcPr>
            <w:tcW w:w="116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Share</w:t>
            </w:r>
          </w:p>
        </w:tc>
        <w:tc>
          <w:tcPr>
            <w:tcW w:w="100" w:type="dxa"/>
            <w:vAlign w:val="bottom"/>
          </w:tcPr>
          <w:p>
            <w:pPr>
              <w:spacing w:after="0"/>
              <w:rPr>
                <w:sz w:val="13"/>
                <w:szCs w:val="13"/>
                <w:color w:val="auto"/>
              </w:rPr>
            </w:pPr>
          </w:p>
        </w:tc>
      </w:tr>
      <w:tr>
        <w:trPr>
          <w:trHeight w:val="162"/>
        </w:trPr>
        <w:tc>
          <w:tcPr>
            <w:tcW w:w="5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Options</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Options</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Options</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Options</w:t>
            </w:r>
          </w:p>
        </w:tc>
      </w:tr>
      <w:tr>
        <w:trPr>
          <w:trHeight w:val="177"/>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Exercise Price ($)</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Exercisable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Exercisable</w:t>
            </w:r>
          </w:p>
        </w:tc>
      </w:tr>
      <w:tr>
        <w:trPr>
          <w:trHeight w:val="210"/>
        </w:trPr>
        <w:tc>
          <w:tcPr>
            <w:tcW w:w="5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0.16</w:t>
            </w:r>
          </w:p>
        </w:tc>
        <w:tc>
          <w:tcPr>
            <w:tcW w:w="1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75,660</w:t>
            </w: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75,660</w:t>
            </w: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15,762</w:t>
            </w:r>
          </w:p>
        </w:tc>
        <w:tc>
          <w:tcPr>
            <w:tcW w:w="2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15,762</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0.48</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288,453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288,453</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37,830</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241,164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194,139</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81,965</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81,964</w:t>
            </w: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66,517</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47,392</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34,677</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34,677</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63,050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63,050</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414,237</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22,067</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163,930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60,684</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31,525</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584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1,180,606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690,760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334,164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230,917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 Activity</w:t>
      </w:r>
    </w:p>
    <w:p>
      <w:pPr>
        <w:spacing w:after="0" w:line="104"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In 2018, the Company issued a restricted stock award (“RSA”) to an advisor under the 2014 Plan. The restricted stock award vests over three years and requires continued service to the Company during the vesting period. The vesting provisions of individual awards may vary as approved by the board of directors. If continued service terminates for any reason, the Company has the right to repurchase the unvested shares for no consideration. As of December 31, 2019, there were 8,407 shares subject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1" w:name="page222"/>
    <w:bookmarkEnd w:id="221"/>
    <w:p>
      <w:pPr>
        <w:ind w:right="780"/>
        <w:spacing w:after="0" w:line="276" w:lineRule="auto"/>
        <w:rPr>
          <w:sz w:val="20"/>
          <w:szCs w:val="20"/>
          <w:color w:val="auto"/>
        </w:rPr>
      </w:pPr>
      <w:r>
        <w:rPr>
          <w:rFonts w:ascii="Arial" w:cs="Arial" w:eastAsia="Arial" w:hAnsi="Arial"/>
          <w:sz w:val="18"/>
          <w:szCs w:val="18"/>
          <w:color w:val="auto"/>
        </w:rPr>
        <w:t>repurchase, all of which were related to non-employee RSAs and have been excluded from the weighted-average number of shares outstanding for the purposes of calculating earnings per share.</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summary of RSA activity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7720" w:type="dxa"/>
            <w:vAlign w:val="bottom"/>
          </w:tcPr>
          <w:p>
            <w:pPr>
              <w:spacing w:after="0"/>
              <w:rPr>
                <w:sz w:val="14"/>
                <w:szCs w:val="14"/>
                <w:color w:val="auto"/>
              </w:rPr>
            </w:pPr>
          </w:p>
        </w:tc>
        <w:tc>
          <w:tcPr>
            <w:tcW w:w="18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Share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Grant Date</w:t>
            </w:r>
          </w:p>
        </w:tc>
      </w:tr>
      <w:tr>
        <w:trPr>
          <w:trHeight w:val="177"/>
        </w:trPr>
        <w:tc>
          <w:tcPr>
            <w:tcW w:w="7720" w:type="dxa"/>
            <w:vAlign w:val="bottom"/>
          </w:tcPr>
          <w:p>
            <w:pPr>
              <w:spacing w:after="0"/>
              <w:rPr>
                <w:sz w:val="15"/>
                <w:szCs w:val="15"/>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Equivalent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2018</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12,610</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Granted</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(4,203)</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FF0FC"/>
          </w:tcPr>
          <w:p>
            <w:pPr>
              <w:spacing w:after="0"/>
              <w:rPr>
                <w:sz w:val="18"/>
                <w:szCs w:val="18"/>
                <w:color w:val="auto"/>
              </w:rPr>
            </w:pPr>
          </w:p>
        </w:tc>
      </w:tr>
      <w:tr>
        <w:trPr>
          <w:trHeight w:val="210"/>
        </w:trPr>
        <w:tc>
          <w:tcPr>
            <w:tcW w:w="7720" w:type="dxa"/>
            <w:vAlign w:val="bottom"/>
          </w:tcPr>
          <w:p>
            <w:pPr>
              <w:spacing w:after="0"/>
              <w:rPr>
                <w:sz w:val="20"/>
                <w:szCs w:val="20"/>
                <w:color w:val="auto"/>
              </w:rPr>
            </w:pPr>
            <w:r>
              <w:rPr>
                <w:rFonts w:ascii="Arial" w:cs="Arial" w:eastAsia="Arial" w:hAnsi="Arial"/>
                <w:sz w:val="18"/>
                <w:szCs w:val="18"/>
                <w:color w:val="auto"/>
              </w:rPr>
              <w:t>Non-vested at December 31, 2019</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8,407</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4" w:lineRule="exact"/>
        <w:rPr>
          <w:sz w:val="20"/>
          <w:szCs w:val="20"/>
          <w:color w:val="auto"/>
        </w:rPr>
      </w:pPr>
    </w:p>
    <w:p>
      <w:pPr>
        <w:ind w:right="180" w:firstLine="576"/>
        <w:spacing w:after="0" w:line="276" w:lineRule="auto"/>
        <w:rPr>
          <w:sz w:val="20"/>
          <w:szCs w:val="20"/>
          <w:color w:val="auto"/>
        </w:rPr>
      </w:pPr>
      <w:r>
        <w:rPr>
          <w:rFonts w:ascii="Arial" w:cs="Arial" w:eastAsia="Arial" w:hAnsi="Arial"/>
          <w:sz w:val="18"/>
          <w:szCs w:val="18"/>
          <w:color w:val="auto"/>
        </w:rPr>
        <w:t>As of December 31, 2019, there was approximately $6,000 of total unrecognized compensation cost related to non-vested restricted stock awards that will be recognized as expense over a weighted-average period of 1.23 years.</w:t>
      </w:r>
    </w:p>
    <w:p>
      <w:pPr>
        <w:spacing w:after="0" w:line="251" w:lineRule="exact"/>
        <w:rPr>
          <w:sz w:val="20"/>
          <w:szCs w:val="20"/>
          <w:color w:val="auto"/>
        </w:rPr>
      </w:pPr>
    </w:p>
    <w:p>
      <w:pPr>
        <w:ind w:left="580" w:hanging="572"/>
        <w:spacing w:after="0"/>
        <w:tabs>
          <w:tab w:leader="none" w:pos="58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Income and Income Tax</w:t>
      </w:r>
    </w:p>
    <w:p>
      <w:pPr>
        <w:spacing w:after="0" w:line="104" w:lineRule="exact"/>
        <w:rPr>
          <w:sz w:val="20"/>
          <w:szCs w:val="20"/>
          <w:color w:val="auto"/>
        </w:rPr>
      </w:pPr>
    </w:p>
    <w:p>
      <w:pPr>
        <w:ind w:right="500" w:firstLine="576"/>
        <w:spacing w:after="0" w:line="276" w:lineRule="auto"/>
        <w:rPr>
          <w:sz w:val="20"/>
          <w:szCs w:val="20"/>
          <w:color w:val="auto"/>
        </w:rPr>
      </w:pPr>
      <w:r>
        <w:rPr>
          <w:rFonts w:ascii="Arial" w:cs="Arial" w:eastAsia="Arial" w:hAnsi="Arial"/>
          <w:sz w:val="18"/>
          <w:szCs w:val="18"/>
          <w:color w:val="auto"/>
        </w:rPr>
        <w:t>All components of net loss before the effects of the income tax provision are related to losses incurred in the United States. The Company did not record a provision (benefit) for income taxes for the years ended December 31, 2018 and 2019.</w:t>
      </w:r>
    </w:p>
    <w:p>
      <w:pPr>
        <w:spacing w:after="0" w:line="145" w:lineRule="exact"/>
        <w:rPr>
          <w:sz w:val="20"/>
          <w:szCs w:val="20"/>
          <w:color w:val="auto"/>
        </w:rPr>
      </w:pPr>
    </w:p>
    <w:p>
      <w:pPr>
        <w:ind w:right="40" w:firstLine="576"/>
        <w:spacing w:after="0" w:line="276" w:lineRule="auto"/>
        <w:rPr>
          <w:sz w:val="20"/>
          <w:szCs w:val="20"/>
          <w:color w:val="auto"/>
        </w:rPr>
      </w:pPr>
      <w:r>
        <w:rPr>
          <w:rFonts w:ascii="Arial" w:cs="Arial" w:eastAsia="Arial" w:hAnsi="Arial"/>
          <w:sz w:val="18"/>
          <w:szCs w:val="18"/>
          <w:color w:val="auto"/>
        </w:rPr>
        <w:t>The provision for income taxes differs from the amount expected by applying the federal statutory rates to the net loss before taxes as follows:</w:t>
      </w:r>
    </w:p>
    <w:p>
      <w:pPr>
        <w:spacing w:after="0" w:line="166"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Year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00" w:type="dxa"/>
            <w:vAlign w:val="bottom"/>
            <w:tcBorders>
              <w:bottom w:val="single" w:sz="8" w:color="CFF0FC"/>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CFF0FC"/>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10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21.0%</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Non-deductible expenses and others</w:t>
            </w: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640" w:type="dxa"/>
            <w:vAlign w:val="bottom"/>
            <w:gridSpan w:val="2"/>
            <w:shd w:val="clear" w:color="auto" w:fill="CFF0FC"/>
          </w:tcPr>
          <w:p>
            <w:pPr>
              <w:spacing w:after="0" w:line="193" w:lineRule="exact"/>
              <w:rPr>
                <w:sz w:val="20"/>
                <w:szCs w:val="20"/>
                <w:color w:val="auto"/>
              </w:rPr>
            </w:pPr>
            <w:r>
              <w:rPr>
                <w:rFonts w:ascii="Arial" w:cs="Arial" w:eastAsia="Arial" w:hAnsi="Arial"/>
                <w:sz w:val="18"/>
                <w:szCs w:val="18"/>
                <w:color w:val="auto"/>
              </w:rPr>
              <w:t>Non-deductible expense related to the convertible notes and</w:t>
            </w:r>
          </w:p>
        </w:tc>
        <w:tc>
          <w:tcPr>
            <w:tcW w:w="5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6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derivative liability</w:t>
            </w:r>
          </w:p>
        </w:tc>
        <w:tc>
          <w:tcPr>
            <w:tcW w:w="88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Non-deductible expense related to the grant liability</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credits</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(24.0)</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Effective income tax rate</w:t>
            </w: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0" w:type="dxa"/>
            <w:vAlign w:val="bottom"/>
            <w:vMerge w:val="continue"/>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5"/>
        </w:trPr>
        <w:tc>
          <w:tcPr>
            <w:tcW w:w="7600" w:type="dxa"/>
            <w:vAlign w:val="bottom"/>
          </w:tcPr>
          <w:p>
            <w:pPr>
              <w:ind w:left="5440"/>
              <w:spacing w:after="0"/>
              <w:rPr>
                <w:sz w:val="20"/>
                <w:szCs w:val="20"/>
                <w:color w:val="auto"/>
              </w:rPr>
            </w:pPr>
            <w:r>
              <w:rPr>
                <w:rFonts w:ascii="Arial" w:cs="Arial" w:eastAsia="Arial" w:hAnsi="Arial"/>
                <w:sz w:val="18"/>
                <w:szCs w:val="18"/>
                <w:color w:val="auto"/>
              </w:rPr>
              <w:t>F-22</w:t>
            </w:r>
          </w:p>
        </w:tc>
        <w:tc>
          <w:tcPr>
            <w:tcW w:w="10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76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68" w:right="31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b w:val="1"/>
          <w:bCs w:val="1"/>
          <w:i w:val="1"/>
          <w:iCs w:val="1"/>
          <w:color w:val="auto"/>
        </w:rPr>
        <w:t>Significant Components of Deferred Taxes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components of the Company’s deferred tax assets were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84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0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Net operating loss carryforwards</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3,032</w:t>
            </w:r>
          </w:p>
        </w:tc>
        <w:tc>
          <w:tcPr>
            <w:tcW w:w="180" w:type="dxa"/>
            <w:vAlign w:val="bottom"/>
          </w:tcPr>
          <w:p>
            <w:pPr>
              <w:spacing w:after="0"/>
              <w:rPr>
                <w:sz w:val="18"/>
                <w:szCs w:val="18"/>
                <w:color w:val="auto"/>
              </w:rPr>
            </w:pPr>
          </w:p>
        </w:tc>
        <w:tc>
          <w:tcPr>
            <w:tcW w:w="11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3,911</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tax credit carryforwards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Accrued liabilities and other</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deferred tax assets</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3,739</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4,802</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Prepaid expenses and other</w:t>
            </w:r>
          </w:p>
        </w:tc>
        <w:tc>
          <w:tcPr>
            <w:tcW w:w="10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0"/>
        </w:trPr>
        <w:tc>
          <w:tcPr>
            <w:tcW w:w="77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deferred tax liabilities</w:t>
            </w: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FF0FC"/>
            </w:tcBorders>
            <w:shd w:val="clear" w:color="auto" w:fill="CFF0FC"/>
          </w:tcPr>
          <w:p>
            <w:pPr>
              <w:spacing w:after="0"/>
              <w:rPr>
                <w:sz w:val="18"/>
                <w:szCs w:val="18"/>
                <w:color w:val="auto"/>
              </w:rPr>
            </w:pPr>
          </w:p>
        </w:tc>
      </w:tr>
      <w:tr>
        <w:trPr>
          <w:trHeight w:val="209"/>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valuation allowance</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(3,726)</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(4,790)</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deferred tax assets</w:t>
            </w: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0" w:lineRule="exact"/>
        <w:rPr>
          <w:sz w:val="20"/>
          <w:szCs w:val="20"/>
          <w:color w:val="auto"/>
        </w:rPr>
      </w:pPr>
    </w:p>
    <w:p>
      <w:pPr>
        <w:ind w:right="120" w:firstLine="576"/>
        <w:spacing w:after="0" w:line="241" w:lineRule="auto"/>
        <w:rPr>
          <w:sz w:val="20"/>
          <w:szCs w:val="20"/>
          <w:color w:val="auto"/>
        </w:rPr>
      </w:pPr>
      <w:r>
        <w:rPr>
          <w:rFonts w:ascii="Arial" w:cs="Arial" w:eastAsia="Arial" w:hAnsi="Arial"/>
          <w:sz w:val="18"/>
          <w:szCs w:val="18"/>
          <w:color w:val="auto"/>
        </w:rPr>
        <w:t>Deferred income taxes reflect temporary differences between the carrying amounts of assets and liabilities for financial reporting and income tax purposes, and operating losses and tax credit carryforwards. The Company considers a number of factors concerning the realizability of its net deferred tax assets, including its history of operating losses, the nature of the deferred tax assets, and the timing, likelihood and amount, if any, of future taxable income during the periods in which those temporary differences and carryforwards become deductible, all of which require significant judgment. As of December 31, 2019, the Company has recorded a full valuation allowance on its net deferred tax assets as the Company has concluded that it is not more likely than not that such losses or credits will be utilized. The valuation allowance increased by $1.2 million and $1.1 million during 2018 and 2019, respectively.</w:t>
      </w:r>
    </w:p>
    <w:p>
      <w:pPr>
        <w:spacing w:after="0" w:line="179" w:lineRule="exact"/>
        <w:rPr>
          <w:sz w:val="20"/>
          <w:szCs w:val="20"/>
          <w:color w:val="auto"/>
        </w:rPr>
      </w:pPr>
    </w:p>
    <w:p>
      <w:pPr>
        <w:ind w:right="260" w:firstLine="576"/>
        <w:spacing w:after="0" w:line="255" w:lineRule="auto"/>
        <w:rPr>
          <w:sz w:val="20"/>
          <w:szCs w:val="20"/>
          <w:color w:val="auto"/>
        </w:rPr>
      </w:pPr>
      <w:r>
        <w:rPr>
          <w:rFonts w:ascii="Arial" w:cs="Arial" w:eastAsia="Arial" w:hAnsi="Arial"/>
          <w:sz w:val="18"/>
          <w:szCs w:val="18"/>
          <w:color w:val="auto"/>
        </w:rPr>
        <w:t>At December 31, 2019, the Company has federal net operating loss and tax credit carryforwards of $9.4 million and $1.0 million, respectively, which expire over a period of 11 to 20 years. Net operating loss carryforwards of $9.2 million were generated after 2017, and therefore do not expire.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04" w:lineRule="exact"/>
        <w:rPr>
          <w:sz w:val="20"/>
          <w:szCs w:val="20"/>
          <w:color w:val="auto"/>
        </w:rPr>
      </w:pPr>
    </w:p>
    <w:p>
      <w:pPr>
        <w:jc w:val="both"/>
        <w:ind w:right="80" w:firstLine="576"/>
        <w:spacing w:after="0" w:line="248" w:lineRule="auto"/>
        <w:rPr>
          <w:sz w:val="20"/>
          <w:szCs w:val="20"/>
          <w:color w:val="auto"/>
        </w:rPr>
      </w:pPr>
      <w:r>
        <w:rPr>
          <w:rFonts w:ascii="Arial" w:cs="Arial" w:eastAsia="Arial" w:hAnsi="Arial"/>
          <w:sz w:val="18"/>
          <w:szCs w:val="18"/>
          <w:color w:val="auto"/>
        </w:rPr>
        <w:t>The Company files federal income tax returns. With few exceptions, the Company is no longer subject to income tax examinations by tax authorities for years prior to 2016. However, to the extent allowed by law, the tax authorities may have the right to examine prior periods where net operating losses or tax credits were generated and carried forward and may make adjustments to the amount of the net operating loss or credit carryforward amount. The Company is not currently under examination in any jurisdiction.</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reconciliation of the beginning and ending amount of unrecognized tax benefits were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9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100" w:type="dxa"/>
            <w:vAlign w:val="bottom"/>
            <w:tcBorders>
              <w:top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3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Additions for tax positions taken in the current year</w:t>
            </w: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30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3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4" w:lineRule="exact"/>
        <w:rPr>
          <w:sz w:val="20"/>
          <w:szCs w:val="20"/>
          <w:color w:val="auto"/>
        </w:rPr>
      </w:pPr>
    </w:p>
    <w:p>
      <w:pPr>
        <w:ind w:right="60" w:firstLine="576"/>
        <w:spacing w:after="0" w:line="255" w:lineRule="auto"/>
        <w:rPr>
          <w:sz w:val="20"/>
          <w:szCs w:val="20"/>
          <w:color w:val="auto"/>
        </w:rPr>
      </w:pPr>
      <w:r>
        <w:rPr>
          <w:rFonts w:ascii="Arial" w:cs="Arial" w:eastAsia="Arial" w:hAnsi="Arial"/>
          <w:sz w:val="18"/>
          <w:szCs w:val="18"/>
          <w:color w:val="auto"/>
        </w:rPr>
        <w:t>If the unrecognized tax benefits for uncertain tax positions as of December 31, 2019 are recognized, there will be no impact to the effective tax rate due to the valuation allowance. The Company recognizes interest and penalties related to unrecognized tax benefits within the income tax expense line in the accompanying financial statements. At December 31, 2019, there were no material interest and penalties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color w:val="auto"/>
        </w:rPr>
        <w:t>on uncertain tax benefits. The Company does not anticipate any significant changes to its unrecognized tax benefits in the next 12 months.</w:t>
      </w:r>
    </w:p>
    <w:p>
      <w:pPr>
        <w:spacing w:after="0" w:line="318" w:lineRule="exact"/>
        <w:rPr>
          <w:sz w:val="20"/>
          <w:szCs w:val="20"/>
          <w:color w:val="auto"/>
        </w:rPr>
      </w:pPr>
    </w:p>
    <w:p>
      <w:pPr>
        <w:ind w:left="580" w:hanging="572"/>
        <w:spacing w:after="0"/>
        <w:tabs>
          <w:tab w:leader="none" w:pos="58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06" w:lineRule="exact"/>
        <w:rPr>
          <w:sz w:val="20"/>
          <w:szCs w:val="20"/>
          <w:color w:val="auto"/>
        </w:rPr>
      </w:pPr>
    </w:p>
    <w:p>
      <w:pPr>
        <w:jc w:val="both"/>
        <w:ind w:right="580" w:firstLine="576"/>
        <w:spacing w:after="0" w:line="255" w:lineRule="auto"/>
        <w:rPr>
          <w:sz w:val="20"/>
          <w:szCs w:val="20"/>
          <w:color w:val="auto"/>
        </w:rPr>
      </w:pPr>
      <w:r>
        <w:rPr>
          <w:rFonts w:ascii="Arial" w:cs="Arial" w:eastAsia="Arial" w:hAnsi="Arial"/>
          <w:sz w:val="18"/>
          <w:szCs w:val="18"/>
          <w:color w:val="auto"/>
        </w:rPr>
        <w:t>The Company has a 401(k) Plan for all of its employees. The 401(k) Plan allows eligible employees to defer, at the employee’s discretion, up to 100% of their pretax compensation up to the Internal Revenue Service annual limit. The Company did not make any matching contributions for the years ended December 31, 2018 or 2019.</w:t>
      </w:r>
    </w:p>
    <w:p>
      <w:pPr>
        <w:spacing w:after="0" w:line="270" w:lineRule="exact"/>
        <w:rPr>
          <w:sz w:val="20"/>
          <w:szCs w:val="20"/>
          <w:color w:val="auto"/>
        </w:rPr>
      </w:pPr>
    </w:p>
    <w:p>
      <w:pPr>
        <w:ind w:left="580" w:hanging="572"/>
        <w:spacing w:after="0"/>
        <w:tabs>
          <w:tab w:leader="none" w:pos="58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06" w:lineRule="exact"/>
        <w:rPr>
          <w:sz w:val="20"/>
          <w:szCs w:val="20"/>
          <w:color w:val="auto"/>
        </w:rPr>
      </w:pPr>
    </w:p>
    <w:p>
      <w:pPr>
        <w:ind w:right="60" w:firstLine="576"/>
        <w:spacing w:after="0" w:line="276"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the diluted net loss per share attributable to common stockholders for the periods presented because their effect would have been anti-dilutive: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20" w:type="dxa"/>
            <w:vAlign w:val="bottom"/>
          </w:tcPr>
          <w:p>
            <w:pPr>
              <w:spacing w:after="0"/>
              <w:rPr>
                <w:sz w:val="15"/>
                <w:szCs w:val="15"/>
                <w:color w:val="auto"/>
              </w:rPr>
            </w:pPr>
          </w:p>
        </w:tc>
        <w:tc>
          <w:tcPr>
            <w:tcW w:w="3520" w:type="dxa"/>
            <w:vAlign w:val="bottom"/>
            <w:gridSpan w:val="4"/>
          </w:tcPr>
          <w:p>
            <w:pPr>
              <w:ind w:left="82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7720" w:type="dxa"/>
            <w:vAlign w:val="bottom"/>
            <w:tcBorders>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on an as-converted basis</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Unvested RSAs</w:t>
            </w:r>
          </w:p>
        </w:tc>
        <w:tc>
          <w:tcPr>
            <w:tcW w:w="1560" w:type="dxa"/>
            <w:vAlign w:val="bottom"/>
          </w:tcPr>
          <w:p>
            <w:pPr>
              <w:jc w:val="right"/>
              <w:spacing w:after="0"/>
              <w:rPr>
                <w:sz w:val="20"/>
                <w:szCs w:val="20"/>
                <w:color w:val="auto"/>
              </w:rPr>
            </w:pPr>
            <w:r>
              <w:rPr>
                <w:rFonts w:ascii="Arial" w:cs="Arial" w:eastAsia="Arial" w:hAnsi="Arial"/>
                <w:sz w:val="18"/>
                <w:szCs w:val="18"/>
                <w:color w:val="auto"/>
              </w:rPr>
              <w:t>12,610</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8,407</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to purchase common stock</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1,263,831</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1,514,770</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Common stock 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280" w:type="dxa"/>
            <w:vAlign w:val="bottom"/>
            <w:tcBorders>
              <w:bottom w:val="single" w:sz="8" w:color="CFF0FC"/>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120" w:type="dxa"/>
            <w:vAlign w:val="bottom"/>
            <w:tcBorders>
              <w:bottom w:val="single" w:sz="8" w:color="CFF0FC"/>
            </w:tcBorders>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3,897,137</w:t>
            </w:r>
          </w:p>
        </w:tc>
        <w:tc>
          <w:tcPr>
            <w:tcW w:w="28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4,143,873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6" w:lineRule="exact"/>
        <w:rPr>
          <w:sz w:val="20"/>
          <w:szCs w:val="20"/>
          <w:color w:val="auto"/>
        </w:rPr>
      </w:pPr>
    </w:p>
    <w:p>
      <w:pPr>
        <w:ind w:left="580" w:hanging="572"/>
        <w:spacing w:after="0"/>
        <w:tabs>
          <w:tab w:leader="none" w:pos="58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Pro Forma Net Loss Per Share Attributable to Common Stockholders</w:t>
      </w:r>
    </w:p>
    <w:p>
      <w:pPr>
        <w:spacing w:after="0" w:line="119" w:lineRule="exact"/>
        <w:rPr>
          <w:sz w:val="20"/>
          <w:szCs w:val="20"/>
          <w:color w:val="auto"/>
        </w:rPr>
      </w:pPr>
    </w:p>
    <w:p>
      <w:pPr>
        <w:ind w:right="300" w:firstLine="576"/>
        <w:spacing w:after="0" w:line="255" w:lineRule="auto"/>
        <w:rPr>
          <w:sz w:val="20"/>
          <w:szCs w:val="20"/>
          <w:color w:val="auto"/>
        </w:rPr>
      </w:pPr>
      <w:r>
        <w:rPr>
          <w:rFonts w:ascii="Arial" w:cs="Arial" w:eastAsia="Arial" w:hAnsi="Arial"/>
          <w:sz w:val="18"/>
          <w:szCs w:val="18"/>
          <w:color w:val="auto"/>
        </w:rPr>
        <w:t>Pro forma basic and diluted net loss per share has been computed to give effect to the assumed conversion of all outstanding convertible preferred stock into shares of common stock, the net exercise of the outstanding warrants for shares of common stock and the repayment of the grant liability upon completion of a qualifying IPO of the Company’s common stock.</w:t>
      </w:r>
    </w:p>
    <w:p>
      <w:pPr>
        <w:spacing w:after="0" w:line="164" w:lineRule="exact"/>
        <w:rPr>
          <w:sz w:val="20"/>
          <w:szCs w:val="20"/>
          <w:color w:val="auto"/>
        </w:rPr>
      </w:pPr>
    </w:p>
    <w:p>
      <w:pPr>
        <w:ind w:right="140" w:firstLine="576"/>
        <w:spacing w:after="0" w:line="276" w:lineRule="auto"/>
        <w:rPr>
          <w:sz w:val="20"/>
          <w:szCs w:val="20"/>
          <w:color w:val="auto"/>
        </w:rPr>
      </w:pPr>
      <w:r>
        <w:rPr>
          <w:rFonts w:ascii="Arial" w:cs="Arial" w:eastAsia="Arial" w:hAnsi="Arial"/>
          <w:sz w:val="18"/>
          <w:szCs w:val="18"/>
          <w:color w:val="auto"/>
        </w:rPr>
        <w:t>The following table sets forth the computation of the unaudited pro forma basic and diluted net loss per share attributable to common stockholders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9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tcPr>
          <w:p>
            <w:pPr>
              <w:jc w:val="center"/>
              <w:ind w:right="216"/>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(5,161)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Loss on remeasurement of grant liability</w:t>
            </w:r>
          </w:p>
        </w:tc>
        <w:tc>
          <w:tcPr>
            <w:tcW w:w="2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9240" w:type="dxa"/>
            <w:vAlign w:val="bottom"/>
          </w:tcPr>
          <w:p>
            <w:pPr>
              <w:spacing w:after="0" w:line="187" w:lineRule="exact"/>
              <w:rPr>
                <w:sz w:val="20"/>
                <w:szCs w:val="20"/>
                <w:color w:val="auto"/>
              </w:rPr>
            </w:pPr>
            <w:r>
              <w:rPr>
                <w:rFonts w:ascii="Arial" w:cs="Arial" w:eastAsia="Arial" w:hAnsi="Arial"/>
                <w:sz w:val="18"/>
                <w:szCs w:val="18"/>
                <w:color w:val="auto"/>
              </w:rPr>
              <w:t>Net loss used in computing pro forma net loss per share attributable to common</w:t>
            </w: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9240" w:type="dxa"/>
            <w:vAlign w:val="bottom"/>
          </w:tcPr>
          <w:p>
            <w:pPr>
              <w:ind w:left="160"/>
              <w:spacing w:after="0"/>
              <w:rPr>
                <w:sz w:val="20"/>
                <w:szCs w:val="20"/>
                <w:color w:val="auto"/>
              </w:rPr>
            </w:pPr>
            <w:r>
              <w:rPr>
                <w:rFonts w:ascii="Arial" w:cs="Arial" w:eastAsia="Arial" w:hAnsi="Arial"/>
                <w:sz w:val="18"/>
                <w:szCs w:val="18"/>
                <w:color w:val="auto"/>
              </w:rPr>
              <w:t>stockholders, basic and diluted</w:t>
            </w:r>
          </w:p>
        </w:tc>
        <w:tc>
          <w:tcPr>
            <w:tcW w:w="280" w:type="dxa"/>
            <w:vAlign w:val="bottom"/>
          </w:tcPr>
          <w:p>
            <w:pPr>
              <w:spacing w:after="0"/>
              <w:rPr>
                <w:sz w:val="23"/>
                <w:szCs w:val="23"/>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(5,061)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924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280" w:type="dxa"/>
            <w:vAlign w:val="bottom"/>
            <w:tcBorders>
              <w:top w:val="single" w:sz="8" w:color="auto"/>
            </w:tcBorders>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9240" w:type="dxa"/>
            <w:vAlign w:val="bottom"/>
          </w:tcPr>
          <w:p>
            <w:pPr>
              <w:spacing w:after="0" w:line="193" w:lineRule="exact"/>
              <w:rPr>
                <w:sz w:val="20"/>
                <w:szCs w:val="20"/>
                <w:color w:val="auto"/>
              </w:rPr>
            </w:pPr>
            <w:r>
              <w:rPr>
                <w:rFonts w:ascii="Arial" w:cs="Arial" w:eastAsia="Arial" w:hAnsi="Arial"/>
                <w:sz w:val="18"/>
                <w:szCs w:val="18"/>
                <w:color w:val="auto"/>
              </w:rPr>
              <w:t>Weighted-average shares of common stock used in computing net loss per share</w:t>
            </w: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9240" w:type="dxa"/>
            <w:vAlign w:val="bottom"/>
          </w:tcPr>
          <w:p>
            <w:pPr>
              <w:ind w:left="160"/>
              <w:spacing w:after="0"/>
              <w:rPr>
                <w:sz w:val="20"/>
                <w:szCs w:val="20"/>
                <w:color w:val="auto"/>
              </w:rPr>
            </w:pPr>
            <w:r>
              <w:rPr>
                <w:rFonts w:ascii="Arial" w:cs="Arial" w:eastAsia="Arial" w:hAnsi="Arial"/>
                <w:sz w:val="18"/>
                <w:szCs w:val="18"/>
                <w:color w:val="auto"/>
              </w:rPr>
              <w:t>attributable to common stockholders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3,566,849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Pro forma adjustment to reflect conversion of convertible preferred stock</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 forma adjustment to reflect net exercise of common stock warrants</w:t>
            </w: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9240" w:type="dxa"/>
            <w:vAlign w:val="bottom"/>
            <w:shd w:val="clear" w:color="auto" w:fill="CFF0FC"/>
          </w:tcPr>
          <w:p>
            <w:pPr>
              <w:spacing w:after="0" w:line="187" w:lineRule="exact"/>
              <w:rPr>
                <w:sz w:val="20"/>
                <w:szCs w:val="20"/>
                <w:color w:val="auto"/>
              </w:rPr>
            </w:pPr>
            <w:r>
              <w:rPr>
                <w:rFonts w:ascii="Arial" w:cs="Arial" w:eastAsia="Arial" w:hAnsi="Arial"/>
                <w:sz w:val="18"/>
                <w:szCs w:val="18"/>
                <w:color w:val="auto"/>
              </w:rPr>
              <w:t>Weighted-average shares of common stock used in computing pro forma net loss</w:t>
            </w:r>
          </w:p>
        </w:tc>
        <w:tc>
          <w:tcPr>
            <w:tcW w:w="28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92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per share attributable to common stockholders, basic and diluted</w:t>
            </w:r>
          </w:p>
        </w:tc>
        <w:tc>
          <w:tcPr>
            <w:tcW w:w="28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6,186,544</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 basic and diluted</w:t>
            </w:r>
          </w:p>
        </w:tc>
        <w:tc>
          <w:tcPr>
            <w:tcW w:w="2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40" w:type="dxa"/>
            <w:vAlign w:val="bottom"/>
            <w:vMerge w:val="continue"/>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40" w:type="dxa"/>
            <w:vAlign w:val="bottom"/>
            <w:vMerge w:val="restart"/>
          </w:tcPr>
          <w:p>
            <w:pPr>
              <w:ind w:left="5440"/>
              <w:spacing w:after="0"/>
              <w:rPr>
                <w:sz w:val="20"/>
                <w:szCs w:val="20"/>
                <w:color w:val="auto"/>
              </w:rPr>
            </w:pPr>
            <w:r>
              <w:rPr>
                <w:rFonts w:ascii="Arial" w:cs="Arial" w:eastAsia="Arial" w:hAnsi="Arial"/>
                <w:sz w:val="18"/>
                <w:szCs w:val="18"/>
                <w:color w:val="auto"/>
              </w:rPr>
              <w:t>F-24</w:t>
            </w: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9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9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00" w:right="319" w:bottom="1440" w:gutter="0" w:footer="0" w:header="0"/>
        </w:sectPr>
      </w:pPr>
    </w:p>
    <w:bookmarkStart w:id="224" w:name="page225"/>
    <w:bookmarkEnd w:id="224"/>
    <w:p>
      <w:pPr>
        <w:ind w:left="900" w:hanging="892"/>
        <w:spacing w:after="0"/>
        <w:tabs>
          <w:tab w:leader="none" w:pos="90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06" w:lineRule="exact"/>
        <w:rPr>
          <w:sz w:val="20"/>
          <w:szCs w:val="20"/>
          <w:color w:val="auto"/>
        </w:rPr>
      </w:pPr>
    </w:p>
    <w:p>
      <w:pPr>
        <w:jc w:val="both"/>
        <w:ind w:right="100" w:firstLine="576"/>
        <w:spacing w:after="0" w:line="255" w:lineRule="auto"/>
        <w:rPr>
          <w:sz w:val="20"/>
          <w:szCs w:val="20"/>
          <w:color w:val="auto"/>
        </w:rPr>
      </w:pPr>
      <w:r>
        <w:rPr>
          <w:rFonts w:ascii="Arial" w:cs="Arial" w:eastAsia="Arial" w:hAnsi="Arial"/>
          <w:sz w:val="18"/>
          <w:szCs w:val="18"/>
          <w:color w:val="auto"/>
        </w:rPr>
        <w:t>For the year ended December 31, 2019, management evaluated subsequent events through July 24, 2020, the date these financial statements were issued, and September 14, 2020, the date the revised financial statements were issued. The Company has concluded that no events or transactions have occurred that require disclosure in the accompanying financial statements, other than the following.</w:t>
      </w:r>
    </w:p>
    <w:p>
      <w:pPr>
        <w:spacing w:after="0" w:line="270" w:lineRule="exact"/>
        <w:rPr>
          <w:sz w:val="20"/>
          <w:szCs w:val="20"/>
          <w:color w:val="auto"/>
        </w:rPr>
      </w:pPr>
    </w:p>
    <w:p>
      <w:pPr>
        <w:ind w:left="1000" w:hanging="425"/>
        <w:spacing w:after="0"/>
        <w:tabs>
          <w:tab w:leader="none" w:pos="100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Grants</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Subsequent to December 31, 2019, the Company granted 44,765 stock options with an exercise price of $1.35 per share.</w:t>
      </w:r>
    </w:p>
    <w:p>
      <w:pPr>
        <w:spacing w:after="0" w:line="212" w:lineRule="exact"/>
        <w:rPr>
          <w:sz w:val="20"/>
          <w:szCs w:val="20"/>
          <w:color w:val="auto"/>
        </w:rPr>
      </w:pPr>
    </w:p>
    <w:p>
      <w:pPr>
        <w:ind w:right="160" w:firstLine="576"/>
        <w:spacing w:after="0" w:line="245" w:lineRule="auto"/>
        <w:rPr>
          <w:sz w:val="20"/>
          <w:szCs w:val="20"/>
          <w:color w:val="auto"/>
        </w:rPr>
      </w:pPr>
      <w:r>
        <w:rPr>
          <w:rFonts w:ascii="Arial" w:cs="Arial" w:eastAsia="Arial" w:hAnsi="Arial"/>
          <w:sz w:val="18"/>
          <w:szCs w:val="18"/>
          <w:color w:val="auto"/>
        </w:rPr>
        <w:t>In September 2020, the board of directors of the Company approved option awards to purchase an aggregate of 943,223 shares of common stock to certain executives, employees, advisors and non-employee directors of the Company. These awards will be issued under the 2020 Equity Incentive Plan and are subject to and will become effective upon the effectiveness of the Company’s registration statement. The exercise price of each option will be equal to the initial price of a share of the Company’s common stock to the public as of the effective date of the registration statement.</w:t>
      </w:r>
    </w:p>
    <w:p>
      <w:pPr>
        <w:spacing w:after="0" w:line="278" w:lineRule="exact"/>
        <w:rPr>
          <w:sz w:val="20"/>
          <w:szCs w:val="20"/>
          <w:color w:val="auto"/>
        </w:rPr>
      </w:pPr>
    </w:p>
    <w:p>
      <w:pPr>
        <w:ind w:left="1000" w:hanging="425"/>
        <w:spacing w:after="0"/>
        <w:tabs>
          <w:tab w:leader="none" w:pos="100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w:t>
      </w:r>
    </w:p>
    <w:p>
      <w:pPr>
        <w:spacing w:after="0" w:line="119" w:lineRule="exact"/>
        <w:rPr>
          <w:sz w:val="20"/>
          <w:szCs w:val="20"/>
          <w:color w:val="auto"/>
        </w:rPr>
      </w:pPr>
    </w:p>
    <w:p>
      <w:pPr>
        <w:ind w:right="120" w:firstLine="576"/>
        <w:spacing w:after="0" w:line="276" w:lineRule="auto"/>
        <w:rPr>
          <w:sz w:val="20"/>
          <w:szCs w:val="20"/>
          <w:color w:val="auto"/>
        </w:rPr>
      </w:pPr>
      <w:r>
        <w:rPr>
          <w:rFonts w:ascii="Arial" w:cs="Arial" w:eastAsia="Arial" w:hAnsi="Arial"/>
          <w:sz w:val="18"/>
          <w:szCs w:val="18"/>
          <w:color w:val="auto"/>
        </w:rPr>
        <w:t>The Company issued $1.7 million of additional convertible notes during January 2020, including $250,000 of convertible notes to the Company’s chief operating officer and affiliates, which the Company has determined to be related parties.</w:t>
      </w:r>
    </w:p>
    <w:p>
      <w:pPr>
        <w:spacing w:after="0" w:line="251" w:lineRule="exact"/>
        <w:rPr>
          <w:sz w:val="20"/>
          <w:szCs w:val="20"/>
          <w:color w:val="auto"/>
        </w:rPr>
      </w:pPr>
    </w:p>
    <w:p>
      <w:pPr>
        <w:ind w:left="1000" w:hanging="425"/>
        <w:spacing w:after="0"/>
        <w:tabs>
          <w:tab w:leader="none" w:pos="100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Paycheck Protection Program</w:t>
      </w:r>
    </w:p>
    <w:p>
      <w:pPr>
        <w:spacing w:after="0" w:line="119"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The Company received a loan of $215,000 from the U.S. Small Business Administration Paycheck Protection Program (“PPP”) in April 2020. The PPP loans are intended to assist companies impacted by the COVID-19 pandemic to fund certain types of expenditures, including payroll costs, rent and utility payments. PPP loans and any accrued interest may be forgiven to the extent that all employees are retained, proceeds are used within eight weeks of receipt, and if at least 75% of the loan amount utilized was for payroll costs. The loan bears interest at a rate of 1%, and any portion of the loan not forgiven and any accrued interest thereon must be repaid within two years. The loan was fully repaid in June 2020.</w:t>
      </w:r>
    </w:p>
    <w:p>
      <w:pPr>
        <w:spacing w:after="0" w:line="280" w:lineRule="exact"/>
        <w:rPr>
          <w:sz w:val="20"/>
          <w:szCs w:val="20"/>
          <w:color w:val="auto"/>
        </w:rPr>
      </w:pPr>
    </w:p>
    <w:p>
      <w:pPr>
        <w:ind w:left="1000" w:hanging="425"/>
        <w:spacing w:after="0"/>
        <w:tabs>
          <w:tab w:leader="none" w:pos="100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COVID-19</w:t>
      </w:r>
    </w:p>
    <w:p>
      <w:pPr>
        <w:spacing w:after="0" w:line="119" w:lineRule="exact"/>
        <w:rPr>
          <w:sz w:val="20"/>
          <w:szCs w:val="20"/>
          <w:color w:val="auto"/>
        </w:rPr>
      </w:pPr>
    </w:p>
    <w:p>
      <w:pPr>
        <w:ind w:right="220" w:firstLine="576"/>
        <w:spacing w:after="0" w:line="245" w:lineRule="auto"/>
        <w:rPr>
          <w:sz w:val="20"/>
          <w:szCs w:val="20"/>
          <w:color w:val="auto"/>
        </w:rPr>
      </w:pPr>
      <w:r>
        <w:rPr>
          <w:rFonts w:ascii="Arial" w:cs="Arial" w:eastAsia="Arial" w:hAnsi="Arial"/>
          <w:sz w:val="18"/>
          <w:szCs w:val="18"/>
          <w:color w:val="auto"/>
        </w:rPr>
        <w:t>Management continues to evaluate the potential impacts of the COVID-19 pandemic on the development of its product candidates, and business. The Company is working closely with its manufacturing vendors to maintain adequate product supply and with healthcare providers as future studies are planned to mitigate risk to patients while adhering to regulatory, institutional and government guidance and policies. The Company remains committed to its development plans and acknowledges the potential risk for delays in the product supply chain and in anticipated timelines for its preclinical studies and clinical trials.</w:t>
      </w:r>
    </w:p>
    <w:p>
      <w:pPr>
        <w:spacing w:after="0" w:line="278" w:lineRule="exact"/>
        <w:rPr>
          <w:sz w:val="20"/>
          <w:szCs w:val="20"/>
          <w:color w:val="auto"/>
        </w:rPr>
      </w:pPr>
    </w:p>
    <w:p>
      <w:pPr>
        <w:ind w:left="1000" w:hanging="425"/>
        <w:spacing w:after="0"/>
        <w:tabs>
          <w:tab w:leader="none" w:pos="100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19" w:lineRule="exact"/>
        <w:rPr>
          <w:sz w:val="20"/>
          <w:szCs w:val="20"/>
          <w:color w:val="auto"/>
        </w:rPr>
      </w:pPr>
    </w:p>
    <w:p>
      <w:pPr>
        <w:ind w:right="100" w:firstLine="576"/>
        <w:spacing w:after="0" w:line="243" w:lineRule="auto"/>
        <w:rPr>
          <w:sz w:val="20"/>
          <w:szCs w:val="20"/>
          <w:color w:val="auto"/>
        </w:rPr>
      </w:pPr>
      <w:r>
        <w:rPr>
          <w:rFonts w:ascii="Arial" w:cs="Arial" w:eastAsia="Arial" w:hAnsi="Arial"/>
          <w:sz w:val="18"/>
          <w:szCs w:val="18"/>
          <w:color w:val="auto"/>
        </w:rPr>
        <w:t>In May and June 2020, the Company issued an aggregate of 9,372,765 shares of Series B convertible preferred stock at a purchase price of $9.12 per share for proceeds of $81.8 million, net of offering costs. The Company issued warrants to purchase 2,343,168 shares of its common stock, of which 688,067 shares were exercised concurrently with the Series B convertible preferred stock issuance for net proceeds of $55,000. In addition, the Company issued warrants to purchase 127,481 shares of its Series B convertible preferred stock at $9.12 per share. The Series B convertible preferred stock financing triggered the automatic conversion of the Company’s then outstanding convertible promissory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06" w:right="379" w:bottom="1440" w:gutter="0" w:footer="0" w:header="0"/>
        </w:sectPr>
      </w:pPr>
    </w:p>
    <w:bookmarkStart w:id="225" w:name="page226"/>
    <w:bookmarkEnd w:id="225"/>
    <w:p>
      <w:pPr>
        <w:ind w:right="80"/>
        <w:spacing w:after="0" w:line="276" w:lineRule="auto"/>
        <w:rPr>
          <w:sz w:val="20"/>
          <w:szCs w:val="20"/>
          <w:color w:val="auto"/>
        </w:rPr>
      </w:pPr>
      <w:r>
        <w:rPr>
          <w:rFonts w:ascii="Arial" w:cs="Arial" w:eastAsia="Arial" w:hAnsi="Arial"/>
          <w:sz w:val="18"/>
          <w:szCs w:val="18"/>
          <w:color w:val="auto"/>
        </w:rPr>
        <w:t>notes into an aggregate of 512,858 shares of Series B-1 convertible preferred stock based on a price of $7.752 per share (85% of the $9.12 original issuance price of the Series B convertible preferred stock).</w:t>
      </w:r>
    </w:p>
    <w:p>
      <w:pPr>
        <w:spacing w:after="0" w:line="251" w:lineRule="exact"/>
        <w:rPr>
          <w:sz w:val="20"/>
          <w:szCs w:val="20"/>
          <w:color w:val="auto"/>
        </w:rPr>
      </w:pPr>
    </w:p>
    <w:p>
      <w:pPr>
        <w:ind w:left="1000" w:hanging="425"/>
        <w:spacing w:after="0"/>
        <w:tabs>
          <w:tab w:leader="none" w:pos="100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Athira Pharma Australia PTY LTD</w:t>
      </w:r>
    </w:p>
    <w:p>
      <w:pPr>
        <w:spacing w:after="0" w:line="119" w:lineRule="exact"/>
        <w:rPr>
          <w:sz w:val="20"/>
          <w:szCs w:val="20"/>
          <w:color w:val="auto"/>
        </w:rPr>
      </w:pPr>
    </w:p>
    <w:p>
      <w:pPr>
        <w:ind w:right="20" w:firstLine="576"/>
        <w:spacing w:after="0" w:line="276" w:lineRule="auto"/>
        <w:rPr>
          <w:sz w:val="20"/>
          <w:szCs w:val="20"/>
          <w:color w:val="auto"/>
        </w:rPr>
      </w:pPr>
      <w:r>
        <w:rPr>
          <w:rFonts w:ascii="Arial" w:cs="Arial" w:eastAsia="Arial" w:hAnsi="Arial"/>
          <w:sz w:val="18"/>
          <w:szCs w:val="18"/>
          <w:color w:val="auto"/>
        </w:rPr>
        <w:t>In July 2020, the Company established Athira Pharma Australia PTY LTD, a subsidiary, to facilitate clinical trials in Australia. As of the date hereof, research and development operations have not commenced in Australia.</w:t>
      </w:r>
    </w:p>
    <w:p>
      <w:pPr>
        <w:spacing w:after="0" w:line="251" w:lineRule="exact"/>
        <w:rPr>
          <w:sz w:val="20"/>
          <w:szCs w:val="20"/>
          <w:color w:val="auto"/>
        </w:rPr>
      </w:pPr>
    </w:p>
    <w:p>
      <w:pPr>
        <w:ind w:left="1000" w:hanging="425"/>
        <w:spacing w:after="0"/>
        <w:tabs>
          <w:tab w:leader="none" w:pos="100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Stock Purchase Plan</w:t>
      </w:r>
    </w:p>
    <w:p>
      <w:pPr>
        <w:spacing w:after="0" w:line="119"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In September 2020, the board of directors of the Company approved the Employee Stock Purchase Plan (the “ESPP”). The ESPP will become effective on the date immediately prior to the effectiveness of the Company’s registration statement on Form S-1 for its proposed IPO. The ESPP provides for the issuance of up to 323,000 shares of common stock.</w:t>
      </w:r>
    </w:p>
    <w:p>
      <w:pPr>
        <w:spacing w:after="0" w:line="270" w:lineRule="exact"/>
        <w:rPr>
          <w:sz w:val="20"/>
          <w:szCs w:val="20"/>
          <w:color w:val="auto"/>
        </w:rPr>
      </w:pPr>
    </w:p>
    <w:p>
      <w:pPr>
        <w:ind w:left="1000" w:hanging="425"/>
        <w:spacing w:after="0"/>
        <w:tabs>
          <w:tab w:leader="none" w:pos="100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Reverse Stock Spilt</w:t>
      </w:r>
    </w:p>
    <w:p>
      <w:pPr>
        <w:spacing w:after="0" w:line="119" w:lineRule="exact"/>
        <w:rPr>
          <w:sz w:val="20"/>
          <w:szCs w:val="20"/>
          <w:color w:val="auto"/>
        </w:rPr>
      </w:pPr>
    </w:p>
    <w:p>
      <w:pPr>
        <w:ind w:firstLine="576"/>
        <w:spacing w:after="0" w:line="263" w:lineRule="auto"/>
        <w:rPr>
          <w:sz w:val="20"/>
          <w:szCs w:val="20"/>
          <w:color w:val="auto"/>
        </w:rPr>
      </w:pPr>
      <w:r>
        <w:rPr>
          <w:rFonts w:ascii="Arial" w:cs="Arial" w:eastAsia="Arial" w:hAnsi="Arial"/>
          <w:sz w:val="17"/>
          <w:szCs w:val="17"/>
          <w:color w:val="auto"/>
        </w:rPr>
        <w:t>In September 2020, the board of directors of the Company approved an amendment to the Company’s certificate of incorporation to effect a reverse split of shares of the Company’s common stock and preferred stock on a 7.9302-for-one basis, which was effected on September 11, 2020. All references to convertible preferred stock, common stock, warrants to purchase convertible preferred stock, warrants to purchase common stock, options to purchase common stock, restricted stock awards, per share amounts and related information contained in the financial statements have been retroactively adjusted to reflect the effect of the reverse stock split for all periods presented.</w:t>
      </w:r>
    </w:p>
    <w:p>
      <w:pPr>
        <w:spacing w:after="0" w:line="263" w:lineRule="exact"/>
        <w:rPr>
          <w:sz w:val="20"/>
          <w:szCs w:val="20"/>
          <w:color w:val="auto"/>
        </w:rPr>
      </w:pPr>
    </w:p>
    <w:p>
      <w:pPr>
        <w:ind w:left="1000" w:hanging="425"/>
        <w:spacing w:after="0"/>
        <w:tabs>
          <w:tab w:leader="none" w:pos="100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National Institutes of Health Grant</w:t>
      </w:r>
    </w:p>
    <w:p>
      <w:pPr>
        <w:spacing w:after="0" w:line="119" w:lineRule="exact"/>
        <w:rPr>
          <w:sz w:val="20"/>
          <w:szCs w:val="20"/>
          <w:color w:val="auto"/>
        </w:rPr>
      </w:pPr>
    </w:p>
    <w:p>
      <w:pPr>
        <w:ind w:right="200" w:firstLine="576"/>
        <w:spacing w:after="0" w:line="276" w:lineRule="auto"/>
        <w:rPr>
          <w:sz w:val="20"/>
          <w:szCs w:val="20"/>
          <w:color w:val="auto"/>
        </w:rPr>
      </w:pPr>
      <w:r>
        <w:rPr>
          <w:rFonts w:ascii="Arial" w:cs="Arial" w:eastAsia="Arial" w:hAnsi="Arial"/>
          <w:sz w:val="18"/>
          <w:szCs w:val="18"/>
          <w:color w:val="auto"/>
        </w:rPr>
        <w:t>In September 2020, the Company was awarded a $7.8 million grant from the National Institute on Aging of the National Institutes of Health under award R01AG068268 for the period September 15, 2020 through May 31, 2021.</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8"/>
          <w:szCs w:val="18"/>
          <w:b w:val="1"/>
          <w:bCs w:val="1"/>
          <w:color w:val="auto"/>
        </w:rPr>
        <w:t>ATHIRA PHARMA, INC</w:t>
      </w:r>
      <w:r>
        <w:rPr>
          <w:rFonts w:ascii="Arial" w:cs="Arial" w:eastAsia="Arial" w:hAnsi="Arial"/>
          <w:sz w:val="18"/>
          <w:szCs w:val="18"/>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8"/>
              </w:rPr>
              <w:t>As of</w:t>
            </w:r>
          </w:p>
        </w:tc>
        <w:tc>
          <w:tcPr>
            <w:tcW w:w="220" w:type="dxa"/>
            <w:vAlign w:val="bottom"/>
          </w:tcPr>
          <w:p>
            <w:pPr>
              <w:spacing w:after="0"/>
              <w:rPr>
                <w:sz w:val="13"/>
                <w:szCs w:val="13"/>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8"/>
              </w:rPr>
              <w:t>As of</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4"/>
              </w:rPr>
              <w:t>December 31,</w:t>
            </w:r>
          </w:p>
        </w:tc>
        <w:tc>
          <w:tcPr>
            <w:tcW w:w="220" w:type="dxa"/>
            <w:vAlign w:val="bottom"/>
          </w:tcPr>
          <w:p>
            <w:pPr>
              <w:spacing w:after="0"/>
              <w:rPr>
                <w:sz w:val="12"/>
                <w:szCs w:val="12"/>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6"/>
              </w:rPr>
              <w:t>September 30,</w:t>
            </w:r>
          </w:p>
        </w:tc>
        <w:tc>
          <w:tcPr>
            <w:tcW w:w="0" w:type="dxa"/>
            <w:vAlign w:val="bottom"/>
          </w:tcPr>
          <w:p>
            <w:pPr>
              <w:spacing w:after="0"/>
              <w:rPr>
                <w:sz w:val="1"/>
                <w:szCs w:val="1"/>
                <w:color w:val="auto"/>
              </w:rPr>
            </w:pPr>
          </w:p>
        </w:tc>
      </w:tr>
      <w:tr>
        <w:trPr>
          <w:trHeight w:val="159"/>
        </w:trPr>
        <w:tc>
          <w:tcPr>
            <w:tcW w:w="77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69"/>
              <w:spacing w:after="0"/>
              <w:rPr>
                <w:sz w:val="20"/>
                <w:szCs w:val="20"/>
                <w:color w:val="auto"/>
              </w:rPr>
            </w:pPr>
            <w:r>
              <w:rPr>
                <w:rFonts w:ascii="Arial" w:cs="Arial" w:eastAsia="Arial" w:hAnsi="Arial"/>
                <w:sz w:val="13"/>
                <w:szCs w:val="13"/>
                <w:b w:val="1"/>
                <w:bCs w:val="1"/>
                <w:color w:val="auto"/>
                <w:w w:val="96"/>
              </w:rPr>
              <w:t>2019</w:t>
            </w:r>
          </w:p>
        </w:tc>
        <w:tc>
          <w:tcPr>
            <w:tcW w:w="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149"/>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7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720" w:type="dxa"/>
            <w:vAlign w:val="bottom"/>
          </w:tcPr>
          <w:p>
            <w:pPr>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2,056</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165,725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60"/>
              <w:spacing w:after="0"/>
              <w:rPr>
                <w:sz w:val="20"/>
                <w:szCs w:val="20"/>
                <w:color w:val="auto"/>
              </w:rPr>
            </w:pPr>
            <w:r>
              <w:rPr>
                <w:rFonts w:ascii="Arial" w:cs="Arial" w:eastAsia="Arial" w:hAnsi="Arial"/>
                <w:sz w:val="14"/>
                <w:szCs w:val="14"/>
                <w:color w:val="auto"/>
              </w:rPr>
              <w:t>Short-term investments</w:t>
            </w:r>
          </w:p>
        </w:tc>
        <w:tc>
          <w:tcPr>
            <w:tcW w:w="240" w:type="dxa"/>
            <w:vAlign w:val="bottom"/>
          </w:tcPr>
          <w:p>
            <w:pPr>
              <w:spacing w:after="0"/>
              <w:rPr>
                <w:sz w:val="15"/>
                <w:szCs w:val="15"/>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60,547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5,994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60"/>
              <w:spacing w:after="0"/>
              <w:rPr>
                <w:sz w:val="20"/>
                <w:szCs w:val="20"/>
                <w:color w:val="auto"/>
              </w:rPr>
            </w:pPr>
            <w:r>
              <w:rPr>
                <w:rFonts w:ascii="Arial" w:cs="Arial" w:eastAsia="Arial" w:hAnsi="Arial"/>
                <w:sz w:val="14"/>
                <w:szCs w:val="14"/>
                <w:color w:val="auto"/>
              </w:rPr>
              <w:t>Current portion of unsecured related party note receivable</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4"/>
                <w:szCs w:val="14"/>
                <w:color w:val="auto"/>
              </w:rPr>
              <w:t>Total current assets</w:t>
            </w:r>
          </w:p>
        </w:tc>
        <w:tc>
          <w:tcPr>
            <w:tcW w:w="240" w:type="dxa"/>
            <w:vAlign w:val="bottom"/>
            <w:tcBorders>
              <w:top w:val="single" w:sz="8" w:color="auto"/>
            </w:tcBorders>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2,160</w:t>
            </w:r>
          </w:p>
        </w:tc>
        <w:tc>
          <w:tcPr>
            <w:tcW w:w="28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232,266</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40" w:type="dxa"/>
            <w:vAlign w:val="bottom"/>
          </w:tcPr>
          <w:p>
            <w:pPr>
              <w:spacing w:after="0"/>
              <w:rPr>
                <w:sz w:val="15"/>
                <w:szCs w:val="15"/>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1,003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Operating lease right-of-use asset</w:t>
            </w:r>
          </w:p>
        </w:tc>
        <w:tc>
          <w:tcPr>
            <w:tcW w:w="24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spacing w:after="0"/>
              <w:rPr>
                <w:sz w:val="20"/>
                <w:szCs w:val="20"/>
                <w:color w:val="auto"/>
              </w:rPr>
            </w:pPr>
            <w:r>
              <w:rPr>
                <w:rFonts w:ascii="Arial" w:cs="Arial" w:eastAsia="Arial" w:hAnsi="Arial"/>
                <w:sz w:val="14"/>
                <w:szCs w:val="14"/>
                <w:color w:val="auto"/>
              </w:rPr>
              <w:t>Long-term investments</w:t>
            </w:r>
          </w:p>
        </w:tc>
        <w:tc>
          <w:tcPr>
            <w:tcW w:w="240" w:type="dxa"/>
            <w:vAlign w:val="bottom"/>
          </w:tcPr>
          <w:p>
            <w:pPr>
              <w:spacing w:after="0"/>
              <w:rPr>
                <w:sz w:val="15"/>
                <w:szCs w:val="15"/>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33,656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Other long-term assets</w:t>
            </w:r>
          </w:p>
        </w:tc>
        <w:tc>
          <w:tcPr>
            <w:tcW w:w="24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spacing w:after="0"/>
              <w:rPr>
                <w:sz w:val="20"/>
                <w:szCs w:val="20"/>
                <w:color w:val="auto"/>
              </w:rPr>
            </w:pPr>
            <w:r>
              <w:rPr>
                <w:rFonts w:ascii="Arial" w:cs="Arial" w:eastAsia="Arial" w:hAnsi="Arial"/>
                <w:sz w:val="14"/>
                <w:szCs w:val="14"/>
                <w:color w:val="auto"/>
              </w:rPr>
              <w:t>Unsecured related party note receivable</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29</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7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4"/>
                <w:szCs w:val="14"/>
                <w:color w:val="auto"/>
              </w:rPr>
              <w:t>Total assets</w:t>
            </w:r>
          </w:p>
        </w:tc>
        <w:tc>
          <w:tcPr>
            <w:tcW w:w="24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2,189</w:t>
            </w:r>
          </w:p>
        </w:tc>
        <w:tc>
          <w:tcPr>
            <w:tcW w:w="280" w:type="dxa"/>
            <w:vAlign w:val="bottom"/>
            <w:tcBorders>
              <w:top w:val="single" w:sz="8" w:color="CFF0FC"/>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267,939</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convertible preferred stock and stockholders' equity</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7720" w:type="dxa"/>
            <w:vAlign w:val="bottom"/>
          </w:tcPr>
          <w:p>
            <w:pPr>
              <w:ind w:left="120"/>
              <w:spacing w:after="0"/>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60"/>
              <w:spacing w:after="0"/>
              <w:rPr>
                <w:sz w:val="20"/>
                <w:szCs w:val="20"/>
                <w:color w:val="auto"/>
              </w:rPr>
            </w:pPr>
            <w:r>
              <w:rPr>
                <w:rFonts w:ascii="Arial" w:cs="Arial" w:eastAsia="Arial" w:hAnsi="Arial"/>
                <w:sz w:val="14"/>
                <w:szCs w:val="14"/>
                <w:color w:val="auto"/>
              </w:rPr>
              <w:t>Accounts payable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421</w:t>
            </w:r>
          </w:p>
        </w:tc>
        <w:tc>
          <w:tcPr>
            <w:tcW w:w="28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3,872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Accrued liabilities</w:t>
            </w: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852</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60"/>
              <w:spacing w:after="0"/>
              <w:rPr>
                <w:sz w:val="20"/>
                <w:szCs w:val="20"/>
                <w:color w:val="auto"/>
              </w:rPr>
            </w:pPr>
            <w:r>
              <w:rPr>
                <w:rFonts w:ascii="Arial" w:cs="Arial" w:eastAsia="Arial" w:hAnsi="Arial"/>
                <w:sz w:val="14"/>
                <w:szCs w:val="14"/>
                <w:color w:val="auto"/>
              </w:rPr>
              <w:t>Current operating lease liability</w:t>
            </w:r>
          </w:p>
        </w:tc>
        <w:tc>
          <w:tcPr>
            <w:tcW w:w="240" w:type="dxa"/>
            <w:vAlign w:val="bottom"/>
          </w:tcPr>
          <w:p>
            <w:pPr>
              <w:spacing w:after="0"/>
              <w:rPr>
                <w:sz w:val="15"/>
                <w:szCs w:val="15"/>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Grant liability</w:t>
            </w:r>
          </w:p>
        </w:tc>
        <w:tc>
          <w:tcPr>
            <w:tcW w:w="24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20" w:type="dxa"/>
            <w:vAlign w:val="bottom"/>
          </w:tcPr>
          <w:p>
            <w:pPr>
              <w:ind w:left="50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1,273</w:t>
            </w:r>
          </w:p>
        </w:tc>
        <w:tc>
          <w:tcPr>
            <w:tcW w:w="2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7,554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Operating lease liability, less current portion</w:t>
            </w:r>
          </w:p>
        </w:tc>
        <w:tc>
          <w:tcPr>
            <w:tcW w:w="24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spacing w:after="0"/>
              <w:rPr>
                <w:sz w:val="20"/>
                <w:szCs w:val="20"/>
                <w:color w:val="auto"/>
              </w:rPr>
            </w:pPr>
            <w:r>
              <w:rPr>
                <w:rFonts w:ascii="Arial" w:cs="Arial" w:eastAsia="Arial" w:hAnsi="Arial"/>
                <w:sz w:val="14"/>
                <w:szCs w:val="14"/>
                <w:color w:val="auto"/>
              </w:rPr>
              <w:t>Grant liability</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1,036</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Derivative liability</w:t>
            </w: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999</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720" w:type="dxa"/>
            <w:vAlign w:val="bottom"/>
          </w:tcPr>
          <w:p>
            <w:pPr>
              <w:spacing w:after="0"/>
              <w:rPr>
                <w:sz w:val="20"/>
                <w:szCs w:val="20"/>
                <w:color w:val="auto"/>
              </w:rPr>
            </w:pPr>
            <w:r>
              <w:rPr>
                <w:rFonts w:ascii="Arial" w:cs="Arial" w:eastAsia="Arial" w:hAnsi="Arial"/>
                <w:sz w:val="14"/>
                <w:szCs w:val="14"/>
                <w:color w:val="auto"/>
              </w:rPr>
              <w:t>Convertible notes, net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1,553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4"/>
                <w:szCs w:val="14"/>
                <w:color w:val="auto"/>
              </w:rPr>
              <w:t>Total liabilities</w:t>
            </w: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4,861</w:t>
            </w:r>
          </w:p>
        </w:tc>
        <w:tc>
          <w:tcPr>
            <w:tcW w:w="280" w:type="dxa"/>
            <w:vAlign w:val="bottom"/>
            <w:tcBorders>
              <w:top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8,469</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20"/>
                <w:szCs w:val="20"/>
                <w:color w:val="auto"/>
              </w:rPr>
            </w:pPr>
            <w:r>
              <w:rPr>
                <w:rFonts w:ascii="Arial" w:cs="Arial" w:eastAsia="Arial" w:hAnsi="Arial"/>
                <w:sz w:val="14"/>
                <w:szCs w:val="14"/>
                <w:color w:val="auto"/>
              </w:rPr>
              <w:t>Commitments and contingencies (Note 8)</w:t>
            </w: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Convertible preferred stock, $0.0001 par value; 2,797,464 and 0 shares</w:t>
            </w: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authorized at December 31, 2019 and September 30, 2020, respectively;</w:t>
            </w: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2,617,386 and 0 shares issued and outstanding at December 31, 2019</w:t>
            </w: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and September 30, 2020, respectively</w:t>
            </w: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17,051</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720" w:type="dxa"/>
            <w:vAlign w:val="bottom"/>
          </w:tcPr>
          <w:p>
            <w:pPr>
              <w:spacing w:after="0"/>
              <w:rPr>
                <w:sz w:val="20"/>
                <w:szCs w:val="20"/>
                <w:color w:val="auto"/>
              </w:rPr>
            </w:pPr>
            <w:r>
              <w:rPr>
                <w:rFonts w:ascii="Arial" w:cs="Arial" w:eastAsia="Arial" w:hAnsi="Arial"/>
                <w:sz w:val="14"/>
                <w:szCs w:val="14"/>
                <w:color w:val="auto"/>
              </w:rPr>
              <w:t>Stockholders' equity (deficit):</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Common stock, $0.0001 par value; 10,088,017 and 900,000,000</w:t>
            </w: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shares authorized at December 31, 2019 and September 30,</w:t>
            </w: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2020, respectively; 3,641,449 and 31,087,395 shares issued and</w:t>
            </w: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outstanding at December 31, 2019 and September 30, 2020,</w:t>
            </w: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respectively</w:t>
            </w:r>
          </w:p>
        </w:tc>
        <w:tc>
          <w:tcPr>
            <w:tcW w:w="24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260"/>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1,364</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292,800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Accumulated other comprehensive income</w:t>
            </w:r>
          </w:p>
        </w:tc>
        <w:tc>
          <w:tcPr>
            <w:tcW w:w="24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60"/>
              <w:spacing w:after="0"/>
              <w:rPr>
                <w:sz w:val="20"/>
                <w:szCs w:val="20"/>
                <w:color w:val="auto"/>
              </w:rPr>
            </w:pPr>
            <w:r>
              <w:rPr>
                <w:rFonts w:ascii="Arial" w:cs="Arial" w:eastAsia="Arial" w:hAnsi="Arial"/>
                <w:sz w:val="14"/>
                <w:szCs w:val="14"/>
                <w:color w:val="auto"/>
              </w:rPr>
              <w:t>Accumulated deficit</w:t>
            </w:r>
          </w:p>
        </w:tc>
        <w:tc>
          <w:tcPr>
            <w:tcW w:w="240" w:type="dxa"/>
            <w:vAlign w:val="bottom"/>
          </w:tcPr>
          <w:p>
            <w:pPr>
              <w:spacing w:after="0"/>
              <w:rPr>
                <w:sz w:val="15"/>
                <w:szCs w:val="15"/>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4"/>
                <w:szCs w:val="14"/>
                <w:color w:val="auto"/>
              </w:rPr>
              <w:t>(21,087)</w:t>
            </w:r>
          </w:p>
        </w:tc>
        <w:tc>
          <w:tcPr>
            <w:tcW w:w="220" w:type="dxa"/>
            <w:vAlign w:val="bottom"/>
          </w:tcPr>
          <w:p>
            <w:pPr>
              <w:spacing w:after="0"/>
              <w:rPr>
                <w:sz w:val="15"/>
                <w:szCs w:val="15"/>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4"/>
                <w:szCs w:val="14"/>
                <w:color w:val="auto"/>
              </w:rPr>
              <w:t>(33,340)</w:t>
            </w:r>
          </w:p>
        </w:tc>
        <w:tc>
          <w:tcPr>
            <w:tcW w:w="0" w:type="dxa"/>
            <w:vAlign w:val="bottom"/>
          </w:tcPr>
          <w:p>
            <w:pPr>
              <w:spacing w:after="0"/>
              <w:rPr>
                <w:sz w:val="1"/>
                <w:szCs w:val="1"/>
                <w:color w:val="auto"/>
              </w:rPr>
            </w:pPr>
          </w:p>
        </w:tc>
      </w:tr>
      <w:tr>
        <w:trPr>
          <w:trHeight w:val="20"/>
        </w:trPr>
        <w:tc>
          <w:tcPr>
            <w:tcW w:w="7720" w:type="dxa"/>
            <w:vAlign w:val="bottom"/>
            <w:vMerge w:val="restart"/>
            <w:shd w:val="clear" w:color="auto" w:fill="CFF0FC"/>
          </w:tcPr>
          <w:p>
            <w:pPr>
              <w:ind w:left="500"/>
              <w:spacing w:after="0"/>
              <w:rPr>
                <w:sz w:val="20"/>
                <w:szCs w:val="20"/>
                <w:color w:val="auto"/>
              </w:rPr>
            </w:pPr>
            <w:r>
              <w:rPr>
                <w:rFonts w:ascii="Arial" w:cs="Arial" w:eastAsia="Arial" w:hAnsi="Arial"/>
                <w:sz w:val="14"/>
                <w:szCs w:val="14"/>
                <w:color w:val="auto"/>
              </w:rPr>
              <w:t>Total stockholders' equity (deficit)</w:t>
            </w: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7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(19,723)</w:t>
            </w: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259,470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Pr>
          <w:p>
            <w:pPr>
              <w:ind w:left="500"/>
              <w:spacing w:after="0" w:line="156" w:lineRule="exact"/>
              <w:rPr>
                <w:sz w:val="20"/>
                <w:szCs w:val="20"/>
                <w:color w:val="auto"/>
              </w:rPr>
            </w:pPr>
            <w:r>
              <w:rPr>
                <w:rFonts w:ascii="Arial" w:cs="Arial" w:eastAsia="Arial" w:hAnsi="Arial"/>
                <w:sz w:val="14"/>
                <w:szCs w:val="14"/>
                <w:color w:val="auto"/>
              </w:rPr>
              <w:t>Total liabilities, convertible preferred stock and stockholders' equity</w:t>
            </w:r>
          </w:p>
        </w:tc>
        <w:tc>
          <w:tcPr>
            <w:tcW w:w="2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620"/>
              <w:spacing w:after="0"/>
              <w:rPr>
                <w:sz w:val="20"/>
                <w:szCs w:val="20"/>
                <w:color w:val="auto"/>
              </w:rPr>
            </w:pPr>
            <w:r>
              <w:rPr>
                <w:rFonts w:ascii="Arial" w:cs="Arial" w:eastAsia="Arial" w:hAnsi="Arial"/>
                <w:sz w:val="14"/>
                <w:szCs w:val="14"/>
                <w:color w:val="auto"/>
              </w:rPr>
              <w:t>(deficit)</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2,189</w:t>
            </w:r>
          </w:p>
        </w:tc>
        <w:tc>
          <w:tcPr>
            <w:tcW w:w="28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267,939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227" w:name="page228"/>
    <w:bookmarkEnd w:id="227"/>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7"/>
        </w:trPr>
        <w:tc>
          <w:tcPr>
            <w:tcW w:w="5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5"/>
                <w:szCs w:val="15"/>
                <w:color w:val="auto"/>
              </w:rPr>
            </w:pPr>
          </w:p>
        </w:tc>
        <w:tc>
          <w:tcPr>
            <w:tcW w:w="242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5820" w:type="dxa"/>
            <w:vAlign w:val="bottom"/>
            <w:tcBorders>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4"/>
                <w:szCs w:val="14"/>
                <w:color w:val="auto"/>
              </w:rPr>
            </w:pPr>
          </w:p>
        </w:tc>
        <w:tc>
          <w:tcPr>
            <w:tcW w:w="80" w:type="dxa"/>
            <w:vAlign w:val="bottom"/>
            <w:tcBorders>
              <w:top w:val="single" w:sz="8" w:color="auto"/>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4"/>
                <w:szCs w:val="14"/>
                <w:color w:val="auto"/>
              </w:rPr>
            </w:pPr>
          </w:p>
        </w:tc>
        <w:tc>
          <w:tcPr>
            <w:tcW w:w="80" w:type="dxa"/>
            <w:vAlign w:val="bottom"/>
            <w:tcBorders>
              <w:top w:val="single" w:sz="8" w:color="auto"/>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1,026</w:t>
            </w:r>
          </w:p>
        </w:tc>
        <w:tc>
          <w:tcPr>
            <w:tcW w:w="160" w:type="dxa"/>
            <w:vAlign w:val="bottom"/>
          </w:tcPr>
          <w:p>
            <w:pPr>
              <w:spacing w:after="0"/>
              <w:rPr>
                <w:sz w:val="18"/>
                <w:szCs w:val="18"/>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5,830</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3,135</w:t>
            </w:r>
          </w:p>
        </w:tc>
        <w:tc>
          <w:tcPr>
            <w:tcW w:w="160" w:type="dxa"/>
            <w:vAlign w:val="bottom"/>
          </w:tcPr>
          <w:p>
            <w:pPr>
              <w:spacing w:after="0"/>
              <w:rPr>
                <w:sz w:val="18"/>
                <w:szCs w:val="18"/>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1,567</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7,397</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4,332</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(1,059)</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09"/>
        </w:trPr>
        <w:tc>
          <w:tcPr>
            <w:tcW w:w="5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(1,530)</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(4,187)</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Unrealized gain (loss) on available-for-sale</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820" w:type="dxa"/>
            <w:vAlign w:val="bottom"/>
          </w:tcPr>
          <w:p>
            <w:pPr>
              <w:ind w:left="160"/>
              <w:spacing w:after="0"/>
              <w:rPr>
                <w:sz w:val="20"/>
                <w:szCs w:val="20"/>
                <w:color w:val="auto"/>
              </w:rPr>
            </w:pPr>
            <w:r>
              <w:rPr>
                <w:rFonts w:ascii="Arial" w:cs="Arial" w:eastAsia="Arial" w:hAnsi="Arial"/>
                <w:sz w:val="18"/>
                <w:szCs w:val="18"/>
                <w:color w:val="auto"/>
              </w:rPr>
              <w:t>securities</w:t>
            </w: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820" w:type="dxa"/>
            <w:vAlign w:val="bottom"/>
            <w:tcBorders>
              <w:top w:val="single" w:sz="8" w:color="CFF0FC"/>
            </w:tcBorders>
            <w:shd w:val="clear" w:color="auto" w:fill="CFF0FC"/>
          </w:tcPr>
          <w:p>
            <w:pPr>
              <w:spacing w:after="0" w:line="187" w:lineRule="exact"/>
              <w:rPr>
                <w:sz w:val="20"/>
                <w:szCs w:val="20"/>
                <w:color w:val="auto"/>
              </w:rPr>
            </w:pPr>
            <w:r>
              <w:rPr>
                <w:rFonts w:ascii="Arial" w:cs="Arial" w:eastAsia="Arial" w:hAnsi="Arial"/>
                <w:sz w:val="18"/>
                <w:szCs w:val="18"/>
                <w:color w:val="auto"/>
              </w:rPr>
              <w:t>Comprehensive loss attributable to common</w:t>
            </w:r>
          </w:p>
        </w:tc>
        <w:tc>
          <w:tcPr>
            <w:tcW w:w="20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8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stockholders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(1,530)</w:t>
            </w: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(8,449)</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(4,187)</w:t>
            </w: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(12,246)</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loss per share attributable to common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5820" w:type="dxa"/>
            <w:vAlign w:val="bottom"/>
          </w:tcPr>
          <w:p>
            <w:pPr>
              <w:ind w:left="160"/>
              <w:spacing w:after="0"/>
              <w:rPr>
                <w:sz w:val="20"/>
                <w:szCs w:val="20"/>
                <w:color w:val="auto"/>
              </w:rPr>
            </w:pPr>
            <w:r>
              <w:rPr>
                <w:rFonts w:ascii="Arial" w:cs="Arial" w:eastAsia="Arial" w:hAnsi="Arial"/>
                <w:sz w:val="18"/>
                <w:szCs w:val="18"/>
                <w:color w:val="auto"/>
              </w:rPr>
              <w:t>stockholders, basic and 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(0.43)</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(1.12)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174"/>
        </w:trPr>
        <w:tc>
          <w:tcPr>
            <w:tcW w:w="5820" w:type="dxa"/>
            <w:vAlign w:val="bottom"/>
            <w:tcBorders>
              <w:top w:val="single" w:sz="8" w:color="CFF0FC"/>
            </w:tcBorders>
            <w:shd w:val="clear" w:color="auto" w:fill="CFF0FC"/>
          </w:tcPr>
          <w:p>
            <w:pPr>
              <w:spacing w:after="0" w:line="174" w:lineRule="exact"/>
              <w:rPr>
                <w:sz w:val="20"/>
                <w:szCs w:val="20"/>
                <w:color w:val="auto"/>
              </w:rPr>
            </w:pPr>
            <w:r>
              <w:rPr>
                <w:rFonts w:ascii="Arial" w:cs="Arial" w:eastAsia="Arial" w:hAnsi="Arial"/>
                <w:sz w:val="18"/>
                <w:szCs w:val="18"/>
                <w:color w:val="auto"/>
              </w:rPr>
              <w:t>Weighted-average shares used in computing</w:t>
            </w:r>
          </w:p>
        </w:tc>
        <w:tc>
          <w:tcPr>
            <w:tcW w:w="20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net loss per share attributable to common</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8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stockholders, basic and diluted</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3,554,345</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7,564,538</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3,551,586</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5,155,338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228" w:name="page229"/>
    <w:bookmarkEnd w:id="228"/>
    <w:p>
      <w:pPr>
        <w:jc w:val="center"/>
        <w:ind w:right="-19"/>
        <w:spacing w:after="0"/>
        <w:rPr>
          <w:sz w:val="20"/>
          <w:szCs w:val="20"/>
          <w:color w:val="auto"/>
        </w:rPr>
      </w:pPr>
      <w:r>
        <w:rPr>
          <w:rFonts w:ascii="Arial" w:cs="Arial" w:eastAsia="Arial" w:hAnsi="Arial"/>
          <w:sz w:val="18"/>
          <w:szCs w:val="18"/>
          <w:b w:val="1"/>
          <w:bCs w:val="1"/>
          <w:color w:val="auto"/>
        </w:rPr>
        <w:t>ATHIRA PHARMA,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Convertible Preferred Stock and Stockholders’ Deficit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September 30, 2019 and 2020</w:t>
      </w:r>
    </w:p>
    <w:p>
      <w:pPr>
        <w:jc w:val="center"/>
        <w:ind w:right="-19"/>
        <w:spacing w:after="0" w:line="234" w:lineRule="auto"/>
        <w:rPr>
          <w:sz w:val="20"/>
          <w:szCs w:val="20"/>
          <w:color w:val="auto"/>
        </w:rPr>
      </w:pPr>
      <w:r>
        <w:rPr>
          <w:rFonts w:ascii="Arial" w:cs="Arial" w:eastAsia="Arial" w:hAnsi="Arial"/>
          <w:sz w:val="18"/>
          <w:szCs w:val="18"/>
          <w:b w:val="1"/>
          <w:bCs w:val="1"/>
          <w:color w:val="auto"/>
        </w:rPr>
        <w:t>(in thousands, except share amounts)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20"/>
          </w:cols>
          <w:pgMar w:left="320" w:top="574" w:right="359" w:bottom="1440" w:gutter="0" w:footer="0" w:header="0"/>
        </w:sect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40" w:type="dxa"/>
            <w:vAlign w:val="bottom"/>
          </w:tcPr>
          <w:p>
            <w:pPr>
              <w:spacing w:after="0"/>
              <w:rPr>
                <w:sz w:val="13"/>
                <w:szCs w:val="13"/>
                <w:color w:val="auto"/>
              </w:rPr>
            </w:pPr>
          </w:p>
        </w:tc>
        <w:tc>
          <w:tcPr>
            <w:tcW w:w="1380" w:type="dxa"/>
            <w:vAlign w:val="bottom"/>
            <w:gridSpan w:val="3"/>
          </w:tcPr>
          <w:p>
            <w:pPr>
              <w:jc w:val="center"/>
              <w:ind w:left="351"/>
              <w:spacing w:after="0"/>
              <w:rPr>
                <w:sz w:val="20"/>
                <w:szCs w:val="20"/>
                <w:color w:val="auto"/>
              </w:rPr>
            </w:pPr>
            <w:r>
              <w:rPr>
                <w:rFonts w:ascii="Arial" w:cs="Arial" w:eastAsia="Arial" w:hAnsi="Arial"/>
                <w:sz w:val="13"/>
                <w:szCs w:val="13"/>
                <w:b w:val="1"/>
                <w:bCs w:val="1"/>
                <w:color w:val="auto"/>
                <w:w w:val="95"/>
              </w:rPr>
              <w:t>Convertible</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040" w:type="dxa"/>
            <w:vAlign w:val="bottom"/>
          </w:tcPr>
          <w:p>
            <w:pPr>
              <w:spacing w:after="0"/>
              <w:rPr>
                <w:sz w:val="13"/>
                <w:szCs w:val="13"/>
                <w:color w:val="auto"/>
              </w:rPr>
            </w:pPr>
          </w:p>
        </w:tc>
        <w:tc>
          <w:tcPr>
            <w:tcW w:w="1380" w:type="dxa"/>
            <w:vAlign w:val="bottom"/>
            <w:tcBorders>
              <w:bottom w:val="single" w:sz="8" w:color="auto"/>
            </w:tcBorders>
            <w:gridSpan w:val="3"/>
          </w:tcPr>
          <w:p>
            <w:pPr>
              <w:jc w:val="center"/>
              <w:ind w:left="371"/>
              <w:spacing w:after="0"/>
              <w:rPr>
                <w:sz w:val="20"/>
                <w:szCs w:val="20"/>
                <w:color w:val="auto"/>
              </w:rPr>
            </w:pPr>
            <w:r>
              <w:rPr>
                <w:rFonts w:ascii="Arial" w:cs="Arial" w:eastAsia="Arial" w:hAnsi="Arial"/>
                <w:sz w:val="13"/>
                <w:szCs w:val="13"/>
                <w:b w:val="1"/>
                <w:bCs w:val="1"/>
                <w:color w:val="auto"/>
                <w:w w:val="97"/>
              </w:rPr>
              <w:t>Preferred Stock</w:t>
            </w:r>
          </w:p>
        </w:tc>
        <w:tc>
          <w:tcPr>
            <w:tcW w:w="4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June 30, 2019</w:t>
            </w:r>
          </w:p>
        </w:tc>
        <w:tc>
          <w:tcPr>
            <w:tcW w:w="1100" w:type="dxa"/>
            <w:vAlign w:val="bottom"/>
            <w:gridSpan w:val="2"/>
          </w:tcPr>
          <w:p>
            <w:pPr>
              <w:jc w:val="right"/>
              <w:ind w:right="460"/>
              <w:spacing w:after="0" w:line="142" w:lineRule="exact"/>
              <w:rPr>
                <w:sz w:val="20"/>
                <w:szCs w:val="20"/>
                <w:color w:val="auto"/>
              </w:rPr>
            </w:pPr>
            <w:r>
              <w:rPr>
                <w:rFonts w:ascii="Arial" w:cs="Arial" w:eastAsia="Arial" w:hAnsi="Arial"/>
                <w:sz w:val="13"/>
                <w:szCs w:val="13"/>
                <w:b w:val="1"/>
                <w:bCs w:val="1"/>
                <w:color w:val="auto"/>
              </w:rPr>
              <w:t>Shares</w:t>
            </w:r>
          </w:p>
        </w:tc>
        <w:tc>
          <w:tcPr>
            <w:tcW w:w="720" w:type="dxa"/>
            <w:vAlign w:val="bottom"/>
            <w:gridSpan w:val="2"/>
          </w:tcPr>
          <w:p>
            <w:pPr>
              <w:jc w:val="right"/>
              <w:ind w:right="48"/>
              <w:spacing w:after="0" w:line="142" w:lineRule="exact"/>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040" w:type="dxa"/>
            <w:vAlign w:val="bottom"/>
            <w:vMerge w:val="continue"/>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2,617,386</w:t>
            </w:r>
          </w:p>
        </w:tc>
        <w:tc>
          <w:tcPr>
            <w:tcW w:w="220" w:type="dxa"/>
            <w:vAlign w:val="bottom"/>
          </w:tcPr>
          <w:p>
            <w:pPr>
              <w:spacing w:after="0"/>
              <w:rPr>
                <w:sz w:val="14"/>
                <w:szCs w:val="14"/>
                <w:color w:val="auto"/>
              </w:rPr>
            </w:pPr>
          </w:p>
        </w:tc>
        <w:tc>
          <w:tcPr>
            <w:tcW w:w="28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17,051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Issuance of common stock upon exercise</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of</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380"/>
              <w:spacing w:after="0"/>
              <w:rPr>
                <w:sz w:val="20"/>
                <w:szCs w:val="20"/>
                <w:color w:val="auto"/>
              </w:rPr>
            </w:pPr>
            <w:r>
              <w:rPr>
                <w:rFonts w:ascii="Arial" w:cs="Arial" w:eastAsia="Arial" w:hAnsi="Arial"/>
                <w:sz w:val="14"/>
                <w:szCs w:val="14"/>
                <w:color w:val="auto"/>
              </w:rPr>
              <w:t>common stock options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04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04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3040" w:type="dxa"/>
            <w:vAlign w:val="bottom"/>
          </w:tcPr>
          <w:p>
            <w:pPr>
              <w:spacing w:after="0"/>
              <w:rPr>
                <w:sz w:val="20"/>
                <w:szCs w:val="20"/>
                <w:color w:val="auto"/>
              </w:rPr>
            </w:pPr>
            <w:r>
              <w:rPr>
                <w:rFonts w:ascii="Arial" w:cs="Arial" w:eastAsia="Arial" w:hAnsi="Arial"/>
                <w:sz w:val="14"/>
                <w:szCs w:val="14"/>
                <w:b w:val="1"/>
                <w:bCs w:val="1"/>
                <w:color w:val="auto"/>
              </w:rPr>
              <w:t>Balance as of September 30, 2019</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2,617,386</w:t>
            </w:r>
          </w:p>
        </w:tc>
        <w:tc>
          <w:tcPr>
            <w:tcW w:w="22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17,051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3040" w:type="dxa"/>
            <w:vAlign w:val="bottom"/>
          </w:tcPr>
          <w:p>
            <w:pPr>
              <w:spacing w:after="0"/>
              <w:rPr>
                <w:sz w:val="24"/>
                <w:szCs w:val="24"/>
                <w:color w:val="auto"/>
              </w:rPr>
            </w:pPr>
          </w:p>
        </w:tc>
        <w:tc>
          <w:tcPr>
            <w:tcW w:w="1380" w:type="dxa"/>
            <w:vAlign w:val="bottom"/>
            <w:gridSpan w:val="3"/>
          </w:tcPr>
          <w:p>
            <w:pPr>
              <w:jc w:val="center"/>
              <w:ind w:left="351"/>
              <w:spacing w:after="0"/>
              <w:rPr>
                <w:sz w:val="20"/>
                <w:szCs w:val="20"/>
                <w:color w:val="auto"/>
              </w:rPr>
            </w:pPr>
            <w:r>
              <w:rPr>
                <w:rFonts w:ascii="Arial" w:cs="Arial" w:eastAsia="Arial" w:hAnsi="Arial"/>
                <w:sz w:val="13"/>
                <w:szCs w:val="13"/>
                <w:b w:val="1"/>
                <w:bCs w:val="1"/>
                <w:color w:val="auto"/>
                <w:w w:val="95"/>
              </w:rPr>
              <w:t>Convertible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040" w:type="dxa"/>
            <w:vAlign w:val="bottom"/>
          </w:tcPr>
          <w:p>
            <w:pPr>
              <w:spacing w:after="0"/>
              <w:rPr>
                <w:sz w:val="13"/>
                <w:szCs w:val="13"/>
                <w:color w:val="auto"/>
              </w:rPr>
            </w:pPr>
          </w:p>
        </w:tc>
        <w:tc>
          <w:tcPr>
            <w:tcW w:w="1380" w:type="dxa"/>
            <w:vAlign w:val="bottom"/>
            <w:tcBorders>
              <w:bottom w:val="single" w:sz="8" w:color="auto"/>
            </w:tcBorders>
            <w:gridSpan w:val="3"/>
          </w:tcPr>
          <w:p>
            <w:pPr>
              <w:jc w:val="center"/>
              <w:ind w:left="371"/>
              <w:spacing w:after="0"/>
              <w:rPr>
                <w:sz w:val="20"/>
                <w:szCs w:val="20"/>
                <w:color w:val="auto"/>
              </w:rPr>
            </w:pPr>
            <w:r>
              <w:rPr>
                <w:rFonts w:ascii="Arial" w:cs="Arial" w:eastAsia="Arial" w:hAnsi="Arial"/>
                <w:sz w:val="13"/>
                <w:szCs w:val="13"/>
                <w:b w:val="1"/>
                <w:bCs w:val="1"/>
                <w:color w:val="auto"/>
                <w:w w:val="97"/>
              </w:rPr>
              <w:t>Preferred Stock</w:t>
            </w:r>
          </w:p>
        </w:tc>
        <w:tc>
          <w:tcPr>
            <w:tcW w:w="4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June 30, 2020</w:t>
            </w:r>
          </w:p>
        </w:tc>
        <w:tc>
          <w:tcPr>
            <w:tcW w:w="1100" w:type="dxa"/>
            <w:vAlign w:val="bottom"/>
            <w:gridSpan w:val="2"/>
          </w:tcPr>
          <w:p>
            <w:pPr>
              <w:jc w:val="right"/>
              <w:ind w:right="460"/>
              <w:spacing w:after="0" w:line="142" w:lineRule="exact"/>
              <w:rPr>
                <w:sz w:val="20"/>
                <w:szCs w:val="20"/>
                <w:color w:val="auto"/>
              </w:rPr>
            </w:pPr>
            <w:r>
              <w:rPr>
                <w:rFonts w:ascii="Arial" w:cs="Arial" w:eastAsia="Arial" w:hAnsi="Arial"/>
                <w:sz w:val="13"/>
                <w:szCs w:val="13"/>
                <w:b w:val="1"/>
                <w:bCs w:val="1"/>
                <w:color w:val="auto"/>
              </w:rPr>
              <w:t>Shares</w:t>
            </w:r>
          </w:p>
        </w:tc>
        <w:tc>
          <w:tcPr>
            <w:tcW w:w="720" w:type="dxa"/>
            <w:vAlign w:val="bottom"/>
            <w:gridSpan w:val="2"/>
          </w:tcPr>
          <w:p>
            <w:pPr>
              <w:jc w:val="right"/>
              <w:ind w:right="48"/>
              <w:spacing w:after="0" w:line="142" w:lineRule="exact"/>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040" w:type="dxa"/>
            <w:vAlign w:val="bottom"/>
            <w:vMerge w:val="continue"/>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12,503,009</w:t>
            </w:r>
          </w:p>
        </w:tc>
        <w:tc>
          <w:tcPr>
            <w:tcW w:w="220" w:type="dxa"/>
            <w:vAlign w:val="bottom"/>
          </w:tcPr>
          <w:p>
            <w:pPr>
              <w:spacing w:after="0"/>
              <w:rPr>
                <w:sz w:val="14"/>
                <w:szCs w:val="14"/>
                <w:color w:val="auto"/>
              </w:rPr>
            </w:pPr>
          </w:p>
        </w:tc>
        <w:tc>
          <w:tcPr>
            <w:tcW w:w="28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92,537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Issuance of common stock upon exercise</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of</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380"/>
              <w:spacing w:after="0"/>
              <w:rPr>
                <w:sz w:val="20"/>
                <w:szCs w:val="20"/>
                <w:color w:val="auto"/>
              </w:rPr>
            </w:pPr>
            <w:r>
              <w:rPr>
                <w:rFonts w:ascii="Arial" w:cs="Arial" w:eastAsia="Arial" w:hAnsi="Arial"/>
                <w:sz w:val="14"/>
                <w:szCs w:val="14"/>
                <w:color w:val="auto"/>
              </w:rPr>
              <w:t>common stock options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Proceeds from initial public offering, net</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of</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380"/>
              <w:spacing w:after="0"/>
              <w:rPr>
                <w:sz w:val="20"/>
                <w:szCs w:val="20"/>
                <w:color w:val="auto"/>
              </w:rPr>
            </w:pPr>
            <w:r>
              <w:rPr>
                <w:rFonts w:ascii="Arial" w:cs="Arial" w:eastAsia="Arial" w:hAnsi="Arial"/>
                <w:sz w:val="14"/>
                <w:szCs w:val="14"/>
                <w:color w:val="auto"/>
              </w:rPr>
              <w:t>underwriters' discounts and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commissions</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40" w:type="dxa"/>
            <w:vAlign w:val="bottom"/>
          </w:tcPr>
          <w:p>
            <w:pPr>
              <w:ind w:left="380"/>
              <w:spacing w:after="0"/>
              <w:rPr>
                <w:sz w:val="20"/>
                <w:szCs w:val="20"/>
                <w:color w:val="auto"/>
              </w:rPr>
            </w:pPr>
            <w:r>
              <w:rPr>
                <w:rFonts w:ascii="Arial" w:cs="Arial" w:eastAsia="Arial" w:hAnsi="Arial"/>
                <w:sz w:val="14"/>
                <w:szCs w:val="14"/>
                <w:color w:val="auto"/>
              </w:rPr>
              <w:t>and issuance costs of $3.3 million</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040" w:type="dxa"/>
            <w:vAlign w:val="bottom"/>
          </w:tcPr>
          <w:p>
            <w:pPr>
              <w:ind w:left="260"/>
              <w:spacing w:after="0"/>
              <w:rPr>
                <w:sz w:val="20"/>
                <w:szCs w:val="20"/>
                <w:color w:val="auto"/>
              </w:rPr>
            </w:pPr>
            <w:r>
              <w:rPr>
                <w:rFonts w:ascii="Arial" w:cs="Arial" w:eastAsia="Arial" w:hAnsi="Arial"/>
                <w:sz w:val="14"/>
                <w:szCs w:val="14"/>
                <w:color w:val="auto"/>
              </w:rPr>
              <w:t>Conversion of convertible preferred stock</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(12,503,009)</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(92,537)</w:t>
            </w:r>
          </w:p>
        </w:tc>
        <w:tc>
          <w:tcPr>
            <w:tcW w:w="0" w:type="dxa"/>
            <w:vAlign w:val="bottom"/>
          </w:tcPr>
          <w:p>
            <w:pPr>
              <w:spacing w:after="0"/>
              <w:rPr>
                <w:sz w:val="1"/>
                <w:szCs w:val="1"/>
                <w:color w:val="auto"/>
              </w:rPr>
            </w:pPr>
          </w:p>
        </w:tc>
      </w:tr>
      <w:tr>
        <w:trPr>
          <w:trHeight w:val="176"/>
        </w:trPr>
        <w:tc>
          <w:tcPr>
            <w:tcW w:w="3040" w:type="dxa"/>
            <w:vAlign w:val="bottom"/>
          </w:tcPr>
          <w:p>
            <w:pPr>
              <w:ind w:left="260"/>
              <w:spacing w:after="0"/>
              <w:rPr>
                <w:sz w:val="20"/>
                <w:szCs w:val="20"/>
                <w:color w:val="auto"/>
              </w:rPr>
            </w:pPr>
            <w:r>
              <w:rPr>
                <w:rFonts w:ascii="Arial" w:cs="Arial" w:eastAsia="Arial" w:hAnsi="Arial"/>
                <w:sz w:val="14"/>
                <w:szCs w:val="14"/>
                <w:color w:val="auto"/>
              </w:rPr>
              <w:t>Exercise of common stock warrants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04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040" w:type="dxa"/>
            <w:vAlign w:val="bottom"/>
          </w:tcPr>
          <w:p>
            <w:pPr>
              <w:ind w:left="260"/>
              <w:spacing w:after="0"/>
              <w:rPr>
                <w:sz w:val="20"/>
                <w:szCs w:val="20"/>
                <w:color w:val="auto"/>
              </w:rPr>
            </w:pPr>
            <w:r>
              <w:rPr>
                <w:rFonts w:ascii="Arial" w:cs="Arial" w:eastAsia="Arial" w:hAnsi="Arial"/>
                <w:sz w:val="14"/>
                <w:szCs w:val="14"/>
                <w:color w:val="auto"/>
              </w:rPr>
              <w:t>Other comprehensive income</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040" w:type="dxa"/>
            <w:vAlign w:val="bottom"/>
          </w:tcPr>
          <w:p>
            <w:pPr>
              <w:ind w:left="260"/>
              <w:spacing w:after="0"/>
              <w:rPr>
                <w:sz w:val="20"/>
                <w:szCs w:val="20"/>
                <w:color w:val="auto"/>
              </w:rPr>
            </w:pPr>
            <w:r>
              <w:rPr>
                <w:rFonts w:ascii="Arial" w:cs="Arial" w:eastAsia="Arial" w:hAnsi="Arial"/>
                <w:sz w:val="14"/>
                <w:szCs w:val="14"/>
                <w:color w:val="auto"/>
              </w:rPr>
              <w:t>Net loss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40" w:type="dxa"/>
            <w:vAlign w:val="bottom"/>
          </w:tcPr>
          <w:p>
            <w:pPr>
              <w:spacing w:after="0"/>
              <w:rPr>
                <w:sz w:val="20"/>
                <w:szCs w:val="20"/>
                <w:color w:val="auto"/>
              </w:rPr>
            </w:pPr>
            <w:r>
              <w:rPr>
                <w:rFonts w:ascii="Arial" w:cs="Arial" w:eastAsia="Arial" w:hAnsi="Arial"/>
                <w:sz w:val="14"/>
                <w:szCs w:val="14"/>
                <w:b w:val="1"/>
                <w:bCs w:val="1"/>
                <w:color w:val="auto"/>
              </w:rPr>
              <w:t>Balance as of September 30, 2020</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1780" w:type="dxa"/>
            <w:vAlign w:val="bottom"/>
            <w:gridSpan w:val="4"/>
            <w:vMerge w:val="restart"/>
          </w:tcPr>
          <w:p>
            <w:pPr>
              <w:jc w:val="right"/>
              <w:ind w:right="369"/>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1"/>
                <w:szCs w:val="11"/>
                <w:color w:val="auto"/>
              </w:rPr>
            </w:pPr>
          </w:p>
        </w:tc>
        <w:tc>
          <w:tcPr>
            <w:tcW w:w="96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1"/>
                <w:szCs w:val="11"/>
                <w:color w:val="auto"/>
              </w:rPr>
            </w:pPr>
          </w:p>
        </w:tc>
        <w:tc>
          <w:tcPr>
            <w:tcW w:w="100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7"/>
              </w:rPr>
              <w:t>Other</w:t>
            </w:r>
          </w:p>
        </w:tc>
        <w:tc>
          <w:tcPr>
            <w:tcW w:w="10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Accumulated</w:t>
            </w:r>
          </w:p>
        </w:tc>
        <w:tc>
          <w:tcPr>
            <w:tcW w:w="8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64"/>
        </w:trPr>
        <w:tc>
          <w:tcPr>
            <w:tcW w:w="178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Paid-In</w:t>
            </w:r>
          </w:p>
        </w:tc>
        <w:tc>
          <w:tcPr>
            <w:tcW w:w="11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6"/>
              </w:rPr>
              <w:t>Comprehensive</w:t>
            </w:r>
          </w:p>
        </w:tc>
        <w:tc>
          <w:tcPr>
            <w:tcW w:w="10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(Deficit)</w:t>
            </w:r>
          </w:p>
        </w:tc>
        <w:tc>
          <w:tcPr>
            <w:tcW w:w="0" w:type="dxa"/>
            <w:vAlign w:val="bottom"/>
          </w:tcPr>
          <w:p>
            <w:pPr>
              <w:spacing w:after="0"/>
              <w:rPr>
                <w:sz w:val="1"/>
                <w:szCs w:val="1"/>
                <w:color w:val="auto"/>
              </w:rPr>
            </w:pPr>
          </w:p>
        </w:tc>
      </w:tr>
      <w:tr>
        <w:trPr>
          <w:trHeight w:val="142"/>
        </w:trPr>
        <w:tc>
          <w:tcPr>
            <w:tcW w:w="840" w:type="dxa"/>
            <w:vAlign w:val="bottom"/>
            <w:tcBorders>
              <w:bottom w:val="single" w:sz="8" w:color="auto"/>
            </w:tcBorders>
          </w:tcPr>
          <w:p>
            <w:pPr>
              <w:jc w:val="right"/>
              <w:ind w:right="150"/>
              <w:spacing w:after="0" w:line="142" w:lineRule="exact"/>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50"/>
              <w:spacing w:after="0" w:line="142" w:lineRule="exact"/>
              <w:rPr>
                <w:sz w:val="20"/>
                <w:szCs w:val="20"/>
                <w:color w:val="auto"/>
              </w:rPr>
            </w:pPr>
            <w:r>
              <w:rPr>
                <w:rFonts w:ascii="Arial" w:cs="Arial" w:eastAsia="Arial" w:hAnsi="Arial"/>
                <w:sz w:val="13"/>
                <w:szCs w:val="13"/>
                <w:b w:val="1"/>
                <w:bCs w:val="1"/>
                <w:color w:val="auto"/>
                <w:w w:val="96"/>
              </w:rPr>
              <w:t>Capital</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10"/>
              <w:spacing w:after="0" w:line="142" w:lineRule="exact"/>
              <w:rPr>
                <w:sz w:val="20"/>
                <w:szCs w:val="20"/>
                <w:color w:val="auto"/>
              </w:rPr>
            </w:pPr>
            <w:r>
              <w:rPr>
                <w:rFonts w:ascii="Arial" w:cs="Arial" w:eastAsia="Arial" w:hAnsi="Arial"/>
                <w:sz w:val="13"/>
                <w:szCs w:val="13"/>
                <w:b w:val="1"/>
                <w:bCs w:val="1"/>
                <w:color w:val="auto"/>
                <w:w w:val="96"/>
              </w:rPr>
              <w:t>Income</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49"/>
              <w:spacing w:after="0" w:line="142" w:lineRule="exact"/>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71"/>
              <w:spacing w:after="0" w:line="142" w:lineRule="exact"/>
              <w:rPr>
                <w:sz w:val="20"/>
                <w:szCs w:val="20"/>
                <w:color w:val="auto"/>
              </w:rPr>
            </w:pPr>
            <w:r>
              <w:rPr>
                <w:rFonts w:ascii="Arial" w:cs="Arial" w:eastAsia="Arial" w:hAnsi="Arial"/>
                <w:sz w:val="13"/>
                <w:szCs w:val="13"/>
                <w:b w:val="1"/>
                <w:bCs w:val="1"/>
                <w:color w:val="auto"/>
                <w:w w:val="95"/>
              </w:rPr>
              <w:t>Equity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40" w:type="dxa"/>
            <w:vAlign w:val="bottom"/>
          </w:tcPr>
          <w:p>
            <w:pPr>
              <w:jc w:val="right"/>
              <w:spacing w:after="0"/>
              <w:rPr>
                <w:sz w:val="20"/>
                <w:szCs w:val="20"/>
                <w:color w:val="auto"/>
              </w:rPr>
            </w:pPr>
            <w:r>
              <w:rPr>
                <w:rFonts w:ascii="Arial" w:cs="Arial" w:eastAsia="Arial" w:hAnsi="Arial"/>
                <w:sz w:val="14"/>
                <w:szCs w:val="14"/>
                <w:color w:val="auto"/>
              </w:rPr>
              <w:t>3,565,789</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1,166</w:t>
            </w:r>
          </w:p>
        </w:tc>
        <w:tc>
          <w:tcPr>
            <w:tcW w:w="220" w:type="dxa"/>
            <w:vAlign w:val="bottom"/>
          </w:tcPr>
          <w:p>
            <w:pPr>
              <w:spacing w:after="0"/>
              <w:rPr>
                <w:sz w:val="16"/>
                <w:szCs w:val="16"/>
                <w:color w:val="auto"/>
              </w:rPr>
            </w:pPr>
          </w:p>
        </w:tc>
        <w:tc>
          <w:tcPr>
            <w:tcW w:w="160" w:type="dxa"/>
            <w:vAlign w:val="bottom"/>
          </w:tcPr>
          <w:p>
            <w:pPr>
              <w:jc w:val="right"/>
              <w:ind w:right="13"/>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(18,583)</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(17,417)</w:t>
            </w:r>
          </w:p>
        </w:tc>
        <w:tc>
          <w:tcPr>
            <w:tcW w:w="0" w:type="dxa"/>
            <w:vAlign w:val="bottom"/>
          </w:tcPr>
          <w:p>
            <w:pPr>
              <w:spacing w:after="0"/>
              <w:rPr>
                <w:sz w:val="1"/>
                <w:szCs w:val="1"/>
                <w:color w:val="auto"/>
              </w:rPr>
            </w:pPr>
          </w:p>
        </w:tc>
      </w:tr>
      <w:tr>
        <w:trPr>
          <w:trHeight w:val="481"/>
        </w:trPr>
        <w:tc>
          <w:tcPr>
            <w:tcW w:w="840" w:type="dxa"/>
            <w:vAlign w:val="bottom"/>
          </w:tcPr>
          <w:p>
            <w:pPr>
              <w:jc w:val="right"/>
              <w:spacing w:after="0"/>
              <w:rPr>
                <w:sz w:val="20"/>
                <w:szCs w:val="20"/>
                <w:color w:val="auto"/>
              </w:rPr>
            </w:pPr>
            <w:r>
              <w:rPr>
                <w:rFonts w:ascii="Arial" w:cs="Arial" w:eastAsia="Arial" w:hAnsi="Arial"/>
                <w:sz w:val="14"/>
                <w:szCs w:val="14"/>
                <w:color w:val="auto"/>
              </w:rPr>
              <w:t>6,305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(1,530)</w:t>
            </w:r>
          </w:p>
        </w:tc>
        <w:tc>
          <w:tcPr>
            <w:tcW w:w="12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(1,530)</w:t>
            </w: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jc w:val="right"/>
              <w:spacing w:after="0"/>
              <w:rPr>
                <w:sz w:val="20"/>
                <w:szCs w:val="20"/>
                <w:color w:val="auto"/>
              </w:rPr>
            </w:pPr>
            <w:r>
              <w:rPr>
                <w:rFonts w:ascii="Arial" w:cs="Arial" w:eastAsia="Arial" w:hAnsi="Arial"/>
                <w:sz w:val="14"/>
                <w:szCs w:val="14"/>
                <w:color w:val="auto"/>
              </w:rPr>
              <w:t>3,572,094</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1,241</w:t>
            </w:r>
          </w:p>
        </w:tc>
        <w:tc>
          <w:tcPr>
            <w:tcW w:w="220" w:type="dxa"/>
            <w:vAlign w:val="bottom"/>
          </w:tcPr>
          <w:p>
            <w:pPr>
              <w:spacing w:after="0"/>
              <w:rPr>
                <w:sz w:val="14"/>
                <w:szCs w:val="14"/>
                <w:color w:val="auto"/>
              </w:rPr>
            </w:pPr>
          </w:p>
        </w:tc>
        <w:tc>
          <w:tcPr>
            <w:tcW w:w="160" w:type="dxa"/>
            <w:vAlign w:val="bottom"/>
          </w:tcPr>
          <w:p>
            <w:pPr>
              <w:jc w:val="right"/>
              <w:ind w:right="13"/>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(20,113)</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(18,872)</w:t>
            </w:r>
          </w:p>
        </w:tc>
        <w:tc>
          <w:tcPr>
            <w:tcW w:w="0" w:type="dxa"/>
            <w:vAlign w:val="bottom"/>
          </w:tcPr>
          <w:p>
            <w:pPr>
              <w:spacing w:after="0"/>
              <w:rPr>
                <w:sz w:val="1"/>
                <w:szCs w:val="1"/>
                <w:color w:val="auto"/>
              </w:rPr>
            </w:pPr>
          </w:p>
        </w:tc>
      </w:tr>
      <w:tr>
        <w:trPr>
          <w:trHeight w:val="20"/>
        </w:trPr>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1780" w:type="dxa"/>
            <w:vAlign w:val="bottom"/>
            <w:gridSpan w:val="4"/>
            <w:vMerge w:val="restart"/>
          </w:tcPr>
          <w:p>
            <w:pPr>
              <w:jc w:val="right"/>
              <w:ind w:right="369"/>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1"/>
                <w:szCs w:val="11"/>
                <w:color w:val="auto"/>
              </w:rPr>
            </w:pPr>
          </w:p>
        </w:tc>
        <w:tc>
          <w:tcPr>
            <w:tcW w:w="96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1"/>
                <w:szCs w:val="11"/>
                <w:color w:val="auto"/>
              </w:rPr>
            </w:pPr>
          </w:p>
        </w:tc>
        <w:tc>
          <w:tcPr>
            <w:tcW w:w="100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7"/>
              </w:rPr>
              <w:t>Other</w:t>
            </w:r>
          </w:p>
        </w:tc>
        <w:tc>
          <w:tcPr>
            <w:tcW w:w="10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Accumulated</w:t>
            </w:r>
          </w:p>
        </w:tc>
        <w:tc>
          <w:tcPr>
            <w:tcW w:w="8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64"/>
        </w:trPr>
        <w:tc>
          <w:tcPr>
            <w:tcW w:w="178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Paid-In</w:t>
            </w:r>
          </w:p>
        </w:tc>
        <w:tc>
          <w:tcPr>
            <w:tcW w:w="11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6"/>
              </w:rPr>
              <w:t>Comprehensive</w:t>
            </w:r>
          </w:p>
        </w:tc>
        <w:tc>
          <w:tcPr>
            <w:tcW w:w="10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(Deficit)</w:t>
            </w:r>
          </w:p>
        </w:tc>
        <w:tc>
          <w:tcPr>
            <w:tcW w:w="0" w:type="dxa"/>
            <w:vAlign w:val="bottom"/>
          </w:tcPr>
          <w:p>
            <w:pPr>
              <w:spacing w:after="0"/>
              <w:rPr>
                <w:sz w:val="1"/>
                <w:szCs w:val="1"/>
                <w:color w:val="auto"/>
              </w:rPr>
            </w:pPr>
          </w:p>
        </w:tc>
      </w:tr>
      <w:tr>
        <w:trPr>
          <w:trHeight w:val="142"/>
        </w:trPr>
        <w:tc>
          <w:tcPr>
            <w:tcW w:w="840" w:type="dxa"/>
            <w:vAlign w:val="bottom"/>
            <w:tcBorders>
              <w:bottom w:val="single" w:sz="8" w:color="auto"/>
            </w:tcBorders>
          </w:tcPr>
          <w:p>
            <w:pPr>
              <w:jc w:val="right"/>
              <w:ind w:right="150"/>
              <w:spacing w:after="0" w:line="142" w:lineRule="exact"/>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50"/>
              <w:spacing w:after="0" w:line="142" w:lineRule="exact"/>
              <w:rPr>
                <w:sz w:val="20"/>
                <w:szCs w:val="20"/>
                <w:color w:val="auto"/>
              </w:rPr>
            </w:pPr>
            <w:r>
              <w:rPr>
                <w:rFonts w:ascii="Arial" w:cs="Arial" w:eastAsia="Arial" w:hAnsi="Arial"/>
                <w:sz w:val="13"/>
                <w:szCs w:val="13"/>
                <w:b w:val="1"/>
                <w:bCs w:val="1"/>
                <w:color w:val="auto"/>
                <w:w w:val="96"/>
              </w:rPr>
              <w:t>Capital</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10"/>
              <w:spacing w:after="0" w:line="142" w:lineRule="exact"/>
              <w:rPr>
                <w:sz w:val="20"/>
                <w:szCs w:val="20"/>
                <w:color w:val="auto"/>
              </w:rPr>
            </w:pPr>
            <w:r>
              <w:rPr>
                <w:rFonts w:ascii="Arial" w:cs="Arial" w:eastAsia="Arial" w:hAnsi="Arial"/>
                <w:sz w:val="13"/>
                <w:szCs w:val="13"/>
                <w:b w:val="1"/>
                <w:bCs w:val="1"/>
                <w:color w:val="auto"/>
                <w:w w:val="96"/>
              </w:rPr>
              <w:t>Income</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49"/>
              <w:spacing w:after="0" w:line="142" w:lineRule="exact"/>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71"/>
              <w:spacing w:after="0" w:line="142" w:lineRule="exact"/>
              <w:rPr>
                <w:sz w:val="20"/>
                <w:szCs w:val="20"/>
                <w:color w:val="auto"/>
              </w:rPr>
            </w:pPr>
            <w:r>
              <w:rPr>
                <w:rFonts w:ascii="Arial" w:cs="Arial" w:eastAsia="Arial" w:hAnsi="Arial"/>
                <w:sz w:val="13"/>
                <w:szCs w:val="13"/>
                <w:b w:val="1"/>
                <w:bCs w:val="1"/>
                <w:color w:val="auto"/>
                <w:w w:val="95"/>
              </w:rPr>
              <w:t>Equity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40" w:type="dxa"/>
            <w:vAlign w:val="bottom"/>
          </w:tcPr>
          <w:p>
            <w:pPr>
              <w:jc w:val="right"/>
              <w:spacing w:after="0"/>
              <w:rPr>
                <w:sz w:val="20"/>
                <w:szCs w:val="20"/>
                <w:color w:val="auto"/>
              </w:rPr>
            </w:pPr>
            <w:r>
              <w:rPr>
                <w:rFonts w:ascii="Arial" w:cs="Arial" w:eastAsia="Arial" w:hAnsi="Arial"/>
                <w:sz w:val="14"/>
                <w:szCs w:val="14"/>
                <w:color w:val="auto"/>
              </w:rPr>
              <w:t>4,607,565</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12,355</w:t>
            </w:r>
          </w:p>
        </w:tc>
        <w:tc>
          <w:tcPr>
            <w:tcW w:w="220" w:type="dxa"/>
            <w:vAlign w:val="bottom"/>
          </w:tcPr>
          <w:p>
            <w:pPr>
              <w:spacing w:after="0"/>
              <w:rPr>
                <w:sz w:val="16"/>
                <w:szCs w:val="16"/>
                <w:color w:val="auto"/>
              </w:rPr>
            </w:pPr>
          </w:p>
        </w:tc>
        <w:tc>
          <w:tcPr>
            <w:tcW w:w="160" w:type="dxa"/>
            <w:vAlign w:val="bottom"/>
          </w:tcPr>
          <w:p>
            <w:pPr>
              <w:jc w:val="right"/>
              <w:ind w:right="13"/>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(24,884)</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(12,529)</w:t>
            </w:r>
          </w:p>
        </w:tc>
        <w:tc>
          <w:tcPr>
            <w:tcW w:w="0" w:type="dxa"/>
            <w:vAlign w:val="bottom"/>
          </w:tcPr>
          <w:p>
            <w:pPr>
              <w:spacing w:after="0"/>
              <w:rPr>
                <w:sz w:val="1"/>
                <w:szCs w:val="1"/>
                <w:color w:val="auto"/>
              </w:rPr>
            </w:pPr>
          </w:p>
        </w:tc>
      </w:tr>
      <w:tr>
        <w:trPr>
          <w:trHeight w:val="499"/>
        </w:trPr>
        <w:tc>
          <w:tcPr>
            <w:tcW w:w="840" w:type="dxa"/>
            <w:vAlign w:val="bottom"/>
          </w:tcPr>
          <w:p>
            <w:pPr>
              <w:jc w:val="right"/>
              <w:spacing w:after="0"/>
              <w:rPr>
                <w:sz w:val="20"/>
                <w:szCs w:val="20"/>
                <w:color w:val="auto"/>
              </w:rPr>
            </w:pPr>
            <w:r>
              <w:rPr>
                <w:rFonts w:ascii="Arial" w:cs="Arial" w:eastAsia="Arial" w:hAnsi="Arial"/>
                <w:sz w:val="14"/>
                <w:szCs w:val="14"/>
                <w:color w:val="auto"/>
              </w:rPr>
              <w:t>262,285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5"/>
        </w:trPr>
        <w:tc>
          <w:tcPr>
            <w:tcW w:w="840" w:type="dxa"/>
            <w:vAlign w:val="bottom"/>
          </w:tcPr>
          <w:p>
            <w:pPr>
              <w:jc w:val="right"/>
              <w:spacing w:after="0"/>
              <w:rPr>
                <w:sz w:val="20"/>
                <w:szCs w:val="20"/>
                <w:color w:val="auto"/>
              </w:rPr>
            </w:pPr>
            <w:r>
              <w:rPr>
                <w:rFonts w:ascii="Arial" w:cs="Arial" w:eastAsia="Arial" w:hAnsi="Arial"/>
                <w:sz w:val="14"/>
                <w:szCs w:val="14"/>
                <w:color w:val="auto"/>
              </w:rPr>
              <w:t>12,000,000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186,445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186,446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40" w:type="dxa"/>
            <w:vAlign w:val="bottom"/>
          </w:tcPr>
          <w:p>
            <w:pPr>
              <w:jc w:val="right"/>
              <w:spacing w:after="0"/>
              <w:rPr>
                <w:sz w:val="20"/>
                <w:szCs w:val="20"/>
                <w:color w:val="auto"/>
              </w:rPr>
            </w:pPr>
            <w:r>
              <w:rPr>
                <w:rFonts w:ascii="Arial" w:cs="Arial" w:eastAsia="Arial" w:hAnsi="Arial"/>
                <w:sz w:val="14"/>
                <w:szCs w:val="14"/>
                <w:color w:val="auto"/>
              </w:rPr>
              <w:t>12,503,009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92,535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92,537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0" w:type="dxa"/>
            <w:vAlign w:val="bottom"/>
          </w:tcPr>
          <w:p>
            <w:pPr>
              <w:jc w:val="right"/>
              <w:spacing w:after="0"/>
              <w:rPr>
                <w:sz w:val="20"/>
                <w:szCs w:val="20"/>
                <w:color w:val="auto"/>
              </w:rPr>
            </w:pPr>
            <w:r>
              <w:rPr>
                <w:rFonts w:ascii="Arial" w:cs="Arial" w:eastAsia="Arial" w:hAnsi="Arial"/>
                <w:sz w:val="14"/>
                <w:szCs w:val="14"/>
                <w:color w:val="auto"/>
              </w:rPr>
              <w:t>1,714,536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1,050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(8,456)</w:t>
            </w:r>
          </w:p>
        </w:tc>
        <w:tc>
          <w:tcPr>
            <w:tcW w:w="12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(8,456)</w:t>
            </w: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jc w:val="right"/>
              <w:spacing w:after="0"/>
              <w:rPr>
                <w:sz w:val="20"/>
                <w:szCs w:val="20"/>
                <w:color w:val="auto"/>
              </w:rPr>
            </w:pPr>
            <w:r>
              <w:rPr>
                <w:rFonts w:ascii="Arial" w:cs="Arial" w:eastAsia="Arial" w:hAnsi="Arial"/>
                <w:sz w:val="14"/>
                <w:szCs w:val="14"/>
                <w:color w:val="auto"/>
              </w:rPr>
              <w:t>31,087,395</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292,800</w:t>
            </w:r>
          </w:p>
        </w:tc>
        <w:tc>
          <w:tcPr>
            <w:tcW w:w="220" w:type="dxa"/>
            <w:vAlign w:val="bottom"/>
          </w:tcPr>
          <w:p>
            <w:pPr>
              <w:spacing w:after="0"/>
              <w:rPr>
                <w:sz w:val="14"/>
                <w:szCs w:val="14"/>
                <w:color w:val="auto"/>
              </w:rPr>
            </w:pPr>
          </w:p>
        </w:tc>
        <w:tc>
          <w:tcPr>
            <w:tcW w:w="160" w:type="dxa"/>
            <w:vAlign w:val="bottom"/>
          </w:tcPr>
          <w:p>
            <w:pPr>
              <w:jc w:val="right"/>
              <w:ind w:right="13"/>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(33,340)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259,470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-3239770</wp:posOffset>
            </wp:positionV>
            <wp:extent cx="7132320" cy="32404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3240405"/>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4920" w:space="280"/>
            <w:col w:w="6020"/>
          </w:cols>
          <w:pgMar w:left="320" w:top="574" w:right="359" w:bottom="1440" w:gutter="0" w:footer="0" w:header="0"/>
          <w:type w:val="continuous"/>
        </w:sectPr>
      </w:pPr>
    </w:p>
    <w:p>
      <w:pPr>
        <w:jc w:val="center"/>
        <w:ind w:right="-39"/>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4" w:right="359" w:bottom="1440" w:gutter="0" w:footer="0" w:header="0"/>
          <w:type w:val="continuous"/>
        </w:sectPr>
      </w:pPr>
    </w:p>
    <w:bookmarkStart w:id="229" w:name="page230"/>
    <w:bookmarkEnd w:id="229"/>
    <w:p>
      <w:pPr>
        <w:jc w:val="center"/>
        <w:ind w:right="-19"/>
        <w:spacing w:after="0"/>
        <w:rPr>
          <w:sz w:val="20"/>
          <w:szCs w:val="20"/>
          <w:color w:val="auto"/>
        </w:rPr>
      </w:pPr>
      <w:r>
        <w:rPr>
          <w:rFonts w:ascii="Arial" w:cs="Arial" w:eastAsia="Arial" w:hAnsi="Arial"/>
          <w:sz w:val="18"/>
          <w:szCs w:val="18"/>
          <w:b w:val="1"/>
          <w:bCs w:val="1"/>
          <w:color w:val="auto"/>
        </w:rPr>
        <w:t>ATHIRA PHARMA,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Convertible Preferred Stock and Stockholders’ Deficit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Nine Months Ended September 30, 2019 and 2020</w:t>
      </w:r>
    </w:p>
    <w:p>
      <w:pPr>
        <w:jc w:val="center"/>
        <w:ind w:right="-19"/>
        <w:spacing w:after="0" w:line="234" w:lineRule="auto"/>
        <w:rPr>
          <w:sz w:val="20"/>
          <w:szCs w:val="20"/>
          <w:color w:val="auto"/>
        </w:rPr>
      </w:pPr>
      <w:r>
        <w:rPr>
          <w:rFonts w:ascii="Arial" w:cs="Arial" w:eastAsia="Arial" w:hAnsi="Arial"/>
          <w:sz w:val="18"/>
          <w:szCs w:val="18"/>
          <w:b w:val="1"/>
          <w:bCs w:val="1"/>
          <w:color w:val="auto"/>
        </w:rPr>
        <w:t>(in thousands, except share amounts)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20"/>
          </w:cols>
          <w:pgMar w:left="320" w:top="358" w:right="359" w:bottom="1440" w:gutter="0" w:footer="0" w:header="0"/>
        </w:sect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40" w:type="dxa"/>
            <w:vAlign w:val="bottom"/>
          </w:tcPr>
          <w:p>
            <w:pPr>
              <w:spacing w:after="0"/>
              <w:rPr>
                <w:sz w:val="13"/>
                <w:szCs w:val="13"/>
                <w:color w:val="auto"/>
              </w:rPr>
            </w:pPr>
          </w:p>
        </w:tc>
        <w:tc>
          <w:tcPr>
            <w:tcW w:w="1380" w:type="dxa"/>
            <w:vAlign w:val="bottom"/>
            <w:gridSpan w:val="3"/>
          </w:tcPr>
          <w:p>
            <w:pPr>
              <w:jc w:val="center"/>
              <w:ind w:left="350"/>
              <w:spacing w:after="0"/>
              <w:rPr>
                <w:sz w:val="20"/>
                <w:szCs w:val="20"/>
                <w:color w:val="auto"/>
              </w:rPr>
            </w:pPr>
            <w:r>
              <w:rPr>
                <w:rFonts w:ascii="Arial" w:cs="Arial" w:eastAsia="Arial" w:hAnsi="Arial"/>
                <w:sz w:val="13"/>
                <w:szCs w:val="13"/>
                <w:b w:val="1"/>
                <w:bCs w:val="1"/>
                <w:color w:val="auto"/>
                <w:w w:val="95"/>
              </w:rPr>
              <w:t>Convertible</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040" w:type="dxa"/>
            <w:vAlign w:val="bottom"/>
          </w:tcPr>
          <w:p>
            <w:pPr>
              <w:spacing w:after="0"/>
              <w:rPr>
                <w:sz w:val="13"/>
                <w:szCs w:val="13"/>
                <w:color w:val="auto"/>
              </w:rPr>
            </w:pPr>
          </w:p>
        </w:tc>
        <w:tc>
          <w:tcPr>
            <w:tcW w:w="138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3"/>
                <w:szCs w:val="13"/>
                <w:b w:val="1"/>
                <w:bCs w:val="1"/>
                <w:color w:val="auto"/>
                <w:w w:val="97"/>
              </w:rPr>
              <w:t>Preferred Stock</w:t>
            </w:r>
          </w:p>
        </w:tc>
        <w:tc>
          <w:tcPr>
            <w:tcW w:w="4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2018</w:t>
            </w:r>
          </w:p>
        </w:tc>
        <w:tc>
          <w:tcPr>
            <w:tcW w:w="1100" w:type="dxa"/>
            <w:vAlign w:val="bottom"/>
            <w:gridSpan w:val="2"/>
          </w:tcPr>
          <w:p>
            <w:pPr>
              <w:jc w:val="right"/>
              <w:ind w:right="460"/>
              <w:spacing w:after="0" w:line="142" w:lineRule="exact"/>
              <w:rPr>
                <w:sz w:val="20"/>
                <w:szCs w:val="20"/>
                <w:color w:val="auto"/>
              </w:rPr>
            </w:pPr>
            <w:r>
              <w:rPr>
                <w:rFonts w:ascii="Arial" w:cs="Arial" w:eastAsia="Arial" w:hAnsi="Arial"/>
                <w:sz w:val="13"/>
                <w:szCs w:val="13"/>
                <w:b w:val="1"/>
                <w:bCs w:val="1"/>
                <w:color w:val="auto"/>
              </w:rPr>
              <w:t>Shares</w:t>
            </w:r>
          </w:p>
        </w:tc>
        <w:tc>
          <w:tcPr>
            <w:tcW w:w="720" w:type="dxa"/>
            <w:vAlign w:val="bottom"/>
            <w:gridSpan w:val="2"/>
          </w:tcPr>
          <w:p>
            <w:pPr>
              <w:jc w:val="right"/>
              <w:ind w:right="48"/>
              <w:spacing w:after="0" w:line="142" w:lineRule="exact"/>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040" w:type="dxa"/>
            <w:vAlign w:val="bottom"/>
            <w:vMerge w:val="continue"/>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2,617,386</w:t>
            </w:r>
          </w:p>
        </w:tc>
        <w:tc>
          <w:tcPr>
            <w:tcW w:w="220" w:type="dxa"/>
            <w:vAlign w:val="bottom"/>
          </w:tcPr>
          <w:p>
            <w:pPr>
              <w:spacing w:after="0"/>
              <w:rPr>
                <w:sz w:val="14"/>
                <w:szCs w:val="14"/>
                <w:color w:val="auto"/>
              </w:rPr>
            </w:pPr>
          </w:p>
        </w:tc>
        <w:tc>
          <w:tcPr>
            <w:tcW w:w="28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17,051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Issuance of common stock upon exercise</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of</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380"/>
              <w:spacing w:after="0"/>
              <w:rPr>
                <w:sz w:val="20"/>
                <w:szCs w:val="20"/>
                <w:color w:val="auto"/>
              </w:rPr>
            </w:pPr>
            <w:r>
              <w:rPr>
                <w:rFonts w:ascii="Arial" w:cs="Arial" w:eastAsia="Arial" w:hAnsi="Arial"/>
                <w:sz w:val="14"/>
                <w:szCs w:val="14"/>
                <w:color w:val="auto"/>
              </w:rPr>
              <w:t>common stock options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04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04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3040" w:type="dxa"/>
            <w:vAlign w:val="bottom"/>
          </w:tcPr>
          <w:p>
            <w:pPr>
              <w:spacing w:after="0"/>
              <w:rPr>
                <w:sz w:val="20"/>
                <w:szCs w:val="20"/>
                <w:color w:val="auto"/>
              </w:rPr>
            </w:pPr>
            <w:r>
              <w:rPr>
                <w:rFonts w:ascii="Arial" w:cs="Arial" w:eastAsia="Arial" w:hAnsi="Arial"/>
                <w:sz w:val="14"/>
                <w:szCs w:val="14"/>
                <w:b w:val="1"/>
                <w:bCs w:val="1"/>
                <w:color w:val="auto"/>
              </w:rPr>
              <w:t>Balance as of September 30, 2019</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2,617,386</w:t>
            </w:r>
          </w:p>
        </w:tc>
        <w:tc>
          <w:tcPr>
            <w:tcW w:w="22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17,051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3040" w:type="dxa"/>
            <w:vAlign w:val="bottom"/>
          </w:tcPr>
          <w:p>
            <w:pPr>
              <w:spacing w:after="0"/>
              <w:rPr>
                <w:sz w:val="24"/>
                <w:szCs w:val="24"/>
                <w:color w:val="auto"/>
              </w:rPr>
            </w:pPr>
          </w:p>
        </w:tc>
        <w:tc>
          <w:tcPr>
            <w:tcW w:w="1380" w:type="dxa"/>
            <w:vAlign w:val="bottom"/>
            <w:gridSpan w:val="3"/>
          </w:tcPr>
          <w:p>
            <w:pPr>
              <w:jc w:val="center"/>
              <w:ind w:left="350"/>
              <w:spacing w:after="0"/>
              <w:rPr>
                <w:sz w:val="20"/>
                <w:szCs w:val="20"/>
                <w:color w:val="auto"/>
              </w:rPr>
            </w:pPr>
            <w:r>
              <w:rPr>
                <w:rFonts w:ascii="Arial" w:cs="Arial" w:eastAsia="Arial" w:hAnsi="Arial"/>
                <w:sz w:val="13"/>
                <w:szCs w:val="13"/>
                <w:b w:val="1"/>
                <w:bCs w:val="1"/>
                <w:color w:val="auto"/>
                <w:w w:val="95"/>
              </w:rPr>
              <w:t>Convertible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040" w:type="dxa"/>
            <w:vAlign w:val="bottom"/>
          </w:tcPr>
          <w:p>
            <w:pPr>
              <w:spacing w:after="0"/>
              <w:rPr>
                <w:sz w:val="13"/>
                <w:szCs w:val="13"/>
                <w:color w:val="auto"/>
              </w:rPr>
            </w:pPr>
          </w:p>
        </w:tc>
        <w:tc>
          <w:tcPr>
            <w:tcW w:w="138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3"/>
                <w:szCs w:val="13"/>
                <w:b w:val="1"/>
                <w:bCs w:val="1"/>
                <w:color w:val="auto"/>
                <w:w w:val="97"/>
              </w:rPr>
              <w:t>Preferred Stock</w:t>
            </w:r>
          </w:p>
        </w:tc>
        <w:tc>
          <w:tcPr>
            <w:tcW w:w="4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2019</w:t>
            </w:r>
          </w:p>
        </w:tc>
        <w:tc>
          <w:tcPr>
            <w:tcW w:w="1100" w:type="dxa"/>
            <w:vAlign w:val="bottom"/>
            <w:gridSpan w:val="2"/>
          </w:tcPr>
          <w:p>
            <w:pPr>
              <w:jc w:val="right"/>
              <w:ind w:right="460"/>
              <w:spacing w:after="0" w:line="142" w:lineRule="exact"/>
              <w:rPr>
                <w:sz w:val="20"/>
                <w:szCs w:val="20"/>
                <w:color w:val="auto"/>
              </w:rPr>
            </w:pPr>
            <w:r>
              <w:rPr>
                <w:rFonts w:ascii="Arial" w:cs="Arial" w:eastAsia="Arial" w:hAnsi="Arial"/>
                <w:sz w:val="13"/>
                <w:szCs w:val="13"/>
                <w:b w:val="1"/>
                <w:bCs w:val="1"/>
                <w:color w:val="auto"/>
              </w:rPr>
              <w:t>Shares</w:t>
            </w:r>
          </w:p>
        </w:tc>
        <w:tc>
          <w:tcPr>
            <w:tcW w:w="720" w:type="dxa"/>
            <w:vAlign w:val="bottom"/>
            <w:gridSpan w:val="2"/>
          </w:tcPr>
          <w:p>
            <w:pPr>
              <w:jc w:val="right"/>
              <w:ind w:right="48"/>
              <w:spacing w:after="0" w:line="142" w:lineRule="exact"/>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040" w:type="dxa"/>
            <w:vAlign w:val="bottom"/>
            <w:vMerge w:val="continue"/>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2,617,386</w:t>
            </w:r>
          </w:p>
        </w:tc>
        <w:tc>
          <w:tcPr>
            <w:tcW w:w="220" w:type="dxa"/>
            <w:vAlign w:val="bottom"/>
          </w:tcPr>
          <w:p>
            <w:pPr>
              <w:spacing w:after="0"/>
              <w:rPr>
                <w:sz w:val="14"/>
                <w:szCs w:val="14"/>
                <w:color w:val="auto"/>
              </w:rPr>
            </w:pPr>
          </w:p>
        </w:tc>
        <w:tc>
          <w:tcPr>
            <w:tcW w:w="28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17,051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Issuance of common stock upon exercise</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of</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380"/>
              <w:spacing w:after="0"/>
              <w:rPr>
                <w:sz w:val="20"/>
                <w:szCs w:val="20"/>
                <w:color w:val="auto"/>
              </w:rPr>
            </w:pPr>
            <w:r>
              <w:rPr>
                <w:rFonts w:ascii="Arial" w:cs="Arial" w:eastAsia="Arial" w:hAnsi="Arial"/>
                <w:sz w:val="14"/>
                <w:szCs w:val="14"/>
                <w:color w:val="auto"/>
              </w:rPr>
              <w:t>common stock options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Issuance of Series B convertible</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preferred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380"/>
              <w:spacing w:after="0"/>
              <w:rPr>
                <w:sz w:val="20"/>
                <w:szCs w:val="20"/>
                <w:color w:val="auto"/>
              </w:rPr>
            </w:pPr>
            <w:r>
              <w:rPr>
                <w:rFonts w:ascii="Arial" w:cs="Arial" w:eastAsia="Arial" w:hAnsi="Arial"/>
                <w:sz w:val="14"/>
                <w:szCs w:val="14"/>
                <w:color w:val="auto"/>
              </w:rPr>
              <w:t>stock and common stock warrants, net</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40" w:type="dxa"/>
            <w:vAlign w:val="bottom"/>
          </w:tcPr>
          <w:p>
            <w:pPr>
              <w:ind w:left="380"/>
              <w:spacing w:after="0"/>
              <w:rPr>
                <w:sz w:val="20"/>
                <w:szCs w:val="20"/>
                <w:color w:val="auto"/>
              </w:rPr>
            </w:pPr>
            <w:r>
              <w:rPr>
                <w:rFonts w:ascii="Arial" w:cs="Arial" w:eastAsia="Arial" w:hAnsi="Arial"/>
                <w:sz w:val="14"/>
                <w:szCs w:val="14"/>
                <w:color w:val="auto"/>
              </w:rPr>
              <w:t>of issuance costs of $3.5 million</w:t>
            </w:r>
          </w:p>
        </w:tc>
        <w:tc>
          <w:tcPr>
            <w:tcW w:w="880" w:type="dxa"/>
            <w:vAlign w:val="bottom"/>
          </w:tcPr>
          <w:p>
            <w:pPr>
              <w:jc w:val="right"/>
              <w:spacing w:after="0"/>
              <w:rPr>
                <w:sz w:val="20"/>
                <w:szCs w:val="20"/>
                <w:color w:val="auto"/>
              </w:rPr>
            </w:pPr>
            <w:r>
              <w:rPr>
                <w:rFonts w:ascii="Arial" w:cs="Arial" w:eastAsia="Arial" w:hAnsi="Arial"/>
                <w:sz w:val="14"/>
                <w:szCs w:val="14"/>
                <w:color w:val="auto"/>
              </w:rPr>
              <w:t>9,372,765</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97"/>
              </w:rPr>
              <w:t>70,971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Issuance of the Series B-1 convertible</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380"/>
              <w:spacing w:after="0"/>
              <w:rPr>
                <w:sz w:val="20"/>
                <w:szCs w:val="20"/>
                <w:color w:val="auto"/>
              </w:rPr>
            </w:pPr>
            <w:r>
              <w:rPr>
                <w:rFonts w:ascii="Arial" w:cs="Arial" w:eastAsia="Arial" w:hAnsi="Arial"/>
                <w:sz w:val="14"/>
                <w:szCs w:val="14"/>
                <w:color w:val="auto"/>
              </w:rPr>
              <w:t>preferred stock upon conversion of</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380"/>
              <w:spacing w:after="0"/>
              <w:rPr>
                <w:sz w:val="20"/>
                <w:szCs w:val="20"/>
                <w:color w:val="auto"/>
              </w:rPr>
            </w:pPr>
            <w:r>
              <w:rPr>
                <w:rFonts w:ascii="Arial" w:cs="Arial" w:eastAsia="Arial" w:hAnsi="Arial"/>
                <w:sz w:val="14"/>
                <w:szCs w:val="14"/>
                <w:color w:val="auto"/>
              </w:rPr>
              <w:t>convertible notes</w:t>
            </w:r>
          </w:p>
        </w:tc>
        <w:tc>
          <w:tcPr>
            <w:tcW w:w="880" w:type="dxa"/>
            <w:vAlign w:val="bottom"/>
          </w:tcPr>
          <w:p>
            <w:pPr>
              <w:jc w:val="right"/>
              <w:spacing w:after="0"/>
              <w:rPr>
                <w:sz w:val="20"/>
                <w:szCs w:val="20"/>
                <w:color w:val="auto"/>
              </w:rPr>
            </w:pPr>
            <w:r>
              <w:rPr>
                <w:rFonts w:ascii="Arial" w:cs="Arial" w:eastAsia="Arial" w:hAnsi="Arial"/>
                <w:sz w:val="14"/>
                <w:szCs w:val="14"/>
                <w:color w:val="auto"/>
              </w:rPr>
              <w:t>512,858</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4,515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Proceeds from initial public offering, net</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of</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380"/>
              <w:spacing w:after="0"/>
              <w:rPr>
                <w:sz w:val="20"/>
                <w:szCs w:val="20"/>
                <w:color w:val="auto"/>
              </w:rPr>
            </w:pPr>
            <w:r>
              <w:rPr>
                <w:rFonts w:ascii="Arial" w:cs="Arial" w:eastAsia="Arial" w:hAnsi="Arial"/>
                <w:sz w:val="14"/>
                <w:szCs w:val="14"/>
                <w:color w:val="auto"/>
              </w:rPr>
              <w:t>underwriters' discounts and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260"/>
              <w:spacing w:after="0"/>
              <w:rPr>
                <w:sz w:val="20"/>
                <w:szCs w:val="20"/>
                <w:color w:val="auto"/>
              </w:rPr>
            </w:pPr>
            <w:r>
              <w:rPr>
                <w:rFonts w:ascii="Arial" w:cs="Arial" w:eastAsia="Arial" w:hAnsi="Arial"/>
                <w:sz w:val="14"/>
                <w:szCs w:val="14"/>
                <w:color w:val="auto"/>
              </w:rPr>
              <w:t>commissions</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40" w:type="dxa"/>
            <w:vAlign w:val="bottom"/>
          </w:tcPr>
          <w:p>
            <w:pPr>
              <w:ind w:left="380"/>
              <w:spacing w:after="0"/>
              <w:rPr>
                <w:sz w:val="20"/>
                <w:szCs w:val="20"/>
                <w:color w:val="auto"/>
              </w:rPr>
            </w:pPr>
            <w:r>
              <w:rPr>
                <w:rFonts w:ascii="Arial" w:cs="Arial" w:eastAsia="Arial" w:hAnsi="Arial"/>
                <w:sz w:val="14"/>
                <w:szCs w:val="14"/>
                <w:color w:val="auto"/>
              </w:rPr>
              <w:t>and issuance costs of $3.3 million</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040" w:type="dxa"/>
            <w:vAlign w:val="bottom"/>
          </w:tcPr>
          <w:p>
            <w:pPr>
              <w:ind w:left="260"/>
              <w:spacing w:after="0"/>
              <w:rPr>
                <w:sz w:val="20"/>
                <w:szCs w:val="20"/>
                <w:color w:val="auto"/>
              </w:rPr>
            </w:pPr>
            <w:r>
              <w:rPr>
                <w:rFonts w:ascii="Arial" w:cs="Arial" w:eastAsia="Arial" w:hAnsi="Arial"/>
                <w:sz w:val="14"/>
                <w:szCs w:val="14"/>
                <w:color w:val="auto"/>
              </w:rPr>
              <w:t>Conversion of convertible preferred stock</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(12,503,009)</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(92,537)</w:t>
            </w:r>
          </w:p>
        </w:tc>
        <w:tc>
          <w:tcPr>
            <w:tcW w:w="0" w:type="dxa"/>
            <w:vAlign w:val="bottom"/>
          </w:tcPr>
          <w:p>
            <w:pPr>
              <w:spacing w:after="0"/>
              <w:rPr>
                <w:sz w:val="1"/>
                <w:szCs w:val="1"/>
                <w:color w:val="auto"/>
              </w:rPr>
            </w:pPr>
          </w:p>
        </w:tc>
      </w:tr>
      <w:tr>
        <w:trPr>
          <w:trHeight w:val="175"/>
        </w:trPr>
        <w:tc>
          <w:tcPr>
            <w:tcW w:w="3040" w:type="dxa"/>
            <w:vAlign w:val="bottom"/>
          </w:tcPr>
          <w:p>
            <w:pPr>
              <w:ind w:left="260"/>
              <w:spacing w:after="0"/>
              <w:rPr>
                <w:sz w:val="20"/>
                <w:szCs w:val="20"/>
                <w:color w:val="auto"/>
              </w:rPr>
            </w:pPr>
            <w:r>
              <w:rPr>
                <w:rFonts w:ascii="Arial" w:cs="Arial" w:eastAsia="Arial" w:hAnsi="Arial"/>
                <w:sz w:val="14"/>
                <w:szCs w:val="14"/>
                <w:color w:val="auto"/>
              </w:rPr>
              <w:t>Exercise of common stock warrants</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04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040" w:type="dxa"/>
            <w:vAlign w:val="bottom"/>
          </w:tcPr>
          <w:p>
            <w:pPr>
              <w:ind w:left="260"/>
              <w:spacing w:after="0"/>
              <w:rPr>
                <w:sz w:val="20"/>
                <w:szCs w:val="20"/>
                <w:color w:val="auto"/>
              </w:rPr>
            </w:pPr>
            <w:r>
              <w:rPr>
                <w:rFonts w:ascii="Arial" w:cs="Arial" w:eastAsia="Arial" w:hAnsi="Arial"/>
                <w:sz w:val="14"/>
                <w:szCs w:val="14"/>
                <w:color w:val="auto"/>
              </w:rPr>
              <w:t>Other comprehensive income</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040" w:type="dxa"/>
            <w:vAlign w:val="bottom"/>
          </w:tcPr>
          <w:p>
            <w:pPr>
              <w:ind w:left="260"/>
              <w:spacing w:after="0"/>
              <w:rPr>
                <w:sz w:val="20"/>
                <w:szCs w:val="20"/>
                <w:color w:val="auto"/>
              </w:rPr>
            </w:pPr>
            <w:r>
              <w:rPr>
                <w:rFonts w:ascii="Arial" w:cs="Arial" w:eastAsia="Arial" w:hAnsi="Arial"/>
                <w:sz w:val="14"/>
                <w:szCs w:val="14"/>
                <w:color w:val="auto"/>
              </w:rPr>
              <w:t>Net loss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40" w:type="dxa"/>
            <w:vAlign w:val="bottom"/>
          </w:tcPr>
          <w:p>
            <w:pPr>
              <w:spacing w:after="0"/>
              <w:rPr>
                <w:sz w:val="20"/>
                <w:szCs w:val="20"/>
                <w:color w:val="auto"/>
              </w:rPr>
            </w:pPr>
            <w:r>
              <w:rPr>
                <w:rFonts w:ascii="Arial" w:cs="Arial" w:eastAsia="Arial" w:hAnsi="Arial"/>
                <w:sz w:val="14"/>
                <w:szCs w:val="14"/>
                <w:b w:val="1"/>
                <w:bCs w:val="1"/>
                <w:color w:val="auto"/>
              </w:rPr>
              <w:t>Balance as of September 30, 2020</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1780" w:type="dxa"/>
            <w:vAlign w:val="bottom"/>
            <w:gridSpan w:val="4"/>
            <w:vMerge w:val="restart"/>
          </w:tcPr>
          <w:p>
            <w:pPr>
              <w:jc w:val="right"/>
              <w:ind w:right="369"/>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1"/>
                <w:szCs w:val="11"/>
                <w:color w:val="auto"/>
              </w:rPr>
            </w:pPr>
          </w:p>
        </w:tc>
        <w:tc>
          <w:tcPr>
            <w:tcW w:w="96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1"/>
                <w:szCs w:val="11"/>
                <w:color w:val="auto"/>
              </w:rPr>
            </w:pPr>
          </w:p>
        </w:tc>
        <w:tc>
          <w:tcPr>
            <w:tcW w:w="100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7"/>
              </w:rPr>
              <w:t>Other</w:t>
            </w:r>
          </w:p>
        </w:tc>
        <w:tc>
          <w:tcPr>
            <w:tcW w:w="10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Accumulated</w:t>
            </w:r>
          </w:p>
        </w:tc>
        <w:tc>
          <w:tcPr>
            <w:tcW w:w="8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64"/>
        </w:trPr>
        <w:tc>
          <w:tcPr>
            <w:tcW w:w="178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Paid-In</w:t>
            </w:r>
          </w:p>
        </w:tc>
        <w:tc>
          <w:tcPr>
            <w:tcW w:w="11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6"/>
              </w:rPr>
              <w:t>Comprehensive</w:t>
            </w:r>
          </w:p>
        </w:tc>
        <w:tc>
          <w:tcPr>
            <w:tcW w:w="10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(Deficit)</w:t>
            </w:r>
          </w:p>
        </w:tc>
        <w:tc>
          <w:tcPr>
            <w:tcW w:w="0" w:type="dxa"/>
            <w:vAlign w:val="bottom"/>
          </w:tcPr>
          <w:p>
            <w:pPr>
              <w:spacing w:after="0"/>
              <w:rPr>
                <w:sz w:val="1"/>
                <w:szCs w:val="1"/>
                <w:color w:val="auto"/>
              </w:rPr>
            </w:pPr>
          </w:p>
        </w:tc>
      </w:tr>
      <w:tr>
        <w:trPr>
          <w:trHeight w:val="142"/>
        </w:trPr>
        <w:tc>
          <w:tcPr>
            <w:tcW w:w="840" w:type="dxa"/>
            <w:vAlign w:val="bottom"/>
            <w:tcBorders>
              <w:bottom w:val="single" w:sz="8" w:color="auto"/>
            </w:tcBorders>
          </w:tcPr>
          <w:p>
            <w:pPr>
              <w:jc w:val="right"/>
              <w:ind w:right="150"/>
              <w:spacing w:after="0" w:line="142" w:lineRule="exact"/>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50"/>
              <w:spacing w:after="0" w:line="142" w:lineRule="exact"/>
              <w:rPr>
                <w:sz w:val="20"/>
                <w:szCs w:val="20"/>
                <w:color w:val="auto"/>
              </w:rPr>
            </w:pPr>
            <w:r>
              <w:rPr>
                <w:rFonts w:ascii="Arial" w:cs="Arial" w:eastAsia="Arial" w:hAnsi="Arial"/>
                <w:sz w:val="13"/>
                <w:szCs w:val="13"/>
                <w:b w:val="1"/>
                <w:bCs w:val="1"/>
                <w:color w:val="auto"/>
                <w:w w:val="96"/>
              </w:rPr>
              <w:t>Capital</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10"/>
              <w:spacing w:after="0" w:line="142" w:lineRule="exact"/>
              <w:rPr>
                <w:sz w:val="20"/>
                <w:szCs w:val="20"/>
                <w:color w:val="auto"/>
              </w:rPr>
            </w:pPr>
            <w:r>
              <w:rPr>
                <w:rFonts w:ascii="Arial" w:cs="Arial" w:eastAsia="Arial" w:hAnsi="Arial"/>
                <w:sz w:val="13"/>
                <w:szCs w:val="13"/>
                <w:b w:val="1"/>
                <w:bCs w:val="1"/>
                <w:color w:val="auto"/>
                <w:w w:val="96"/>
              </w:rPr>
              <w:t>Income</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49"/>
              <w:spacing w:after="0" w:line="142" w:lineRule="exact"/>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70"/>
              <w:spacing w:after="0" w:line="142" w:lineRule="exact"/>
              <w:rPr>
                <w:sz w:val="20"/>
                <w:szCs w:val="20"/>
                <w:color w:val="auto"/>
              </w:rPr>
            </w:pPr>
            <w:r>
              <w:rPr>
                <w:rFonts w:ascii="Arial" w:cs="Arial" w:eastAsia="Arial" w:hAnsi="Arial"/>
                <w:sz w:val="13"/>
                <w:szCs w:val="13"/>
                <w:b w:val="1"/>
                <w:bCs w:val="1"/>
                <w:color w:val="auto"/>
                <w:w w:val="95"/>
              </w:rPr>
              <w:t>Equity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40" w:type="dxa"/>
            <w:vAlign w:val="bottom"/>
          </w:tcPr>
          <w:p>
            <w:pPr>
              <w:jc w:val="right"/>
              <w:spacing w:after="0"/>
              <w:rPr>
                <w:sz w:val="20"/>
                <w:szCs w:val="20"/>
                <w:color w:val="auto"/>
              </w:rPr>
            </w:pPr>
            <w:r>
              <w:rPr>
                <w:rFonts w:ascii="Arial" w:cs="Arial" w:eastAsia="Arial" w:hAnsi="Arial"/>
                <w:sz w:val="14"/>
                <w:szCs w:val="14"/>
                <w:color w:val="auto"/>
              </w:rPr>
              <w:t>3,559,484</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1,039</w:t>
            </w:r>
          </w:p>
        </w:tc>
        <w:tc>
          <w:tcPr>
            <w:tcW w:w="220" w:type="dxa"/>
            <w:vAlign w:val="bottom"/>
          </w:tcPr>
          <w:p>
            <w:pPr>
              <w:spacing w:after="0"/>
              <w:rPr>
                <w:sz w:val="16"/>
                <w:szCs w:val="16"/>
                <w:color w:val="auto"/>
              </w:rPr>
            </w:pPr>
          </w:p>
        </w:tc>
        <w:tc>
          <w:tcPr>
            <w:tcW w:w="160" w:type="dxa"/>
            <w:vAlign w:val="bottom"/>
          </w:tcPr>
          <w:p>
            <w:pPr>
              <w:jc w:val="right"/>
              <w:ind w:right="13"/>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(15,926)</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(14,887)</w:t>
            </w:r>
          </w:p>
        </w:tc>
        <w:tc>
          <w:tcPr>
            <w:tcW w:w="0" w:type="dxa"/>
            <w:vAlign w:val="bottom"/>
          </w:tcPr>
          <w:p>
            <w:pPr>
              <w:spacing w:after="0"/>
              <w:rPr>
                <w:sz w:val="1"/>
                <w:szCs w:val="1"/>
                <w:color w:val="auto"/>
              </w:rPr>
            </w:pPr>
          </w:p>
        </w:tc>
      </w:tr>
      <w:tr>
        <w:trPr>
          <w:trHeight w:val="481"/>
        </w:trPr>
        <w:tc>
          <w:tcPr>
            <w:tcW w:w="840" w:type="dxa"/>
            <w:vAlign w:val="bottom"/>
          </w:tcPr>
          <w:p>
            <w:pPr>
              <w:jc w:val="right"/>
              <w:spacing w:after="0"/>
              <w:rPr>
                <w:sz w:val="20"/>
                <w:szCs w:val="20"/>
                <w:color w:val="auto"/>
              </w:rPr>
            </w:pPr>
            <w:r>
              <w:rPr>
                <w:rFonts w:ascii="Arial" w:cs="Arial" w:eastAsia="Arial" w:hAnsi="Arial"/>
                <w:sz w:val="14"/>
                <w:szCs w:val="14"/>
                <w:color w:val="auto"/>
              </w:rPr>
              <w:t>12,610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(4,187)</w:t>
            </w:r>
          </w:p>
        </w:tc>
        <w:tc>
          <w:tcPr>
            <w:tcW w:w="12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(4,187)</w:t>
            </w: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jc w:val="right"/>
              <w:spacing w:after="0"/>
              <w:rPr>
                <w:sz w:val="20"/>
                <w:szCs w:val="20"/>
                <w:color w:val="auto"/>
              </w:rPr>
            </w:pPr>
            <w:r>
              <w:rPr>
                <w:rFonts w:ascii="Arial" w:cs="Arial" w:eastAsia="Arial" w:hAnsi="Arial"/>
                <w:sz w:val="14"/>
                <w:szCs w:val="14"/>
                <w:color w:val="auto"/>
              </w:rPr>
              <w:t>3,572,094</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1,241</w:t>
            </w:r>
          </w:p>
        </w:tc>
        <w:tc>
          <w:tcPr>
            <w:tcW w:w="220" w:type="dxa"/>
            <w:vAlign w:val="bottom"/>
          </w:tcPr>
          <w:p>
            <w:pPr>
              <w:spacing w:after="0"/>
              <w:rPr>
                <w:sz w:val="14"/>
                <w:szCs w:val="14"/>
                <w:color w:val="auto"/>
              </w:rPr>
            </w:pPr>
          </w:p>
        </w:tc>
        <w:tc>
          <w:tcPr>
            <w:tcW w:w="160" w:type="dxa"/>
            <w:vAlign w:val="bottom"/>
          </w:tcPr>
          <w:p>
            <w:pPr>
              <w:jc w:val="right"/>
              <w:ind w:right="13"/>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(20,113)</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(18,872)</w:t>
            </w:r>
          </w:p>
        </w:tc>
        <w:tc>
          <w:tcPr>
            <w:tcW w:w="0" w:type="dxa"/>
            <w:vAlign w:val="bottom"/>
          </w:tcPr>
          <w:p>
            <w:pPr>
              <w:spacing w:after="0"/>
              <w:rPr>
                <w:sz w:val="1"/>
                <w:szCs w:val="1"/>
                <w:color w:val="auto"/>
              </w:rPr>
            </w:pPr>
          </w:p>
        </w:tc>
      </w:tr>
      <w:tr>
        <w:trPr>
          <w:trHeight w:val="20"/>
        </w:trPr>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1780" w:type="dxa"/>
            <w:vAlign w:val="bottom"/>
            <w:gridSpan w:val="4"/>
            <w:vMerge w:val="restart"/>
          </w:tcPr>
          <w:p>
            <w:pPr>
              <w:jc w:val="right"/>
              <w:ind w:right="369"/>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1"/>
                <w:szCs w:val="11"/>
                <w:color w:val="auto"/>
              </w:rPr>
            </w:pPr>
          </w:p>
        </w:tc>
        <w:tc>
          <w:tcPr>
            <w:tcW w:w="96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1"/>
                <w:szCs w:val="11"/>
                <w:color w:val="auto"/>
              </w:rPr>
            </w:pPr>
          </w:p>
        </w:tc>
        <w:tc>
          <w:tcPr>
            <w:tcW w:w="100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7"/>
              </w:rPr>
              <w:t>Other</w:t>
            </w:r>
          </w:p>
        </w:tc>
        <w:tc>
          <w:tcPr>
            <w:tcW w:w="10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Accumulated</w:t>
            </w:r>
          </w:p>
        </w:tc>
        <w:tc>
          <w:tcPr>
            <w:tcW w:w="8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64"/>
        </w:trPr>
        <w:tc>
          <w:tcPr>
            <w:tcW w:w="178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Paid-In</w:t>
            </w:r>
          </w:p>
        </w:tc>
        <w:tc>
          <w:tcPr>
            <w:tcW w:w="11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6"/>
              </w:rPr>
              <w:t>Comprehensive</w:t>
            </w:r>
          </w:p>
        </w:tc>
        <w:tc>
          <w:tcPr>
            <w:tcW w:w="10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(Deficit)</w:t>
            </w:r>
          </w:p>
        </w:tc>
        <w:tc>
          <w:tcPr>
            <w:tcW w:w="0" w:type="dxa"/>
            <w:vAlign w:val="bottom"/>
          </w:tcPr>
          <w:p>
            <w:pPr>
              <w:spacing w:after="0"/>
              <w:rPr>
                <w:sz w:val="1"/>
                <w:szCs w:val="1"/>
                <w:color w:val="auto"/>
              </w:rPr>
            </w:pPr>
          </w:p>
        </w:tc>
      </w:tr>
      <w:tr>
        <w:trPr>
          <w:trHeight w:val="142"/>
        </w:trPr>
        <w:tc>
          <w:tcPr>
            <w:tcW w:w="840" w:type="dxa"/>
            <w:vAlign w:val="bottom"/>
            <w:tcBorders>
              <w:bottom w:val="single" w:sz="8" w:color="auto"/>
            </w:tcBorders>
          </w:tcPr>
          <w:p>
            <w:pPr>
              <w:jc w:val="right"/>
              <w:ind w:right="150"/>
              <w:spacing w:after="0" w:line="142" w:lineRule="exact"/>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50"/>
              <w:spacing w:after="0" w:line="142" w:lineRule="exact"/>
              <w:rPr>
                <w:sz w:val="20"/>
                <w:szCs w:val="20"/>
                <w:color w:val="auto"/>
              </w:rPr>
            </w:pPr>
            <w:r>
              <w:rPr>
                <w:rFonts w:ascii="Arial" w:cs="Arial" w:eastAsia="Arial" w:hAnsi="Arial"/>
                <w:sz w:val="13"/>
                <w:szCs w:val="13"/>
                <w:b w:val="1"/>
                <w:bCs w:val="1"/>
                <w:color w:val="auto"/>
                <w:w w:val="96"/>
              </w:rPr>
              <w:t>Capital</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10"/>
              <w:spacing w:after="0" w:line="142" w:lineRule="exact"/>
              <w:rPr>
                <w:sz w:val="20"/>
                <w:szCs w:val="20"/>
                <w:color w:val="auto"/>
              </w:rPr>
            </w:pPr>
            <w:r>
              <w:rPr>
                <w:rFonts w:ascii="Arial" w:cs="Arial" w:eastAsia="Arial" w:hAnsi="Arial"/>
                <w:sz w:val="13"/>
                <w:szCs w:val="13"/>
                <w:b w:val="1"/>
                <w:bCs w:val="1"/>
                <w:color w:val="auto"/>
                <w:w w:val="96"/>
              </w:rPr>
              <w:t>Income</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49"/>
              <w:spacing w:after="0" w:line="142" w:lineRule="exact"/>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70"/>
              <w:spacing w:after="0" w:line="142" w:lineRule="exact"/>
              <w:rPr>
                <w:sz w:val="20"/>
                <w:szCs w:val="20"/>
                <w:color w:val="auto"/>
              </w:rPr>
            </w:pPr>
            <w:r>
              <w:rPr>
                <w:rFonts w:ascii="Arial" w:cs="Arial" w:eastAsia="Arial" w:hAnsi="Arial"/>
                <w:sz w:val="13"/>
                <w:szCs w:val="13"/>
                <w:b w:val="1"/>
                <w:bCs w:val="1"/>
                <w:color w:val="auto"/>
                <w:w w:val="95"/>
              </w:rPr>
              <w:t>Equity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40" w:type="dxa"/>
            <w:vAlign w:val="bottom"/>
          </w:tcPr>
          <w:p>
            <w:pPr>
              <w:jc w:val="right"/>
              <w:spacing w:after="0"/>
              <w:rPr>
                <w:sz w:val="20"/>
                <w:szCs w:val="20"/>
                <w:color w:val="auto"/>
              </w:rPr>
            </w:pPr>
            <w:r>
              <w:rPr>
                <w:rFonts w:ascii="Arial" w:cs="Arial" w:eastAsia="Arial" w:hAnsi="Arial"/>
                <w:sz w:val="14"/>
                <w:szCs w:val="14"/>
                <w:color w:val="auto"/>
              </w:rPr>
              <w:t>3,641,449</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1,364</w:t>
            </w:r>
          </w:p>
        </w:tc>
        <w:tc>
          <w:tcPr>
            <w:tcW w:w="220" w:type="dxa"/>
            <w:vAlign w:val="bottom"/>
          </w:tcPr>
          <w:p>
            <w:pPr>
              <w:spacing w:after="0"/>
              <w:rPr>
                <w:sz w:val="16"/>
                <w:szCs w:val="16"/>
                <w:color w:val="auto"/>
              </w:rPr>
            </w:pPr>
          </w:p>
        </w:tc>
        <w:tc>
          <w:tcPr>
            <w:tcW w:w="160" w:type="dxa"/>
            <w:vAlign w:val="bottom"/>
          </w:tcPr>
          <w:p>
            <w:pPr>
              <w:jc w:val="right"/>
              <w:ind w:right="13"/>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(21,087)</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(19,723)</w:t>
            </w:r>
          </w:p>
        </w:tc>
        <w:tc>
          <w:tcPr>
            <w:tcW w:w="0" w:type="dxa"/>
            <w:vAlign w:val="bottom"/>
          </w:tcPr>
          <w:p>
            <w:pPr>
              <w:spacing w:after="0"/>
              <w:rPr>
                <w:sz w:val="1"/>
                <w:szCs w:val="1"/>
                <w:color w:val="auto"/>
              </w:rPr>
            </w:pPr>
          </w:p>
        </w:tc>
      </w:tr>
      <w:tr>
        <w:trPr>
          <w:trHeight w:val="499"/>
        </w:trPr>
        <w:tc>
          <w:tcPr>
            <w:tcW w:w="840" w:type="dxa"/>
            <w:vAlign w:val="bottom"/>
          </w:tcPr>
          <w:p>
            <w:pPr>
              <w:jc w:val="right"/>
              <w:spacing w:after="0"/>
              <w:rPr>
                <w:sz w:val="20"/>
                <w:szCs w:val="20"/>
                <w:color w:val="auto"/>
              </w:rPr>
            </w:pPr>
            <w:r>
              <w:rPr>
                <w:rFonts w:ascii="Arial" w:cs="Arial" w:eastAsia="Arial" w:hAnsi="Arial"/>
                <w:sz w:val="14"/>
                <w:szCs w:val="14"/>
                <w:color w:val="auto"/>
              </w:rPr>
              <w:t>540,334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542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2"/>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10,591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10,591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5"/>
        </w:trPr>
        <w:tc>
          <w:tcPr>
            <w:tcW w:w="840" w:type="dxa"/>
            <w:vAlign w:val="bottom"/>
          </w:tcPr>
          <w:p>
            <w:pPr>
              <w:jc w:val="right"/>
              <w:spacing w:after="0"/>
              <w:rPr>
                <w:sz w:val="20"/>
                <w:szCs w:val="20"/>
                <w:color w:val="auto"/>
              </w:rPr>
            </w:pPr>
            <w:r>
              <w:rPr>
                <w:rFonts w:ascii="Arial" w:cs="Arial" w:eastAsia="Arial" w:hAnsi="Arial"/>
                <w:sz w:val="14"/>
                <w:szCs w:val="14"/>
                <w:color w:val="auto"/>
              </w:rPr>
              <w:t>12,000,000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186,445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186,446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40" w:type="dxa"/>
            <w:vAlign w:val="bottom"/>
          </w:tcPr>
          <w:p>
            <w:pPr>
              <w:jc w:val="right"/>
              <w:spacing w:after="0"/>
              <w:rPr>
                <w:sz w:val="20"/>
                <w:szCs w:val="20"/>
                <w:color w:val="auto"/>
              </w:rPr>
            </w:pPr>
            <w:r>
              <w:rPr>
                <w:rFonts w:ascii="Arial" w:cs="Arial" w:eastAsia="Arial" w:hAnsi="Arial"/>
                <w:sz w:val="14"/>
                <w:szCs w:val="14"/>
                <w:color w:val="auto"/>
              </w:rPr>
              <w:t>12,503,009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92,535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92,537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0" w:type="dxa"/>
            <w:vAlign w:val="bottom"/>
          </w:tcPr>
          <w:p>
            <w:pPr>
              <w:jc w:val="right"/>
              <w:spacing w:after="0"/>
              <w:rPr>
                <w:sz w:val="20"/>
                <w:szCs w:val="20"/>
                <w:color w:val="auto"/>
              </w:rPr>
            </w:pPr>
            <w:r>
              <w:rPr>
                <w:rFonts w:ascii="Arial" w:cs="Arial" w:eastAsia="Arial" w:hAnsi="Arial"/>
                <w:sz w:val="14"/>
                <w:szCs w:val="14"/>
                <w:color w:val="auto"/>
              </w:rPr>
              <w:t>2,402,603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1,105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218</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(12,253)</w:t>
            </w:r>
          </w:p>
        </w:tc>
        <w:tc>
          <w:tcPr>
            <w:tcW w:w="12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(12,253)</w:t>
            </w: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jc w:val="right"/>
              <w:spacing w:after="0"/>
              <w:rPr>
                <w:sz w:val="20"/>
                <w:szCs w:val="20"/>
                <w:color w:val="auto"/>
              </w:rPr>
            </w:pPr>
            <w:r>
              <w:rPr>
                <w:rFonts w:ascii="Arial" w:cs="Arial" w:eastAsia="Arial" w:hAnsi="Arial"/>
                <w:sz w:val="14"/>
                <w:szCs w:val="14"/>
                <w:color w:val="auto"/>
              </w:rPr>
              <w:t>31,087,395</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292,800</w:t>
            </w:r>
          </w:p>
        </w:tc>
        <w:tc>
          <w:tcPr>
            <w:tcW w:w="220" w:type="dxa"/>
            <w:vAlign w:val="bottom"/>
          </w:tcPr>
          <w:p>
            <w:pPr>
              <w:spacing w:after="0"/>
              <w:rPr>
                <w:sz w:val="14"/>
                <w:szCs w:val="14"/>
                <w:color w:val="auto"/>
              </w:rPr>
            </w:pPr>
          </w:p>
        </w:tc>
        <w:tc>
          <w:tcPr>
            <w:tcW w:w="160" w:type="dxa"/>
            <w:vAlign w:val="bottom"/>
          </w:tcPr>
          <w:p>
            <w:pPr>
              <w:jc w:val="right"/>
              <w:ind w:right="13"/>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(33,340)</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259,470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-3977005</wp:posOffset>
            </wp:positionV>
            <wp:extent cx="7132320" cy="39776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3977640"/>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4920" w:space="280"/>
            <w:col w:w="6020"/>
          </w:cols>
          <w:pgMar w:left="320" w:top="358" w:right="359" w:bottom="1440" w:gutter="0" w:footer="0" w:header="0"/>
          <w:type w:val="continuous"/>
        </w:sectPr>
      </w:pPr>
    </w:p>
    <w:p>
      <w:pPr>
        <w:jc w:val="center"/>
        <w:ind w:right="-39"/>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type w:val="continuous"/>
        </w:sectPr>
      </w:pPr>
    </w:p>
    <w:bookmarkStart w:id="230" w:name="page231"/>
    <w:bookmarkEnd w:id="230"/>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9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3"/>
                <w:szCs w:val="13"/>
                <w:b w:val="1"/>
                <w:bCs w:val="1"/>
                <w:color w:val="auto"/>
              </w:rPr>
              <w:t>Nine Months Ended September 30,</w:t>
            </w: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jc w:val="right"/>
              <w:ind w:right="50"/>
              <w:spacing w:after="0" w:line="142" w:lineRule="exact"/>
              <w:rPr>
                <w:sz w:val="20"/>
                <w:szCs w:val="20"/>
                <w:color w:val="auto"/>
              </w:rPr>
            </w:pPr>
            <w:r>
              <w:rPr>
                <w:rFonts w:ascii="Arial" w:cs="Arial" w:eastAsia="Arial" w:hAnsi="Arial"/>
                <w:sz w:val="13"/>
                <w:szCs w:val="13"/>
                <w:b w:val="1"/>
                <w:bCs w:val="1"/>
                <w:color w:val="auto"/>
              </w:rPr>
              <w:t>2019</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80"/>
              <w:spacing w:after="0" w:line="142" w:lineRule="exact"/>
              <w:rPr>
                <w:sz w:val="20"/>
                <w:szCs w:val="20"/>
                <w:color w:val="auto"/>
              </w:rPr>
            </w:pPr>
            <w:r>
              <w:rPr>
                <w:rFonts w:ascii="Arial" w:cs="Arial" w:eastAsia="Arial" w:hAnsi="Arial"/>
                <w:sz w:val="13"/>
                <w:szCs w:val="13"/>
                <w:b w:val="1"/>
                <w:bCs w:val="1"/>
                <w:color w:val="auto"/>
              </w:rPr>
              <w:t>2020</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1140" w:type="dxa"/>
            <w:vAlign w:val="bottom"/>
            <w:tcBorders>
              <w:top w:val="single" w:sz="8" w:color="CFF0FC"/>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460" w:type="dxa"/>
            <w:vAlign w:val="bottom"/>
          </w:tcPr>
          <w:p>
            <w:pPr>
              <w:ind w:left="260"/>
              <w:spacing w:after="0"/>
              <w:rPr>
                <w:sz w:val="20"/>
                <w:szCs w:val="20"/>
                <w:color w:val="auto"/>
              </w:rPr>
            </w:pPr>
            <w:r>
              <w:rPr>
                <w:rFonts w:ascii="Arial" w:cs="Arial" w:eastAsia="Arial" w:hAnsi="Arial"/>
                <w:sz w:val="14"/>
                <w:szCs w:val="14"/>
                <w:color w:val="auto"/>
              </w:rPr>
              <w:t>Net loss</w:t>
            </w:r>
          </w:p>
        </w:tc>
        <w:tc>
          <w:tcPr>
            <w:tcW w:w="2200" w:type="dxa"/>
            <w:vAlign w:val="bottom"/>
            <w:gridSpan w:val="2"/>
          </w:tcPr>
          <w:p>
            <w:pPr>
              <w:jc w:val="right"/>
              <w:ind w:right="91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(4,187)</w:t>
            </w:r>
          </w:p>
        </w:tc>
        <w:tc>
          <w:tcPr>
            <w:tcW w:w="1140" w:type="dxa"/>
            <w:vAlign w:val="bottom"/>
            <w:gridSpan w:val="2"/>
          </w:tcPr>
          <w:p>
            <w:pPr>
              <w:jc w:val="right"/>
              <w:ind w:right="9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(12,253)</w:t>
            </w: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tcPr>
          <w:p>
            <w:pPr>
              <w:ind w:left="500"/>
              <w:spacing w:after="0"/>
              <w:rPr>
                <w:sz w:val="20"/>
                <w:szCs w:val="20"/>
                <w:color w:val="auto"/>
              </w:rPr>
            </w:pPr>
            <w:r>
              <w:rPr>
                <w:rFonts w:ascii="Arial" w:cs="Arial" w:eastAsia="Arial" w:hAnsi="Arial"/>
                <w:sz w:val="14"/>
                <w:szCs w:val="14"/>
                <w:color w:val="auto"/>
              </w:rPr>
              <w:t>Stock-based compensation</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Change in fair value of derivative liability</w:t>
            </w:r>
          </w:p>
        </w:tc>
        <w:tc>
          <w:tcPr>
            <w:tcW w:w="1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tcPr>
          <w:p>
            <w:pPr>
              <w:ind w:left="500"/>
              <w:spacing w:after="0"/>
              <w:rPr>
                <w:sz w:val="20"/>
                <w:szCs w:val="20"/>
                <w:color w:val="auto"/>
              </w:rPr>
            </w:pPr>
            <w:r>
              <w:rPr>
                <w:rFonts w:ascii="Arial" w:cs="Arial" w:eastAsia="Arial" w:hAnsi="Arial"/>
                <w:sz w:val="14"/>
                <w:szCs w:val="14"/>
                <w:color w:val="auto"/>
              </w:rPr>
              <w:t>Change in fair value of convertible preferred stock warrant liability</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641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Change in fair value of grant liability</w:t>
            </w:r>
          </w:p>
        </w:tc>
        <w:tc>
          <w:tcPr>
            <w:tcW w:w="1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tcPr>
          <w:p>
            <w:pPr>
              <w:ind w:left="500"/>
              <w:spacing w:after="0"/>
              <w:rPr>
                <w:sz w:val="20"/>
                <w:szCs w:val="20"/>
                <w:color w:val="auto"/>
              </w:rPr>
            </w:pPr>
            <w:r>
              <w:rPr>
                <w:rFonts w:ascii="Arial" w:cs="Arial" w:eastAsia="Arial" w:hAnsi="Arial"/>
                <w:sz w:val="14"/>
                <w:szCs w:val="14"/>
                <w:color w:val="auto"/>
              </w:rPr>
              <w:t>Accretion of discounts on convertible notes</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Non-cash interest expense</w:t>
            </w:r>
          </w:p>
        </w:tc>
        <w:tc>
          <w:tcPr>
            <w:tcW w:w="1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tcPr>
          <w:p>
            <w:pPr>
              <w:ind w:left="500"/>
              <w:spacing w:after="0"/>
              <w:rPr>
                <w:sz w:val="20"/>
                <w:szCs w:val="20"/>
                <w:color w:val="auto"/>
              </w:rPr>
            </w:pPr>
            <w:r>
              <w:rPr>
                <w:rFonts w:ascii="Arial" w:cs="Arial" w:eastAsia="Arial" w:hAnsi="Arial"/>
                <w:sz w:val="14"/>
                <w:szCs w:val="14"/>
                <w:color w:val="auto"/>
              </w:rPr>
              <w:t>Gain on extinguishment of convertible notes</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76"/>
        </w:trPr>
        <w:tc>
          <w:tcPr>
            <w:tcW w:w="646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Amortization of available-for-sale securities</w:t>
            </w:r>
          </w:p>
        </w:tc>
        <w:tc>
          <w:tcPr>
            <w:tcW w:w="1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ind w:left="620"/>
              <w:spacing w:after="0"/>
              <w:rPr>
                <w:sz w:val="20"/>
                <w:szCs w:val="20"/>
                <w:color w:val="auto"/>
              </w:rPr>
            </w:pPr>
            <w:r>
              <w:rPr>
                <w:rFonts w:ascii="Arial" w:cs="Arial" w:eastAsia="Arial" w:hAnsi="Arial"/>
                <w:sz w:val="14"/>
                <w:szCs w:val="14"/>
                <w:color w:val="auto"/>
              </w:rPr>
              <w:t>Prepaid expenses and other current assets</w:t>
            </w:r>
          </w:p>
        </w:tc>
        <w:tc>
          <w:tcPr>
            <w:tcW w:w="1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(5,919)</w:t>
            </w:r>
          </w:p>
        </w:tc>
        <w:tc>
          <w:tcPr>
            <w:tcW w:w="0" w:type="dxa"/>
            <w:vAlign w:val="bottom"/>
          </w:tcPr>
          <w:p>
            <w:pPr>
              <w:spacing w:after="0"/>
              <w:rPr>
                <w:sz w:val="1"/>
                <w:szCs w:val="1"/>
                <w:color w:val="auto"/>
              </w:rPr>
            </w:pPr>
          </w:p>
        </w:tc>
      </w:tr>
      <w:tr>
        <w:trPr>
          <w:trHeight w:val="176"/>
        </w:trPr>
        <w:tc>
          <w:tcPr>
            <w:tcW w:w="6460" w:type="dxa"/>
            <w:vAlign w:val="bottom"/>
          </w:tcPr>
          <w:p>
            <w:pPr>
              <w:ind w:left="620"/>
              <w:spacing w:after="0"/>
              <w:rPr>
                <w:sz w:val="20"/>
                <w:szCs w:val="20"/>
                <w:color w:val="auto"/>
              </w:rPr>
            </w:pPr>
            <w:r>
              <w:rPr>
                <w:rFonts w:ascii="Arial" w:cs="Arial" w:eastAsia="Arial" w:hAnsi="Arial"/>
                <w:sz w:val="14"/>
                <w:szCs w:val="14"/>
                <w:color w:val="auto"/>
              </w:rPr>
              <w:t>Accounts payable and accrued expenses</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927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ind w:left="620"/>
              <w:spacing w:after="0"/>
              <w:rPr>
                <w:sz w:val="20"/>
                <w:szCs w:val="20"/>
                <w:color w:val="auto"/>
              </w:rPr>
            </w:pPr>
            <w:r>
              <w:rPr>
                <w:rFonts w:ascii="Arial" w:cs="Arial" w:eastAsia="Arial" w:hAnsi="Arial"/>
                <w:sz w:val="14"/>
                <w:szCs w:val="14"/>
                <w:color w:val="auto"/>
              </w:rPr>
              <w:t>Operating lease liability</w:t>
            </w:r>
          </w:p>
        </w:tc>
        <w:tc>
          <w:tcPr>
            <w:tcW w:w="1140" w:type="dxa"/>
            <w:vAlign w:val="bottom"/>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60" w:type="dxa"/>
            <w:vAlign w:val="bottom"/>
          </w:tcPr>
          <w:p>
            <w:pPr>
              <w:ind w:left="880"/>
              <w:spacing w:after="0"/>
              <w:rPr>
                <w:sz w:val="20"/>
                <w:szCs w:val="20"/>
                <w:color w:val="auto"/>
              </w:rPr>
            </w:pPr>
            <w:r>
              <w:rPr>
                <w:rFonts w:ascii="Arial" w:cs="Arial" w:eastAsia="Arial" w:hAnsi="Arial"/>
                <w:sz w:val="14"/>
                <w:szCs w:val="14"/>
                <w:color w:val="auto"/>
              </w:rPr>
              <w:t>Net cash (used in) operating activities</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(2,684)</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(13,448)</w:t>
            </w:r>
          </w:p>
        </w:tc>
        <w:tc>
          <w:tcPr>
            <w:tcW w:w="0" w:type="dxa"/>
            <w:vAlign w:val="bottom"/>
          </w:tcPr>
          <w:p>
            <w:pPr>
              <w:spacing w:after="0"/>
              <w:rPr>
                <w:sz w:val="1"/>
                <w:szCs w:val="1"/>
                <w:color w:val="auto"/>
              </w:rPr>
            </w:pPr>
          </w:p>
        </w:tc>
      </w:tr>
      <w:tr>
        <w:trPr>
          <w:trHeight w:val="169"/>
        </w:trPr>
        <w:tc>
          <w:tcPr>
            <w:tcW w:w="6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Investing activities</w:t>
            </w:r>
          </w:p>
        </w:tc>
        <w:tc>
          <w:tcPr>
            <w:tcW w:w="1140" w:type="dxa"/>
            <w:vAlign w:val="bottom"/>
            <w:tcBorders>
              <w:top w:val="single" w:sz="8" w:color="CFF0FC"/>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60" w:type="dxa"/>
            <w:vAlign w:val="bottom"/>
          </w:tcPr>
          <w:p>
            <w:pPr>
              <w:ind w:left="260"/>
              <w:spacing w:after="0"/>
              <w:rPr>
                <w:sz w:val="20"/>
                <w:szCs w:val="20"/>
                <w:color w:val="auto"/>
              </w:rPr>
            </w:pPr>
            <w:r>
              <w:rPr>
                <w:rFonts w:ascii="Arial" w:cs="Arial" w:eastAsia="Arial" w:hAnsi="Arial"/>
                <w:sz w:val="14"/>
                <w:szCs w:val="14"/>
                <w:color w:val="auto"/>
              </w:rPr>
              <w:t>Purchases of available-for-sale securities</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(995)</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(94,281)</w:t>
            </w: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Maturities of available-for-sale securities</w:t>
            </w:r>
          </w:p>
        </w:tc>
        <w:tc>
          <w:tcPr>
            <w:tcW w:w="1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460" w:type="dxa"/>
            <w:vAlign w:val="bottom"/>
          </w:tcPr>
          <w:p>
            <w:pPr>
              <w:ind w:left="260"/>
              <w:spacing w:after="0"/>
              <w:rPr>
                <w:sz w:val="20"/>
                <w:szCs w:val="20"/>
                <w:color w:val="auto"/>
              </w:rPr>
            </w:pPr>
            <w:r>
              <w:rPr>
                <w:rFonts w:ascii="Arial" w:cs="Arial" w:eastAsia="Arial" w:hAnsi="Arial"/>
                <w:sz w:val="14"/>
                <w:szCs w:val="14"/>
                <w:color w:val="auto"/>
              </w:rPr>
              <w:t>Purchases of property and equipment</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Principal payments received on stockholder note receivable</w:t>
            </w:r>
          </w:p>
        </w:tc>
        <w:tc>
          <w:tcPr>
            <w:tcW w:w="1140" w:type="dxa"/>
            <w:vAlign w:val="bottom"/>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60" w:type="dxa"/>
            <w:vAlign w:val="bottom"/>
          </w:tcPr>
          <w:p>
            <w:pPr>
              <w:ind w:left="880"/>
              <w:spacing w:after="0"/>
              <w:rPr>
                <w:sz w:val="20"/>
                <w:szCs w:val="20"/>
                <w:color w:val="auto"/>
              </w:rPr>
            </w:pPr>
            <w:r>
              <w:rPr>
                <w:rFonts w:ascii="Arial" w:cs="Arial" w:eastAsia="Arial" w:hAnsi="Arial"/>
                <w:sz w:val="14"/>
                <w:szCs w:val="14"/>
                <w:color w:val="auto"/>
              </w:rPr>
              <w:t>Net cash (used in) provided by investing activities</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755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(94,310)</w:t>
            </w:r>
          </w:p>
        </w:tc>
        <w:tc>
          <w:tcPr>
            <w:tcW w:w="0" w:type="dxa"/>
            <w:vAlign w:val="bottom"/>
          </w:tcPr>
          <w:p>
            <w:pPr>
              <w:spacing w:after="0"/>
              <w:rPr>
                <w:sz w:val="1"/>
                <w:szCs w:val="1"/>
                <w:color w:val="auto"/>
              </w:rPr>
            </w:pPr>
          </w:p>
        </w:tc>
      </w:tr>
      <w:tr>
        <w:trPr>
          <w:trHeight w:val="169"/>
        </w:trPr>
        <w:tc>
          <w:tcPr>
            <w:tcW w:w="6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Financing activities</w:t>
            </w:r>
          </w:p>
        </w:tc>
        <w:tc>
          <w:tcPr>
            <w:tcW w:w="1140" w:type="dxa"/>
            <w:vAlign w:val="bottom"/>
            <w:tcBorders>
              <w:top w:val="single" w:sz="8" w:color="CFF0FC"/>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60" w:type="dxa"/>
            <w:vAlign w:val="bottom"/>
          </w:tcPr>
          <w:p>
            <w:pPr>
              <w:ind w:left="260"/>
              <w:spacing w:after="0"/>
              <w:rPr>
                <w:sz w:val="20"/>
                <w:szCs w:val="20"/>
                <w:color w:val="auto"/>
              </w:rPr>
            </w:pPr>
            <w:r>
              <w:rPr>
                <w:rFonts w:ascii="Arial" w:cs="Arial" w:eastAsia="Arial" w:hAnsi="Arial"/>
                <w:sz w:val="14"/>
                <w:szCs w:val="14"/>
                <w:color w:val="auto"/>
              </w:rPr>
              <w:t>Proceeds from exercise of common stock options and common stock warrants</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initial public offering, net of issuance costs</w:t>
            </w:r>
          </w:p>
        </w:tc>
        <w:tc>
          <w:tcPr>
            <w:tcW w:w="1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187,224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460" w:type="dxa"/>
            <w:vAlign w:val="bottom"/>
          </w:tcPr>
          <w:p>
            <w:pPr>
              <w:ind w:left="260"/>
              <w:spacing w:after="0"/>
              <w:rPr>
                <w:sz w:val="20"/>
                <w:szCs w:val="20"/>
                <w:color w:val="auto"/>
              </w:rPr>
            </w:pPr>
            <w:r>
              <w:rPr>
                <w:rFonts w:ascii="Arial" w:cs="Arial" w:eastAsia="Arial" w:hAnsi="Arial"/>
                <w:sz w:val="14"/>
                <w:szCs w:val="14"/>
                <w:color w:val="auto"/>
              </w:rPr>
              <w:t>Proceeds from sales of convertible preferred stock and stock warrants, net of</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60" w:type="dxa"/>
            <w:vAlign w:val="bottom"/>
          </w:tcPr>
          <w:p>
            <w:pPr>
              <w:ind w:left="420"/>
              <w:spacing w:after="0"/>
              <w:rPr>
                <w:sz w:val="20"/>
                <w:szCs w:val="20"/>
                <w:color w:val="auto"/>
              </w:rPr>
            </w:pPr>
            <w:r>
              <w:rPr>
                <w:rFonts w:ascii="Arial" w:cs="Arial" w:eastAsia="Arial" w:hAnsi="Arial"/>
                <w:sz w:val="14"/>
                <w:szCs w:val="14"/>
                <w:color w:val="auto"/>
              </w:rPr>
              <w:t>issuance costs</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81,926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issuance of convertible notes, including derivative</w:t>
            </w:r>
          </w:p>
        </w:tc>
        <w:tc>
          <w:tcPr>
            <w:tcW w:w="1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884</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tcPr>
          <w:p>
            <w:pPr>
              <w:ind w:left="260"/>
              <w:spacing w:after="0"/>
              <w:rPr>
                <w:sz w:val="20"/>
                <w:szCs w:val="20"/>
                <w:color w:val="auto"/>
              </w:rPr>
            </w:pPr>
            <w:r>
              <w:rPr>
                <w:rFonts w:ascii="Arial" w:cs="Arial" w:eastAsia="Arial" w:hAnsi="Arial"/>
                <w:sz w:val="14"/>
                <w:szCs w:val="14"/>
                <w:color w:val="auto"/>
              </w:rPr>
              <w:t>Issuance costs of convertible notes</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Paycheck Protection Program loan</w:t>
            </w:r>
          </w:p>
        </w:tc>
        <w:tc>
          <w:tcPr>
            <w:tcW w:w="11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tcPr>
          <w:p>
            <w:pPr>
              <w:ind w:left="260"/>
              <w:spacing w:after="0"/>
              <w:rPr>
                <w:sz w:val="20"/>
                <w:szCs w:val="20"/>
                <w:color w:val="auto"/>
              </w:rPr>
            </w:pPr>
            <w:r>
              <w:rPr>
                <w:rFonts w:ascii="Arial" w:cs="Arial" w:eastAsia="Arial" w:hAnsi="Arial"/>
                <w:sz w:val="14"/>
                <w:szCs w:val="14"/>
                <w:color w:val="auto"/>
              </w:rPr>
              <w:t>Repayment of Paycheck Protection Program loan</w:t>
            </w: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69"/>
        </w:trPr>
        <w:tc>
          <w:tcPr>
            <w:tcW w:w="6460" w:type="dxa"/>
            <w:vAlign w:val="bottom"/>
            <w:tcBorders>
              <w:top w:val="single" w:sz="8" w:color="CFF0FC"/>
            </w:tcBorders>
            <w:shd w:val="clear" w:color="auto" w:fill="CFF0FC"/>
          </w:tcPr>
          <w:p>
            <w:pPr>
              <w:ind w:left="880"/>
              <w:spacing w:after="0"/>
              <w:rPr>
                <w:sz w:val="20"/>
                <w:szCs w:val="20"/>
                <w:color w:val="auto"/>
              </w:rPr>
            </w:pPr>
            <w:r>
              <w:rPr>
                <w:rFonts w:ascii="Arial" w:cs="Arial" w:eastAsia="Arial" w:hAnsi="Arial"/>
                <w:sz w:val="14"/>
                <w:szCs w:val="14"/>
                <w:color w:val="auto"/>
              </w:rPr>
              <w:t>Net cash provided by financing activities</w:t>
            </w:r>
          </w:p>
        </w:tc>
        <w:tc>
          <w:tcPr>
            <w:tcW w:w="1140" w:type="dxa"/>
            <w:vAlign w:val="bottom"/>
            <w:tcBorders>
              <w:top w:val="single" w:sz="8" w:color="CFF0FC"/>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892</w:t>
            </w: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spacing w:after="0"/>
              <w:rPr>
                <w:sz w:val="14"/>
                <w:szCs w:val="14"/>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271,427</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60" w:type="dxa"/>
            <w:vAlign w:val="bottom"/>
          </w:tcPr>
          <w:p>
            <w:pPr>
              <w:spacing w:after="0"/>
              <w:rPr>
                <w:sz w:val="20"/>
                <w:szCs w:val="20"/>
                <w:color w:val="auto"/>
              </w:rPr>
            </w:pPr>
            <w:r>
              <w:rPr>
                <w:rFonts w:ascii="Arial" w:cs="Arial" w:eastAsia="Arial" w:hAnsi="Arial"/>
                <w:sz w:val="14"/>
                <w:szCs w:val="14"/>
                <w:color w:val="auto"/>
              </w:rPr>
              <w:t>Net increase (decrease) in cash and cash equivalents</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(1,037)</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163,669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 beginning of period</w:t>
            </w:r>
          </w:p>
        </w:tc>
        <w:tc>
          <w:tcPr>
            <w:tcW w:w="1140" w:type="dxa"/>
            <w:vAlign w:val="bottom"/>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3,317</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2,056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6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2200" w:type="dxa"/>
            <w:vAlign w:val="bottom"/>
            <w:gridSpan w:val="2"/>
          </w:tcPr>
          <w:p>
            <w:pPr>
              <w:jc w:val="right"/>
              <w:ind w:right="91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2,280</w:t>
            </w:r>
          </w:p>
        </w:tc>
        <w:tc>
          <w:tcPr>
            <w:tcW w:w="160" w:type="dxa"/>
            <w:vAlign w:val="bottom"/>
          </w:tcPr>
          <w:p>
            <w:pPr>
              <w:spacing w:after="0"/>
              <w:rPr>
                <w:sz w:val="18"/>
                <w:szCs w:val="18"/>
                <w:color w:val="auto"/>
              </w:rPr>
            </w:pPr>
          </w:p>
        </w:tc>
        <w:tc>
          <w:tcPr>
            <w:tcW w:w="1140" w:type="dxa"/>
            <w:vAlign w:val="bottom"/>
            <w:gridSpan w:val="2"/>
          </w:tcPr>
          <w:p>
            <w:pPr>
              <w:jc w:val="right"/>
              <w:ind w:right="9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165,725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46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1140" w:type="dxa"/>
            <w:vAlign w:val="bottom"/>
            <w:tcBorders>
              <w:top w:val="single" w:sz="8" w:color="CFF0FC"/>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460" w:type="dxa"/>
            <w:vAlign w:val="bottom"/>
          </w:tcPr>
          <w:p>
            <w:pPr>
              <w:ind w:left="260"/>
              <w:spacing w:after="0"/>
              <w:rPr>
                <w:sz w:val="20"/>
                <w:szCs w:val="20"/>
                <w:color w:val="auto"/>
              </w:rPr>
            </w:pPr>
            <w:r>
              <w:rPr>
                <w:rFonts w:ascii="Arial" w:cs="Arial" w:eastAsia="Arial" w:hAnsi="Arial"/>
                <w:sz w:val="14"/>
                <w:szCs w:val="14"/>
                <w:color w:val="auto"/>
              </w:rPr>
              <w:t>Purchases of property and equipment included in accounts payable and</w:t>
            </w: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460" w:type="dxa"/>
            <w:vAlign w:val="bottom"/>
          </w:tcPr>
          <w:p>
            <w:pPr>
              <w:ind w:left="380"/>
              <w:spacing w:after="0"/>
              <w:rPr>
                <w:sz w:val="20"/>
                <w:szCs w:val="20"/>
                <w:color w:val="auto"/>
              </w:rPr>
            </w:pPr>
            <w:r>
              <w:rPr>
                <w:rFonts w:ascii="Arial" w:cs="Arial" w:eastAsia="Arial" w:hAnsi="Arial"/>
                <w:sz w:val="14"/>
                <w:szCs w:val="14"/>
                <w:color w:val="auto"/>
              </w:rPr>
              <w:t>accrued liabilities</w:t>
            </w:r>
          </w:p>
        </w:tc>
        <w:tc>
          <w:tcPr>
            <w:tcW w:w="1140" w:type="dxa"/>
            <w:vAlign w:val="bottom"/>
          </w:tcPr>
          <w:p>
            <w:pPr>
              <w:spacing w:after="0"/>
              <w:rPr>
                <w:sz w:val="16"/>
                <w:szCs w:val="16"/>
                <w:color w:val="auto"/>
              </w:rPr>
            </w:pPr>
          </w:p>
        </w:tc>
        <w:tc>
          <w:tcPr>
            <w:tcW w:w="1060" w:type="dxa"/>
            <w:vAlign w:val="bottom"/>
          </w:tcPr>
          <w:p>
            <w:pPr>
              <w:jc w:val="right"/>
              <w:ind w:right="91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9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940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tcBorders>
            <w:vMerge w:val="restart"/>
            <w:shd w:val="clear" w:color="auto" w:fill="CFF0FC"/>
          </w:tcPr>
          <w:p>
            <w:pPr>
              <w:ind w:left="260"/>
              <w:spacing w:after="0"/>
              <w:rPr>
                <w:sz w:val="20"/>
                <w:szCs w:val="20"/>
                <w:color w:val="auto"/>
              </w:rPr>
            </w:pPr>
            <w:r>
              <w:rPr>
                <w:rFonts w:ascii="Arial" w:cs="Arial" w:eastAsia="Arial" w:hAnsi="Arial"/>
                <w:sz w:val="14"/>
                <w:szCs w:val="14"/>
                <w:color w:val="auto"/>
              </w:rPr>
              <w:t>Deferred offering costs included in accounts payable and accrued liabilities</w:t>
            </w: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60" w:type="dxa"/>
            <w:vAlign w:val="bottom"/>
            <w:vMerge w:val="continue"/>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910"/>
              <w:spacing w:after="0" w:line="156"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940"/>
              <w:spacing w:after="0" w:line="156" w:lineRule="exact"/>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779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4"/>
                <w:szCs w:val="14"/>
                <w:color w:val="auto"/>
              </w:rPr>
              <w:t>Issuance of common stock warrants in connection with Series B convertible</w:t>
            </w:r>
          </w:p>
        </w:tc>
        <w:tc>
          <w:tcPr>
            <w:tcW w:w="114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46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460" w:type="dxa"/>
            <w:vAlign w:val="bottom"/>
          </w:tcPr>
          <w:p>
            <w:pPr>
              <w:ind w:left="380"/>
              <w:spacing w:after="0"/>
              <w:rPr>
                <w:sz w:val="20"/>
                <w:szCs w:val="20"/>
                <w:color w:val="auto"/>
              </w:rPr>
            </w:pPr>
            <w:r>
              <w:rPr>
                <w:rFonts w:ascii="Arial" w:cs="Arial" w:eastAsia="Arial" w:hAnsi="Arial"/>
                <w:sz w:val="14"/>
                <w:szCs w:val="14"/>
                <w:color w:val="auto"/>
              </w:rPr>
              <w:t>preferred stock financing</w:t>
            </w:r>
          </w:p>
        </w:tc>
        <w:tc>
          <w:tcPr>
            <w:tcW w:w="1140" w:type="dxa"/>
            <w:vAlign w:val="bottom"/>
          </w:tcPr>
          <w:p>
            <w:pPr>
              <w:spacing w:after="0"/>
              <w:rPr>
                <w:sz w:val="16"/>
                <w:szCs w:val="16"/>
                <w:color w:val="auto"/>
              </w:rPr>
            </w:pPr>
          </w:p>
        </w:tc>
        <w:tc>
          <w:tcPr>
            <w:tcW w:w="1060" w:type="dxa"/>
            <w:vAlign w:val="bottom"/>
          </w:tcPr>
          <w:p>
            <w:pPr>
              <w:jc w:val="right"/>
              <w:ind w:right="91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9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10,591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tcBorders>
            <w:vMerge w:val="restart"/>
            <w:shd w:val="clear" w:color="auto" w:fill="CFF0FC"/>
          </w:tcPr>
          <w:p>
            <w:pPr>
              <w:ind w:left="260"/>
              <w:spacing w:after="0"/>
              <w:rPr>
                <w:sz w:val="20"/>
                <w:szCs w:val="20"/>
                <w:color w:val="auto"/>
              </w:rPr>
            </w:pPr>
            <w:r>
              <w:rPr>
                <w:rFonts w:ascii="Arial" w:cs="Arial" w:eastAsia="Arial" w:hAnsi="Arial"/>
                <w:sz w:val="14"/>
                <w:szCs w:val="14"/>
                <w:color w:val="auto"/>
              </w:rPr>
              <w:t>Issuance of Series B preferred stock upon conversion of promissory notes</w:t>
            </w: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60" w:type="dxa"/>
            <w:vAlign w:val="bottom"/>
            <w:vMerge w:val="continue"/>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910"/>
              <w:spacing w:after="0" w:line="156"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940"/>
              <w:spacing w:after="0" w:line="156" w:lineRule="exact"/>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4,515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4"/>
                <w:szCs w:val="14"/>
                <w:color w:val="auto"/>
              </w:rPr>
              <w:t>Recognition of warrant liability in connection with Series B convertible preferred</w:t>
            </w:r>
          </w:p>
        </w:tc>
        <w:tc>
          <w:tcPr>
            <w:tcW w:w="114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46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460" w:type="dxa"/>
            <w:vAlign w:val="bottom"/>
          </w:tcPr>
          <w:p>
            <w:pPr>
              <w:ind w:left="380"/>
              <w:spacing w:after="0"/>
              <w:rPr>
                <w:sz w:val="20"/>
                <w:szCs w:val="20"/>
                <w:color w:val="auto"/>
              </w:rPr>
            </w:pPr>
            <w:r>
              <w:rPr>
                <w:rFonts w:ascii="Arial" w:cs="Arial" w:eastAsia="Arial" w:hAnsi="Arial"/>
                <w:sz w:val="14"/>
                <w:szCs w:val="14"/>
                <w:color w:val="auto"/>
              </w:rPr>
              <w:t>stock financing</w:t>
            </w:r>
          </w:p>
        </w:tc>
        <w:tc>
          <w:tcPr>
            <w:tcW w:w="1140" w:type="dxa"/>
            <w:vAlign w:val="bottom"/>
          </w:tcPr>
          <w:p>
            <w:pPr>
              <w:spacing w:after="0"/>
              <w:rPr>
                <w:sz w:val="16"/>
                <w:szCs w:val="16"/>
                <w:color w:val="auto"/>
              </w:rPr>
            </w:pPr>
          </w:p>
        </w:tc>
        <w:tc>
          <w:tcPr>
            <w:tcW w:w="1060" w:type="dxa"/>
            <w:vAlign w:val="bottom"/>
          </w:tcPr>
          <w:p>
            <w:pPr>
              <w:jc w:val="right"/>
              <w:ind w:right="91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40" w:type="dxa"/>
            <w:vAlign w:val="bottom"/>
            <w:gridSpan w:val="2"/>
          </w:tcPr>
          <w:p>
            <w:pPr>
              <w:jc w:val="right"/>
              <w:ind w:right="94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364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tcBorders>
            <w:vMerge w:val="restart"/>
            <w:shd w:val="clear" w:color="auto" w:fill="CFF0FC"/>
          </w:tcPr>
          <w:p>
            <w:pPr>
              <w:ind w:left="260"/>
              <w:spacing w:after="0"/>
              <w:rPr>
                <w:sz w:val="20"/>
                <w:szCs w:val="20"/>
                <w:color w:val="auto"/>
              </w:rPr>
            </w:pPr>
            <w:r>
              <w:rPr>
                <w:rFonts w:ascii="Arial" w:cs="Arial" w:eastAsia="Arial" w:hAnsi="Arial"/>
                <w:sz w:val="14"/>
                <w:szCs w:val="14"/>
                <w:color w:val="auto"/>
              </w:rPr>
              <w:t>Derivative liability recorded upon issuance of convertible notes</w:t>
            </w: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60" w:type="dxa"/>
            <w:vAlign w:val="bottom"/>
            <w:vMerge w:val="continue"/>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910"/>
              <w:spacing w:after="0" w:line="156"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390</w:t>
            </w:r>
          </w:p>
        </w:tc>
        <w:tc>
          <w:tcPr>
            <w:tcW w:w="1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940"/>
              <w:spacing w:after="0" w:line="156" w:lineRule="exact"/>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774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4"/>
                <w:szCs w:val="14"/>
                <w:color w:val="auto"/>
              </w:rPr>
              <w:t>Conversion of convertible preferred stock upon closing of initial public offering</w:t>
            </w:r>
          </w:p>
        </w:tc>
        <w:tc>
          <w:tcPr>
            <w:tcW w:w="114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jc w:val="right"/>
              <w:ind w:right="910"/>
              <w:spacing w:after="0" w:line="156"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40" w:type="dxa"/>
            <w:vAlign w:val="bottom"/>
            <w:gridSpan w:val="2"/>
          </w:tcPr>
          <w:p>
            <w:pPr>
              <w:jc w:val="right"/>
              <w:ind w:right="940"/>
              <w:spacing w:after="0" w:line="156"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6" w:lineRule="exact"/>
              <w:rPr>
                <w:sz w:val="20"/>
                <w:szCs w:val="20"/>
                <w:color w:val="auto"/>
              </w:rPr>
            </w:pPr>
            <w:r>
              <w:rPr>
                <w:rFonts w:ascii="Arial" w:cs="Arial" w:eastAsia="Arial" w:hAnsi="Arial"/>
                <w:sz w:val="14"/>
                <w:szCs w:val="14"/>
                <w:color w:val="auto"/>
              </w:rPr>
              <w:t>92,537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tcBorders>
            <w:vMerge w:val="restart"/>
            <w:shd w:val="clear" w:color="auto" w:fill="CFF0FC"/>
          </w:tcPr>
          <w:p>
            <w:pPr>
              <w:ind w:left="260"/>
              <w:spacing w:after="0"/>
              <w:rPr>
                <w:sz w:val="20"/>
                <w:szCs w:val="20"/>
                <w:color w:val="auto"/>
              </w:rPr>
            </w:pPr>
            <w:r>
              <w:rPr>
                <w:rFonts w:ascii="Arial" w:cs="Arial" w:eastAsia="Arial" w:hAnsi="Arial"/>
                <w:sz w:val="14"/>
                <w:szCs w:val="14"/>
                <w:color w:val="auto"/>
              </w:rPr>
              <w:t>Right-of-use asset obtained in exchange for new operating lease liability</w:t>
            </w: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60" w:type="dxa"/>
            <w:vAlign w:val="bottom"/>
            <w:vMerge w:val="continue"/>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910"/>
              <w:spacing w:after="0" w:line="156"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940"/>
              <w:spacing w:after="0" w:line="156" w:lineRule="exact"/>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975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31" w:name="page232"/>
    <w:bookmarkEnd w:id="231"/>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0"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(unaudited)</w:t>
      </w:r>
    </w:p>
    <w:p>
      <w:pPr>
        <w:spacing w:after="0" w:line="296" w:lineRule="exact"/>
        <w:rPr>
          <w:sz w:val="20"/>
          <w:szCs w:val="20"/>
          <w:color w:val="auto"/>
        </w:rPr>
      </w:pPr>
    </w:p>
    <w:p>
      <w:pPr>
        <w:ind w:right="8540" w:firstLine="8"/>
        <w:spacing w:after="0" w:line="361" w:lineRule="auto"/>
        <w:tabs>
          <w:tab w:leader="none" w:pos="567"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b w:val="1"/>
          <w:bCs w:val="1"/>
          <w:i w:val="1"/>
          <w:iCs w:val="1"/>
          <w:color w:val="auto"/>
        </w:rPr>
        <w:t>Organization</w:t>
      </w:r>
    </w:p>
    <w:p>
      <w:pPr>
        <w:ind w:right="160" w:firstLine="576"/>
        <w:spacing w:after="0" w:line="248" w:lineRule="auto"/>
        <w:rPr>
          <w:sz w:val="20"/>
          <w:szCs w:val="20"/>
          <w:color w:val="auto"/>
        </w:rPr>
      </w:pPr>
      <w:r>
        <w:rPr>
          <w:rFonts w:ascii="Arial" w:cs="Arial" w:eastAsia="Arial" w:hAnsi="Arial"/>
          <w:sz w:val="18"/>
          <w:szCs w:val="18"/>
          <w:color w:val="auto"/>
        </w:rPr>
        <w:t>Athira Pharma, Inc. (the “Company”) was incorporated as M3 Biotechnology, Inc. in the state of Washington on March 31, 2011 and reincorporated in the state of Delaware on October 27, 2015. In April 2019, the Company changed its name to Athira Pharma, Inc. The Company currently has office and laboratory space in Seattle and Bothell Washington. The Company is a late clinical-stage biopharmaceutical company focused on developing small molecules to restore neuronal health and stop neurodegeneration.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04" w:lineRule="exact"/>
        <w:rPr>
          <w:sz w:val="20"/>
          <w:szCs w:val="20"/>
          <w:color w:val="auto"/>
        </w:rPr>
      </w:pPr>
    </w:p>
    <w:p>
      <w:pPr>
        <w:ind w:right="180" w:firstLine="576"/>
        <w:spacing w:after="0" w:line="245" w:lineRule="auto"/>
        <w:rPr>
          <w:sz w:val="20"/>
          <w:szCs w:val="20"/>
          <w:color w:val="auto"/>
        </w:rPr>
      </w:pPr>
      <w:r>
        <w:rPr>
          <w:rFonts w:ascii="Arial" w:cs="Arial" w:eastAsia="Arial" w:hAnsi="Arial"/>
          <w:sz w:val="18"/>
          <w:szCs w:val="18"/>
          <w:color w:val="auto"/>
        </w:rPr>
        <w:t>On September 11, 2020, the Company effected a one-for-7.9302 reverse split of its issued and outstanding common stock, convertible preferred stock, warrants, and stock options. The par value of the common stock and convertible preferred stock was not adjusted as a result of the reverse stock split. All share and per share amounts in the accompanying unaudited condensed financial statements and notes to the unaudited condensed financial statements have been retroactively adjusted for all periods presented to reflect the reverse stock split.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04" w:lineRule="exact"/>
        <w:rPr>
          <w:sz w:val="20"/>
          <w:szCs w:val="20"/>
          <w:color w:val="auto"/>
        </w:rPr>
      </w:pPr>
    </w:p>
    <w:p>
      <w:pPr>
        <w:ind w:right="120" w:firstLine="576"/>
        <w:spacing w:after="0" w:line="248" w:lineRule="auto"/>
        <w:rPr>
          <w:sz w:val="20"/>
          <w:szCs w:val="20"/>
          <w:color w:val="auto"/>
        </w:rPr>
      </w:pPr>
      <w:r>
        <w:rPr>
          <w:rFonts w:ascii="Arial" w:cs="Arial" w:eastAsia="Arial" w:hAnsi="Arial"/>
          <w:sz w:val="18"/>
          <w:szCs w:val="18"/>
          <w:color w:val="auto"/>
        </w:rPr>
        <w:t>On September 17, 2020, the Company’s registration statement on Form S-1 (File No. 333-248428) for its initial public offering of common stock (“IPO”) was declared effective by the Securities and Exchange Commission (“SEC”). On September 22, 2020, the Company issued and sold 12,000,000 shares of common stock in the IPO at a public offering price of $17.00 per share, resulting in net proceeds of $186.4 million after deducting underwriting discounts and commissions and offering expenses paid by the Company.</w:t>
      </w:r>
    </w:p>
    <w:p>
      <w:pPr>
        <w:spacing w:after="0" w:line="170" w:lineRule="exact"/>
        <w:rPr>
          <w:sz w:val="20"/>
          <w:szCs w:val="20"/>
          <w:color w:val="auto"/>
        </w:rPr>
      </w:pPr>
    </w:p>
    <w:p>
      <w:pPr>
        <w:ind w:right="100" w:firstLine="576"/>
        <w:spacing w:after="0"/>
        <w:rPr>
          <w:sz w:val="20"/>
          <w:szCs w:val="20"/>
          <w:color w:val="auto"/>
        </w:rPr>
      </w:pPr>
      <w:r>
        <w:rPr>
          <w:rFonts w:ascii="Arial" w:cs="Arial" w:eastAsia="Arial" w:hAnsi="Arial"/>
          <w:sz w:val="18"/>
          <w:szCs w:val="18"/>
          <w:color w:val="auto"/>
        </w:rPr>
        <w:t>In connection with the closing of the IPO, all of the Company’s outstanding shares of convertible preferred stock were automatically converted into 12,503,009 shares of common stock. Immediately prior to the Company’s IPO, all outstanding common stock warrants were exercised into 1,085,334 shares of common stock. Additionally, all outstanding Series B convertible preferred stock warrants were remeasured to their fair value. The final remeasurement of the Series B convertible preferred stock warrant liability resulted in a $0.6 million loss which was recorded to other income (expense), net. Following remeasurement, all Series B convertible preferred stock warrants automatically net exercised into 59,093 shares of common stock and the corresponding liability was reclassified to additional paid in capital. Following the IPO, there are no shares of convertible preferred stock, common stock warrants, or Series B convertible preferred stock warrants outstanding.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6"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Since the Company’s inception, it has funded its operations primarily with proceeds from the sale and issuance of common stock, convertible preferred stock, common stock warrants, and convertible notes, and to a lesser extent from grant income and stock option exercises. From the Company’s inception through September 30, 2020, it has raised aggregate net cash proceeds of $ 288.5 million primarily from the issuance of its common stock, convertible preferred stock, common stock warrants, and convertible notes. As of September 30, 2020, the Company had $259.9 million in cash, cash equivalents, and investments and had not generated positive cash flows from operations. Since the Company’s inception, it has devoted substantially all of its resources to its research and development efforts such as small molecule compound discovery, nonclinical studies and clinical trials, as well as manufacturing</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47" w:right="399" w:bottom="1440" w:gutter="0" w:footer="0" w:header="0"/>
        </w:sectPr>
      </w:pPr>
    </w:p>
    <w:bookmarkStart w:id="232" w:name="page233"/>
    <w:bookmarkEnd w:id="232"/>
    <w:p>
      <w:pPr>
        <w:ind w:right="220"/>
        <w:spacing w:after="0" w:line="276" w:lineRule="auto"/>
        <w:rPr>
          <w:sz w:val="20"/>
          <w:szCs w:val="20"/>
          <w:color w:val="auto"/>
        </w:rPr>
      </w:pPr>
      <w:r>
        <w:rPr>
          <w:rFonts w:ascii="Arial" w:cs="Arial" w:eastAsia="Arial" w:hAnsi="Arial"/>
          <w:sz w:val="18"/>
          <w:szCs w:val="18"/>
          <w:color w:val="auto"/>
        </w:rPr>
        <w:t>activities, establishing and maintaining the Company’s intellectual property portfolio, hiring personnel, raising capital, and providing general and administrative support for these operations.</w:t>
      </w:r>
    </w:p>
    <w:p>
      <w:pPr>
        <w:spacing w:after="0" w:line="145" w:lineRule="exact"/>
        <w:rPr>
          <w:sz w:val="20"/>
          <w:szCs w:val="20"/>
          <w:color w:val="auto"/>
        </w:rPr>
      </w:pPr>
    </w:p>
    <w:p>
      <w:pPr>
        <w:ind w:right="220" w:firstLine="576"/>
        <w:spacing w:after="0" w:line="255" w:lineRule="auto"/>
        <w:rPr>
          <w:sz w:val="20"/>
          <w:szCs w:val="20"/>
          <w:color w:val="auto"/>
        </w:rPr>
      </w:pPr>
      <w:r>
        <w:rPr>
          <w:rFonts w:ascii="Arial" w:cs="Arial" w:eastAsia="Arial" w:hAnsi="Arial"/>
          <w:sz w:val="18"/>
          <w:szCs w:val="18"/>
          <w:color w:val="auto"/>
        </w:rPr>
        <w:t>Based upon the Company’s current operating plan, it estimates that its $ 259.9 million of cash, cash equivalents, and investments at September 30, 2020 will be sufficient to fund its operating expenses and capital expenditure requirements through at least the 12 months following the date of the Company’s Quarterly Report on Form 10-Q for the period ending September 30, 2020.</w:t>
      </w:r>
    </w:p>
    <w:p>
      <w:pPr>
        <w:spacing w:after="0" w:line="270" w:lineRule="exact"/>
        <w:rPr>
          <w:sz w:val="20"/>
          <w:szCs w:val="20"/>
          <w:color w:val="auto"/>
        </w:rPr>
      </w:pPr>
    </w:p>
    <w:p>
      <w:pPr>
        <w:ind w:right="7980" w:firstLine="8"/>
        <w:spacing w:after="0" w:line="361" w:lineRule="auto"/>
        <w:tabs>
          <w:tab w:leader="none" w:pos="567"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b w:val="1"/>
          <w:bCs w:val="1"/>
          <w:i w:val="1"/>
          <w:iCs w:val="1"/>
          <w:color w:val="auto"/>
        </w:rPr>
        <w:t>Basis of Presentation</w:t>
      </w:r>
    </w:p>
    <w:p>
      <w:pPr>
        <w:ind w:firstLine="576"/>
        <w:spacing w:after="0" w:line="255" w:lineRule="auto"/>
        <w:rPr>
          <w:sz w:val="20"/>
          <w:szCs w:val="20"/>
          <w:color w:val="auto"/>
        </w:rPr>
      </w:pPr>
      <w:r>
        <w:rPr>
          <w:rFonts w:ascii="Arial" w:cs="Arial" w:eastAsia="Arial" w:hAnsi="Arial"/>
          <w:sz w:val="18"/>
          <w:szCs w:val="18"/>
          <w:color w:val="auto"/>
        </w:rPr>
        <w:t>The condensed consolidated financial statements have been prepared in conformity with U.S. generally accepted accounting principles (“U.S. GAAP”). During the third quarter of 2020, the Company incorporated Athira Pharma Australia PTY LTD in Australia and as of September 30, 2020, operations have yet to commence.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Financial Statements</w:t>
      </w:r>
    </w:p>
    <w:p>
      <w:pPr>
        <w:spacing w:after="0" w:line="104"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The accompanying unaudited condensed balance sheet as of September 30, 2020, and condensed statements of operations and comprehensive loss, condensed statements of cash flows, and condensed statements of convertible preferred stock and stockholders’ deficit for the three and nine months ended September 30, 2020 and 2019, are unaudited. The balance sheet as of December 31, 2019 was derived from the audited financial statements as of and for the year ended December 31, 2019. The unaudited interim condensed financial statements have been prepared on a basis consistent with the audited annual financial statements as of and for the year ended December 31, 2019, and, in the opinion of management, reflect all adjustments, consisting solely of normal recurring adjustments, necessary for the fair presentation of the Company’s financial position as of September 30, 2020, and the condensed results of its operations and its cash flows for the three and nine months ended September 30, 2020 and 2019. The financial data and other information disclosed in these notes related to the three and nine months ended September 30, 2020 and 2019 are also unaudited. The condensed results of operations for the three and nine months ended September 30, 2020 are not necessarily indicative of the results to be expected for the full year ending December 31, 2020 or any other period. These interim condensed financial statements should be read in conjunction with the Company’s audited financial statements included elsewhere in this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4" w:lineRule="exact"/>
        <w:rPr>
          <w:sz w:val="20"/>
          <w:szCs w:val="20"/>
          <w:color w:val="auto"/>
        </w:rPr>
      </w:pPr>
    </w:p>
    <w:p>
      <w:pPr>
        <w:ind w:right="100" w:firstLine="576"/>
        <w:spacing w:after="0" w:line="277" w:lineRule="auto"/>
        <w:rPr>
          <w:sz w:val="20"/>
          <w:szCs w:val="20"/>
          <w:color w:val="auto"/>
        </w:rPr>
      </w:pPr>
      <w:r>
        <w:rPr>
          <w:rFonts w:ascii="Arial" w:cs="Arial" w:eastAsia="Arial" w:hAnsi="Arial"/>
          <w:sz w:val="17"/>
          <w:szCs w:val="17"/>
          <w:color w:val="auto"/>
        </w:rPr>
        <w:t>The carrying amounts of certain financial instruments, including cash and cash equivalents, accounts payable and accrued expenses approximate their fair values due to the short-term nature of those amounts. The fair values of the grant liability to Life Sciences Discovery Fund (“LSDF”), the derivative liability, and the convertible preferred stock warrant liability were estimated using Level 3 unobservable inputs.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 Warrant Liability</w:t>
      </w:r>
    </w:p>
    <w:p>
      <w:pPr>
        <w:spacing w:after="0" w:line="104" w:lineRule="exact"/>
        <w:rPr>
          <w:sz w:val="20"/>
          <w:szCs w:val="20"/>
          <w:color w:val="auto"/>
        </w:rPr>
      </w:pPr>
    </w:p>
    <w:p>
      <w:pPr>
        <w:ind w:right="120" w:firstLine="569"/>
        <w:spacing w:after="0" w:line="243" w:lineRule="auto"/>
        <w:rPr>
          <w:sz w:val="20"/>
          <w:szCs w:val="20"/>
          <w:color w:val="auto"/>
        </w:rPr>
      </w:pPr>
      <w:r>
        <w:rPr>
          <w:rFonts w:ascii="Arial" w:cs="Arial" w:eastAsia="Arial" w:hAnsi="Arial"/>
          <w:sz w:val="18"/>
          <w:szCs w:val="18"/>
          <w:color w:val="auto"/>
        </w:rPr>
        <w:t>Freestanding warrants to purchase shares of the Company’s convertible preferred stock are accounted for as liabilities at fair value, because the shares underlying the warrants contain contingent redemption features outside the control of the Company. Warrants classified as liabilities are recorded on the Company’s balance sheets at their fair value on the date of issuance and remeasured to fair value on each subsequent reporting period, with the changes in fair value recognized as a component of other income (expense), net in the accompanying statements of operations. The Company will continue to adjust the liability for changes in the fair value of these warrants until the earlier of the exercise of the warrants, the expiration of the warrants, or until such time as the warrants are no longer considered liability instruments.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b w:val="1"/>
          <w:bCs w:val="1"/>
          <w:i w:val="1"/>
          <w:iCs w:val="1"/>
          <w:color w:val="auto"/>
        </w:rPr>
        <w:t>Short-term and Long-term Investments</w:t>
      </w:r>
    </w:p>
    <w:p>
      <w:pPr>
        <w:spacing w:after="0" w:line="104" w:lineRule="exact"/>
        <w:rPr>
          <w:sz w:val="20"/>
          <w:szCs w:val="20"/>
          <w:color w:val="auto"/>
        </w:rPr>
      </w:pPr>
    </w:p>
    <w:p>
      <w:pPr>
        <w:ind w:right="440" w:firstLine="576"/>
        <w:spacing w:after="0" w:line="248" w:lineRule="auto"/>
        <w:rPr>
          <w:sz w:val="20"/>
          <w:szCs w:val="20"/>
          <w:color w:val="auto"/>
        </w:rPr>
      </w:pPr>
      <w:r>
        <w:rPr>
          <w:rFonts w:ascii="Arial" w:cs="Arial" w:eastAsia="Arial" w:hAnsi="Arial"/>
          <w:sz w:val="18"/>
          <w:szCs w:val="18"/>
          <w:color w:val="auto"/>
        </w:rPr>
        <w:t>The Company generally invests its excess cash in investment grade short- to intermediate-term fixed income securities. Such investments are included in cash and cash equivalents, short-term investments, and long-term investments on the consolidated balance sheets, classified as available-for-sale, and reported at fair value with unrealized gains and losses included in accumulated other comprehensive loss. Realized gains and losses on the sale of these securities are recognized in net loss.</w:t>
      </w:r>
    </w:p>
    <w:p>
      <w:pPr>
        <w:spacing w:after="0" w:line="170"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The Company periodically evaluates whether declines in fair values of its investments below their book value are other-than-temporary. This evaluation consists of several qualitative and quantitative factors regarding the severity and duration of the unrealized loss as well as the Company’s ability and intent to hold the investment until a forecasted recovery occurs. Additionally, the Company assesses whether it has plans to sell the security or it is more likely than not it will be required to sell any investment before recovery of its amortized cost basis.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investments, duration and severity of the decline in value, and our strategy and intentions for holding the investment.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accrued liabilities, valuation allowance for deferred tax assets, and stock-based compensation. Management evaluates related assumptions on an ongoing basis using historical experience and other factors, and adjusts those estimates and assumptions when facts and circumstances dictate. Actual results could differ from those estimates.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80" w:firstLine="576"/>
        <w:spacing w:after="0" w:line="241" w:lineRule="auto"/>
        <w:rPr>
          <w:sz w:val="20"/>
          <w:szCs w:val="20"/>
          <w:color w:val="auto"/>
        </w:rPr>
      </w:pPr>
      <w:r>
        <w:rPr>
          <w:rFonts w:ascii="Arial" w:cs="Arial" w:eastAsia="Arial" w:hAnsi="Arial"/>
          <w:sz w:val="18"/>
          <w:szCs w:val="18"/>
          <w:color w:val="auto"/>
        </w:rPr>
        <w:t>Research and development expenses consist primarily of direct and indirect costs incurred for research activities, including development of our pipeline from the Company’s proprietary drug discovery platform (“ATH platform”). The Company’s drug discovery efforts and the development of its product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spacing w:after="0" w:line="179" w:lineRule="exact"/>
        <w:rPr>
          <w:sz w:val="20"/>
          <w:szCs w:val="20"/>
          <w:color w:val="auto"/>
        </w:rPr>
      </w:pPr>
    </w:p>
    <w:p>
      <w:pPr>
        <w:ind w:right="40" w:firstLine="576"/>
        <w:spacing w:after="0" w:line="241" w:lineRule="auto"/>
        <w:rPr>
          <w:sz w:val="20"/>
          <w:szCs w:val="20"/>
          <w:color w:val="auto"/>
        </w:rPr>
      </w:pPr>
      <w:r>
        <w:rPr>
          <w:rFonts w:ascii="Arial" w:cs="Arial" w:eastAsia="Arial" w:hAnsi="Arial"/>
          <w:sz w:val="18"/>
          <w:szCs w:val="18"/>
          <w:color w:val="auto"/>
        </w:rPr>
        <w:t>Research and development costs are expensed as incurred. In-licensing fees and other costs to acquire technologies used in research and development that have not yet received regulatory approval and that are not expected to have an alternative future use are expense when incurred. Non-refundable 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adjusts the amounts recorded accordingly. The Company has not experienced any material differences between accrued or prepaid costs and actual costs since inception.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04" w:lineRule="exact"/>
        <w:rPr>
          <w:sz w:val="20"/>
          <w:szCs w:val="20"/>
          <w:color w:val="auto"/>
        </w:rPr>
      </w:pPr>
    </w:p>
    <w:p>
      <w:pPr>
        <w:ind w:right="280" w:firstLine="576"/>
        <w:spacing w:after="0" w:line="276"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i w:val="1"/>
          <w:iCs w:val="1"/>
          <w:color w:val="auto"/>
        </w:rPr>
        <w:t>Recently Adopted Accounting Standards</w:t>
      </w:r>
      <w:r>
        <w:rPr>
          <w:rFonts w:ascii="Arial" w:cs="Arial" w:eastAsia="Arial" w:hAnsi="Arial"/>
          <w:sz w:val="18"/>
          <w:szCs w:val="18"/>
          <w:color w:val="auto"/>
        </w:rPr>
        <w:t xml:space="preserve"> below, the Company adopted Accounting Standards Codification (“ASC”) </w:t>
      </w:r>
      <w:r>
        <w:rPr>
          <w:rFonts w:ascii="Arial" w:cs="Arial" w:eastAsia="Arial" w:hAnsi="Arial"/>
          <w:sz w:val="18"/>
          <w:szCs w:val="18"/>
          <w:i w:val="1"/>
          <w:iCs w:val="1"/>
          <w:color w:val="auto"/>
        </w:rPr>
        <w:t>Topic 842 - Leases</w:t>
      </w:r>
      <w:r>
        <w:rPr>
          <w:rFonts w:ascii="Arial" w:cs="Arial" w:eastAsia="Arial" w:hAnsi="Arial"/>
          <w:sz w:val="18"/>
          <w:szCs w:val="18"/>
          <w:color w:val="auto"/>
        </w:rPr>
        <w:t>, on July 1, 2020, effective January 1, 2020. The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color w:val="auto"/>
        </w:rPr>
        <w:t>Company determines if an arrangement contains a lease at inception. The Company performed an evaluation of contracts in accordance with ASC 842 and has determined it has an operating lease agreement for the laboratory and office facilities that the Company occupies. Operating lease right-of-use (“ROU”) assets and operating lease liabilities are recognized at the date the underlying asset becomes available for the Company’s use. Operating lease liabilities are based on the present value of the future minimum lease payments over the lease term. ROU assets are measured at the amount of the lease liability, adjusted for any initial direct costs incurred and any lease payments made at or before the lease commencement date, less lease incentives received. As the Company’s lease generally does not provide an implicit interest rate, the present value of the future minimum lease payments is determined using the Company’s incremental borrowing rate. This rate is an estimate of the collateralized borrowing rate the Company would incur on its future lease payments over a similar term and is based on the information available to the Company at the lease commencement date, discussed in more detail below.</w:t>
      </w:r>
    </w:p>
    <w:p>
      <w:pPr>
        <w:spacing w:after="0" w:line="176" w:lineRule="exact"/>
        <w:rPr>
          <w:sz w:val="20"/>
          <w:szCs w:val="20"/>
          <w:color w:val="auto"/>
        </w:rPr>
      </w:pPr>
    </w:p>
    <w:p>
      <w:pPr>
        <w:ind w:right="80" w:firstLine="576"/>
        <w:spacing w:after="0" w:line="306" w:lineRule="auto"/>
        <w:rPr>
          <w:sz w:val="20"/>
          <w:szCs w:val="20"/>
          <w:color w:val="auto"/>
        </w:rPr>
      </w:pPr>
      <w:r>
        <w:rPr>
          <w:rFonts w:ascii="Arial" w:cs="Arial" w:eastAsia="Arial" w:hAnsi="Arial"/>
          <w:sz w:val="17"/>
          <w:szCs w:val="17"/>
          <w:color w:val="auto"/>
        </w:rPr>
        <w:t>The Company’s lease contains an option to extend the lease; lease terms are adjusted for these options only when it is reasonably certain the Company will exercise these options. The Company’s lease agreement does not contain residual value guarantees or covenants.</w:t>
      </w:r>
    </w:p>
    <w:p>
      <w:pPr>
        <w:spacing w:after="0" w:line="123" w:lineRule="exact"/>
        <w:rPr>
          <w:sz w:val="20"/>
          <w:szCs w:val="20"/>
          <w:color w:val="auto"/>
        </w:rPr>
      </w:pPr>
    </w:p>
    <w:p>
      <w:pPr>
        <w:ind w:right="60" w:firstLine="576"/>
        <w:spacing w:after="0" w:line="243" w:lineRule="auto"/>
        <w:rPr>
          <w:sz w:val="20"/>
          <w:szCs w:val="20"/>
          <w:color w:val="auto"/>
        </w:rPr>
      </w:pPr>
      <w:r>
        <w:rPr>
          <w:rFonts w:ascii="Arial" w:cs="Arial" w:eastAsia="Arial" w:hAnsi="Arial"/>
          <w:sz w:val="18"/>
          <w:szCs w:val="18"/>
          <w:color w:val="auto"/>
        </w:rPr>
        <w:t>The Company has made a policy election regarding its real estate leases not to separate nonlease components from lease components, to the extent they are fixed. Nonlease components that are not fixed are expensed as incurred as variable lease expense. The Company’s lease includes variable nonlease components, such as common-area maintenance costs. The Company has elected not to record on the balance sheet a lease that has a lease term of 12 months or less and does not contain a purchase option that the Company is reasonably certain to exercise. The Company accounts for leases with initial terms of 12 months or less as operating expenses on a straight-line basis over the lease term.</w:t>
      </w:r>
    </w:p>
    <w:p>
      <w:pPr>
        <w:spacing w:after="0" w:line="174" w:lineRule="exact"/>
        <w:rPr>
          <w:sz w:val="20"/>
          <w:szCs w:val="20"/>
          <w:color w:val="auto"/>
        </w:rPr>
      </w:pPr>
    </w:p>
    <w:p>
      <w:pPr>
        <w:jc w:val="both"/>
        <w:ind w:right="60" w:firstLine="576"/>
        <w:spacing w:after="0" w:line="255" w:lineRule="auto"/>
        <w:rPr>
          <w:sz w:val="20"/>
          <w:szCs w:val="20"/>
          <w:color w:val="auto"/>
        </w:rPr>
      </w:pPr>
      <w:r>
        <w:rPr>
          <w:rFonts w:ascii="Arial" w:cs="Arial" w:eastAsia="Arial" w:hAnsi="Arial"/>
          <w:sz w:val="18"/>
          <w:szCs w:val="18"/>
          <w:color w:val="auto"/>
        </w:rPr>
        <w:t>Lease expense is recognized within operating expenses on a straight-line basis over the terms of the lease. Incentives granted under the Company’s facilities lease, including rent holidays, are recognized as adjustments to lease expense on a straight-line basis over the term of the lease.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right="40" w:firstLine="576"/>
        <w:spacing w:after="0" w:line="248" w:lineRule="auto"/>
        <w:rPr>
          <w:sz w:val="20"/>
          <w:szCs w:val="20"/>
          <w:color w:val="auto"/>
        </w:rPr>
      </w:pPr>
      <w:r>
        <w:rPr>
          <w:rFonts w:ascii="Arial" w:cs="Arial" w:eastAsia="Arial" w:hAnsi="Arial"/>
          <w:sz w:val="18"/>
          <w:szCs w:val="18"/>
          <w:color w:val="auto"/>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Compensation expense is recognized over the requisite service period on a straight-line basis. Forfeitures are recognized as they occur.</w:t>
      </w:r>
    </w:p>
    <w:p>
      <w:pPr>
        <w:spacing w:after="0" w:line="170" w:lineRule="exact"/>
        <w:rPr>
          <w:sz w:val="20"/>
          <w:szCs w:val="20"/>
          <w:color w:val="auto"/>
        </w:rPr>
      </w:pPr>
    </w:p>
    <w:p>
      <w:pPr>
        <w:ind w:right="120" w:firstLine="576"/>
        <w:spacing w:after="0" w:line="248" w:lineRule="auto"/>
        <w:rPr>
          <w:sz w:val="20"/>
          <w:szCs w:val="20"/>
          <w:color w:val="auto"/>
        </w:rPr>
      </w:pPr>
      <w:r>
        <w:rPr>
          <w:rFonts w:ascii="Arial" w:cs="Arial" w:eastAsia="Arial" w:hAnsi="Arial"/>
          <w:sz w:val="18"/>
          <w:szCs w:val="18"/>
          <w:color w:val="auto"/>
        </w:rPr>
        <w:t>The Company records compensation expense for stock option grants subject to performance-based milestone vesting using the accelerated attribution method over the remaining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spacing w:after="0" w:line="170" w:lineRule="exact"/>
        <w:rPr>
          <w:sz w:val="20"/>
          <w:szCs w:val="20"/>
          <w:color w:val="auto"/>
        </w:rPr>
      </w:pPr>
    </w:p>
    <w:p>
      <w:pPr>
        <w:ind w:right="160" w:firstLine="576"/>
        <w:spacing w:after="0" w:line="248" w:lineRule="auto"/>
        <w:rPr>
          <w:sz w:val="20"/>
          <w:szCs w:val="20"/>
          <w:color w:val="auto"/>
        </w:rPr>
      </w:pPr>
      <w:r>
        <w:rPr>
          <w:rFonts w:ascii="Arial" w:cs="Arial" w:eastAsia="Arial" w:hAnsi="Arial"/>
          <w:sz w:val="18"/>
          <w:szCs w:val="18"/>
          <w:color w:val="auto"/>
        </w:rPr>
        <w:t>The Company adopted Accounting Standards Update (“ASU”) 2018-07 as of January 1, 2020. As a result, stock-based payments issued to non-employees prior to January 1, 2020 have been recorded at their fair values as of the transition date and are no longer subject to periodic adjustments as the underlying equity instruments vest. Any remaining compensation expense is recognized over the remaining vesting term on a straight-line basis, which reflects the service period, based on the fair value as of January 1,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04" w:lineRule="exact"/>
        <w:rPr>
          <w:sz w:val="20"/>
          <w:szCs w:val="20"/>
          <w:color w:val="auto"/>
        </w:rPr>
      </w:pPr>
    </w:p>
    <w:p>
      <w:pPr>
        <w:ind w:right="400" w:firstLine="576"/>
        <w:spacing w:after="0" w:line="255"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35" w:name="page236"/>
    <w:bookmarkEnd w:id="235"/>
    <w:p>
      <w:pPr>
        <w:ind w:right="280"/>
        <w:spacing w:after="0" w:line="276" w:lineRule="auto"/>
        <w:rPr>
          <w:sz w:val="20"/>
          <w:szCs w:val="20"/>
          <w:color w:val="auto"/>
        </w:rPr>
      </w:pPr>
      <w:r>
        <w:rPr>
          <w:rFonts w:ascii="Arial" w:cs="Arial" w:eastAsia="Arial" w:hAnsi="Arial"/>
          <w:sz w:val="18"/>
          <w:szCs w:val="18"/>
          <w:color w:val="auto"/>
        </w:rPr>
        <w:t>share attributable to common stockholders is the same as basic net loss per share attributable to common stockholders since the effect of potentially dilutive securities is anti-dilutive given the net loss of the Company.</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04" w:lineRule="exact"/>
        <w:rPr>
          <w:sz w:val="20"/>
          <w:szCs w:val="20"/>
          <w:color w:val="auto"/>
        </w:rPr>
      </w:pPr>
    </w:p>
    <w:p>
      <w:pPr>
        <w:ind w:right="160" w:firstLine="576"/>
        <w:spacing w:after="0" w:line="255" w:lineRule="auto"/>
        <w:rPr>
          <w:sz w:val="20"/>
          <w:szCs w:val="20"/>
          <w:color w:val="auto"/>
        </w:rPr>
      </w:pPr>
      <w:r>
        <w:rPr>
          <w:rFonts w:ascii="Arial" w:cs="Arial" w:eastAsia="Arial" w:hAnsi="Arial"/>
          <w:sz w:val="18"/>
          <w:szCs w:val="18"/>
          <w:color w:val="auto"/>
        </w:rPr>
        <w:t>The Company has determined that it operates and manages one operating segment, which is the business of developing and commercializing therapeutics. The Company’s chief operating decision maker, its chief executive officer, reviews financial information on an aggregate basis for the purpose of allocating resources.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04"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(a) no longer an emerging growth company or (b)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04"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 xml:space="preserve">In February 2016, the Financial Accounting Standards Board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intended to increase transparency and comparability among organizations by recognizing lease assets and lease liabilities on the balance sheets and disclosing key information about leasing arrangements. The Company adopted the guidance on July 1, 2020, effective January 1, 2020, using the optional transition method described in ASU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Prior to adoption, the Company did not have any leases with initial terms longer than 12 months. The Company will continue to account for leases with initial terms of 12 months or less as operating expenses on a straight-line basis over the lease term.</w:t>
      </w:r>
    </w:p>
    <w:p>
      <w:pPr>
        <w:spacing w:after="0" w:line="174" w:lineRule="exact"/>
        <w:rPr>
          <w:sz w:val="20"/>
          <w:szCs w:val="20"/>
          <w:color w:val="auto"/>
        </w:rPr>
      </w:pPr>
    </w:p>
    <w:p>
      <w:pPr>
        <w:ind w:right="60" w:firstLine="576"/>
        <w:spacing w:after="0" w:line="262" w:lineRule="auto"/>
        <w:rPr>
          <w:sz w:val="20"/>
          <w:szCs w:val="20"/>
          <w:color w:val="auto"/>
        </w:rPr>
      </w:pPr>
      <w:r>
        <w:rPr>
          <w:rFonts w:ascii="Arial" w:cs="Arial" w:eastAsia="Arial" w:hAnsi="Arial"/>
          <w:sz w:val="17"/>
          <w:szCs w:val="17"/>
          <w:color w:val="auto"/>
        </w:rPr>
        <w:t>In adopting the new standard, the Company utilized certain practical expedients available. These practical expedients include waiving reassessment of 1) whether any expired or existing contracts are or contain leases; 2) lease classification of expired or existing leases; and</w:t>
      </w:r>
    </w:p>
    <w:p>
      <w:pPr>
        <w:ind w:right="180" w:firstLine="8"/>
        <w:spacing w:after="0" w:line="239" w:lineRule="auto"/>
        <w:tabs>
          <w:tab w:leader="none" w:pos="21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initial direct costs for existing leases. The Company also elected to use hindsight in determining the lease term and in assessing impairment of its ROU assets. Furthermore, the Company has made a policy decision regarding its real estate leases not to separate nonlease components from lease components, to the extent they are fixed. The Company has also elected not to record on the balance sheet a lease that has a lease term of 12 months or less and does not contain a purchase option that the Company is reasonably certain to exercise.</w:t>
      </w:r>
    </w:p>
    <w:p>
      <w:pPr>
        <w:spacing w:after="0" w:line="176"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The standard had a material impact on the Company’s unaudited condensed balance sheets but did not have a material impact on its unaudited condensed statements of operations or unaudited condensed statements of cash flows. The most significant impact was the recognition of $1.0 million and $1.0 million of operating lease ROU assets and liabilities, respectively. Refer to Note 8, Leases, for additional information regarding leases.</w:t>
      </w:r>
    </w:p>
    <w:p>
      <w:pPr>
        <w:spacing w:after="0" w:line="170" w:lineRule="exact"/>
        <w:rPr>
          <w:sz w:val="20"/>
          <w:szCs w:val="20"/>
          <w:color w:val="auto"/>
        </w:rPr>
      </w:pPr>
    </w:p>
    <w:p>
      <w:pPr>
        <w:ind w:right="120" w:firstLine="576"/>
        <w:spacing w:after="0" w:line="248"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(Topic 326) Improvements to Nonemployee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Share-Based Payment Accounting</w:t>
      </w:r>
      <w:r>
        <w:rPr>
          <w:rFonts w:ascii="Arial" w:cs="Arial" w:eastAsia="Arial" w:hAnsi="Arial"/>
          <w:sz w:val="18"/>
          <w:szCs w:val="18"/>
          <w:color w:val="auto"/>
        </w:rPr>
        <w:t>. The ASU simplified the accounting for share-based payments to non-employees by aligning it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share-based payments to employees, with certain exceptions. The Company adopted the standard on January 1, 2020 and it did not have a material impact on its financial condition, results of operations and cash flows.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36" w:name="page237"/>
    <w:bookmarkEnd w:id="236"/>
    <w:p>
      <w:pPr>
        <w:ind w:right="40" w:firstLine="576"/>
        <w:spacing w:after="0" w:line="248"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Disclosure Framework – Changes to the Disclosure Requirements for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w:t>
      </w:r>
      <w:r>
        <w:rPr>
          <w:rFonts w:ascii="Arial" w:cs="Arial" w:eastAsia="Arial" w:hAnsi="Arial"/>
          <w:sz w:val="18"/>
          <w:szCs w:val="18"/>
          <w:color w:val="auto"/>
        </w:rPr>
        <w:t>, which eliminates certain disclosure requirements for fair value measurements for all entities, requires public entities to</w:t>
      </w:r>
      <w:r>
        <w:rPr>
          <w:rFonts w:ascii="Arial" w:cs="Arial" w:eastAsia="Arial" w:hAnsi="Arial"/>
          <w:sz w:val="18"/>
          <w:szCs w:val="18"/>
          <w:i w:val="1"/>
          <w:iCs w:val="1"/>
          <w:color w:val="auto"/>
        </w:rPr>
        <w:t xml:space="preserve"> </w:t>
      </w:r>
      <w:r>
        <w:rPr>
          <w:rFonts w:ascii="Arial" w:cs="Arial" w:eastAsia="Arial" w:hAnsi="Arial"/>
          <w:sz w:val="18"/>
          <w:szCs w:val="18"/>
          <w:color w:val="auto"/>
        </w:rPr>
        <w:t>disclose certain new information and modifies some disclosure requirements. The Company adopted this standard on January 1, 2020 and it did not have a material impact on its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04"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Credit Losses (Topic 326)</w:t>
      </w:r>
      <w:r>
        <w:rPr>
          <w:rFonts w:ascii="Arial" w:cs="Arial" w:eastAsia="Arial" w:hAnsi="Arial"/>
          <w:sz w:val="18"/>
          <w:szCs w:val="18"/>
          <w:color w:val="auto"/>
        </w:rPr>
        <w:t xml:space="preserve"> as clarified in ASU 2019-04, ASU 2019-05, and ASU 2020-02. The objective of the standard is to provide information about expected credit losses on financial instruments at each reporting date and to change how other-than-temporary impairments on investment securities are recorded. The ASU will become effective beginning January 1, 2023, with early adoption permitted. The Company is currently evaluating the potential impacts of the ASU on its financial condition, results of operations, cash flows and financial statement disclosures.</w:t>
      </w:r>
    </w:p>
    <w:p>
      <w:pPr>
        <w:spacing w:after="0" w:line="172" w:lineRule="exact"/>
        <w:rPr>
          <w:sz w:val="20"/>
          <w:szCs w:val="20"/>
          <w:color w:val="auto"/>
        </w:rPr>
      </w:pPr>
    </w:p>
    <w:p>
      <w:pPr>
        <w:ind w:right="80" w:firstLine="576"/>
        <w:spacing w:after="0" w:line="276" w:lineRule="auto"/>
        <w:rPr>
          <w:sz w:val="20"/>
          <w:szCs w:val="20"/>
          <w:color w:val="auto"/>
        </w:rPr>
      </w:pPr>
      <w:r>
        <w:rPr>
          <w:rFonts w:ascii="Arial" w:cs="Arial" w:eastAsia="Arial" w:hAnsi="Arial"/>
          <w:sz w:val="18"/>
          <w:szCs w:val="18"/>
          <w:color w:val="auto"/>
        </w:rPr>
        <w:t>Although there were several other new accounting pronouncements issued or proposed by the FASB, we do not believe any of these have had or will have material impact on our condensed consolidated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w:t>
      </w:r>
    </w:p>
    <w:p>
      <w:pPr>
        <w:spacing w:after="0" w:line="106" w:lineRule="exact"/>
        <w:rPr>
          <w:sz w:val="20"/>
          <w:szCs w:val="20"/>
          <w:color w:val="auto"/>
        </w:rPr>
      </w:pPr>
    </w:p>
    <w:p>
      <w:pPr>
        <w:ind w:right="60" w:firstLine="576"/>
        <w:spacing w:after="0" w:line="306" w:lineRule="auto"/>
        <w:rPr>
          <w:sz w:val="20"/>
          <w:szCs w:val="20"/>
          <w:color w:val="auto"/>
        </w:rPr>
      </w:pPr>
      <w:r>
        <w:rPr>
          <w:rFonts w:ascii="Arial" w:cs="Arial" w:eastAsia="Arial" w:hAnsi="Arial"/>
          <w:sz w:val="17"/>
          <w:szCs w:val="17"/>
          <w:color w:val="auto"/>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spacing w:after="0" w:line="15" w:lineRule="exact"/>
        <w:rPr>
          <w:sz w:val="20"/>
          <w:szCs w:val="20"/>
          <w:color w:val="auto"/>
        </w:rPr>
      </w:pPr>
    </w:p>
    <w:p>
      <w:pPr>
        <w:ind w:right="40" w:firstLine="576"/>
        <w:spacing w:after="0" w:line="276"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—Unadjusted quoted prices in active markets that are accessible at the measurement date for identical, unrestricted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37" w:lineRule="exact"/>
        <w:rPr>
          <w:sz w:val="20"/>
          <w:szCs w:val="20"/>
          <w:color w:val="auto"/>
        </w:rPr>
      </w:pPr>
    </w:p>
    <w:p>
      <w:pPr>
        <w:ind w:right="320" w:firstLine="576"/>
        <w:spacing w:after="0" w:line="276"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—Quoted prices in markets that are not active or financial instruments for which all significant inputs are observable,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w:t>
      </w:r>
    </w:p>
    <w:p>
      <w:pPr>
        <w:spacing w:after="0" w:line="37"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are generally unobservable and reflect management’s estimates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 The fair values are determined using model-based techniques, including probability-based simulation methodologies.</w:t>
      </w:r>
    </w:p>
    <w:p>
      <w:pPr>
        <w:spacing w:after="0" w:line="164" w:lineRule="exact"/>
        <w:rPr>
          <w:sz w:val="20"/>
          <w:szCs w:val="20"/>
          <w:color w:val="auto"/>
        </w:rPr>
      </w:pPr>
    </w:p>
    <w:p>
      <w:pPr>
        <w:jc w:val="both"/>
        <w:ind w:right="60" w:firstLine="576"/>
        <w:spacing w:after="0" w:line="248" w:lineRule="auto"/>
        <w:rPr>
          <w:sz w:val="20"/>
          <w:szCs w:val="20"/>
          <w:color w:val="auto"/>
        </w:rPr>
      </w:pPr>
      <w:r>
        <w:rPr>
          <w:rFonts w:ascii="Arial" w:cs="Arial" w:eastAsia="Arial" w:hAnsi="Arial"/>
          <w:sz w:val="18"/>
          <w:szCs w:val="18"/>
          <w:color w:val="auto"/>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37" w:name="page238"/>
    <w:bookmarkEnd w:id="237"/>
    <w:p>
      <w:pPr>
        <w:ind w:right="480" w:firstLine="576"/>
        <w:spacing w:after="0" w:line="276" w:lineRule="auto"/>
        <w:rPr>
          <w:sz w:val="20"/>
          <w:szCs w:val="20"/>
          <w:color w:val="auto"/>
        </w:rPr>
      </w:pPr>
      <w:r>
        <w:rPr>
          <w:rFonts w:ascii="Arial" w:cs="Arial" w:eastAsia="Arial" w:hAnsi="Arial"/>
          <w:sz w:val="18"/>
          <w:szCs w:val="18"/>
          <w:color w:val="auto"/>
        </w:rPr>
        <w:t>The following table reflects the Company’s financial asset balances measured on a recurring basis as of September 30, 2020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13"/>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13"/>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r>
      <w:tr>
        <w:trPr>
          <w:trHeight w:val="177"/>
        </w:trPr>
        <w:tc>
          <w:tcPr>
            <w:tcW w:w="4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Level</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313"/>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273"/>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r>
      <w:tr>
        <w:trPr>
          <w:trHeight w:val="210"/>
        </w:trPr>
        <w:tc>
          <w:tcPr>
            <w:tcW w:w="4620" w:type="dxa"/>
            <w:vAlign w:val="bottom"/>
            <w:tcBorders>
              <w:top w:val="single" w:sz="8" w:color="CFF0FC"/>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2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09"/>
        </w:trPr>
        <w:tc>
          <w:tcPr>
            <w:tcW w:w="4620" w:type="dxa"/>
            <w:vAlign w:val="bottom"/>
          </w:tcPr>
          <w:p>
            <w:pPr>
              <w:ind w:left="260"/>
              <w:spacing w:after="0"/>
              <w:rPr>
                <w:sz w:val="20"/>
                <w:szCs w:val="20"/>
                <w:color w:val="auto"/>
              </w:rPr>
            </w:pPr>
            <w:r>
              <w:rPr>
                <w:rFonts w:ascii="Arial" w:cs="Arial" w:eastAsia="Arial" w:hAnsi="Arial"/>
                <w:sz w:val="18"/>
                <w:szCs w:val="18"/>
                <w:color w:val="auto"/>
              </w:rPr>
              <w:t>Money market fund</w:t>
            </w:r>
          </w:p>
        </w:tc>
        <w:tc>
          <w:tcPr>
            <w:tcW w:w="13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66,596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66,596</w:t>
            </w:r>
          </w:p>
        </w:tc>
        <w:tc>
          <w:tcPr>
            <w:tcW w:w="100" w:type="dxa"/>
            <w:vAlign w:val="bottom"/>
          </w:tcPr>
          <w:p>
            <w:pPr>
              <w:spacing w:after="0"/>
              <w:rPr>
                <w:sz w:val="18"/>
                <w:szCs w:val="18"/>
                <w:color w:val="auto"/>
              </w:rPr>
            </w:pPr>
          </w:p>
        </w:tc>
      </w:tr>
      <w:tr>
        <w:trPr>
          <w:trHeight w:val="216"/>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30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70,392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70,389</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ind w:left="260"/>
              <w:spacing w:after="0"/>
              <w:rPr>
                <w:sz w:val="20"/>
                <w:szCs w:val="20"/>
                <w:color w:val="auto"/>
              </w:rPr>
            </w:pPr>
            <w:r>
              <w:rPr>
                <w:rFonts w:ascii="Arial" w:cs="Arial" w:eastAsia="Arial" w:hAnsi="Arial"/>
                <w:sz w:val="18"/>
                <w:szCs w:val="18"/>
                <w:color w:val="auto"/>
              </w:rPr>
              <w:t>U.S. government debt and agency securities</w:t>
            </w:r>
          </w:p>
        </w:tc>
        <w:tc>
          <w:tcPr>
            <w:tcW w:w="13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8"/>
                <w:szCs w:val="18"/>
                <w:color w:val="auto"/>
              </w:rPr>
            </w:pPr>
          </w:p>
        </w:tc>
      </w:tr>
      <w:tr>
        <w:trPr>
          <w:trHeight w:val="216"/>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bills</w:t>
            </w:r>
          </w:p>
        </w:tc>
        <w:tc>
          <w:tcPr>
            <w:tcW w:w="130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14,999</w:t>
            </w:r>
          </w:p>
        </w:tc>
        <w:tc>
          <w:tcPr>
            <w:tcW w:w="100" w:type="dxa"/>
            <w:vAlign w:val="bottom"/>
            <w:shd w:val="clear" w:color="auto" w:fill="CFF0FC"/>
          </w:tcPr>
          <w:p>
            <w:pPr>
              <w:spacing w:after="0"/>
              <w:rPr>
                <w:sz w:val="18"/>
                <w:szCs w:val="18"/>
                <w:color w:val="auto"/>
              </w:rPr>
            </w:pPr>
          </w:p>
        </w:tc>
      </w:tr>
      <w:tr>
        <w:trPr>
          <w:trHeight w:val="249"/>
        </w:trPr>
        <w:tc>
          <w:tcPr>
            <w:tcW w:w="4620" w:type="dxa"/>
            <w:vAlign w:val="bottom"/>
          </w:tcPr>
          <w:p>
            <w:pPr>
              <w:ind w:left="260"/>
              <w:spacing w:after="0"/>
              <w:rPr>
                <w:sz w:val="20"/>
                <w:szCs w:val="20"/>
                <w:color w:val="auto"/>
              </w:rPr>
            </w:pPr>
            <w:r>
              <w:rPr>
                <w:rFonts w:ascii="Arial" w:cs="Arial" w:eastAsia="Arial" w:hAnsi="Arial"/>
                <w:sz w:val="18"/>
                <w:szCs w:val="18"/>
                <w:color w:val="auto"/>
              </w:rPr>
              <w:t>Total cash equivalents</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152,822</w:t>
            </w:r>
          </w:p>
        </w:tc>
        <w:tc>
          <w:tcPr>
            <w:tcW w:w="220" w:type="dxa"/>
            <w:vAlign w:val="bottom"/>
            <w:gridSpan w:val="2"/>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152,819</w:t>
            </w:r>
          </w:p>
        </w:tc>
        <w:tc>
          <w:tcPr>
            <w:tcW w:w="100" w:type="dxa"/>
            <w:vAlign w:val="bottom"/>
          </w:tcPr>
          <w:p>
            <w:pPr>
              <w:spacing w:after="0"/>
              <w:rPr>
                <w:sz w:val="21"/>
                <w:szCs w:val="21"/>
                <w:color w:val="auto"/>
              </w:rPr>
            </w:pPr>
          </w:p>
        </w:tc>
      </w:tr>
      <w:tr>
        <w:trPr>
          <w:trHeight w:val="197"/>
        </w:trPr>
        <w:tc>
          <w:tcPr>
            <w:tcW w:w="4620" w:type="dxa"/>
            <w:vAlign w:val="bottom"/>
            <w:tcBorders>
              <w:top w:val="single" w:sz="8" w:color="CFF0FC"/>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Short-term investments:</w:t>
            </w:r>
          </w:p>
        </w:tc>
        <w:tc>
          <w:tcPr>
            <w:tcW w:w="120" w:type="dxa"/>
            <w:vAlign w:val="bottom"/>
            <w:tcBorders>
              <w:top w:val="single" w:sz="8" w:color="CFF0FC"/>
            </w:tcBorders>
            <w:shd w:val="clear" w:color="auto" w:fill="CFF0FC"/>
          </w:tcPr>
          <w:p>
            <w:pPr>
              <w:spacing w:after="0"/>
              <w:rPr>
                <w:sz w:val="17"/>
                <w:szCs w:val="17"/>
                <w:color w:val="auto"/>
              </w:rPr>
            </w:pPr>
          </w:p>
        </w:tc>
        <w:tc>
          <w:tcPr>
            <w:tcW w:w="1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9"/>
        </w:trPr>
        <w:tc>
          <w:tcPr>
            <w:tcW w:w="462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3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30,394</w:t>
            </w:r>
          </w:p>
        </w:tc>
        <w:tc>
          <w:tcPr>
            <w:tcW w:w="100" w:type="dxa"/>
            <w:vAlign w:val="bottom"/>
          </w:tcPr>
          <w:p>
            <w:pPr>
              <w:spacing w:after="0"/>
              <w:rPr>
                <w:sz w:val="18"/>
                <w:szCs w:val="18"/>
                <w:color w:val="auto"/>
              </w:rPr>
            </w:pPr>
          </w:p>
        </w:tc>
      </w:tr>
      <w:tr>
        <w:trPr>
          <w:trHeight w:val="216"/>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debt and agency securities</w:t>
            </w:r>
          </w:p>
        </w:tc>
        <w:tc>
          <w:tcPr>
            <w:tcW w:w="130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29,220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29,227</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Corporate bonds</w:t>
            </w:r>
          </w:p>
        </w:tc>
        <w:tc>
          <w:tcPr>
            <w:tcW w:w="1300" w:type="dxa"/>
            <w:vAlign w:val="bottom"/>
            <w:tcBorders>
              <w:bottom w:val="single" w:sz="8" w:color="CFF0FC"/>
            </w:tcBorders>
            <w:gridSpan w:val="2"/>
          </w:tcPr>
          <w:p>
            <w:pPr>
              <w:jc w:val="center"/>
              <w:ind w:left="30"/>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FF0FC"/>
            </w:tcBorders>
          </w:tcPr>
          <w:p>
            <w:pPr>
              <w:spacing w:after="0"/>
              <w:rPr>
                <w:sz w:val="18"/>
                <w:szCs w:val="18"/>
                <w:color w:val="auto"/>
              </w:rPr>
            </w:pPr>
          </w:p>
        </w:tc>
      </w:tr>
      <w:tr>
        <w:trPr>
          <w:trHeight w:val="25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Total short-term investments</w:t>
            </w: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60,539</w:t>
            </w:r>
          </w:p>
        </w:tc>
        <w:tc>
          <w:tcPr>
            <w:tcW w:w="10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60,547</w:t>
            </w:r>
          </w:p>
        </w:tc>
        <w:tc>
          <w:tcPr>
            <w:tcW w:w="100" w:type="dxa"/>
            <w:vAlign w:val="bottom"/>
            <w:shd w:val="clear" w:color="auto" w:fill="CFF0FC"/>
          </w:tcPr>
          <w:p>
            <w:pPr>
              <w:spacing w:after="0"/>
              <w:rPr>
                <w:sz w:val="21"/>
                <w:szCs w:val="21"/>
                <w:color w:val="auto"/>
              </w:rPr>
            </w:pPr>
          </w:p>
        </w:tc>
      </w:tr>
      <w:tr>
        <w:trPr>
          <w:trHeight w:val="197"/>
        </w:trPr>
        <w:tc>
          <w:tcPr>
            <w:tcW w:w="4620" w:type="dxa"/>
            <w:vAlign w:val="bottom"/>
            <w:tcBorders>
              <w:top w:val="single" w:sz="8" w:color="CFF0FC"/>
              <w:bottom w:val="single" w:sz="8" w:color="auto"/>
            </w:tcBorders>
          </w:tcPr>
          <w:p>
            <w:pPr>
              <w:spacing w:after="0" w:line="196" w:lineRule="exact"/>
              <w:rPr>
                <w:sz w:val="20"/>
                <w:szCs w:val="20"/>
                <w:color w:val="auto"/>
              </w:rPr>
            </w:pPr>
            <w:r>
              <w:rPr>
                <w:rFonts w:ascii="Arial" w:cs="Arial" w:eastAsia="Arial" w:hAnsi="Arial"/>
                <w:sz w:val="18"/>
                <w:szCs w:val="18"/>
                <w:color w:val="auto"/>
              </w:rPr>
              <w:t>Long-term investments:</w:t>
            </w:r>
          </w:p>
        </w:tc>
        <w:tc>
          <w:tcPr>
            <w:tcW w:w="120" w:type="dxa"/>
            <w:vAlign w:val="bottom"/>
            <w:tcBorders>
              <w:top w:val="single" w:sz="8" w:color="CFF0FC"/>
              <w:bottom w:val="single" w:sz="8" w:color="CFF0FC"/>
            </w:tcBorders>
          </w:tcPr>
          <w:p>
            <w:pPr>
              <w:spacing w:after="0"/>
              <w:rPr>
                <w:sz w:val="17"/>
                <w:szCs w:val="17"/>
                <w:color w:val="auto"/>
              </w:rPr>
            </w:pPr>
          </w:p>
        </w:tc>
        <w:tc>
          <w:tcPr>
            <w:tcW w:w="1180" w:type="dxa"/>
            <w:vAlign w:val="bottom"/>
            <w:tcBorders>
              <w:top w:val="single" w:sz="8" w:color="CFF0FC"/>
              <w:bottom w:val="single" w:sz="8" w:color="CFF0FC"/>
            </w:tcBorders>
          </w:tcPr>
          <w:p>
            <w:pPr>
              <w:spacing w:after="0"/>
              <w:rPr>
                <w:sz w:val="17"/>
                <w:szCs w:val="17"/>
                <w:color w:val="auto"/>
              </w:rPr>
            </w:pPr>
          </w:p>
        </w:tc>
        <w:tc>
          <w:tcPr>
            <w:tcW w:w="120" w:type="dxa"/>
            <w:vAlign w:val="bottom"/>
            <w:tcBorders>
              <w:top w:val="single" w:sz="8" w:color="CFF0FC"/>
              <w:bottom w:val="single" w:sz="8" w:color="CFF0FC"/>
            </w:tcBorders>
          </w:tcPr>
          <w:p>
            <w:pPr>
              <w:spacing w:after="0"/>
              <w:rPr>
                <w:sz w:val="17"/>
                <w:szCs w:val="17"/>
                <w:color w:val="auto"/>
              </w:rPr>
            </w:pPr>
          </w:p>
        </w:tc>
        <w:tc>
          <w:tcPr>
            <w:tcW w:w="140" w:type="dxa"/>
            <w:vAlign w:val="bottom"/>
            <w:tcBorders>
              <w:top w:val="single" w:sz="8" w:color="auto"/>
              <w:bottom w:val="single" w:sz="8" w:color="CFF0FC"/>
            </w:tcBorders>
          </w:tcPr>
          <w:p>
            <w:pPr>
              <w:spacing w:after="0"/>
              <w:rPr>
                <w:sz w:val="17"/>
                <w:szCs w:val="17"/>
                <w:color w:val="auto"/>
              </w:rPr>
            </w:pPr>
          </w:p>
        </w:tc>
        <w:tc>
          <w:tcPr>
            <w:tcW w:w="960" w:type="dxa"/>
            <w:vAlign w:val="bottom"/>
            <w:tcBorders>
              <w:top w:val="single" w:sz="8" w:color="auto"/>
              <w:bottom w:val="single" w:sz="8" w:color="CFF0FC"/>
            </w:tcBorders>
          </w:tcPr>
          <w:p>
            <w:pPr>
              <w:spacing w:after="0"/>
              <w:rPr>
                <w:sz w:val="17"/>
                <w:szCs w:val="17"/>
                <w:color w:val="auto"/>
              </w:rPr>
            </w:pPr>
          </w:p>
        </w:tc>
        <w:tc>
          <w:tcPr>
            <w:tcW w:w="100" w:type="dxa"/>
            <w:vAlign w:val="bottom"/>
            <w:tcBorders>
              <w:top w:val="single" w:sz="8" w:color="CFF0FC"/>
              <w:bottom w:val="single" w:sz="8" w:color="CFF0FC"/>
            </w:tcBorders>
          </w:tcPr>
          <w:p>
            <w:pPr>
              <w:spacing w:after="0"/>
              <w:rPr>
                <w:sz w:val="17"/>
                <w:szCs w:val="17"/>
                <w:color w:val="auto"/>
              </w:rPr>
            </w:pPr>
          </w:p>
        </w:tc>
        <w:tc>
          <w:tcPr>
            <w:tcW w:w="120" w:type="dxa"/>
            <w:vAlign w:val="bottom"/>
            <w:tcBorders>
              <w:top w:val="single" w:sz="8" w:color="auto"/>
              <w:bottom w:val="single" w:sz="8" w:color="CFF0FC"/>
            </w:tcBorders>
          </w:tcPr>
          <w:p>
            <w:pPr>
              <w:spacing w:after="0"/>
              <w:rPr>
                <w:sz w:val="17"/>
                <w:szCs w:val="17"/>
                <w:color w:val="auto"/>
              </w:rPr>
            </w:pPr>
          </w:p>
        </w:tc>
        <w:tc>
          <w:tcPr>
            <w:tcW w:w="140" w:type="dxa"/>
            <w:vAlign w:val="bottom"/>
            <w:tcBorders>
              <w:top w:val="single" w:sz="8" w:color="auto"/>
              <w:bottom w:val="single" w:sz="8" w:color="CFF0FC"/>
            </w:tcBorders>
          </w:tcPr>
          <w:p>
            <w:pPr>
              <w:spacing w:after="0"/>
              <w:rPr>
                <w:sz w:val="17"/>
                <w:szCs w:val="17"/>
                <w:color w:val="auto"/>
              </w:rPr>
            </w:pPr>
          </w:p>
        </w:tc>
        <w:tc>
          <w:tcPr>
            <w:tcW w:w="960" w:type="dxa"/>
            <w:vAlign w:val="bottom"/>
            <w:tcBorders>
              <w:top w:val="single" w:sz="8" w:color="auto"/>
              <w:bottom w:val="single" w:sz="8" w:color="CFF0FC"/>
            </w:tcBorders>
          </w:tcPr>
          <w:p>
            <w:pPr>
              <w:spacing w:after="0"/>
              <w:rPr>
                <w:sz w:val="17"/>
                <w:szCs w:val="17"/>
                <w:color w:val="auto"/>
              </w:rPr>
            </w:pPr>
          </w:p>
        </w:tc>
        <w:tc>
          <w:tcPr>
            <w:tcW w:w="100" w:type="dxa"/>
            <w:vAlign w:val="bottom"/>
            <w:tcBorders>
              <w:top w:val="single" w:sz="8" w:color="CFF0FC"/>
              <w:bottom w:val="single" w:sz="8" w:color="CFF0FC"/>
            </w:tcBorders>
          </w:tcPr>
          <w:p>
            <w:pPr>
              <w:spacing w:after="0"/>
              <w:rPr>
                <w:sz w:val="17"/>
                <w:szCs w:val="17"/>
                <w:color w:val="auto"/>
              </w:rPr>
            </w:pPr>
          </w:p>
        </w:tc>
        <w:tc>
          <w:tcPr>
            <w:tcW w:w="120" w:type="dxa"/>
            <w:vAlign w:val="bottom"/>
            <w:tcBorders>
              <w:top w:val="single" w:sz="8" w:color="auto"/>
              <w:bottom w:val="single" w:sz="8" w:color="CFF0FC"/>
            </w:tcBorders>
          </w:tcPr>
          <w:p>
            <w:pPr>
              <w:spacing w:after="0"/>
              <w:rPr>
                <w:sz w:val="17"/>
                <w:szCs w:val="17"/>
                <w:color w:val="auto"/>
              </w:rPr>
            </w:pPr>
          </w:p>
        </w:tc>
        <w:tc>
          <w:tcPr>
            <w:tcW w:w="160" w:type="dxa"/>
            <w:vAlign w:val="bottom"/>
            <w:tcBorders>
              <w:top w:val="single" w:sz="8" w:color="auto"/>
              <w:bottom w:val="single" w:sz="8" w:color="CFF0FC"/>
            </w:tcBorders>
          </w:tcPr>
          <w:p>
            <w:pPr>
              <w:spacing w:after="0"/>
              <w:rPr>
                <w:sz w:val="17"/>
                <w:szCs w:val="17"/>
                <w:color w:val="auto"/>
              </w:rPr>
            </w:pPr>
          </w:p>
        </w:tc>
        <w:tc>
          <w:tcPr>
            <w:tcW w:w="960" w:type="dxa"/>
            <w:vAlign w:val="bottom"/>
            <w:tcBorders>
              <w:top w:val="single" w:sz="8" w:color="auto"/>
              <w:bottom w:val="single" w:sz="8" w:color="CFF0FC"/>
            </w:tcBorders>
          </w:tcPr>
          <w:p>
            <w:pPr>
              <w:spacing w:after="0"/>
              <w:rPr>
                <w:sz w:val="17"/>
                <w:szCs w:val="17"/>
                <w:color w:val="auto"/>
              </w:rPr>
            </w:pPr>
          </w:p>
        </w:tc>
        <w:tc>
          <w:tcPr>
            <w:tcW w:w="100" w:type="dxa"/>
            <w:vAlign w:val="bottom"/>
            <w:tcBorders>
              <w:top w:val="single" w:sz="8" w:color="CFF0FC"/>
              <w:bottom w:val="single" w:sz="8" w:color="CFF0FC"/>
            </w:tcBorders>
          </w:tcPr>
          <w:p>
            <w:pPr>
              <w:spacing w:after="0"/>
              <w:rPr>
                <w:sz w:val="17"/>
                <w:szCs w:val="17"/>
                <w:color w:val="auto"/>
              </w:rPr>
            </w:pPr>
          </w:p>
        </w:tc>
        <w:tc>
          <w:tcPr>
            <w:tcW w:w="120" w:type="dxa"/>
            <w:vAlign w:val="bottom"/>
            <w:tcBorders>
              <w:top w:val="single" w:sz="8" w:color="auto"/>
              <w:bottom w:val="single" w:sz="8" w:color="CFF0FC"/>
            </w:tcBorders>
          </w:tcPr>
          <w:p>
            <w:pPr>
              <w:spacing w:after="0"/>
              <w:rPr>
                <w:sz w:val="17"/>
                <w:szCs w:val="17"/>
                <w:color w:val="auto"/>
              </w:rPr>
            </w:pPr>
          </w:p>
        </w:tc>
        <w:tc>
          <w:tcPr>
            <w:tcW w:w="240" w:type="dxa"/>
            <w:vAlign w:val="bottom"/>
            <w:tcBorders>
              <w:top w:val="single" w:sz="8" w:color="auto"/>
              <w:bottom w:val="single" w:sz="8" w:color="CFF0FC"/>
            </w:tcBorders>
          </w:tcPr>
          <w:p>
            <w:pPr>
              <w:spacing w:after="0"/>
              <w:rPr>
                <w:sz w:val="17"/>
                <w:szCs w:val="17"/>
                <w:color w:val="auto"/>
              </w:rPr>
            </w:pPr>
          </w:p>
        </w:tc>
        <w:tc>
          <w:tcPr>
            <w:tcW w:w="880" w:type="dxa"/>
            <w:vAlign w:val="bottom"/>
            <w:tcBorders>
              <w:top w:val="single" w:sz="8" w:color="auto"/>
              <w:bottom w:val="single" w:sz="8" w:color="CFF0FC"/>
            </w:tcBorders>
          </w:tcPr>
          <w:p>
            <w:pPr>
              <w:spacing w:after="0"/>
              <w:rPr>
                <w:sz w:val="17"/>
                <w:szCs w:val="17"/>
                <w:color w:val="auto"/>
              </w:rPr>
            </w:pPr>
          </w:p>
        </w:tc>
        <w:tc>
          <w:tcPr>
            <w:tcW w:w="100" w:type="dxa"/>
            <w:vAlign w:val="bottom"/>
            <w:tcBorders>
              <w:top w:val="single" w:sz="8" w:color="CFF0FC"/>
              <w:bottom w:val="single" w:sz="8" w:color="CFF0FC"/>
            </w:tcBorders>
          </w:tcPr>
          <w:p>
            <w:pPr>
              <w:spacing w:after="0"/>
              <w:rPr>
                <w:sz w:val="17"/>
                <w:szCs w:val="17"/>
                <w:color w:val="auto"/>
              </w:rPr>
            </w:pPr>
          </w:p>
        </w:tc>
      </w:tr>
      <w:tr>
        <w:trPr>
          <w:trHeight w:val="209"/>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debt and agency securities</w:t>
            </w:r>
          </w:p>
        </w:tc>
        <w:tc>
          <w:tcPr>
            <w:tcW w:w="130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32,634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32,636</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U. S. treasury bills</w:t>
            </w:r>
          </w:p>
        </w:tc>
        <w:tc>
          <w:tcPr>
            <w:tcW w:w="1300" w:type="dxa"/>
            <w:vAlign w:val="bottom"/>
            <w:tcBorders>
              <w:bottom w:val="single" w:sz="8" w:color="CFF0FC"/>
            </w:tcBorders>
            <w:gridSpan w:val="2"/>
          </w:tcPr>
          <w:p>
            <w:pPr>
              <w:jc w:val="center"/>
              <w:ind w:left="30"/>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Borders>
              <w:bottom w:val="single" w:sz="8" w:color="CFF0FC"/>
            </w:tcBorders>
          </w:tcPr>
          <w:p>
            <w:pPr>
              <w:spacing w:after="0"/>
              <w:rPr>
                <w:sz w:val="18"/>
                <w:szCs w:val="18"/>
                <w:color w:val="auto"/>
              </w:rPr>
            </w:pPr>
          </w:p>
        </w:tc>
      </w:tr>
      <w:tr>
        <w:trPr>
          <w:trHeight w:val="21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investments</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33,654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33,656</w:t>
            </w:r>
          </w:p>
        </w:tc>
        <w:tc>
          <w:tcPr>
            <w:tcW w:w="100" w:type="dxa"/>
            <w:vAlign w:val="bottom"/>
            <w:shd w:val="clear" w:color="auto" w:fill="CFF0FC"/>
          </w:tcPr>
          <w:p>
            <w:pPr>
              <w:spacing w:after="0"/>
              <w:rPr>
                <w:sz w:val="18"/>
                <w:szCs w:val="18"/>
                <w:color w:val="auto"/>
              </w:rPr>
            </w:pPr>
          </w:p>
        </w:tc>
      </w:tr>
      <w:tr>
        <w:trPr>
          <w:trHeight w:val="20"/>
        </w:trPr>
        <w:tc>
          <w:tcPr>
            <w:tcW w:w="46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20" w:lineRule="exact"/>
        <w:rPr>
          <w:sz w:val="20"/>
          <w:szCs w:val="20"/>
          <w:color w:val="auto"/>
        </w:rPr>
      </w:pPr>
    </w:p>
    <w:p>
      <w:pPr>
        <w:ind w:right="300" w:firstLine="576"/>
        <w:spacing w:after="0" w:line="248" w:lineRule="auto"/>
        <w:rPr>
          <w:sz w:val="20"/>
          <w:szCs w:val="20"/>
          <w:color w:val="auto"/>
        </w:rPr>
      </w:pPr>
      <w:r>
        <w:rPr>
          <w:rFonts w:ascii="Arial" w:cs="Arial" w:eastAsia="Arial" w:hAnsi="Arial"/>
          <w:sz w:val="18"/>
          <w:szCs w:val="18"/>
          <w:color w:val="auto"/>
        </w:rPr>
        <w:t>The Company evaluated its investments for other-than-temporary impairment and considers the decline in market value for the securities to be primarily attributable to current economic and market conditions. For the investments, it is not more-likely-than-not that the Company will be required to sell the investments, and the Company does not intend to do so prior to the recovery of the amortized cost basis.</w:t>
      </w:r>
    </w:p>
    <w:p>
      <w:pPr>
        <w:spacing w:after="0" w:line="170" w:lineRule="exact"/>
        <w:rPr>
          <w:sz w:val="20"/>
          <w:szCs w:val="20"/>
          <w:color w:val="auto"/>
        </w:rPr>
      </w:pPr>
    </w:p>
    <w:p>
      <w:pPr>
        <w:ind w:right="320" w:firstLine="576"/>
        <w:spacing w:after="0"/>
        <w:rPr>
          <w:sz w:val="20"/>
          <w:szCs w:val="20"/>
          <w:color w:val="auto"/>
        </w:rPr>
      </w:pPr>
      <w:r>
        <w:rPr>
          <w:rFonts w:ascii="Arial" w:cs="Arial" w:eastAsia="Arial" w:hAnsi="Arial"/>
          <w:sz w:val="18"/>
          <w:szCs w:val="18"/>
          <w:color w:val="auto"/>
        </w:rPr>
        <w:t>Prior to the IPO, the Company’s level 3 financial liabilities carried at fair value and remeasured on a recurring basis are the grant liability, derivative liability, and the convertible preferred stock warrant liability. In the third quarter the Company recorded an additional $464,000 to bring the total grant liability to $1.5 million as the Company’s IPO triggered the repayment obligation (see Note 6), and the derivative was settled upon the Company’s conversion of its convertible notes in May 2020 (see Note 7). The losses resulting from the change in fair value of the grant liability, the bifurcated conversion and redemption features related to the derivative liability, and the convertible preferred stock warrant liability are classified as other income (expense), net in the accompanying condensed consolidated statements of operations and comprehensive loss. Changes in any of the assumptions related to the unobservable inputs identified may change the fair value of these instruments. For example, an increase in interest rates would generally correspond to a decrease in the fair value of the liabilities.</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presents the activity for the grant liability for the year ended December 31, 2019 and nine months ended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2"/>
          </w:tcPr>
          <w:p>
            <w:pPr>
              <w:ind w:left="14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r>
      <w:tr>
        <w:trPr>
          <w:trHeight w:val="177"/>
        </w:trPr>
        <w:tc>
          <w:tcPr>
            <w:tcW w:w="4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26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 December 31, 2019</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2020</w:t>
            </w:r>
          </w:p>
        </w:tc>
        <w:tc>
          <w:tcPr>
            <w:tcW w:w="20" w:type="dxa"/>
            <w:vAlign w:val="bottom"/>
          </w:tcPr>
          <w:p>
            <w:pPr>
              <w:spacing w:after="0"/>
              <w:rPr>
                <w:sz w:val="15"/>
                <w:szCs w:val="15"/>
                <w:color w:val="auto"/>
              </w:rPr>
            </w:pPr>
          </w:p>
        </w:tc>
      </w:tr>
      <w:tr>
        <w:trPr>
          <w:trHeight w:val="210"/>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230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3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fair value of grant liability</w:t>
            </w:r>
          </w:p>
        </w:tc>
        <w:tc>
          <w:tcPr>
            <w:tcW w:w="230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end of period</w:t>
            </w:r>
          </w:p>
        </w:tc>
        <w:tc>
          <w:tcPr>
            <w:tcW w:w="230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3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3"/>
        </w:trPr>
        <w:tc>
          <w:tcPr>
            <w:tcW w:w="4140" w:type="dxa"/>
            <w:vAlign w:val="bottom"/>
          </w:tcPr>
          <w:p>
            <w:pPr>
              <w:spacing w:after="0"/>
              <w:rPr>
                <w:sz w:val="24"/>
                <w:szCs w:val="24"/>
                <w:color w:val="auto"/>
              </w:rPr>
            </w:pPr>
          </w:p>
        </w:tc>
        <w:tc>
          <w:tcPr>
            <w:tcW w:w="3240" w:type="dxa"/>
            <w:vAlign w:val="bottom"/>
            <w:gridSpan w:val="2"/>
          </w:tcPr>
          <w:p>
            <w:pPr>
              <w:jc w:val="right"/>
              <w:ind w:right="1496"/>
              <w:spacing w:after="0"/>
              <w:rPr>
                <w:sz w:val="20"/>
                <w:szCs w:val="20"/>
                <w:color w:val="auto"/>
              </w:rPr>
            </w:pPr>
            <w:r>
              <w:rPr>
                <w:rFonts w:ascii="Arial" w:cs="Arial" w:eastAsia="Arial" w:hAnsi="Arial"/>
                <w:sz w:val="18"/>
                <w:szCs w:val="18"/>
                <w:color w:val="auto"/>
              </w:rPr>
              <w:t>F-38</w:t>
            </w: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4140" w:type="dxa"/>
            <w:vAlign w:val="bottom"/>
            <w:tcBorders>
              <w:bottom w:val="single" w:sz="8" w:color="9A9A9A"/>
            </w:tcBorders>
          </w:tcPr>
          <w:p>
            <w:pPr>
              <w:spacing w:after="0"/>
              <w:rPr>
                <w:sz w:val="8"/>
                <w:szCs w:val="8"/>
                <w:color w:val="auto"/>
              </w:rPr>
            </w:pPr>
          </w:p>
        </w:tc>
        <w:tc>
          <w:tcPr>
            <w:tcW w:w="23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16" w:right="319" w:bottom="1440" w:gutter="0" w:footer="0" w:header="0"/>
        </w:sectPr>
      </w:pPr>
    </w:p>
    <w:bookmarkStart w:id="238" w:name="page239"/>
    <w:bookmarkEnd w:id="238"/>
    <w:p>
      <w:pPr>
        <w:ind w:left="600"/>
        <w:spacing w:after="0"/>
        <w:rPr>
          <w:sz w:val="20"/>
          <w:szCs w:val="20"/>
          <w:color w:val="auto"/>
        </w:rPr>
      </w:pPr>
      <w:r>
        <w:rPr>
          <w:rFonts w:ascii="Arial" w:cs="Arial" w:eastAsia="Arial" w:hAnsi="Arial"/>
          <w:sz w:val="18"/>
          <w:szCs w:val="18"/>
          <w:color w:val="auto"/>
        </w:rPr>
        <w:t>The following table presents the activity for the derivative liability for the year ended December 31, 2019 and nine months ended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Nine Months Ended</w:t>
            </w:r>
          </w:p>
        </w:tc>
      </w:tr>
      <w:tr>
        <w:trPr>
          <w:trHeight w:val="177"/>
        </w:trPr>
        <w:tc>
          <w:tcPr>
            <w:tcW w:w="5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 2019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September 30, 2020</w:t>
            </w:r>
          </w:p>
        </w:tc>
      </w:tr>
      <w:tr>
        <w:trPr>
          <w:trHeight w:val="210"/>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8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3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FF0FC"/>
          </w:tcPr>
          <w:p>
            <w:pPr>
              <w:spacing w:after="0"/>
              <w:rPr>
                <w:sz w:val="18"/>
                <w:szCs w:val="18"/>
                <w:color w:val="auto"/>
              </w:rPr>
            </w:pPr>
          </w:p>
        </w:tc>
        <w:tc>
          <w:tcPr>
            <w:tcW w:w="18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999</w:t>
            </w:r>
          </w:p>
        </w:tc>
        <w:tc>
          <w:tcPr>
            <w:tcW w:w="100" w:type="dxa"/>
            <w:vAlign w:val="bottom"/>
            <w:tcBorders>
              <w:top w:val="single" w:sz="8" w:color="CFF0FC"/>
            </w:tcBorders>
            <w:shd w:val="clear" w:color="auto" w:fill="CFF0FC"/>
          </w:tcPr>
          <w:p>
            <w:pPr>
              <w:spacing w:after="0"/>
              <w:rPr>
                <w:sz w:val="18"/>
                <w:szCs w:val="18"/>
                <w:color w:val="auto"/>
              </w:rPr>
            </w:pPr>
          </w:p>
        </w:tc>
      </w:tr>
      <w:tr>
        <w:trPr>
          <w:trHeight w:val="193"/>
        </w:trPr>
        <w:tc>
          <w:tcPr>
            <w:tcW w:w="5440" w:type="dxa"/>
            <w:vAlign w:val="bottom"/>
          </w:tcPr>
          <w:p>
            <w:pPr>
              <w:spacing w:after="0" w:line="193" w:lineRule="exact"/>
              <w:rPr>
                <w:sz w:val="20"/>
                <w:szCs w:val="20"/>
                <w:color w:val="auto"/>
              </w:rPr>
            </w:pPr>
            <w:r>
              <w:rPr>
                <w:rFonts w:ascii="Arial" w:cs="Arial" w:eastAsia="Arial" w:hAnsi="Arial"/>
                <w:sz w:val="18"/>
                <w:szCs w:val="18"/>
                <w:color w:val="auto"/>
              </w:rPr>
              <w:t>Derivative liability recorded upon issuance of</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5440" w:type="dxa"/>
            <w:vAlign w:val="bottom"/>
          </w:tcPr>
          <w:p>
            <w:pPr>
              <w:ind w:left="160"/>
              <w:spacing w:after="0"/>
              <w:rPr>
                <w:sz w:val="20"/>
                <w:szCs w:val="20"/>
                <w:color w:val="auto"/>
              </w:rPr>
            </w:pPr>
            <w:r>
              <w:rPr>
                <w:rFonts w:ascii="Arial" w:cs="Arial" w:eastAsia="Arial" w:hAnsi="Arial"/>
                <w:sz w:val="18"/>
                <w:szCs w:val="18"/>
                <w:color w:val="auto"/>
              </w:rPr>
              <w:t>convertible notes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389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9"/>
                <w:szCs w:val="19"/>
                <w:color w:val="auto"/>
              </w:rPr>
            </w:pPr>
          </w:p>
        </w:tc>
      </w:tr>
      <w:tr>
        <w:trPr>
          <w:trHeight w:val="216"/>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derivative liability</w:t>
            </w: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FF0FC"/>
          </w:tcPr>
          <w:p>
            <w:pPr>
              <w:spacing w:after="0"/>
              <w:rPr>
                <w:sz w:val="18"/>
                <w:szCs w:val="18"/>
                <w:color w:val="auto"/>
              </w:rPr>
            </w:pPr>
          </w:p>
        </w:tc>
      </w:tr>
      <w:tr>
        <w:trPr>
          <w:trHeight w:val="193"/>
        </w:trPr>
        <w:tc>
          <w:tcPr>
            <w:tcW w:w="5440" w:type="dxa"/>
            <w:vAlign w:val="bottom"/>
          </w:tcPr>
          <w:p>
            <w:pPr>
              <w:spacing w:after="0" w:line="193" w:lineRule="exact"/>
              <w:rPr>
                <w:sz w:val="20"/>
                <w:szCs w:val="20"/>
                <w:color w:val="auto"/>
              </w:rPr>
            </w:pPr>
            <w:r>
              <w:rPr>
                <w:rFonts w:ascii="Arial" w:cs="Arial" w:eastAsia="Arial" w:hAnsi="Arial"/>
                <w:sz w:val="18"/>
                <w:szCs w:val="18"/>
                <w:color w:val="auto"/>
              </w:rPr>
              <w:t>Derivative liability settled upon conversion of</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5440" w:type="dxa"/>
            <w:vAlign w:val="bottom"/>
          </w:tcPr>
          <w:p>
            <w:pPr>
              <w:ind w:left="160"/>
              <w:spacing w:after="0"/>
              <w:rPr>
                <w:sz w:val="20"/>
                <w:szCs w:val="20"/>
                <w:color w:val="auto"/>
              </w:rPr>
            </w:pPr>
            <w:r>
              <w:rPr>
                <w:rFonts w:ascii="Arial" w:cs="Arial" w:eastAsia="Arial" w:hAnsi="Arial"/>
                <w:sz w:val="18"/>
                <w:szCs w:val="18"/>
                <w:color w:val="auto"/>
              </w:rPr>
              <w:t>convertible notes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3"/>
          </w:tcPr>
          <w:p>
            <w:pPr>
              <w:jc w:val="right"/>
              <w:ind w:right="40"/>
              <w:spacing w:after="0"/>
              <w:rPr>
                <w:sz w:val="20"/>
                <w:szCs w:val="20"/>
                <w:color w:val="auto"/>
              </w:rPr>
            </w:pPr>
            <w:r>
              <w:rPr>
                <w:rFonts w:ascii="Arial" w:cs="Arial" w:eastAsia="Arial" w:hAnsi="Arial"/>
                <w:sz w:val="18"/>
                <w:szCs w:val="18"/>
                <w:color w:val="auto"/>
              </w:rPr>
              <w:t>(1,905)</w:t>
            </w:r>
          </w:p>
        </w:tc>
      </w:tr>
      <w:tr>
        <w:trPr>
          <w:trHeight w:val="209"/>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end of period</w:t>
            </w:r>
          </w:p>
        </w:tc>
        <w:tc>
          <w:tcPr>
            <w:tcW w:w="8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3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8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320" w:type="dxa"/>
            <w:vAlign w:val="bottom"/>
            <w:gridSpan w:val="2"/>
          </w:tcPr>
          <w:p>
            <w:pPr>
              <w:spacing w:after="0" w:line="20" w:lineRule="exact"/>
              <w:rPr>
                <w:sz w:val="1"/>
                <w:szCs w:val="1"/>
                <w:color w:val="auto"/>
              </w:rPr>
            </w:pPr>
          </w:p>
        </w:tc>
        <w:tc>
          <w:tcPr>
            <w:tcW w:w="236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3"/>
        </w:trPr>
        <w:tc>
          <w:tcPr>
            <w:tcW w:w="11240" w:type="dxa"/>
            <w:vAlign w:val="bottom"/>
            <w:gridSpan w:val="10"/>
          </w:tcPr>
          <w:p>
            <w:pPr>
              <w:ind w:left="580"/>
              <w:spacing w:after="0"/>
              <w:rPr>
                <w:sz w:val="20"/>
                <w:szCs w:val="20"/>
                <w:color w:val="auto"/>
              </w:rPr>
            </w:pPr>
            <w:r>
              <w:rPr>
                <w:rFonts w:ascii="Arial" w:cs="Arial" w:eastAsia="Arial" w:hAnsi="Arial"/>
                <w:sz w:val="18"/>
                <w:szCs w:val="18"/>
                <w:color w:val="auto"/>
              </w:rPr>
              <w:t>The following table presents the activity for the convertible preferred stock warrant liability for the nine months ended September 30,</w:t>
            </w:r>
          </w:p>
        </w:tc>
      </w:tr>
      <w:tr>
        <w:trPr>
          <w:trHeight w:val="243"/>
        </w:trPr>
        <w:tc>
          <w:tcPr>
            <w:tcW w:w="5440" w:type="dxa"/>
            <w:vAlign w:val="bottom"/>
          </w:tcPr>
          <w:p>
            <w:pPr>
              <w:spacing w:after="0"/>
              <w:rPr>
                <w:sz w:val="20"/>
                <w:szCs w:val="20"/>
                <w:color w:val="auto"/>
              </w:rPr>
            </w:pPr>
            <w:r>
              <w:rPr>
                <w:rFonts w:ascii="Arial" w:cs="Arial" w:eastAsia="Arial" w:hAnsi="Arial"/>
                <w:sz w:val="18"/>
                <w:szCs w:val="18"/>
                <w:color w:val="auto"/>
              </w:rPr>
              <w:t>2020 (in thousands):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59"/>
        </w:trPr>
        <w:tc>
          <w:tcPr>
            <w:tcW w:w="5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Nine Months Ended</w:t>
            </w:r>
          </w:p>
        </w:tc>
      </w:tr>
      <w:tr>
        <w:trPr>
          <w:trHeight w:val="177"/>
        </w:trPr>
        <w:tc>
          <w:tcPr>
            <w:tcW w:w="5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September 30, 2020</w:t>
            </w:r>
          </w:p>
        </w:tc>
      </w:tr>
      <w:tr>
        <w:trPr>
          <w:trHeight w:val="209"/>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8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gridSpan w:val="2"/>
            <w:shd w:val="clear" w:color="auto" w:fill="CFF0FC"/>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Recognition of convertible preferred stock warrant liability</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w:t>
            </w: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Settlement upon IPO</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(1,005)</w:t>
            </w:r>
          </w:p>
        </w:tc>
      </w:tr>
      <w:tr>
        <w:trPr>
          <w:trHeight w:val="209"/>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end of period</w:t>
            </w:r>
          </w:p>
        </w:tc>
        <w:tc>
          <w:tcPr>
            <w:tcW w:w="8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26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gridSpan w:val="2"/>
            <w:shd w:val="clear" w:color="auto" w:fill="CFF0FC"/>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ind w:right="340" w:firstLine="576"/>
        <w:spacing w:after="0" w:line="255" w:lineRule="auto"/>
        <w:rPr>
          <w:sz w:val="20"/>
          <w:szCs w:val="20"/>
          <w:color w:val="auto"/>
        </w:rPr>
      </w:pPr>
      <w:r>
        <w:rPr>
          <w:rFonts w:ascii="Arial" w:cs="Arial" w:eastAsia="Arial" w:hAnsi="Arial"/>
          <w:sz w:val="18"/>
          <w:szCs w:val="18"/>
          <w:color w:val="auto"/>
        </w:rPr>
        <w:t>Prior to the IPO, the activity for the convertible preferred stock warrant liability presented in the table above was shown in the Company’s financial statements as level 3. Following the IPO, the preferred stock warrant liability was revalued based on the IPO price of $17.00 per share.</w:t>
      </w:r>
    </w:p>
    <w:p>
      <w:pPr>
        <w:spacing w:after="0" w:line="270" w:lineRule="exact"/>
        <w:rPr>
          <w:sz w:val="20"/>
          <w:szCs w:val="20"/>
          <w:color w:val="auto"/>
        </w:rPr>
      </w:pPr>
    </w:p>
    <w:p>
      <w:pPr>
        <w:ind w:left="580" w:hanging="572"/>
        <w:spacing w:after="0"/>
        <w:tabs>
          <w:tab w:leader="none" w:pos="58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0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consisted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940" w:type="dxa"/>
            <w:vAlign w:val="bottom"/>
          </w:tcPr>
          <w:p>
            <w:pPr>
              <w:jc w:val="right"/>
              <w:ind w:right="16"/>
              <w:spacing w:after="0"/>
              <w:rPr>
                <w:sz w:val="20"/>
                <w:szCs w:val="20"/>
                <w:color w:val="auto"/>
              </w:rPr>
            </w:pPr>
            <w:r>
              <w:rPr>
                <w:rFonts w:ascii="Arial" w:cs="Arial" w:eastAsia="Arial" w:hAnsi="Arial"/>
                <w:sz w:val="14"/>
                <w:szCs w:val="14"/>
                <w:b w:val="1"/>
                <w:bCs w:val="1"/>
                <w:color w:val="auto"/>
              </w:rPr>
              <w:t>As of December 31,</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 September 30,</w:t>
            </w:r>
          </w:p>
        </w:tc>
        <w:tc>
          <w:tcPr>
            <w:tcW w:w="20" w:type="dxa"/>
            <w:vAlign w:val="bottom"/>
          </w:tcPr>
          <w:p>
            <w:pPr>
              <w:spacing w:after="0"/>
              <w:rPr>
                <w:sz w:val="14"/>
                <w:szCs w:val="14"/>
                <w:color w:val="auto"/>
              </w:rPr>
            </w:pPr>
          </w:p>
        </w:tc>
      </w:tr>
      <w:tr>
        <w:trPr>
          <w:trHeight w:val="177"/>
        </w:trPr>
        <w:tc>
          <w:tcPr>
            <w:tcW w:w="4240" w:type="dxa"/>
            <w:vAlign w:val="bottom"/>
          </w:tcPr>
          <w:p>
            <w:pPr>
              <w:spacing w:after="0"/>
              <w:rPr>
                <w:sz w:val="15"/>
                <w:szCs w:val="15"/>
                <w:color w:val="auto"/>
              </w:rPr>
            </w:pPr>
          </w:p>
        </w:tc>
        <w:tc>
          <w:tcPr>
            <w:tcW w:w="4020" w:type="dxa"/>
            <w:vAlign w:val="bottom"/>
            <w:gridSpan w:val="2"/>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tcPr>
          <w:p>
            <w:pPr>
              <w:jc w:val="right"/>
              <w:ind w:right="83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2080" w:type="dxa"/>
            <w:vAlign w:val="bottom"/>
            <w:tcBorders>
              <w:top w:val="single" w:sz="8" w:color="CFF0FC"/>
            </w:tcBorders>
            <w:shd w:val="clear" w:color="auto" w:fill="CFF0FC"/>
          </w:tcPr>
          <w:p>
            <w:pPr>
              <w:spacing w:after="0"/>
              <w:rPr>
                <w:sz w:val="18"/>
                <w:szCs w:val="18"/>
                <w:color w:val="auto"/>
              </w:rPr>
            </w:pPr>
          </w:p>
        </w:tc>
        <w:tc>
          <w:tcPr>
            <w:tcW w:w="1940" w:type="dxa"/>
            <w:vAlign w:val="bottom"/>
            <w:tcBorders>
              <w:top w:val="single" w:sz="8" w:color="auto"/>
            </w:tcBorders>
            <w:shd w:val="clear" w:color="auto" w:fill="CFF0FC"/>
          </w:tcPr>
          <w:p>
            <w:pPr>
              <w:jc w:val="right"/>
              <w:ind w:right="175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3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1,672</w:t>
            </w: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Employee compensation and benefits</w:t>
            </w:r>
          </w:p>
        </w:tc>
        <w:tc>
          <w:tcPr>
            <w:tcW w:w="20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 and other</w:t>
            </w:r>
          </w:p>
        </w:tc>
        <w:tc>
          <w:tcPr>
            <w:tcW w:w="2080" w:type="dxa"/>
            <w:vAlign w:val="bottom"/>
            <w:shd w:val="clear" w:color="auto" w:fill="CFF0FC"/>
          </w:tcPr>
          <w:p>
            <w:pPr>
              <w:spacing w:after="0"/>
              <w:rPr>
                <w:sz w:val="18"/>
                <w:szCs w:val="18"/>
                <w:color w:val="auto"/>
              </w:rPr>
            </w:pPr>
          </w:p>
        </w:tc>
        <w:tc>
          <w:tcPr>
            <w:tcW w:w="194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3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240" w:type="dxa"/>
            <w:vAlign w:val="bottom"/>
          </w:tcPr>
          <w:p>
            <w:pPr>
              <w:ind w:left="260"/>
              <w:spacing w:after="0"/>
              <w:rPr>
                <w:sz w:val="20"/>
                <w:szCs w:val="20"/>
                <w:color w:val="auto"/>
              </w:rPr>
            </w:pPr>
            <w:r>
              <w:rPr>
                <w:rFonts w:ascii="Arial" w:cs="Arial" w:eastAsia="Arial" w:hAnsi="Arial"/>
                <w:sz w:val="18"/>
                <w:szCs w:val="18"/>
                <w:color w:val="auto"/>
              </w:rPr>
              <w:t>Total accrued expenses</w:t>
            </w:r>
          </w:p>
        </w:tc>
        <w:tc>
          <w:tcPr>
            <w:tcW w:w="2080" w:type="dxa"/>
            <w:vAlign w:val="bottom"/>
          </w:tcPr>
          <w:p>
            <w:pPr>
              <w:spacing w:after="0"/>
              <w:rPr>
                <w:sz w:val="18"/>
                <w:szCs w:val="18"/>
                <w:color w:val="auto"/>
              </w:rPr>
            </w:pPr>
          </w:p>
        </w:tc>
        <w:tc>
          <w:tcPr>
            <w:tcW w:w="1940" w:type="dxa"/>
            <w:vAlign w:val="bottom"/>
            <w:tcBorders>
              <w:bottom w:val="single" w:sz="8" w:color="auto"/>
            </w:tcBorders>
          </w:tcPr>
          <w:p>
            <w:pPr>
              <w:jc w:val="right"/>
              <w:ind w:right="17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3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3"/>
        </w:trPr>
        <w:tc>
          <w:tcPr>
            <w:tcW w:w="4240" w:type="dxa"/>
            <w:vAlign w:val="bottom"/>
          </w:tcPr>
          <w:p>
            <w:pPr>
              <w:spacing w:after="0"/>
              <w:rPr>
                <w:sz w:val="24"/>
                <w:szCs w:val="24"/>
                <w:color w:val="auto"/>
              </w:rPr>
            </w:pPr>
          </w:p>
        </w:tc>
        <w:tc>
          <w:tcPr>
            <w:tcW w:w="4020" w:type="dxa"/>
            <w:vAlign w:val="bottom"/>
            <w:gridSpan w:val="2"/>
          </w:tcPr>
          <w:p>
            <w:pPr>
              <w:jc w:val="right"/>
              <w:ind w:right="2376"/>
              <w:spacing w:after="0"/>
              <w:rPr>
                <w:sz w:val="20"/>
                <w:szCs w:val="20"/>
                <w:color w:val="auto"/>
              </w:rPr>
            </w:pPr>
            <w:r>
              <w:rPr>
                <w:rFonts w:ascii="Arial" w:cs="Arial" w:eastAsia="Arial" w:hAnsi="Arial"/>
                <w:sz w:val="18"/>
                <w:szCs w:val="18"/>
                <w:color w:val="auto"/>
              </w:rPr>
              <w:t>F-39</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4240" w:type="dxa"/>
            <w:vAlign w:val="bottom"/>
            <w:tcBorders>
              <w:bottom w:val="single" w:sz="8" w:color="9A9A9A"/>
            </w:tcBorders>
          </w:tcPr>
          <w:p>
            <w:pPr>
              <w:spacing w:after="0"/>
              <w:rPr>
                <w:sz w:val="8"/>
                <w:szCs w:val="8"/>
                <w:color w:val="auto"/>
              </w:rPr>
            </w:pPr>
          </w:p>
        </w:tc>
        <w:tc>
          <w:tcPr>
            <w:tcW w:w="208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00" w:right="319" w:bottom="1440" w:gutter="0" w:footer="0" w:header="0"/>
        </w:sectPr>
      </w:pPr>
    </w:p>
    <w:bookmarkStart w:id="239" w:name="page240"/>
    <w:bookmarkEnd w:id="239"/>
    <w:p>
      <w:pPr>
        <w:ind w:left="580" w:hanging="572"/>
        <w:spacing w:after="0"/>
        <w:tabs>
          <w:tab w:leader="none" w:pos="58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 (Expense), Net</w:t>
      </w:r>
    </w:p>
    <w:p>
      <w:pPr>
        <w:spacing w:after="0" w:line="10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Other income (expense), net consisted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52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5"/>
                <w:szCs w:val="15"/>
                <w:color w:val="auto"/>
              </w:rPr>
            </w:pPr>
          </w:p>
        </w:tc>
        <w:tc>
          <w:tcPr>
            <w:tcW w:w="31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3680" w:type="dxa"/>
            <w:vAlign w:val="bottom"/>
            <w:tcBorders>
              <w:bottom w:val="single" w:sz="8" w:color="CFF0FC"/>
            </w:tcBorders>
          </w:tcPr>
          <w:p>
            <w:pPr>
              <w:spacing w:after="0"/>
              <w:rPr>
                <w:sz w:val="14"/>
                <w:szCs w:val="14"/>
                <w:color w:val="auto"/>
              </w:rPr>
            </w:pPr>
          </w:p>
        </w:tc>
        <w:tc>
          <w:tcPr>
            <w:tcW w:w="660" w:type="dxa"/>
            <w:vAlign w:val="bottom"/>
            <w:tcBorders>
              <w:bottom w:val="single" w:sz="8" w:color="CFF0FC"/>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CFF0FC"/>
            </w:tcBorders>
          </w:tcPr>
          <w:p>
            <w:pPr>
              <w:spacing w:after="0"/>
              <w:rPr>
                <w:sz w:val="14"/>
                <w:szCs w:val="14"/>
                <w:color w:val="auto"/>
              </w:rPr>
            </w:pPr>
          </w:p>
        </w:tc>
        <w:tc>
          <w:tcPr>
            <w:tcW w:w="100" w:type="dxa"/>
            <w:vAlign w:val="bottom"/>
            <w:tcBorders>
              <w:top w:val="single" w:sz="8" w:color="auto"/>
              <w:bottom w:val="single" w:sz="8" w:color="CFF0FC"/>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FF0FC"/>
            </w:tcBorders>
          </w:tcPr>
          <w:p>
            <w:pPr>
              <w:spacing w:after="0"/>
              <w:rPr>
                <w:sz w:val="14"/>
                <w:szCs w:val="14"/>
                <w:color w:val="auto"/>
              </w:rPr>
            </w:pPr>
          </w:p>
        </w:tc>
        <w:tc>
          <w:tcPr>
            <w:tcW w:w="20" w:type="dxa"/>
            <w:vAlign w:val="bottom"/>
            <w:tcBorders>
              <w:top w:val="single" w:sz="8" w:color="auto"/>
              <w:bottom w:val="single" w:sz="8" w:color="CFF0FC"/>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09"/>
        </w:trPr>
        <w:tc>
          <w:tcPr>
            <w:tcW w:w="36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 xml:space="preserve">Part the Cloud </w:t>
            </w:r>
            <w:r>
              <w:rPr>
                <w:rFonts w:ascii="Arial" w:cs="Arial" w:eastAsia="Arial" w:hAnsi="Arial"/>
                <w:sz w:val="18"/>
                <w:szCs w:val="18"/>
                <w:color w:val="auto"/>
              </w:rPr>
              <w:t>research grant</w:t>
            </w:r>
          </w:p>
        </w:tc>
        <w:tc>
          <w:tcPr>
            <w:tcW w:w="6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r>
      <w:tr>
        <w:trPr>
          <w:trHeight w:val="216"/>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6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(236)</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(366)</w:t>
            </w:r>
          </w:p>
        </w:tc>
      </w:tr>
      <w:tr>
        <w:trPr>
          <w:trHeight w:val="193"/>
        </w:trPr>
        <w:tc>
          <w:tcPr>
            <w:tcW w:w="3680" w:type="dxa"/>
            <w:vAlign w:val="bottom"/>
          </w:tcPr>
          <w:p>
            <w:pPr>
              <w:spacing w:after="0" w:line="193" w:lineRule="exact"/>
              <w:rPr>
                <w:sz w:val="20"/>
                <w:szCs w:val="20"/>
                <w:color w:val="auto"/>
              </w:rPr>
            </w:pPr>
            <w:r>
              <w:rPr>
                <w:rFonts w:ascii="Arial" w:cs="Arial" w:eastAsia="Arial" w:hAnsi="Arial"/>
                <w:sz w:val="18"/>
                <w:szCs w:val="18"/>
                <w:color w:val="auto"/>
              </w:rPr>
              <w:t>Change in fair value of derivative</w:t>
            </w:r>
          </w:p>
        </w:tc>
        <w:tc>
          <w:tcPr>
            <w:tcW w:w="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3680" w:type="dxa"/>
            <w:vAlign w:val="bottom"/>
          </w:tcPr>
          <w:p>
            <w:pPr>
              <w:ind w:left="160"/>
              <w:spacing w:after="0"/>
              <w:rPr>
                <w:sz w:val="20"/>
                <w:szCs w:val="20"/>
                <w:color w:val="auto"/>
              </w:rPr>
            </w:pPr>
            <w:r>
              <w:rPr>
                <w:rFonts w:ascii="Arial" w:cs="Arial" w:eastAsia="Arial" w:hAnsi="Arial"/>
                <w:sz w:val="18"/>
                <w:szCs w:val="18"/>
                <w:color w:val="auto"/>
              </w:rPr>
              <w:t>liability</w:t>
            </w: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r>
      <w:tr>
        <w:trPr>
          <w:trHeight w:val="216"/>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grant liability</w:t>
            </w:r>
          </w:p>
        </w:tc>
        <w:tc>
          <w:tcPr>
            <w:tcW w:w="6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(453)</w:t>
            </w:r>
          </w:p>
        </w:tc>
        <w:tc>
          <w:tcPr>
            <w:tcW w:w="2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(51)</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(464)</w:t>
            </w:r>
          </w:p>
        </w:tc>
      </w:tr>
      <w:tr>
        <w:trPr>
          <w:trHeight w:val="193"/>
        </w:trPr>
        <w:tc>
          <w:tcPr>
            <w:tcW w:w="3680" w:type="dxa"/>
            <w:vAlign w:val="bottom"/>
          </w:tcPr>
          <w:p>
            <w:pPr>
              <w:spacing w:after="0" w:line="193" w:lineRule="exact"/>
              <w:rPr>
                <w:sz w:val="20"/>
                <w:szCs w:val="20"/>
                <w:color w:val="auto"/>
              </w:rPr>
            </w:pPr>
            <w:r>
              <w:rPr>
                <w:rFonts w:ascii="Arial" w:cs="Arial" w:eastAsia="Arial" w:hAnsi="Arial"/>
                <w:sz w:val="18"/>
                <w:szCs w:val="18"/>
                <w:color w:val="auto"/>
              </w:rPr>
              <w:t>Change in convertible preferred stock</w:t>
            </w:r>
          </w:p>
        </w:tc>
        <w:tc>
          <w:tcPr>
            <w:tcW w:w="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3680" w:type="dxa"/>
            <w:vAlign w:val="bottom"/>
          </w:tcPr>
          <w:p>
            <w:pPr>
              <w:ind w:left="160"/>
              <w:spacing w:after="0"/>
              <w:rPr>
                <w:sz w:val="20"/>
                <w:szCs w:val="20"/>
                <w:color w:val="auto"/>
              </w:rPr>
            </w:pPr>
            <w:r>
              <w:rPr>
                <w:rFonts w:ascii="Arial" w:cs="Arial" w:eastAsia="Arial" w:hAnsi="Arial"/>
                <w:sz w:val="18"/>
                <w:szCs w:val="18"/>
                <w:color w:val="auto"/>
              </w:rPr>
              <w:t>warrant liability</w:t>
            </w: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(641)</w:t>
            </w:r>
          </w:p>
        </w:tc>
        <w:tc>
          <w:tcPr>
            <w:tcW w:w="28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(641)</w:t>
            </w:r>
          </w:p>
        </w:tc>
      </w:tr>
      <w:tr>
        <w:trPr>
          <w:trHeight w:val="193"/>
        </w:trPr>
        <w:tc>
          <w:tcPr>
            <w:tcW w:w="368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Gain on extinguishment of convertible</w:t>
            </w:r>
          </w:p>
        </w:tc>
        <w:tc>
          <w:tcPr>
            <w:tcW w:w="6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25"/>
        </w:trPr>
        <w:tc>
          <w:tcPr>
            <w:tcW w:w="36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notes</w:t>
            </w:r>
          </w:p>
        </w:tc>
        <w:tc>
          <w:tcPr>
            <w:tcW w:w="6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FF0FC"/>
          </w:tcPr>
          <w:p>
            <w:pPr>
              <w:spacing w:after="0"/>
              <w:rPr>
                <w:sz w:val="19"/>
                <w:szCs w:val="19"/>
                <w:color w:val="auto"/>
              </w:rPr>
            </w:pPr>
          </w:p>
        </w:tc>
      </w:tr>
      <w:tr>
        <w:trPr>
          <w:trHeight w:val="210"/>
        </w:trPr>
        <w:tc>
          <w:tcPr>
            <w:tcW w:w="3680" w:type="dxa"/>
            <w:vAlign w:val="bottom"/>
          </w:tcPr>
          <w:p>
            <w:pPr>
              <w:ind w:left="260"/>
              <w:spacing w:after="0"/>
              <w:rPr>
                <w:sz w:val="20"/>
                <w:szCs w:val="20"/>
                <w:color w:val="auto"/>
              </w:rPr>
            </w:pPr>
            <w:r>
              <w:rPr>
                <w:rFonts w:ascii="Arial" w:cs="Arial" w:eastAsia="Arial" w:hAnsi="Arial"/>
                <w:sz w:val="18"/>
                <w:szCs w:val="18"/>
                <w:color w:val="auto"/>
              </w:rPr>
              <w:t>Total other income (expense), net</w:t>
            </w:r>
          </w:p>
        </w:tc>
        <w:tc>
          <w:tcPr>
            <w:tcW w:w="6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2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18"/>
                <w:szCs w:val="18"/>
                <w:color w:val="auto"/>
              </w:rPr>
            </w:pPr>
          </w:p>
        </w:tc>
      </w:tr>
      <w:tr>
        <w:trPr>
          <w:trHeight w:val="20"/>
        </w:trPr>
        <w:tc>
          <w:tcPr>
            <w:tcW w:w="3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0" w:lineRule="exact"/>
        <w:rPr>
          <w:sz w:val="20"/>
          <w:szCs w:val="20"/>
          <w:color w:val="auto"/>
        </w:rPr>
      </w:pPr>
    </w:p>
    <w:p>
      <w:pPr>
        <w:ind w:left="580" w:hanging="572"/>
        <w:spacing w:after="0"/>
        <w:tabs>
          <w:tab w:leader="none" w:pos="58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Agreements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Washington State University (“WSU”) License Agreement</w:t>
      </w:r>
    </w:p>
    <w:p>
      <w:pPr>
        <w:spacing w:after="0" w:line="104" w:lineRule="exact"/>
        <w:rPr>
          <w:sz w:val="20"/>
          <w:szCs w:val="20"/>
          <w:color w:val="auto"/>
        </w:rPr>
      </w:pPr>
    </w:p>
    <w:p>
      <w:pPr>
        <w:ind w:right="280" w:firstLine="576"/>
        <w:spacing w:after="0" w:line="245" w:lineRule="auto"/>
        <w:rPr>
          <w:sz w:val="20"/>
          <w:szCs w:val="20"/>
          <w:color w:val="auto"/>
        </w:rPr>
      </w:pPr>
      <w:r>
        <w:rPr>
          <w:rFonts w:ascii="Arial" w:cs="Arial" w:eastAsia="Arial" w:hAnsi="Arial"/>
          <w:sz w:val="18"/>
          <w:szCs w:val="18"/>
          <w:color w:val="auto"/>
        </w:rPr>
        <w:t>In December 2011, the Company entered into an exclusive license agreement with sublicensing terms with Washington State University Research Fund (“WSURF”), which, after the dissolution of WSURF in 2013, was superseded by an amended and restated exclusive license agreement with sublicensing terms between the Company and Washington State University (“WSU”) in 2015. Under this agreement, the Company has an exclusive license to make, use, sell, and offer for sale a chemical compound that forms the underlying technology of the drug therapies being developed by the Company.</w:t>
      </w:r>
    </w:p>
    <w:p>
      <w:pPr>
        <w:spacing w:after="0" w:line="172" w:lineRule="exact"/>
        <w:rPr>
          <w:sz w:val="20"/>
          <w:szCs w:val="20"/>
          <w:color w:val="auto"/>
        </w:rPr>
      </w:pPr>
    </w:p>
    <w:p>
      <w:pPr>
        <w:ind w:right="820" w:firstLine="576"/>
        <w:spacing w:after="0" w:line="276" w:lineRule="auto"/>
        <w:rPr>
          <w:sz w:val="20"/>
          <w:szCs w:val="20"/>
          <w:color w:val="auto"/>
        </w:rPr>
      </w:pPr>
      <w:r>
        <w:rPr>
          <w:rFonts w:ascii="Arial" w:cs="Arial" w:eastAsia="Arial" w:hAnsi="Arial"/>
          <w:sz w:val="18"/>
          <w:szCs w:val="18"/>
          <w:color w:val="auto"/>
        </w:rPr>
        <w:t>To keep in good standing, the agreement requires the Company to meet certain development milestones and pay an annual maintenance fee. All contractual requirements have been met as of September 30, 2020.</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September 30, 2020, the Phase 2 clinical trial milestone had been reached and a $50,000 liability to WSU was recorded.</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may also be obligated to pay the following if the related milestones are reached:</w:t>
      </w:r>
    </w:p>
    <w:p>
      <w:pPr>
        <w:spacing w:after="0" w:line="104" w:lineRule="exact"/>
        <w:rPr>
          <w:sz w:val="20"/>
          <w:szCs w:val="20"/>
          <w:color w:val="auto"/>
        </w:rPr>
      </w:pPr>
    </w:p>
    <w:p>
      <w:pPr>
        <w:ind w:left="800" w:hanging="225"/>
        <w:spacing w:after="0"/>
        <w:tabs>
          <w:tab w:leader="none" w:pos="800" w:val="left"/>
        </w:tabs>
        <w:numPr>
          <w:ilvl w:val="0"/>
          <w:numId w:val="161"/>
        </w:numPr>
        <w:rPr>
          <w:rFonts w:ascii="Times New Roman" w:cs="Times New Roman" w:eastAsia="Times New Roman" w:hAnsi="Times New Roman"/>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61"/>
        </w:numPr>
        <w:rPr>
          <w:rFonts w:ascii="Times New Roman" w:cs="Times New Roman" w:eastAsia="Times New Roman" w:hAnsi="Times New Roman"/>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224" w:lineRule="exact"/>
        <w:rPr>
          <w:sz w:val="20"/>
          <w:szCs w:val="20"/>
          <w:color w:val="auto"/>
        </w:rPr>
      </w:pPr>
    </w:p>
    <w:p>
      <w:pPr>
        <w:jc w:val="both"/>
        <w:ind w:right="260" w:firstLine="576"/>
        <w:spacing w:after="0" w:line="255" w:lineRule="auto"/>
        <w:rPr>
          <w:sz w:val="20"/>
          <w:szCs w:val="20"/>
          <w:color w:val="auto"/>
        </w:rPr>
      </w:pPr>
      <w:r>
        <w:rPr>
          <w:rFonts w:ascii="Arial" w:cs="Arial" w:eastAsia="Arial" w:hAnsi="Arial"/>
          <w:sz w:val="18"/>
          <w:szCs w:val="18"/>
          <w:color w:val="auto"/>
        </w:rPr>
        <w:t>Under the terms of the agreement, the Company will pay a royalty in the mid-single digits of net sales, with the first $100,000 of net sales being exempt from royalty payment, and annual minimum royalty payments of $25,000 beginning after the first commercial sale of a licensed product. As of September 30, 2020, the Company had not incurred a royalty obligation under this agreement.</w:t>
      </w:r>
    </w:p>
    <w:p>
      <w:pPr>
        <w:spacing w:after="0" w:line="164"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Additionally, the agreement allows the Company to sublicense the rights conveyed by the agreement, subject to additional payments to WSU for sublicense consideration received. Such amounts are dependent on the terms of the underlying sublicense and range from the mid-single digits to mid-teens of any non-sales based payments received, and low twenties of net sales based sublicense royalties. As of September 30, 2020, the Company has not entered into or incurred any liability from a sublicense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b w:val="1"/>
          <w:bCs w:val="1"/>
          <w:i w:val="1"/>
          <w:iCs w:val="1"/>
          <w:color w:val="auto"/>
        </w:rPr>
        <w:t>Grant Liability</w:t>
      </w:r>
    </w:p>
    <w:p>
      <w:pPr>
        <w:spacing w:after="0" w:line="104"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color w:val="auto"/>
        </w:rPr>
        <w:t>In 2014 and 2015, the Company received $250,000 and $500,000, respectively, from LSDF under the terms of two matching grant award agreements. In connection with the agreements, LSDF retained the right to receive cash payments of 2.0 times the amounts received, or $1.5 million, upon the occurrence of specified triggering events, including:</w:t>
      </w:r>
    </w:p>
    <w:p>
      <w:pPr>
        <w:spacing w:after="0" w:line="56" w:lineRule="exact"/>
        <w:rPr>
          <w:sz w:val="20"/>
          <w:szCs w:val="20"/>
          <w:color w:val="auto"/>
        </w:rPr>
      </w:pPr>
    </w:p>
    <w:p>
      <w:pPr>
        <w:ind w:left="800" w:hanging="225"/>
        <w:spacing w:after="0"/>
        <w:tabs>
          <w:tab w:leader="none" w:pos="800" w:val="left"/>
        </w:tabs>
        <w:numPr>
          <w:ilvl w:val="0"/>
          <w:numId w:val="162"/>
        </w:numPr>
        <w:rPr>
          <w:rFonts w:ascii="Times New Roman" w:cs="Times New Roman" w:eastAsia="Times New Roman" w:hAnsi="Times New Roman"/>
          <w:sz w:val="18"/>
          <w:szCs w:val="18"/>
          <w:color w:val="auto"/>
        </w:rPr>
      </w:pPr>
      <w:r>
        <w:rPr>
          <w:rFonts w:ascii="Arial" w:cs="Arial" w:eastAsia="Arial" w:hAnsi="Arial"/>
          <w:sz w:val="18"/>
          <w:szCs w:val="18"/>
          <w:color w:val="auto"/>
        </w:rPr>
        <w:t>receipt of license revenue, sales revenue, or consideration related to the underlying IP;</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62"/>
        </w:numPr>
        <w:rPr>
          <w:rFonts w:ascii="Times New Roman" w:cs="Times New Roman" w:eastAsia="Times New Roman" w:hAnsi="Times New Roman"/>
          <w:sz w:val="18"/>
          <w:szCs w:val="18"/>
          <w:color w:val="auto"/>
        </w:rPr>
      </w:pPr>
      <w:r>
        <w:rPr>
          <w:rFonts w:ascii="Arial" w:cs="Arial" w:eastAsia="Arial" w:hAnsi="Arial"/>
          <w:sz w:val="18"/>
          <w:szCs w:val="18"/>
          <w:color w:val="auto"/>
        </w:rPr>
        <w:t>transfers the underlying IP without receiving consideration;</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62"/>
        </w:numPr>
        <w:rPr>
          <w:rFonts w:ascii="Times New Roman" w:cs="Times New Roman" w:eastAsia="Times New Roman" w:hAnsi="Times New Roman"/>
          <w:sz w:val="18"/>
          <w:szCs w:val="18"/>
          <w:color w:val="auto"/>
        </w:rPr>
      </w:pPr>
      <w:r>
        <w:rPr>
          <w:rFonts w:ascii="Arial" w:cs="Arial" w:eastAsia="Arial" w:hAnsi="Arial"/>
          <w:sz w:val="18"/>
          <w:szCs w:val="18"/>
          <w:color w:val="auto"/>
        </w:rPr>
        <w:t>relocation of the Company from Washington state;</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62"/>
        </w:numPr>
        <w:rPr>
          <w:rFonts w:ascii="Times New Roman" w:cs="Times New Roman" w:eastAsia="Times New Roman" w:hAnsi="Times New Roman"/>
          <w:sz w:val="18"/>
          <w:szCs w:val="18"/>
          <w:color w:val="auto"/>
        </w:rPr>
      </w:pPr>
      <w:r>
        <w:rPr>
          <w:rFonts w:ascii="Arial" w:cs="Arial" w:eastAsia="Arial" w:hAnsi="Arial"/>
          <w:sz w:val="18"/>
          <w:szCs w:val="18"/>
          <w:color w:val="auto"/>
        </w:rPr>
        <w:t>completion of an initial public offering;</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62"/>
        </w:numPr>
        <w:rPr>
          <w:rFonts w:ascii="Times New Roman" w:cs="Times New Roman" w:eastAsia="Times New Roman" w:hAnsi="Times New Roman"/>
          <w:sz w:val="18"/>
          <w:szCs w:val="18"/>
          <w:color w:val="auto"/>
        </w:rPr>
      </w:pPr>
      <w:r>
        <w:rPr>
          <w:rFonts w:ascii="Arial" w:cs="Arial" w:eastAsia="Arial" w:hAnsi="Arial"/>
          <w:sz w:val="18"/>
          <w:szCs w:val="18"/>
          <w:color w:val="auto"/>
        </w:rPr>
        <w:t>a third-party acquisition of a controlling interest in the Company, and;</w:t>
      </w:r>
    </w:p>
    <w:p>
      <w:pPr>
        <w:spacing w:after="0" w:line="116" w:lineRule="exact"/>
        <w:rPr>
          <w:rFonts w:ascii="Times New Roman" w:cs="Times New Roman" w:eastAsia="Times New Roman" w:hAnsi="Times New Roman"/>
          <w:sz w:val="18"/>
          <w:szCs w:val="18"/>
          <w:color w:val="auto"/>
        </w:rPr>
      </w:pPr>
    </w:p>
    <w:p>
      <w:pPr>
        <w:ind w:left="800" w:hanging="225"/>
        <w:spacing w:after="0"/>
        <w:tabs>
          <w:tab w:leader="none" w:pos="800" w:val="left"/>
        </w:tabs>
        <w:numPr>
          <w:ilvl w:val="0"/>
          <w:numId w:val="162"/>
        </w:numPr>
        <w:rPr>
          <w:rFonts w:ascii="Times New Roman" w:cs="Times New Roman" w:eastAsia="Times New Roman" w:hAnsi="Times New Roman"/>
          <w:sz w:val="18"/>
          <w:szCs w:val="18"/>
          <w:color w:val="auto"/>
        </w:rPr>
      </w:pPr>
      <w:r>
        <w:rPr>
          <w:rFonts w:ascii="Arial" w:cs="Arial" w:eastAsia="Arial" w:hAnsi="Arial"/>
          <w:sz w:val="18"/>
          <w:szCs w:val="18"/>
          <w:color w:val="auto"/>
        </w:rPr>
        <w:t>termination of the agreements.</w:t>
      </w:r>
    </w:p>
    <w:p>
      <w:pPr>
        <w:spacing w:after="0" w:line="224" w:lineRule="exact"/>
        <w:rPr>
          <w:sz w:val="20"/>
          <w:szCs w:val="20"/>
          <w:color w:val="auto"/>
        </w:rPr>
      </w:pPr>
    </w:p>
    <w:p>
      <w:pPr>
        <w:ind w:right="120" w:firstLine="576"/>
        <w:spacing w:after="0" w:line="241" w:lineRule="auto"/>
        <w:rPr>
          <w:sz w:val="20"/>
          <w:szCs w:val="20"/>
          <w:color w:val="auto"/>
        </w:rPr>
      </w:pPr>
      <w:r>
        <w:rPr>
          <w:rFonts w:ascii="Arial" w:cs="Arial" w:eastAsia="Arial" w:hAnsi="Arial"/>
          <w:sz w:val="18"/>
          <w:szCs w:val="18"/>
          <w:color w:val="auto"/>
        </w:rPr>
        <w:t xml:space="preserve">To appropriately capture the economics of this arrangement, the grant liability is accounted for under ASC 825-10,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−Overall</w:t>
      </w:r>
      <w:r>
        <w:rPr>
          <w:rFonts w:ascii="Arial" w:cs="Arial" w:eastAsia="Arial" w:hAnsi="Arial"/>
          <w:sz w:val="18"/>
          <w:szCs w:val="18"/>
          <w:color w:val="auto"/>
        </w:rPr>
        <w:t>. The estimated fair value of the grant liability is reassessed at each balance sheet date, with changes in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reflected in other income (expense), net. To determine the estimated fair value of the grant liability, the Company used a discounted cash flow simulation methodology that assigns probabilities to the timing and likelihood of each triggering event, a discount rate based on market data for securities with similar durations and credit ratings to the Company, and the expected payment amount. The assumptions used to calculate the fair value of the grant liability are subject to significant judgment, and payment may be in an amount different from the liability that the Company estimates. However, total payments under the agreements will not exceed $1.5 million.</w:t>
      </w:r>
    </w:p>
    <w:p>
      <w:pPr>
        <w:spacing w:after="0" w:line="179"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The estimated fair value of the grant liability was $1.0 million as of December 31, 2019. The consummation of the Company’s IPO in September 2020 was a triggering event under the terms of the grant and the liability was remeasured to the pay-off amount of $1.5 million as of September 30, 2020. The changes in the fair value of the liability resulted in expense of approximately $453,000 and $21,000 for the three months ended September 30, 2020 and 2019, respectively, and $464,000 and $51,000 for the nine months ended September 30, 2020 and 2019, respectively, which were included in other income (expense), net in the accompanying condensed consolidated statements of operations and comprehensive loss.</w:t>
      </w:r>
    </w:p>
    <w:p>
      <w:pPr>
        <w:spacing w:after="0" w:line="280" w:lineRule="exact"/>
        <w:rPr>
          <w:sz w:val="20"/>
          <w:szCs w:val="20"/>
          <w:color w:val="auto"/>
        </w:rPr>
      </w:pPr>
    </w:p>
    <w:p>
      <w:pPr>
        <w:ind w:left="580" w:hanging="572"/>
        <w:spacing w:after="0"/>
        <w:tabs>
          <w:tab w:leader="none" w:pos="58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0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Convertible Notes</w:t>
      </w:r>
    </w:p>
    <w:p>
      <w:pPr>
        <w:spacing w:after="0" w:line="104" w:lineRule="exact"/>
        <w:rPr>
          <w:sz w:val="20"/>
          <w:szCs w:val="20"/>
          <w:color w:val="auto"/>
        </w:rPr>
      </w:pPr>
    </w:p>
    <w:p>
      <w:pPr>
        <w:ind w:right="200" w:firstLine="576"/>
        <w:spacing w:after="0"/>
        <w:rPr>
          <w:sz w:val="20"/>
          <w:szCs w:val="20"/>
          <w:color w:val="auto"/>
        </w:rPr>
      </w:pPr>
      <w:r>
        <w:rPr>
          <w:rFonts w:ascii="Arial" w:cs="Arial" w:eastAsia="Arial" w:hAnsi="Arial"/>
          <w:sz w:val="18"/>
          <w:szCs w:val="18"/>
          <w:color w:val="auto"/>
        </w:rPr>
        <w:t>The Company issued unsecured convertible notes with an aggregate principal amount of $1.7 million in 2020. Previously, the Company issued unsecured convertible notes with aggregate principal amounts of $884,000 and $1.3 million and in 2019 and 2018, respectively. The notes accrue interest at a rate of 5% per year and mature in December 2021, unless earlier converted. No principal or interest is payable prior to maturity as the convertible notes and any accrued interest will automatically convert upon a qualified financing event at a conversion price equal to 85% of the price per share of the qualified financing. Holders may also elect to convert their notes to shares of common stock upon the maturity of the notes at the then fair value of common stock. If the Company experiences a change in control, holders may either convert the outstanding principal amount plus any accrued interest into shares of common stock at the then fair value of common stock or may require the Company to repurchase the notes in cash at a price equal to 200% of the outstanding principal amount plus any accrued interest.</w:t>
      </w:r>
    </w:p>
    <w:p>
      <w:pPr>
        <w:spacing w:after="0" w:line="176" w:lineRule="exact"/>
        <w:rPr>
          <w:sz w:val="20"/>
          <w:szCs w:val="20"/>
          <w:color w:val="auto"/>
        </w:rPr>
      </w:pPr>
    </w:p>
    <w:p>
      <w:pPr>
        <w:jc w:val="both"/>
        <w:ind w:right="60" w:firstLine="576"/>
        <w:spacing w:after="0" w:line="255" w:lineRule="auto"/>
        <w:rPr>
          <w:sz w:val="20"/>
          <w:szCs w:val="20"/>
          <w:color w:val="auto"/>
        </w:rPr>
      </w:pPr>
      <w:r>
        <w:rPr>
          <w:rFonts w:ascii="Arial" w:cs="Arial" w:eastAsia="Arial" w:hAnsi="Arial"/>
          <w:sz w:val="18"/>
          <w:szCs w:val="18"/>
          <w:color w:val="auto"/>
        </w:rPr>
        <w:t xml:space="preserve">Certain conversion and redemption features as described above were determined to be an embedded derivative requiring bifurcation and separate accounting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fair value of the embedded derivative was determined using a discounted cash flow simulation methodology that assigns probabilities to the timing and likelihood of each event.</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241" w:name="page242"/>
    <w:bookmarkEnd w:id="241"/>
    <w:p>
      <w:pPr>
        <w:ind w:right="100"/>
        <w:spacing w:after="0" w:line="248" w:lineRule="auto"/>
        <w:rPr>
          <w:sz w:val="20"/>
          <w:szCs w:val="20"/>
          <w:color w:val="auto"/>
        </w:rPr>
      </w:pPr>
      <w:r>
        <w:rPr>
          <w:rFonts w:ascii="Arial" w:cs="Arial" w:eastAsia="Arial" w:hAnsi="Arial"/>
          <w:sz w:val="18"/>
          <w:szCs w:val="18"/>
          <w:color w:val="auto"/>
        </w:rPr>
        <w:t>The discount rate was determined based on market interest rate data for securities with similar durations and credit ratings to the convertible notes. The fair value of the embedded derivative was recorded as a liability with an offsetting amount recorded as a discount on the convertible notes at each issuance. The discount is being amortized to interest expense using the effective interest method over the contractual term of the notes.</w:t>
      </w:r>
    </w:p>
    <w:p>
      <w:pPr>
        <w:spacing w:after="0" w:line="170" w:lineRule="exact"/>
        <w:rPr>
          <w:sz w:val="20"/>
          <w:szCs w:val="20"/>
          <w:color w:val="auto"/>
        </w:rPr>
      </w:pPr>
    </w:p>
    <w:p>
      <w:pPr>
        <w:ind w:right="20" w:firstLine="576"/>
        <w:spacing w:after="0" w:line="276" w:lineRule="auto"/>
        <w:rPr>
          <w:sz w:val="20"/>
          <w:szCs w:val="20"/>
          <w:color w:val="auto"/>
        </w:rPr>
      </w:pPr>
      <w:r>
        <w:rPr>
          <w:rFonts w:ascii="Arial" w:cs="Arial" w:eastAsia="Arial" w:hAnsi="Arial"/>
          <w:sz w:val="18"/>
          <w:szCs w:val="18"/>
          <w:color w:val="auto"/>
        </w:rPr>
        <w:t>In May 2020, the outstanding principal balance of the convertible notes of $3.8 million and accrued interest of $160,000 converted into 512,858 shares of Series B-1 convertible preferred stock.</w:t>
      </w:r>
    </w:p>
    <w:p>
      <w:pPr>
        <w:spacing w:after="0" w:line="145" w:lineRule="exact"/>
        <w:rPr>
          <w:sz w:val="20"/>
          <w:szCs w:val="20"/>
          <w:color w:val="auto"/>
        </w:rPr>
      </w:pPr>
    </w:p>
    <w:p>
      <w:pPr>
        <w:ind w:right="320" w:firstLine="576"/>
        <w:spacing w:after="0" w:line="276" w:lineRule="auto"/>
        <w:rPr>
          <w:sz w:val="20"/>
          <w:szCs w:val="20"/>
          <w:color w:val="auto"/>
        </w:rPr>
      </w:pPr>
      <w:r>
        <w:rPr>
          <w:rFonts w:ascii="Arial" w:cs="Arial" w:eastAsia="Arial" w:hAnsi="Arial"/>
          <w:sz w:val="18"/>
          <w:szCs w:val="18"/>
          <w:color w:val="auto"/>
        </w:rPr>
        <w:t>The excess of the carrying value of the convertible notes and the derivative liability over the fair value of the Series B-1 convertible preferred stock at conversion resulted in a gain upon extinguishment of $199,000.</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w:t>
      </w:r>
    </w:p>
    <w:p>
      <w:pPr>
        <w:spacing w:after="0" w:line="104" w:lineRule="exact"/>
        <w:rPr>
          <w:sz w:val="20"/>
          <w:szCs w:val="20"/>
          <w:color w:val="auto"/>
        </w:rPr>
      </w:pPr>
    </w:p>
    <w:p>
      <w:pPr>
        <w:ind w:right="240" w:firstLine="576"/>
        <w:spacing w:after="0" w:line="243" w:lineRule="auto"/>
        <w:rPr>
          <w:sz w:val="20"/>
          <w:szCs w:val="20"/>
          <w:color w:val="auto"/>
        </w:rPr>
      </w:pPr>
      <w:r>
        <w:rPr>
          <w:rFonts w:ascii="Arial" w:cs="Arial" w:eastAsia="Arial" w:hAnsi="Arial"/>
          <w:sz w:val="18"/>
          <w:szCs w:val="18"/>
          <w:color w:val="auto"/>
        </w:rPr>
        <w:t>The Company received a loan of $215,000 from the U.S. Small Business Administration Paycheck Protection Program (“PPP”) in April 2020. The PPP loans are intended to assist companies impacted by the novel coronavirus disease (“COVID-19”) pandemic to fund certain types of expenditures, including payroll costs, rent and utility payments. PPP loans and any accrued interest may be forgiven to the extent that all employees are retained, proceeds are used within eight weeks of receipt, and if at least 75% of the loan amount utilized was for payroll costs. The loan bears interest at a rate of 1%, and any portion of the loan not forgiven and any accrued interest thereon must be repaid within two years. The loan was fully repaid in June 2020.</w:t>
      </w:r>
    </w:p>
    <w:p>
      <w:pPr>
        <w:spacing w:after="0" w:line="280" w:lineRule="exact"/>
        <w:rPr>
          <w:sz w:val="20"/>
          <w:szCs w:val="20"/>
          <w:color w:val="auto"/>
        </w:rPr>
      </w:pPr>
    </w:p>
    <w:p>
      <w:pPr>
        <w:ind w:left="580" w:hanging="572"/>
        <w:spacing w:after="0"/>
        <w:tabs>
          <w:tab w:leader="none" w:pos="58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0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Operating Leases</w:t>
      </w:r>
    </w:p>
    <w:p>
      <w:pPr>
        <w:spacing w:after="0" w:line="104" w:lineRule="exact"/>
        <w:rPr>
          <w:sz w:val="20"/>
          <w:szCs w:val="20"/>
          <w:color w:val="auto"/>
        </w:rPr>
      </w:pPr>
    </w:p>
    <w:p>
      <w:pPr>
        <w:ind w:right="120" w:firstLine="576"/>
        <w:spacing w:after="0" w:line="241" w:lineRule="auto"/>
        <w:rPr>
          <w:sz w:val="20"/>
          <w:szCs w:val="20"/>
          <w:color w:val="auto"/>
        </w:rPr>
      </w:pPr>
      <w:r>
        <w:rPr>
          <w:rFonts w:ascii="Arial" w:cs="Arial" w:eastAsia="Arial" w:hAnsi="Arial"/>
          <w:sz w:val="18"/>
          <w:szCs w:val="18"/>
          <w:color w:val="auto"/>
        </w:rPr>
        <w:t>The Company has an operating lease for laboratory and office facilities in Bothell, Washington that expires in August 2027. The initial term of the lease is seven years and the Company has an option to extend the lease for an additional five years that it is not reasonably certain to exercise. As of September 30, 2020, the remaining lease term for the Company’s operating lease was 6.9 years. The Company discounted future operating lease payments using an incremental borrowing rate of 8.2%. Additionally, the Company has a lease agreement for laboratory and office facilities at the University of Washington in Seattle, Washington with an initial term of 12 months for which the Company recognizes expense on a straight-line basis within operating expenses. As of September 30, 2020, the Company was not party to any finance leases.</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reconciles the Company’s undiscounted operating lease cash flows to its operating lease liability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4"/>
                <w:szCs w:val="14"/>
                <w:color w:val="auto"/>
              </w:rPr>
            </w:pPr>
          </w:p>
        </w:tc>
      </w:tr>
      <w:tr>
        <w:trPr>
          <w:trHeight w:val="175"/>
        </w:trPr>
        <w:tc>
          <w:tcPr>
            <w:tcW w:w="50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5"/>
                <w:szCs w:val="15"/>
                <w:color w:val="auto"/>
              </w:rPr>
            </w:pPr>
          </w:p>
        </w:tc>
      </w:tr>
      <w:tr>
        <w:trPr>
          <w:trHeight w:val="177"/>
        </w:trPr>
        <w:tc>
          <w:tcPr>
            <w:tcW w:w="5060" w:type="dxa"/>
            <w:vAlign w:val="bottom"/>
            <w:tcBorders>
              <w:bottom w:val="single" w:sz="8" w:color="CFF0FC"/>
            </w:tcBorders>
          </w:tcPr>
          <w:p>
            <w:pPr>
              <w:spacing w:after="0"/>
              <w:rPr>
                <w:sz w:val="15"/>
                <w:szCs w:val="15"/>
                <w:color w:val="auto"/>
              </w:rPr>
            </w:pPr>
          </w:p>
        </w:tc>
        <w:tc>
          <w:tcPr>
            <w:tcW w:w="3580" w:type="dxa"/>
            <w:vAlign w:val="bottom"/>
            <w:tcBorders>
              <w:bottom w:val="single" w:sz="8" w:color="CFF0FC"/>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center"/>
              <w:ind w:right="3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Remaining 2020</w:t>
            </w:r>
          </w:p>
        </w:tc>
        <w:tc>
          <w:tcPr>
            <w:tcW w:w="358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2021</w:t>
            </w:r>
          </w:p>
        </w:tc>
        <w:tc>
          <w:tcPr>
            <w:tcW w:w="3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5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2023</w:t>
            </w:r>
          </w:p>
        </w:tc>
        <w:tc>
          <w:tcPr>
            <w:tcW w:w="3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5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 and thereafter</w:t>
            </w:r>
          </w:p>
        </w:tc>
        <w:tc>
          <w:tcPr>
            <w:tcW w:w="358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lease payments</w:t>
            </w:r>
          </w:p>
        </w:tc>
        <w:tc>
          <w:tcPr>
            <w:tcW w:w="35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1,820</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Present value adjustment for minimum lease commitments</w:t>
            </w:r>
          </w:p>
        </w:tc>
        <w:tc>
          <w:tcPr>
            <w:tcW w:w="3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80" w:type="dxa"/>
            <w:vAlign w:val="bottom"/>
            <w:gridSpan w:val="2"/>
          </w:tcPr>
          <w:p>
            <w:pPr>
              <w:jc w:val="right"/>
              <w:ind w:right="60"/>
              <w:spacing w:after="0"/>
              <w:rPr>
                <w:sz w:val="20"/>
                <w:szCs w:val="20"/>
                <w:color w:val="auto"/>
              </w:rPr>
            </w:pPr>
            <w:r>
              <w:rPr>
                <w:rFonts w:ascii="Arial" w:cs="Arial" w:eastAsia="Arial" w:hAnsi="Arial"/>
                <w:sz w:val="18"/>
                <w:szCs w:val="18"/>
                <w:color w:val="auto"/>
              </w:rPr>
              <w:t>(457)</w:t>
            </w:r>
          </w:p>
        </w:tc>
        <w:tc>
          <w:tcPr>
            <w:tcW w:w="20" w:type="dxa"/>
            <w:vAlign w:val="bottom"/>
          </w:tcPr>
          <w:p>
            <w:pPr>
              <w:spacing w:after="0"/>
              <w:rPr>
                <w:sz w:val="18"/>
                <w:szCs w:val="18"/>
                <w:color w:val="auto"/>
              </w:rPr>
            </w:pPr>
          </w:p>
        </w:tc>
      </w:tr>
      <w:tr>
        <w:trPr>
          <w:trHeight w:val="216"/>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Tenant improvement allowance receivable</w:t>
            </w:r>
          </w:p>
        </w:tc>
        <w:tc>
          <w:tcPr>
            <w:tcW w:w="35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(391)</w:t>
            </w:r>
          </w:p>
        </w:tc>
        <w:tc>
          <w:tcPr>
            <w:tcW w:w="20" w:type="dxa"/>
            <w:vAlign w:val="bottom"/>
          </w:tcPr>
          <w:p>
            <w:pPr>
              <w:spacing w:after="0"/>
              <w:rPr>
                <w:sz w:val="18"/>
                <w:szCs w:val="18"/>
                <w:color w:val="auto"/>
              </w:rPr>
            </w:pPr>
          </w:p>
        </w:tc>
      </w:tr>
      <w:tr>
        <w:trPr>
          <w:trHeight w:val="209"/>
        </w:trPr>
        <w:tc>
          <w:tcPr>
            <w:tcW w:w="5060" w:type="dxa"/>
            <w:vAlign w:val="bottom"/>
          </w:tcPr>
          <w:p>
            <w:pPr>
              <w:ind w:left="260"/>
              <w:spacing w:after="0"/>
              <w:rPr>
                <w:sz w:val="20"/>
                <w:szCs w:val="20"/>
                <w:color w:val="auto"/>
              </w:rPr>
            </w:pPr>
            <w:r>
              <w:rPr>
                <w:rFonts w:ascii="Arial" w:cs="Arial" w:eastAsia="Arial" w:hAnsi="Arial"/>
                <w:sz w:val="18"/>
                <w:szCs w:val="18"/>
                <w:color w:val="auto"/>
              </w:rPr>
              <w:t>Net lease liability</w:t>
            </w:r>
          </w:p>
        </w:tc>
        <w:tc>
          <w:tcPr>
            <w:tcW w:w="35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3"/>
        </w:trPr>
        <w:tc>
          <w:tcPr>
            <w:tcW w:w="5060" w:type="dxa"/>
            <w:vAlign w:val="bottom"/>
          </w:tcPr>
          <w:p>
            <w:pPr>
              <w:spacing w:after="0"/>
              <w:rPr>
                <w:sz w:val="24"/>
                <w:szCs w:val="24"/>
                <w:color w:val="auto"/>
              </w:rPr>
            </w:pPr>
          </w:p>
        </w:tc>
        <w:tc>
          <w:tcPr>
            <w:tcW w:w="4000" w:type="dxa"/>
            <w:vAlign w:val="bottom"/>
            <w:gridSpan w:val="2"/>
          </w:tcPr>
          <w:p>
            <w:pPr>
              <w:jc w:val="right"/>
              <w:ind w:right="3170"/>
              <w:spacing w:after="0"/>
              <w:rPr>
                <w:sz w:val="20"/>
                <w:szCs w:val="20"/>
                <w:color w:val="auto"/>
              </w:rPr>
            </w:pPr>
            <w:r>
              <w:rPr>
                <w:rFonts w:ascii="Arial" w:cs="Arial" w:eastAsia="Arial" w:hAnsi="Arial"/>
                <w:sz w:val="18"/>
                <w:szCs w:val="18"/>
                <w:color w:val="auto"/>
              </w:rPr>
              <w:t>F-42</w:t>
            </w: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5060" w:type="dxa"/>
            <w:vAlign w:val="bottom"/>
            <w:tcBorders>
              <w:bottom w:val="single" w:sz="8" w:color="9A9A9A"/>
            </w:tcBorders>
          </w:tcPr>
          <w:p>
            <w:pPr>
              <w:spacing w:after="0"/>
              <w:rPr>
                <w:sz w:val="8"/>
                <w:szCs w:val="8"/>
                <w:color w:val="auto"/>
              </w:rPr>
            </w:pPr>
          </w:p>
        </w:tc>
        <w:tc>
          <w:tcPr>
            <w:tcW w:w="35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0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76" w:right="319" w:bottom="1440" w:gutter="0" w:footer="0" w:header="0"/>
        </w:sectPr>
      </w:pPr>
    </w:p>
    <w:bookmarkStart w:id="242" w:name="page243"/>
    <w:bookmarkEnd w:id="242"/>
    <w:p>
      <w:pPr>
        <w:ind w:right="40" w:firstLine="576"/>
        <w:spacing w:after="0" w:line="255" w:lineRule="auto"/>
        <w:rPr>
          <w:sz w:val="20"/>
          <w:szCs w:val="20"/>
          <w:color w:val="auto"/>
        </w:rPr>
      </w:pPr>
      <w:r>
        <w:rPr>
          <w:rFonts w:ascii="Arial" w:cs="Arial" w:eastAsia="Arial" w:hAnsi="Arial"/>
          <w:sz w:val="18"/>
          <w:szCs w:val="18"/>
          <w:color w:val="auto"/>
        </w:rPr>
        <w:t>Operating lease expense was $34,000 for the three and nine months ended September 30, 2020. The Company did not incur variable lease expense for operating leases during the three and nine months ended September 30, 2020. Rent expense recognized for short term leases was $18,000 and $57,000 for the three and nine months ended September 30, 2020, respectively.</w:t>
      </w:r>
    </w:p>
    <w:p>
      <w:pPr>
        <w:spacing w:after="0" w:line="164" w:lineRule="exact"/>
        <w:rPr>
          <w:sz w:val="20"/>
          <w:szCs w:val="20"/>
          <w:color w:val="auto"/>
        </w:rPr>
      </w:pPr>
    </w:p>
    <w:p>
      <w:pPr>
        <w:ind w:right="740" w:firstLine="576"/>
        <w:spacing w:after="0" w:line="276" w:lineRule="auto"/>
        <w:rPr>
          <w:sz w:val="20"/>
          <w:szCs w:val="20"/>
          <w:color w:val="auto"/>
        </w:rPr>
      </w:pPr>
      <w:r>
        <w:rPr>
          <w:rFonts w:ascii="Arial" w:cs="Arial" w:eastAsia="Arial" w:hAnsi="Arial"/>
          <w:sz w:val="18"/>
          <w:szCs w:val="18"/>
          <w:color w:val="auto"/>
        </w:rPr>
        <w:t>Cash paid for amounts included in the measurement of the lease liability for the nine months ended September 30, 2020 was $21,000.</w:t>
      </w:r>
    </w:p>
    <w:p>
      <w:pPr>
        <w:spacing w:after="0" w:line="278" w:lineRule="exact"/>
        <w:rPr>
          <w:sz w:val="20"/>
          <w:szCs w:val="20"/>
          <w:color w:val="auto"/>
        </w:rPr>
      </w:pPr>
    </w:p>
    <w:p>
      <w:pPr>
        <w:ind w:left="580" w:hanging="572"/>
        <w:spacing w:after="0"/>
        <w:tabs>
          <w:tab w:leader="none" w:pos="58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19"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Convertible preferred stock as of December 31, 2019 consisted of the following (in thousands, except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Aggregate</w:t>
            </w:r>
          </w:p>
        </w:tc>
      </w:tr>
      <w:tr>
        <w:trPr>
          <w:trHeight w:val="175"/>
        </w:trPr>
        <w:tc>
          <w:tcPr>
            <w:tcW w:w="4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Convertible</w:t>
            </w: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w:t>
            </w: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Issued and</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Liquidation</w:t>
            </w:r>
          </w:p>
        </w:tc>
      </w:tr>
      <w:tr>
        <w:trPr>
          <w:trHeight w:val="177"/>
        </w:trPr>
        <w:tc>
          <w:tcPr>
            <w:tcW w:w="4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Preferred Stock</w:t>
            </w: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Authorized</w:t>
            </w: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5"/>
                <w:szCs w:val="15"/>
                <w:color w:val="auto"/>
              </w:rPr>
            </w:pPr>
          </w:p>
        </w:tc>
        <w:tc>
          <w:tcPr>
            <w:tcW w:w="1440" w:type="dxa"/>
            <w:vAlign w:val="bottom"/>
          </w:tcPr>
          <w:p>
            <w:pPr>
              <w:jc w:val="right"/>
              <w:ind w:right="255"/>
              <w:spacing w:after="0"/>
              <w:rPr>
                <w:sz w:val="20"/>
                <w:szCs w:val="20"/>
                <w:color w:val="auto"/>
              </w:rPr>
            </w:pPr>
            <w:r>
              <w:rPr>
                <w:rFonts w:ascii="Arial" w:cs="Arial" w:eastAsia="Arial" w:hAnsi="Arial"/>
                <w:sz w:val="14"/>
                <w:szCs w:val="14"/>
                <w:b w:val="1"/>
                <w:bCs w:val="1"/>
                <w:color w:val="auto"/>
              </w:rPr>
              <w:t>Carrying Value</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Preference</w:t>
            </w:r>
          </w:p>
        </w:tc>
      </w:tr>
      <w:tr>
        <w:trPr>
          <w:trHeight w:val="209"/>
        </w:trPr>
        <w:tc>
          <w:tcPr>
            <w:tcW w:w="4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Series A</w:t>
            </w:r>
          </w:p>
        </w:tc>
        <w:tc>
          <w:tcPr>
            <w:tcW w:w="18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1,714,963</w:t>
            </w:r>
          </w:p>
        </w:tc>
        <w:tc>
          <w:tcPr>
            <w:tcW w:w="28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1,534,885</w:t>
            </w: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15,163</w:t>
            </w:r>
          </w:p>
        </w:tc>
        <w:tc>
          <w:tcPr>
            <w:tcW w:w="2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4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Series A-1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1,082,501</w:t>
            </w:r>
          </w:p>
        </w:tc>
        <w:tc>
          <w:tcPr>
            <w:tcW w:w="280" w:type="dxa"/>
            <w:vAlign w:val="bottom"/>
            <w:tcBorders>
              <w:bottom w:val="single" w:sz="8" w:color="CFF0FC"/>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1,082,501</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120" w:type="dxa"/>
            <w:vAlign w:val="bottom"/>
            <w:tcBorders>
              <w:bottom w:val="single" w:sz="8" w:color="CFF0FC"/>
            </w:tcBorders>
          </w:tcPr>
          <w:p>
            <w:pPr>
              <w:spacing w:after="0"/>
              <w:rPr>
                <w:sz w:val="18"/>
                <w:szCs w:val="18"/>
                <w:color w:val="auto"/>
              </w:rPr>
            </w:pPr>
          </w:p>
        </w:tc>
      </w:tr>
      <w:tr>
        <w:trPr>
          <w:trHeight w:val="210"/>
        </w:trPr>
        <w:tc>
          <w:tcPr>
            <w:tcW w:w="472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2,797,464</w:t>
            </w:r>
          </w:p>
        </w:tc>
        <w:tc>
          <w:tcPr>
            <w:tcW w:w="28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17,051</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0" w:lineRule="exact"/>
        <w:rPr>
          <w:sz w:val="20"/>
          <w:szCs w:val="20"/>
          <w:color w:val="auto"/>
        </w:rPr>
      </w:pPr>
    </w:p>
    <w:p>
      <w:pPr>
        <w:ind w:right="60" w:firstLine="576"/>
        <w:spacing w:after="0" w:line="241" w:lineRule="auto"/>
        <w:rPr>
          <w:sz w:val="20"/>
          <w:szCs w:val="20"/>
          <w:color w:val="auto"/>
        </w:rPr>
      </w:pPr>
      <w:r>
        <w:rPr>
          <w:rFonts w:ascii="Arial" w:cs="Arial" w:eastAsia="Arial" w:hAnsi="Arial"/>
          <w:sz w:val="18"/>
          <w:szCs w:val="18"/>
          <w:color w:val="212121"/>
        </w:rPr>
        <w:t>In May and June 2020, the Company issued an aggregate of 9,372,765 shares of its Series B convertible preferred stock at a purchase price of $9.12 per share for aggregate proceeds of $ 81.6 million, net of offering costs. The Company issued warrants to purchase 2,343,168 shares of its common stock, of which 688,067 were exercised concurrently with the shares of Series B convertible preferred stock issuance, for net proceeds of $55,000. In addition, the Company issued warrants to purchase 127,481 shares of its Series B convertible preferred stock at a purchase price of $9.12 per share. The Series B convertible preferred stock financing triggered the automatic conversion of the Company’s outstanding convertible promissory notes into 512,858 shares of Series B-1 convertible preferred stock based on a price of $7.752 per share (85% of the $9.12 original issuance price of the Series B convertible preferred stock).</w:t>
      </w:r>
    </w:p>
    <w:p>
      <w:pPr>
        <w:spacing w:after="0" w:line="179" w:lineRule="exact"/>
        <w:rPr>
          <w:sz w:val="20"/>
          <w:szCs w:val="20"/>
          <w:color w:val="auto"/>
        </w:rPr>
      </w:pPr>
    </w:p>
    <w:p>
      <w:pPr>
        <w:ind w:right="260" w:firstLine="576"/>
        <w:spacing w:after="0" w:line="276" w:lineRule="auto"/>
        <w:rPr>
          <w:sz w:val="20"/>
          <w:szCs w:val="20"/>
          <w:color w:val="auto"/>
        </w:rPr>
      </w:pPr>
      <w:r>
        <w:rPr>
          <w:rFonts w:ascii="Arial" w:cs="Arial" w:eastAsia="Arial" w:hAnsi="Arial"/>
          <w:sz w:val="18"/>
          <w:szCs w:val="18"/>
          <w:color w:val="212121"/>
        </w:rPr>
        <w:t>In September 2020, upon the consummation of the Company’s IPO, all outstanding shares of convertible preferred stock converted into 12,503,009 shares of common stock.</w:t>
      </w:r>
    </w:p>
    <w:p>
      <w:pPr>
        <w:spacing w:after="0" w:line="251" w:lineRule="exact"/>
        <w:rPr>
          <w:sz w:val="20"/>
          <w:szCs w:val="20"/>
          <w:color w:val="auto"/>
        </w:rPr>
      </w:pPr>
    </w:p>
    <w:p>
      <w:pPr>
        <w:ind w:left="580" w:hanging="572"/>
        <w:spacing w:after="0"/>
        <w:tabs>
          <w:tab w:leader="none" w:pos="58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06" w:lineRule="exact"/>
        <w:rPr>
          <w:sz w:val="20"/>
          <w:szCs w:val="20"/>
          <w:color w:val="auto"/>
        </w:rPr>
      </w:pPr>
    </w:p>
    <w:p>
      <w:pPr>
        <w:ind w:right="120" w:firstLine="576"/>
        <w:spacing w:after="0" w:line="255" w:lineRule="auto"/>
        <w:rPr>
          <w:sz w:val="20"/>
          <w:szCs w:val="20"/>
          <w:color w:val="auto"/>
        </w:rPr>
      </w:pPr>
      <w:r>
        <w:rPr>
          <w:rFonts w:ascii="Arial" w:cs="Arial" w:eastAsia="Arial" w:hAnsi="Arial"/>
          <w:sz w:val="18"/>
          <w:szCs w:val="18"/>
          <w:color w:val="auto"/>
        </w:rPr>
        <w:t>Each share of common stock has the right to one vote. The holders of common stock are also entitled to receive dividends whenever funds are legally available and if declared by the board of directors, subject to the prior rights of holders of all classes of stock outstanding having priority rights as to dividends. No cash dividends have been declared by the board of directors from inception.</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has reserved the following shares of common stock for future issuance, on an as-converted basis,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As of</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4"/>
                <w:szCs w:val="14"/>
                <w:color w:val="auto"/>
              </w:rPr>
            </w:pPr>
          </w:p>
        </w:tc>
      </w:tr>
      <w:tr>
        <w:trPr>
          <w:trHeight w:val="162"/>
        </w:trPr>
        <w:tc>
          <w:tcPr>
            <w:tcW w:w="50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w:t>
            </w: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r>
      <w:tr>
        <w:trPr>
          <w:trHeight w:val="177"/>
        </w:trPr>
        <w:tc>
          <w:tcPr>
            <w:tcW w:w="5080" w:type="dxa"/>
            <w:vAlign w:val="bottom"/>
          </w:tcPr>
          <w:p>
            <w:pPr>
              <w:spacing w:after="0"/>
              <w:rPr>
                <w:sz w:val="15"/>
                <w:szCs w:val="15"/>
                <w:color w:val="auto"/>
              </w:rPr>
            </w:pPr>
          </w:p>
        </w:tc>
        <w:tc>
          <w:tcPr>
            <w:tcW w:w="4200" w:type="dxa"/>
            <w:vAlign w:val="bottom"/>
            <w:gridSpan w:val="2"/>
          </w:tcPr>
          <w:p>
            <w:pPr>
              <w:jc w:val="center"/>
              <w:ind w:left="2554"/>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264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28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Stock options outstanding</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1,514,770</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1,927,428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3"/>
        </w:trPr>
        <w:tc>
          <w:tcPr>
            <w:tcW w:w="508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Shares available for future grant under the 2020 Equity</w:t>
            </w:r>
          </w:p>
        </w:tc>
        <w:tc>
          <w:tcPr>
            <w:tcW w:w="264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r>
      <w:tr>
        <w:trPr>
          <w:trHeight w:val="225"/>
        </w:trPr>
        <w:tc>
          <w:tcPr>
            <w:tcW w:w="50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Incentive Plan</w:t>
            </w:r>
          </w:p>
        </w:tc>
        <w:tc>
          <w:tcPr>
            <w:tcW w:w="4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399,737</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3,790,279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193"/>
        </w:trPr>
        <w:tc>
          <w:tcPr>
            <w:tcW w:w="5080" w:type="dxa"/>
            <w:vAlign w:val="bottom"/>
          </w:tcPr>
          <w:p>
            <w:pPr>
              <w:spacing w:after="0" w:line="193" w:lineRule="exact"/>
              <w:rPr>
                <w:sz w:val="20"/>
                <w:szCs w:val="20"/>
                <w:color w:val="auto"/>
              </w:rPr>
            </w:pPr>
            <w:r>
              <w:rPr>
                <w:rFonts w:ascii="Arial" w:cs="Arial" w:eastAsia="Arial" w:hAnsi="Arial"/>
                <w:sz w:val="18"/>
                <w:szCs w:val="18"/>
                <w:color w:val="auto"/>
              </w:rPr>
              <w:t>Shares available for future grant under the Employee Stock</w:t>
            </w:r>
          </w:p>
        </w:tc>
        <w:tc>
          <w:tcPr>
            <w:tcW w:w="26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5"/>
        </w:trPr>
        <w:tc>
          <w:tcPr>
            <w:tcW w:w="5080" w:type="dxa"/>
            <w:vAlign w:val="bottom"/>
          </w:tcPr>
          <w:p>
            <w:pPr>
              <w:ind w:left="160"/>
              <w:spacing w:after="0"/>
              <w:rPr>
                <w:sz w:val="20"/>
                <w:szCs w:val="20"/>
                <w:color w:val="auto"/>
              </w:rPr>
            </w:pPr>
            <w:r>
              <w:rPr>
                <w:rFonts w:ascii="Arial" w:cs="Arial" w:eastAsia="Arial" w:hAnsi="Arial"/>
                <w:sz w:val="18"/>
                <w:szCs w:val="18"/>
                <w:color w:val="auto"/>
              </w:rPr>
              <w:t>Purchase Plan</w:t>
            </w:r>
          </w:p>
        </w:tc>
        <w:tc>
          <w:tcPr>
            <w:tcW w:w="2640" w:type="dxa"/>
            <w:vAlign w:val="bottom"/>
          </w:tcPr>
          <w:p>
            <w:pPr>
              <w:spacing w:after="0"/>
              <w:rPr>
                <w:sz w:val="19"/>
                <w:szCs w:val="19"/>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323,000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4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3,310</w:t>
            </w:r>
          </w:p>
        </w:tc>
        <w:tc>
          <w:tcPr>
            <w:tcW w:w="2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5080" w:type="dxa"/>
            <w:vAlign w:val="bottom"/>
          </w:tcPr>
          <w:p>
            <w:pPr>
              <w:ind w:left="260"/>
              <w:spacing w:after="0"/>
              <w:rPr>
                <w:sz w:val="20"/>
                <w:szCs w:val="20"/>
                <w:color w:val="auto"/>
              </w:rPr>
            </w:pPr>
            <w:r>
              <w:rPr>
                <w:rFonts w:ascii="Arial" w:cs="Arial" w:eastAsia="Arial" w:hAnsi="Arial"/>
                <w:sz w:val="18"/>
                <w:szCs w:val="18"/>
                <w:color w:val="auto"/>
              </w:rPr>
              <w:t>Total</w:t>
            </w:r>
          </w:p>
        </w:tc>
        <w:tc>
          <w:tcPr>
            <w:tcW w:w="264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4,535,203</w:t>
            </w:r>
          </w:p>
        </w:tc>
        <w:tc>
          <w:tcPr>
            <w:tcW w:w="28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6,040,707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6"/>
        </w:trPr>
        <w:tc>
          <w:tcPr>
            <w:tcW w:w="5080" w:type="dxa"/>
            <w:vAlign w:val="bottom"/>
          </w:tcPr>
          <w:p>
            <w:pPr>
              <w:spacing w:after="0"/>
              <w:rPr>
                <w:sz w:val="24"/>
                <w:szCs w:val="24"/>
                <w:color w:val="auto"/>
              </w:rPr>
            </w:pPr>
          </w:p>
        </w:tc>
        <w:tc>
          <w:tcPr>
            <w:tcW w:w="4480" w:type="dxa"/>
            <w:vAlign w:val="bottom"/>
            <w:gridSpan w:val="3"/>
          </w:tcPr>
          <w:p>
            <w:pPr>
              <w:ind w:left="360"/>
              <w:spacing w:after="0"/>
              <w:rPr>
                <w:sz w:val="20"/>
                <w:szCs w:val="20"/>
                <w:color w:val="auto"/>
              </w:rPr>
            </w:pPr>
            <w:r>
              <w:rPr>
                <w:rFonts w:ascii="Arial" w:cs="Arial" w:eastAsia="Arial" w:hAnsi="Arial"/>
                <w:sz w:val="18"/>
                <w:szCs w:val="18"/>
                <w:color w:val="auto"/>
              </w:rPr>
              <w:t>F-43</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5080" w:type="dxa"/>
            <w:vAlign w:val="bottom"/>
            <w:tcBorders>
              <w:bottom w:val="single" w:sz="8" w:color="9A9A9A"/>
            </w:tcBorders>
          </w:tcPr>
          <w:p>
            <w:pPr>
              <w:spacing w:after="0"/>
              <w:rPr>
                <w:sz w:val="8"/>
                <w:szCs w:val="8"/>
                <w:color w:val="auto"/>
              </w:rPr>
            </w:pPr>
          </w:p>
        </w:tc>
        <w:tc>
          <w:tcPr>
            <w:tcW w:w="264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00" w:right="319" w:bottom="1440" w:gutter="0" w:footer="0" w:header="0"/>
        </w:sectPr>
      </w:pPr>
    </w:p>
    <w:bookmarkStart w:id="243" w:name="page244"/>
    <w:bookmarkEnd w:id="243"/>
    <w:p>
      <w:pPr>
        <w:ind w:left="580" w:hanging="572"/>
        <w:spacing w:after="0"/>
        <w:tabs>
          <w:tab w:leader="none" w:pos="58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81" w:lineRule="exact"/>
        <w:rPr>
          <w:rFonts w:ascii="Arial" w:cs="Arial" w:eastAsia="Arial" w:hAnsi="Arial"/>
          <w:sz w:val="18"/>
          <w:szCs w:val="18"/>
          <w:b w:val="1"/>
          <w:bCs w:val="1"/>
          <w:color w:val="auto"/>
        </w:rPr>
      </w:pPr>
    </w:p>
    <w:p>
      <w:pPr>
        <w:ind w:left="580"/>
        <w:spacing w:after="0" w:line="207" w:lineRule="exact"/>
        <w:rPr>
          <w:rFonts w:ascii="Arial" w:cs="Arial" w:eastAsia="Arial" w:hAnsi="Arial"/>
          <w:sz w:val="18"/>
          <w:szCs w:val="18"/>
          <w:b w:val="1"/>
          <w:bCs w:val="1"/>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was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580" w:type="dxa"/>
            <w:vAlign w:val="bottom"/>
            <w:gridSpan w:val="4"/>
          </w:tcPr>
          <w:p>
            <w:pPr>
              <w:jc w:val="right"/>
              <w:ind w:right="296"/>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5"/>
          </w:tcPr>
          <w:p>
            <w:pPr>
              <w:ind w:left="500"/>
              <w:spacing w:after="0"/>
              <w:rPr>
                <w:sz w:val="20"/>
                <w:szCs w:val="20"/>
                <w:color w:val="auto"/>
              </w:rPr>
            </w:pPr>
            <w:r>
              <w:rPr>
                <w:rFonts w:ascii="Arial" w:cs="Arial" w:eastAsia="Arial" w:hAnsi="Arial"/>
                <w:sz w:val="14"/>
                <w:szCs w:val="14"/>
                <w:b w:val="1"/>
                <w:bCs w:val="1"/>
                <w:color w:val="auto"/>
              </w:rPr>
              <w:t>Nine Months Ended</w:t>
            </w:r>
          </w:p>
        </w:tc>
      </w:tr>
      <w:tr>
        <w:trPr>
          <w:trHeight w:val="177"/>
        </w:trPr>
        <w:tc>
          <w:tcPr>
            <w:tcW w:w="3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3860" w:type="dxa"/>
            <w:vAlign w:val="bottom"/>
            <w:tcBorders>
              <w:bottom w:val="single" w:sz="8" w:color="CFF0FC"/>
            </w:tcBorders>
          </w:tcPr>
          <w:p>
            <w:pPr>
              <w:spacing w:after="0"/>
              <w:rPr>
                <w:sz w:val="14"/>
                <w:szCs w:val="14"/>
                <w:color w:val="auto"/>
              </w:rPr>
            </w:pPr>
          </w:p>
        </w:tc>
        <w:tc>
          <w:tcPr>
            <w:tcW w:w="104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0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742"/>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FF0FC"/>
          </w:tcPr>
          <w:p>
            <w:pPr>
              <w:spacing w:after="0"/>
              <w:rPr>
                <w:sz w:val="18"/>
                <w:szCs w:val="18"/>
                <w:color w:val="auto"/>
              </w:rPr>
            </w:pPr>
          </w:p>
        </w:tc>
      </w:tr>
      <w:tr>
        <w:trPr>
          <w:trHeight w:val="216"/>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6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6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FF0FC"/>
            </w:tcBorders>
          </w:tcPr>
          <w:p>
            <w:pPr>
              <w:spacing w:after="0"/>
              <w:rPr>
                <w:sz w:val="18"/>
                <w:szCs w:val="18"/>
                <w:color w:val="auto"/>
              </w:rPr>
            </w:pPr>
          </w:p>
        </w:tc>
      </w:tr>
      <w:tr>
        <w:trPr>
          <w:trHeight w:val="187"/>
        </w:trPr>
        <w:tc>
          <w:tcPr>
            <w:tcW w:w="3860" w:type="dxa"/>
            <w:vAlign w:val="bottom"/>
            <w:shd w:val="clear" w:color="auto" w:fill="CFF0FC"/>
          </w:tcPr>
          <w:p>
            <w:pPr>
              <w:ind w:left="260"/>
              <w:spacing w:after="0" w:line="187" w:lineRule="exact"/>
              <w:rPr>
                <w:sz w:val="20"/>
                <w:szCs w:val="20"/>
                <w:color w:val="auto"/>
              </w:rPr>
            </w:pPr>
            <w:r>
              <w:rPr>
                <w:rFonts w:ascii="Arial" w:cs="Arial" w:eastAsia="Arial" w:hAnsi="Arial"/>
                <w:sz w:val="18"/>
                <w:szCs w:val="18"/>
                <w:color w:val="auto"/>
              </w:rPr>
              <w:t>Total stock-based compensation</w:t>
            </w:r>
          </w:p>
        </w:tc>
        <w:tc>
          <w:tcPr>
            <w:tcW w:w="10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25"/>
        </w:trPr>
        <w:tc>
          <w:tcPr>
            <w:tcW w:w="3860" w:type="dxa"/>
            <w:vAlign w:val="bottom"/>
            <w:shd w:val="clear" w:color="auto" w:fill="CFF0FC"/>
          </w:tcPr>
          <w:p>
            <w:pPr>
              <w:ind w:left="400"/>
              <w:spacing w:after="0"/>
              <w:rPr>
                <w:sz w:val="20"/>
                <w:szCs w:val="20"/>
                <w:color w:val="auto"/>
              </w:rPr>
            </w:pPr>
            <w:r>
              <w:rPr>
                <w:rFonts w:ascii="Arial" w:cs="Arial" w:eastAsia="Arial" w:hAnsi="Arial"/>
                <w:sz w:val="18"/>
                <w:szCs w:val="18"/>
                <w:color w:val="auto"/>
              </w:rPr>
              <w:t>expense</w:t>
            </w:r>
          </w:p>
        </w:tc>
        <w:tc>
          <w:tcPr>
            <w:tcW w:w="1960" w:type="dxa"/>
            <w:vAlign w:val="bottom"/>
            <w:gridSpan w:val="2"/>
            <w:shd w:val="clear" w:color="auto" w:fill="CFF0FC"/>
          </w:tcPr>
          <w:p>
            <w:pPr>
              <w:jc w:val="right"/>
              <w:ind w:right="742"/>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FF0FC"/>
          </w:tcPr>
          <w:p>
            <w:pPr>
              <w:spacing w:after="0"/>
              <w:rPr>
                <w:sz w:val="19"/>
                <w:szCs w:val="19"/>
                <w:color w:val="auto"/>
              </w:rPr>
            </w:pPr>
          </w:p>
        </w:tc>
      </w:tr>
      <w:tr>
        <w:trPr>
          <w:trHeight w:val="20"/>
        </w:trPr>
        <w:tc>
          <w:tcPr>
            <w:tcW w:w="38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04" w:lineRule="exact"/>
        <w:rPr>
          <w:sz w:val="20"/>
          <w:szCs w:val="20"/>
          <w:color w:val="auto"/>
        </w:rPr>
      </w:pPr>
    </w:p>
    <w:p>
      <w:pPr>
        <w:ind w:right="380" w:firstLine="576"/>
        <w:spacing w:after="0" w:line="276" w:lineRule="auto"/>
        <w:rPr>
          <w:sz w:val="20"/>
          <w:szCs w:val="20"/>
          <w:color w:val="auto"/>
        </w:rPr>
      </w:pPr>
      <w:r>
        <w:rPr>
          <w:rFonts w:ascii="Arial" w:cs="Arial" w:eastAsia="Arial" w:hAnsi="Arial"/>
          <w:sz w:val="18"/>
          <w:szCs w:val="18"/>
          <w:color w:val="auto"/>
        </w:rPr>
        <w:t>The fair value of stock options was determined using the Black-Scholes option-pricing model and the assumptions below. Each of these inputs is subjective and generally required significant judgment.</w:t>
      </w:r>
    </w:p>
    <w:p>
      <w:pPr>
        <w:spacing w:after="0" w:line="37" w:lineRule="exact"/>
        <w:rPr>
          <w:sz w:val="20"/>
          <w:szCs w:val="20"/>
          <w:color w:val="auto"/>
        </w:rPr>
      </w:pPr>
    </w:p>
    <w:p>
      <w:pPr>
        <w:ind w:left="800" w:right="60" w:hanging="225"/>
        <w:spacing w:after="0" w:line="239" w:lineRule="auto"/>
        <w:tabs>
          <w:tab w:leader="none" w:pos="800" w:val="left"/>
        </w:tabs>
        <w:numPr>
          <w:ilvl w:val="0"/>
          <w:numId w:val="16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grant date fair market value of the shares of common stock underlying stock options has</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historically been determined by the Company’s board of directors. Because previously there was no public market for the Company’s common stock, the board of directors exercised reasonable judgment and considered a number of objective and subjective factors to determine the best estimate of the fair market value, which include contemporaneous valuations performed by an independent third party, important developments in the Company’s operations, sales of convertible preferred stock, the rights, preferences and privileges of its convertible preferred stock relative to those of its common stock, lack of marketability of its common stock, actual operating results, financial performance, the progress of clinical development, the likelihood of achieving a liquidity event for its security holders, the trends, development and conditions in the life sciences and biotechnology sectors, the economy in general, and the stock price performance and volatility of comparable public companies.</w:t>
      </w:r>
    </w:p>
    <w:p>
      <w:pPr>
        <w:spacing w:after="0" w:line="74" w:lineRule="exact"/>
        <w:rPr>
          <w:rFonts w:ascii="Times New Roman" w:cs="Times New Roman" w:eastAsia="Times New Roman" w:hAnsi="Times New Roman"/>
          <w:sz w:val="18"/>
          <w:szCs w:val="18"/>
          <w:color w:val="auto"/>
        </w:rPr>
      </w:pPr>
    </w:p>
    <w:p>
      <w:pPr>
        <w:ind w:left="800" w:right="140" w:hanging="225"/>
        <w:spacing w:after="0" w:line="275" w:lineRule="auto"/>
        <w:tabs>
          <w:tab w:leader="none" w:pos="800" w:val="left"/>
        </w:tabs>
        <w:numPr>
          <w:ilvl w:val="0"/>
          <w:numId w:val="16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w:t>
      </w:r>
      <w:r>
        <w:rPr>
          <w:rFonts w:ascii="Arial" w:cs="Arial" w:eastAsia="Arial" w:hAnsi="Arial"/>
          <w:sz w:val="18"/>
          <w:szCs w:val="18"/>
          <w:i w:val="1"/>
          <w:iCs w:val="1"/>
          <w:color w:val="auto"/>
        </w:rPr>
        <w:t xml:space="preserve"> </w:t>
      </w:r>
      <w:r>
        <w:rPr>
          <w:rFonts w:ascii="Arial" w:cs="Arial" w:eastAsia="Arial" w:hAnsi="Arial"/>
          <w:sz w:val="18"/>
          <w:szCs w:val="18"/>
          <w:color w:val="auto"/>
        </w:rPr>
        <w:t>for periods corresponding with the expected term of the option.</w:t>
      </w:r>
    </w:p>
    <w:p>
      <w:pPr>
        <w:spacing w:after="0" w:line="37" w:lineRule="exact"/>
        <w:rPr>
          <w:rFonts w:ascii="Times New Roman" w:cs="Times New Roman" w:eastAsia="Times New Roman" w:hAnsi="Times New Roman"/>
          <w:sz w:val="18"/>
          <w:szCs w:val="18"/>
          <w:color w:val="auto"/>
        </w:rPr>
      </w:pPr>
    </w:p>
    <w:p>
      <w:pPr>
        <w:ind w:left="800" w:right="100" w:hanging="225"/>
        <w:spacing w:after="0" w:line="244" w:lineRule="auto"/>
        <w:tabs>
          <w:tab w:leader="none" w:pos="800" w:val="left"/>
        </w:tabs>
        <w:numPr>
          <w:ilvl w:val="0"/>
          <w:numId w:val="16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—Because the Company was previously privately held and did not have any trading history for its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w:t>
      </w:r>
    </w:p>
    <w:p>
      <w:pPr>
        <w:spacing w:after="0" w:line="67" w:lineRule="exact"/>
        <w:rPr>
          <w:rFonts w:ascii="Times New Roman" w:cs="Times New Roman" w:eastAsia="Times New Roman" w:hAnsi="Times New Roman"/>
          <w:sz w:val="18"/>
          <w:szCs w:val="18"/>
          <w:color w:val="auto"/>
        </w:rPr>
      </w:pPr>
    </w:p>
    <w:p>
      <w:pPr>
        <w:ind w:left="800" w:right="240" w:hanging="225"/>
        <w:spacing w:after="0" w:line="255" w:lineRule="auto"/>
        <w:tabs>
          <w:tab w:leader="none" w:pos="800" w:val="left"/>
        </w:tabs>
        <w:numPr>
          <w:ilvl w:val="0"/>
          <w:numId w:val="16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simplified method (based on the midpoint between the vesting date and the end of the contractual term) as the Company has limited history of relevant stock option exercise activity.</w:t>
      </w:r>
    </w:p>
    <w:p>
      <w:pPr>
        <w:spacing w:after="0" w:line="54" w:lineRule="exact"/>
        <w:rPr>
          <w:rFonts w:ascii="Times New Roman" w:cs="Times New Roman" w:eastAsia="Times New Roman" w:hAnsi="Times New Roman"/>
          <w:sz w:val="18"/>
          <w:szCs w:val="18"/>
          <w:color w:val="auto"/>
        </w:rPr>
      </w:pPr>
    </w:p>
    <w:p>
      <w:pPr>
        <w:ind w:left="800" w:right="180" w:hanging="225"/>
        <w:spacing w:after="0" w:line="275" w:lineRule="auto"/>
        <w:tabs>
          <w:tab w:leader="none" w:pos="800" w:val="left"/>
        </w:tabs>
        <w:numPr>
          <w:ilvl w:val="0"/>
          <w:numId w:val="16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—The Company has never paid dividends on its common stock and has no plans to pay dividends going</w:t>
      </w:r>
      <w:r>
        <w:rPr>
          <w:rFonts w:ascii="Arial" w:cs="Arial" w:eastAsia="Arial" w:hAnsi="Arial"/>
          <w:sz w:val="18"/>
          <w:szCs w:val="18"/>
          <w:i w:val="1"/>
          <w:iCs w:val="1"/>
          <w:color w:val="auto"/>
        </w:rPr>
        <w:t xml:space="preserve"> </w:t>
      </w:r>
      <w:r>
        <w:rPr>
          <w:rFonts w:ascii="Arial" w:cs="Arial" w:eastAsia="Arial" w:hAnsi="Arial"/>
          <w:sz w:val="18"/>
          <w:szCs w:val="18"/>
          <w:color w:val="auto"/>
        </w:rPr>
        <w:t>forward. Therefore, it used an expected dividend yield of zero.</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38" w:right="339" w:bottom="1440" w:gutter="0" w:footer="0" w:header="0"/>
        </w:sectPr>
      </w:pPr>
    </w:p>
    <w:bookmarkStart w:id="244" w:name="page245"/>
    <w:bookmarkEnd w:id="244"/>
    <w:p>
      <w:pPr>
        <w:ind w:right="160" w:firstLine="576"/>
        <w:spacing w:after="0" w:line="235" w:lineRule="exact"/>
        <w:rPr>
          <w:sz w:val="20"/>
          <w:szCs w:val="20"/>
          <w:color w:val="auto"/>
        </w:rPr>
      </w:pPr>
      <w:r>
        <w:rPr>
          <w:rFonts w:ascii="Arial" w:cs="Arial" w:eastAsia="Arial" w:hAnsi="Arial"/>
          <w:sz w:val="18"/>
          <w:szCs w:val="18"/>
          <w:color w:val="auto"/>
        </w:rPr>
        <w:t>The fair value of each stock option was estimated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with the following weighted-average assumptions:</w:t>
      </w:r>
    </w:p>
    <w:p>
      <w:pPr>
        <w:spacing w:after="0" w:line="197" w:lineRule="exact"/>
        <w:rPr>
          <w:sz w:val="20"/>
          <w:szCs w:val="20"/>
          <w:color w:val="auto"/>
        </w:rPr>
      </w:pPr>
    </w:p>
    <w:p>
      <w:pPr>
        <w:ind w:left="7740"/>
        <w:spacing w:after="0"/>
        <w:rPr>
          <w:sz w:val="20"/>
          <w:szCs w:val="20"/>
          <w:color w:val="auto"/>
        </w:rPr>
      </w:pPr>
      <w:r>
        <w:rPr>
          <w:rFonts w:ascii="Arial" w:cs="Arial" w:eastAsia="Arial" w:hAnsi="Arial"/>
          <w:sz w:val="14"/>
          <w:szCs w:val="14"/>
          <w:b w:val="1"/>
          <w:bCs w:val="1"/>
          <w:color w:val="auto"/>
        </w:rPr>
        <w:t>Nine Months Ended September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20" w:type="dxa"/>
            <w:vAlign w:val="bottom"/>
            <w:tcBorders>
              <w:bottom w:val="single" w:sz="8" w:color="CFF0FC"/>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CFF0FC"/>
            </w:tcBorders>
          </w:tcPr>
          <w:p>
            <w:pPr>
              <w:spacing w:after="0"/>
              <w:rPr>
                <w:sz w:val="14"/>
                <w:szCs w:val="14"/>
                <w:color w:val="auto"/>
              </w:rPr>
            </w:pPr>
          </w:p>
        </w:tc>
        <w:tc>
          <w:tcPr>
            <w:tcW w:w="192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r>
      <w:tr>
        <w:trPr>
          <w:trHeight w:val="21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1.58%</w:t>
            </w:r>
          </w:p>
        </w:tc>
        <w:tc>
          <w:tcPr>
            <w:tcW w:w="2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0.49%</w:t>
            </w: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74.59%</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80.11%</w:t>
            </w:r>
          </w:p>
        </w:tc>
      </w:tr>
      <w:tr>
        <w:trPr>
          <w:trHeight w:val="216"/>
        </w:trPr>
        <w:tc>
          <w:tcPr>
            <w:tcW w:w="8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40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180" w:type="dxa"/>
            <w:vAlign w:val="bottom"/>
            <w:shd w:val="clear" w:color="auto" w:fill="CFF0FC"/>
          </w:tcPr>
          <w:p>
            <w:pPr>
              <w:spacing w:after="0"/>
              <w:rPr>
                <w:sz w:val="18"/>
                <w:szCs w:val="18"/>
                <w:color w:val="auto"/>
              </w:rPr>
            </w:pPr>
          </w:p>
        </w:tc>
      </w:tr>
      <w:tr>
        <w:trPr>
          <w:trHeight w:val="247"/>
        </w:trPr>
        <w:tc>
          <w:tcPr>
            <w:tcW w:w="81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216" w:lineRule="exact"/>
        <w:rPr>
          <w:sz w:val="20"/>
          <w:szCs w:val="20"/>
          <w:color w:val="auto"/>
        </w:rPr>
      </w:pPr>
    </w:p>
    <w:p>
      <w:pPr>
        <w:jc w:val="both"/>
        <w:ind w:right="100" w:firstLine="576"/>
        <w:spacing w:after="0" w:line="248" w:lineRule="auto"/>
        <w:rPr>
          <w:sz w:val="20"/>
          <w:szCs w:val="20"/>
          <w:color w:val="auto"/>
        </w:rPr>
      </w:pPr>
      <w:r>
        <w:rPr>
          <w:rFonts w:ascii="Arial" w:cs="Arial" w:eastAsia="Arial" w:hAnsi="Arial"/>
          <w:sz w:val="18"/>
          <w:szCs w:val="18"/>
          <w:color w:val="auto"/>
        </w:rPr>
        <w:t>The weighted-average grant-date fair value of options granted to employees and directors during the nine months ended September 30, 2019 and 2020 were $259,000 and $2.1 million respectively. The remeasured weighted-average fair value of options granted to advisors during the nine months ended September 30, 2019 was $46,000. The weighted-average grant-date fair value of options granted to advisors during the nine months ended September 30, 2020 was $727,000.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summary of option activity for the nine months ended September 30, 2020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Weighted-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Average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Available</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price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77"/>
        </w:trPr>
        <w:tc>
          <w:tcPr>
            <w:tcW w:w="5200" w:type="dxa"/>
            <w:vAlign w:val="bottom"/>
          </w:tcPr>
          <w:p>
            <w:pPr>
              <w:spacing w:after="0"/>
              <w:rPr>
                <w:sz w:val="15"/>
                <w:szCs w:val="15"/>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for Grant</w:t>
            </w: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per Share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10"/>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399,737</w:t>
            </w:r>
          </w:p>
        </w:tc>
        <w:tc>
          <w:tcPr>
            <w:tcW w:w="2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1,514,770</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Authorized</w:t>
            </w:r>
          </w:p>
        </w:tc>
        <w:tc>
          <w:tcPr>
            <w:tcW w:w="1000" w:type="dxa"/>
            <w:vAlign w:val="bottom"/>
          </w:tcPr>
          <w:p>
            <w:pPr>
              <w:jc w:val="right"/>
              <w:spacing w:after="0"/>
              <w:rPr>
                <w:sz w:val="20"/>
                <w:szCs w:val="20"/>
                <w:color w:val="auto"/>
              </w:rPr>
            </w:pPr>
            <w:r>
              <w:rPr>
                <w:rFonts w:ascii="Arial" w:cs="Arial" w:eastAsia="Arial" w:hAnsi="Arial"/>
                <w:sz w:val="18"/>
                <w:szCs w:val="18"/>
                <w:color w:val="auto"/>
              </w:rPr>
              <w:t>4,343,534</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(994,293)</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994,293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(540,334)</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Forfeited/expired</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41,301</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(41,301)</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September 30,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3,790,279</w:t>
            </w:r>
          </w:p>
        </w:tc>
        <w:tc>
          <w:tcPr>
            <w:tcW w:w="200" w:type="dxa"/>
            <w:vAlign w:val="bottom"/>
            <w:tcBorders>
              <w:bottom w:val="single" w:sz="8" w:color="CFF0FC"/>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1,927,428</w:t>
            </w: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8.85</w:t>
            </w:r>
          </w:p>
        </w:tc>
        <w:tc>
          <w:tcPr>
            <w:tcW w:w="22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8.18</w:t>
            </w:r>
          </w:p>
        </w:tc>
        <w:tc>
          <w:tcPr>
            <w:tcW w:w="32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18,521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2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Expected to vest</w:t>
            </w:r>
          </w:p>
        </w:tc>
        <w:tc>
          <w:tcPr>
            <w:tcW w:w="10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1,298,059</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12.71</w:t>
            </w: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9.52</w:t>
            </w:r>
          </w:p>
        </w:tc>
        <w:tc>
          <w:tcPr>
            <w:tcW w:w="32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7,460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0.89</w:t>
            </w:r>
          </w:p>
        </w:tc>
        <w:tc>
          <w:tcPr>
            <w:tcW w:w="22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5.43</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11,061</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629,373</w:t>
            </w: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The total fair value of options granted to employees, directors, and advisors that vested during the nine months ended September 30, 2020 was $219,000, which included $144,000 for options granted to employees and directors and $75,000 for options granted to advisors. The total fair value of options that vested during the nine months ended September 30, 2019 was $123,000, which included $64,000 for options granted to employees and directors and $59,000 for options granted to advisors.</w:t>
      </w:r>
    </w:p>
    <w:p>
      <w:pPr>
        <w:spacing w:after="0" w:line="170" w:lineRule="exact"/>
        <w:rPr>
          <w:sz w:val="20"/>
          <w:szCs w:val="20"/>
          <w:color w:val="auto"/>
        </w:rPr>
      </w:pPr>
    </w:p>
    <w:p>
      <w:pPr>
        <w:ind w:right="260" w:firstLine="576"/>
        <w:spacing w:after="0" w:line="243" w:lineRule="auto"/>
        <w:rPr>
          <w:sz w:val="20"/>
          <w:szCs w:val="20"/>
          <w:color w:val="auto"/>
        </w:rPr>
      </w:pPr>
      <w:r>
        <w:rPr>
          <w:rFonts w:ascii="Arial" w:cs="Arial" w:eastAsia="Arial" w:hAnsi="Arial"/>
          <w:sz w:val="18"/>
          <w:szCs w:val="18"/>
          <w:color w:val="auto"/>
        </w:rPr>
        <w:t>The aggregate intrinsic value in the table above is calculated as the difference between the exercise price of the underlying options and the estimated fair value of the Company’s common stock underlying all options that were in-the-money at September 30, 2020. The aggregate intrinsic value of options exercised was $4,000 and $ 9.4 million during the nine months ended September 30, 2019 and 2020, respectively, determined as of the date of option exercise. As of September 30, 2020, there was $2.9 million of total unrecognized compensation cost related to unvested stock options. The Company expects to recognize this cost over a remaining weighted-average period of 1.95 years. The Company utilizes newly issued shares to satisfy option exercises.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245" w:name="page246"/>
    <w:bookmarkEnd w:id="245"/>
    <w:p>
      <w:pPr>
        <w:ind w:left="580"/>
        <w:spacing w:after="0"/>
        <w:rPr>
          <w:sz w:val="20"/>
          <w:szCs w:val="20"/>
          <w:color w:val="auto"/>
        </w:rPr>
      </w:pPr>
      <w:r>
        <w:rPr>
          <w:rFonts w:ascii="Arial" w:cs="Arial" w:eastAsia="Arial" w:hAnsi="Arial"/>
          <w:sz w:val="18"/>
          <w:szCs w:val="18"/>
          <w:color w:val="auto"/>
        </w:rPr>
        <w:t>Stock options outstanding and exercisable consisted of the following at September 30,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20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760" w:type="dxa"/>
            <w:vAlign w:val="bottom"/>
            <w:gridSpan w:val="4"/>
          </w:tcPr>
          <w:p>
            <w:pPr>
              <w:ind w:left="380"/>
              <w:spacing w:after="0"/>
              <w:rPr>
                <w:sz w:val="20"/>
                <w:szCs w:val="20"/>
                <w:color w:val="auto"/>
              </w:rPr>
            </w:pPr>
            <w:r>
              <w:rPr>
                <w:rFonts w:ascii="Arial" w:cs="Arial" w:eastAsia="Arial" w:hAnsi="Arial"/>
                <w:sz w:val="14"/>
                <w:szCs w:val="14"/>
                <w:b w:val="1"/>
                <w:bCs w:val="1"/>
                <w:color w:val="auto"/>
              </w:rPr>
              <w:t>Employees and Directors</w:t>
            </w:r>
          </w:p>
        </w:tc>
        <w:tc>
          <w:tcPr>
            <w:tcW w:w="2640" w:type="dxa"/>
            <w:vAlign w:val="bottom"/>
            <w:gridSpan w:val="4"/>
          </w:tcPr>
          <w:p>
            <w:pPr>
              <w:ind w:left="720"/>
              <w:spacing w:after="0"/>
              <w:rPr>
                <w:sz w:val="20"/>
                <w:szCs w:val="20"/>
                <w:color w:val="auto"/>
              </w:rPr>
            </w:pPr>
            <w:r>
              <w:rPr>
                <w:rFonts w:ascii="Arial" w:cs="Arial" w:eastAsia="Arial" w:hAnsi="Arial"/>
                <w:sz w:val="14"/>
                <w:szCs w:val="14"/>
                <w:b w:val="1"/>
                <w:bCs w:val="1"/>
                <w:color w:val="auto"/>
              </w:rPr>
              <w:t>Non-employees</w:t>
            </w:r>
          </w:p>
        </w:tc>
      </w:tr>
      <w:tr>
        <w:trPr>
          <w:trHeight w:val="154"/>
        </w:trPr>
        <w:tc>
          <w:tcPr>
            <w:tcW w:w="120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380" w:type="dxa"/>
            <w:vAlign w:val="bottom"/>
            <w:tcBorders>
              <w:top w:val="single" w:sz="8" w:color="auto"/>
            </w:tcBorders>
            <w:gridSpan w:val="2"/>
          </w:tcPr>
          <w:p>
            <w:pPr>
              <w:jc w:val="center"/>
              <w:ind w:right="260"/>
              <w:spacing w:after="0" w:line="154" w:lineRule="exact"/>
              <w:rPr>
                <w:sz w:val="20"/>
                <w:szCs w:val="20"/>
                <w:color w:val="auto"/>
              </w:rPr>
            </w:pPr>
            <w:r>
              <w:rPr>
                <w:rFonts w:ascii="Arial" w:cs="Arial" w:eastAsia="Arial" w:hAnsi="Arial"/>
                <w:sz w:val="14"/>
                <w:szCs w:val="14"/>
                <w:b w:val="1"/>
                <w:bCs w:val="1"/>
                <w:color w:val="auto"/>
              </w:rPr>
              <w:t>Shares</w:t>
            </w:r>
          </w:p>
        </w:tc>
        <w:tc>
          <w:tcPr>
            <w:tcW w:w="114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3"/>
                <w:szCs w:val="13"/>
                <w:color w:val="auto"/>
              </w:rPr>
            </w:pPr>
          </w:p>
        </w:tc>
        <w:tc>
          <w:tcPr>
            <w:tcW w:w="1380" w:type="dxa"/>
            <w:vAlign w:val="bottom"/>
            <w:tcBorders>
              <w:top w:val="single" w:sz="8" w:color="auto"/>
            </w:tcBorders>
            <w:gridSpan w:val="2"/>
          </w:tcPr>
          <w:p>
            <w:pPr>
              <w:jc w:val="center"/>
              <w:ind w:right="260"/>
              <w:spacing w:after="0" w:line="154" w:lineRule="exact"/>
              <w:rPr>
                <w:sz w:val="20"/>
                <w:szCs w:val="20"/>
                <w:color w:val="auto"/>
              </w:rPr>
            </w:pPr>
            <w:r>
              <w:rPr>
                <w:rFonts w:ascii="Arial" w:cs="Arial" w:eastAsia="Arial" w:hAnsi="Arial"/>
                <w:sz w:val="14"/>
                <w:szCs w:val="14"/>
                <w:b w:val="1"/>
                <w:bCs w:val="1"/>
                <w:color w:val="auto"/>
              </w:rPr>
              <w:t>Shares</w:t>
            </w:r>
          </w:p>
        </w:tc>
        <w:tc>
          <w:tcPr>
            <w:tcW w:w="116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r>
      <w:tr>
        <w:trPr>
          <w:trHeight w:val="184"/>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Exercise 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Exercisable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Exercisable</w:t>
            </w:r>
          </w:p>
        </w:tc>
      </w:tr>
      <w:tr>
        <w:trPr>
          <w:trHeight w:val="203"/>
        </w:trPr>
        <w:tc>
          <w:tcPr>
            <w:tcW w:w="1200" w:type="dxa"/>
            <w:vAlign w:val="bottom"/>
            <w:tcBorders>
              <w:top w:val="single" w:sz="8" w:color="auto"/>
            </w:tcBorders>
            <w:shd w:val="clear" w:color="auto" w:fill="CFF0FC"/>
          </w:tcPr>
          <w:p>
            <w:pPr>
              <w:spacing w:after="0" w:line="203" w:lineRule="exact"/>
              <w:rPr>
                <w:sz w:val="20"/>
                <w:szCs w:val="20"/>
                <w:color w:val="auto"/>
              </w:rPr>
            </w:pPr>
            <w:r>
              <w:rPr>
                <w:rFonts w:ascii="Arial" w:cs="Arial" w:eastAsia="Arial" w:hAnsi="Arial"/>
                <w:sz w:val="18"/>
                <w:szCs w:val="18"/>
                <w:color w:val="auto"/>
              </w:rPr>
              <w:t>0.16</w:t>
            </w:r>
          </w:p>
        </w:tc>
        <w:tc>
          <w:tcPr>
            <w:tcW w:w="46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75,660</w:t>
            </w:r>
          </w:p>
        </w:tc>
        <w:tc>
          <w:tcPr>
            <w:tcW w:w="2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75,660</w:t>
            </w:r>
          </w:p>
        </w:tc>
        <w:tc>
          <w:tcPr>
            <w:tcW w:w="2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12,611</w:t>
            </w:r>
          </w:p>
        </w:tc>
        <w:tc>
          <w:tcPr>
            <w:tcW w:w="24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12,611</w:t>
            </w: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0.48</w:t>
            </w:r>
          </w:p>
        </w:tc>
        <w:tc>
          <w:tcPr>
            <w:tcW w:w="4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162,353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162,353</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1.00</w:t>
            </w:r>
          </w:p>
        </w:tc>
        <w:tc>
          <w:tcPr>
            <w:tcW w:w="46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37,830</w:t>
            </w:r>
          </w:p>
        </w:tc>
        <w:tc>
          <w:tcPr>
            <w:tcW w:w="100" w:type="dxa"/>
            <w:vAlign w:val="bottom"/>
            <w:shd w:val="clear" w:color="auto" w:fill="CFF0FC"/>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1.04</w:t>
            </w:r>
          </w:p>
        </w:tc>
        <w:tc>
          <w:tcPr>
            <w:tcW w:w="4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70,933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70,933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31,525</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31,525</w:t>
            </w:r>
          </w:p>
        </w:tc>
        <w:tc>
          <w:tcPr>
            <w:tcW w:w="100" w:type="dxa"/>
            <w:vAlign w:val="bottom"/>
          </w:tcPr>
          <w:p>
            <w:pPr>
              <w:spacing w:after="0"/>
              <w:rPr>
                <w:sz w:val="18"/>
                <w:szCs w:val="18"/>
                <w:color w:val="auto"/>
              </w:rPr>
            </w:pP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1.19</w:t>
            </w:r>
          </w:p>
        </w:tc>
        <w:tc>
          <w:tcPr>
            <w:tcW w:w="46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52,645</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38,878</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34,677</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34,677</w:t>
            </w:r>
          </w:p>
        </w:tc>
        <w:tc>
          <w:tcPr>
            <w:tcW w:w="100" w:type="dxa"/>
            <w:vAlign w:val="bottom"/>
            <w:shd w:val="clear" w:color="auto" w:fill="CFF0FC"/>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1.31</w:t>
            </w:r>
          </w:p>
        </w:tc>
        <w:tc>
          <w:tcPr>
            <w:tcW w:w="4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63,050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63,050</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1.35</w:t>
            </w:r>
          </w:p>
        </w:tc>
        <w:tc>
          <w:tcPr>
            <w:tcW w:w="46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294,754</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27,529</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116,642</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63,049</w:t>
            </w:r>
          </w:p>
        </w:tc>
        <w:tc>
          <w:tcPr>
            <w:tcW w:w="100" w:type="dxa"/>
            <w:vAlign w:val="bottom"/>
            <w:shd w:val="clear" w:color="auto" w:fill="CFF0FC"/>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1.49</w:t>
            </w:r>
          </w:p>
        </w:tc>
        <w:tc>
          <w:tcPr>
            <w:tcW w:w="4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31,525</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10,508</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17.00</w:t>
            </w:r>
          </w:p>
        </w:tc>
        <w:tc>
          <w:tcPr>
            <w:tcW w:w="46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747,770</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195,453</w:t>
            </w: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1,498,690</w:t>
            </w: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449,681</w:t>
            </w:r>
          </w:p>
        </w:tc>
        <w:tc>
          <w:tcPr>
            <w:tcW w:w="2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428,738</w:t>
            </w:r>
          </w:p>
        </w:tc>
        <w:tc>
          <w:tcPr>
            <w:tcW w:w="24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179,692</w:t>
            </w:r>
          </w:p>
        </w:tc>
        <w:tc>
          <w:tcPr>
            <w:tcW w:w="100" w:type="dxa"/>
            <w:vAlign w:val="bottom"/>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 Activity</w:t>
      </w:r>
    </w:p>
    <w:p>
      <w:pPr>
        <w:spacing w:after="0" w:line="104" w:lineRule="exact"/>
        <w:rPr>
          <w:sz w:val="20"/>
          <w:szCs w:val="20"/>
          <w:color w:val="auto"/>
        </w:rPr>
      </w:pPr>
    </w:p>
    <w:p>
      <w:pPr>
        <w:ind w:right="180" w:firstLine="576"/>
        <w:spacing w:after="0" w:line="245" w:lineRule="auto"/>
        <w:rPr>
          <w:sz w:val="20"/>
          <w:szCs w:val="20"/>
          <w:color w:val="auto"/>
        </w:rPr>
      </w:pPr>
      <w:r>
        <w:rPr>
          <w:rFonts w:ascii="Arial" w:cs="Arial" w:eastAsia="Arial" w:hAnsi="Arial"/>
          <w:sz w:val="18"/>
          <w:szCs w:val="18"/>
          <w:color w:val="auto"/>
        </w:rPr>
        <w:t>In 2018, the Company issued a restricted stock award (“RSA”) to an advisor under the 2014 Plan. The restricted stock award vests over three years and requires continued service to the Company during the vesting period. The vesting provisions of individual awards may vary as approved by the board of directors. If continued service terminates for any reason, the Company has the right to repurchase the unvested shares for no consideration. Shares subject to repurchase as of December 31, 2019 and September 30, 2020 were 8,407 shares and 4,204 shares, respectively, all of which were related to non-employee RSAs.</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summary of RSA activity for the nine months ended September 30, 2020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7720" w:type="dxa"/>
            <w:vAlign w:val="bottom"/>
          </w:tcPr>
          <w:p>
            <w:pPr>
              <w:spacing w:after="0"/>
              <w:rPr>
                <w:sz w:val="14"/>
                <w:szCs w:val="14"/>
                <w:color w:val="auto"/>
              </w:rPr>
            </w:pPr>
          </w:p>
        </w:tc>
        <w:tc>
          <w:tcPr>
            <w:tcW w:w="18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Share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Grant Date</w:t>
            </w:r>
          </w:p>
        </w:tc>
      </w:tr>
      <w:tr>
        <w:trPr>
          <w:trHeight w:val="177"/>
        </w:trPr>
        <w:tc>
          <w:tcPr>
            <w:tcW w:w="7720" w:type="dxa"/>
            <w:vAlign w:val="bottom"/>
          </w:tcPr>
          <w:p>
            <w:pPr>
              <w:spacing w:after="0"/>
              <w:rPr>
                <w:sz w:val="15"/>
                <w:szCs w:val="15"/>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Equivalent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2019</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8,407</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Granted</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(4,203)</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FF0FC"/>
          </w:tcPr>
          <w:p>
            <w:pPr>
              <w:spacing w:after="0"/>
              <w:rPr>
                <w:sz w:val="18"/>
                <w:szCs w:val="18"/>
                <w:color w:val="auto"/>
              </w:rPr>
            </w:pPr>
          </w:p>
        </w:tc>
      </w:tr>
      <w:tr>
        <w:trPr>
          <w:trHeight w:val="210"/>
        </w:trPr>
        <w:tc>
          <w:tcPr>
            <w:tcW w:w="7720" w:type="dxa"/>
            <w:vAlign w:val="bottom"/>
          </w:tcPr>
          <w:p>
            <w:pPr>
              <w:spacing w:after="0"/>
              <w:rPr>
                <w:sz w:val="20"/>
                <w:szCs w:val="20"/>
                <w:color w:val="auto"/>
              </w:rPr>
            </w:pPr>
            <w:r>
              <w:rPr>
                <w:rFonts w:ascii="Arial" w:cs="Arial" w:eastAsia="Arial" w:hAnsi="Arial"/>
                <w:sz w:val="18"/>
                <w:szCs w:val="18"/>
                <w:color w:val="auto"/>
              </w:rPr>
              <w:t>Non-vested at September 30, 2020</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4,204</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80" w:hanging="572"/>
        <w:spacing w:after="0"/>
        <w:tabs>
          <w:tab w:leader="none" w:pos="58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06" w:lineRule="exact"/>
        <w:rPr>
          <w:sz w:val="20"/>
          <w:szCs w:val="20"/>
          <w:color w:val="auto"/>
        </w:rPr>
      </w:pPr>
    </w:p>
    <w:p>
      <w:pPr>
        <w:ind w:right="40" w:firstLine="576"/>
        <w:spacing w:after="0" w:line="276"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the diluted net loss per share attributable to common stockholders for the periods presented because their effect would have been anti-dilutive: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20" w:type="dxa"/>
            <w:vAlign w:val="bottom"/>
          </w:tcPr>
          <w:p>
            <w:pPr>
              <w:spacing w:after="0"/>
              <w:rPr>
                <w:sz w:val="15"/>
                <w:szCs w:val="15"/>
                <w:color w:val="auto"/>
              </w:rPr>
            </w:pPr>
          </w:p>
        </w:tc>
        <w:tc>
          <w:tcPr>
            <w:tcW w:w="3520" w:type="dxa"/>
            <w:vAlign w:val="bottom"/>
            <w:gridSpan w:val="4"/>
          </w:tcPr>
          <w:p>
            <w:pPr>
              <w:ind w:left="520"/>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7720" w:type="dxa"/>
            <w:vAlign w:val="bottom"/>
            <w:tcBorders>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on an as-converted basis</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Unvested RSAs</w:t>
            </w:r>
          </w:p>
        </w:tc>
        <w:tc>
          <w:tcPr>
            <w:tcW w:w="1560" w:type="dxa"/>
            <w:vAlign w:val="bottom"/>
          </w:tcPr>
          <w:p>
            <w:pPr>
              <w:jc w:val="right"/>
              <w:spacing w:after="0"/>
              <w:rPr>
                <w:sz w:val="20"/>
                <w:szCs w:val="20"/>
                <w:color w:val="auto"/>
              </w:rPr>
            </w:pPr>
            <w:r>
              <w:rPr>
                <w:rFonts w:ascii="Arial" w:cs="Arial" w:eastAsia="Arial" w:hAnsi="Arial"/>
                <w:sz w:val="18"/>
                <w:szCs w:val="18"/>
                <w:color w:val="auto"/>
              </w:rPr>
              <w:t>8,407</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4,204</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to purchase common stock</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1,498,377</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1,927,428</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Common stock warrants</w:t>
            </w:r>
          </w:p>
        </w:tc>
        <w:tc>
          <w:tcPr>
            <w:tcW w:w="1560" w:type="dxa"/>
            <w:vAlign w:val="bottom"/>
          </w:tcPr>
          <w:p>
            <w:pPr>
              <w:jc w:val="right"/>
              <w:spacing w:after="0"/>
              <w:rPr>
                <w:sz w:val="20"/>
                <w:szCs w:val="20"/>
                <w:color w:val="auto"/>
              </w:rPr>
            </w:pPr>
            <w:r>
              <w:rPr>
                <w:rFonts w:ascii="Arial" w:cs="Arial" w:eastAsia="Arial" w:hAnsi="Arial"/>
                <w:sz w:val="18"/>
                <w:szCs w:val="18"/>
                <w:color w:val="auto"/>
              </w:rPr>
              <w:t>3,310</w:t>
            </w:r>
          </w:p>
        </w:tc>
        <w:tc>
          <w:tcPr>
            <w:tcW w:w="28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9"/>
        </w:trPr>
        <w:tc>
          <w:tcPr>
            <w:tcW w:w="77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4,127,480</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1,931,632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1" w:lineRule="exact"/>
        <w:rPr>
          <w:sz w:val="20"/>
          <w:szCs w:val="20"/>
          <w:color w:val="auto"/>
        </w:rPr>
      </w:pPr>
    </w:p>
    <w:p>
      <w:pPr>
        <w:ind w:left="580" w:hanging="572"/>
        <w:spacing w:after="0"/>
        <w:tabs>
          <w:tab w:leader="none" w:pos="58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0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Exercise of Underwriters’ Option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6" w:name="page247"/>
    <w:bookmarkEnd w:id="246"/>
    <w:p>
      <w:pPr>
        <w:ind w:firstLine="576"/>
        <w:spacing w:after="0" w:line="255" w:lineRule="auto"/>
        <w:rPr>
          <w:sz w:val="20"/>
          <w:szCs w:val="20"/>
          <w:color w:val="auto"/>
        </w:rPr>
      </w:pPr>
      <w:r>
        <w:rPr>
          <w:rFonts w:ascii="Arial" w:cs="Arial" w:eastAsia="Arial" w:hAnsi="Arial"/>
          <w:sz w:val="18"/>
          <w:szCs w:val="18"/>
          <w:color w:val="auto"/>
        </w:rPr>
        <w:t>On October 16, 2020, the Company sold an additional 1,397,712 shares of common stock to the underwriters of the IPO upon partial exercise of the underwriters’ option to purchase additional shares at the initial public offering price of $17.00 per share, less underwriting discounts and commissions, resulting in net proceeds to the Company of approximately $22.1 million.</w:t>
      </w: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468" w:right="459" w:bottom="1440" w:gutter="0" w:footer="0" w:header="0"/>
        </w:sectPr>
      </w:pPr>
    </w:p>
    <w:bookmarkStart w:id="247" w:name="page248"/>
    <w:bookmarkEnd w:id="2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342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4,000,000 Shares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Athira Pharma, Inc.</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2941320</wp:posOffset>
            </wp:positionH>
            <wp:positionV relativeFrom="paragraph">
              <wp:posOffset>582930</wp:posOffset>
            </wp:positionV>
            <wp:extent cx="118300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2941320</wp:posOffset>
            </wp:positionH>
            <wp:positionV relativeFrom="paragraph">
              <wp:posOffset>2005965</wp:posOffset>
            </wp:positionV>
            <wp:extent cx="118300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2461260</wp:posOffset>
            </wp:positionH>
            <wp:positionV relativeFrom="paragraph">
              <wp:posOffset>728345</wp:posOffset>
            </wp:positionV>
            <wp:extent cx="2143125" cy="10629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143125"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5080" w:val="left"/>
          <w:tab w:leader="none" w:pos="1050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Jefferies</w:t>
      </w:r>
      <w:r>
        <w:rPr>
          <w:sz w:val="20"/>
          <w:szCs w:val="20"/>
          <w:color w:val="auto"/>
        </w:rPr>
        <w:tab/>
      </w:r>
      <w:r>
        <w:rPr>
          <w:rFonts w:ascii="Arial" w:cs="Arial" w:eastAsia="Arial" w:hAnsi="Arial"/>
          <w:sz w:val="24"/>
          <w:szCs w:val="24"/>
          <w:b w:val="1"/>
          <w:bCs w:val="1"/>
          <w:color w:val="auto"/>
        </w:rPr>
        <w:t>Stifel</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JMP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2941320</wp:posOffset>
            </wp:positionH>
            <wp:positionV relativeFrom="paragraph">
              <wp:posOffset>250825</wp:posOffset>
            </wp:positionV>
            <wp:extent cx="118300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1905635</wp:posOffset>
            </wp:positionV>
            <wp:extent cx="7132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1965325</wp:posOffset>
            </wp:positionV>
            <wp:extent cx="7132320" cy="342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120"/>
      </w:cols>
      <w:pgMar w:left="38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F6DD9AC"/>
    <w:multiLevelType w:val="hybridMultilevel"/>
    <w:lvl w:ilvl="0">
      <w:lvlJc w:val="left"/>
      <w:lvlText w:val="(%1)"/>
      <w:numFmt w:val="decimal"/>
      <w:start w:val="1"/>
    </w:lvl>
  </w:abstractNum>
  <w:abstractNum w:abstractNumId="1">
    <w:nsid w:val="94211F2"/>
    <w:multiLevelType w:val="hybridMultilevel"/>
    <w:lvl w:ilvl="0">
      <w:lvlJc w:val="left"/>
      <w:lvlText w:val="(%1)"/>
      <w:numFmt w:val="decimal"/>
      <w:start w:val="1"/>
    </w:lvl>
  </w:abstractNum>
  <w:abstractNum w:abstractNumId="2">
    <w:nsid w:val="885E1B"/>
    <w:multiLevelType w:val="hybridMultilevel"/>
    <w:lvl w:ilvl="0">
      <w:lvlJc w:val="left"/>
      <w:lvlText w:val="•"/>
      <w:numFmt w:val="bullet"/>
      <w:start w:val="1"/>
    </w:lvl>
  </w:abstractNum>
  <w:abstractNum w:abstractNumId="3">
    <w:nsid w:val="76272110"/>
    <w:multiLevelType w:val="hybridMultilevel"/>
    <w:lvl w:ilvl="0">
      <w:lvlJc w:val="left"/>
      <w:lvlText w:val="•"/>
      <w:numFmt w:val="bullet"/>
      <w:start w:val="1"/>
    </w:lvl>
  </w:abstractNum>
  <w:abstractNum w:abstractNumId="4">
    <w:nsid w:val="4C04A8AF"/>
    <w:multiLevelType w:val="hybridMultilevel"/>
    <w:lvl w:ilvl="0">
      <w:lvlJc w:val="left"/>
      <w:lvlText w:val="•"/>
      <w:numFmt w:val="bullet"/>
      <w:start w:val="1"/>
    </w:lvl>
  </w:abstractNum>
  <w:abstractNum w:abstractNumId="5">
    <w:nsid w:val="1716703B"/>
    <w:multiLevelType w:val="hybridMultilevel"/>
    <w:lvl w:ilvl="0">
      <w:lvlJc w:val="left"/>
      <w:lvlText w:val="•"/>
      <w:numFmt w:val="bullet"/>
      <w:start w:val="1"/>
    </w:lvl>
  </w:abstractNum>
  <w:abstractNum w:abstractNumId="6">
    <w:nsid w:val="14E17E33"/>
    <w:multiLevelType w:val="hybridMultilevel"/>
    <w:lvl w:ilvl="0">
      <w:lvlJc w:val="left"/>
      <w:lvlText w:val="•"/>
      <w:numFmt w:val="bullet"/>
      <w:start w:val="1"/>
    </w:lvl>
  </w:abstractNum>
  <w:abstractNum w:abstractNumId="7">
    <w:nsid w:val="3222E7CD"/>
    <w:multiLevelType w:val="hybridMultilevel"/>
    <w:lvl w:ilvl="0">
      <w:lvlJc w:val="left"/>
      <w:lvlText w:val="•"/>
      <w:numFmt w:val="bullet"/>
      <w:start w:val="1"/>
    </w:lvl>
  </w:abstractNum>
  <w:abstractNum w:abstractNumId="8">
    <w:nsid w:val="74DE0EE3"/>
    <w:multiLevelType w:val="hybridMultilevel"/>
    <w:lvl w:ilvl="0">
      <w:lvlJc w:val="left"/>
      <w:lvlText w:val="•"/>
      <w:numFmt w:val="bullet"/>
      <w:start w:val="1"/>
    </w:lvl>
  </w:abstractNum>
  <w:abstractNum w:abstractNumId="9">
    <w:nsid w:val="68EBC550"/>
    <w:multiLevelType w:val="hybridMultilevel"/>
    <w:lvl w:ilvl="0">
      <w:lvlJc w:val="left"/>
      <w:lvlText w:val="•"/>
      <w:numFmt w:val="bullet"/>
      <w:start w:val="1"/>
    </w:lvl>
  </w:abstractNum>
  <w:abstractNum w:abstractNumId="10">
    <w:nsid w:val="2DF6D648"/>
    <w:multiLevelType w:val="hybridMultilevel"/>
    <w:lvl w:ilvl="0">
      <w:lvlJc w:val="left"/>
      <w:lvlText w:val="•"/>
      <w:numFmt w:val="bullet"/>
      <w:start w:val="1"/>
    </w:lvl>
  </w:abstractNum>
  <w:abstractNum w:abstractNumId="11">
    <w:nsid w:val="46B7D447"/>
    <w:multiLevelType w:val="hybridMultilevel"/>
    <w:lvl w:ilvl="0">
      <w:lvlJc w:val="left"/>
      <w:lvlText w:val="•"/>
      <w:numFmt w:val="bullet"/>
      <w:start w:val="1"/>
    </w:lvl>
  </w:abstractNum>
  <w:abstractNum w:abstractNumId="12">
    <w:nsid w:val="4A2AC315"/>
    <w:multiLevelType w:val="hybridMultilevel"/>
    <w:lvl w:ilvl="0">
      <w:lvlJc w:val="left"/>
      <w:lvlText w:val="•"/>
      <w:numFmt w:val="bullet"/>
      <w:start w:val="1"/>
    </w:lvl>
  </w:abstractNum>
  <w:abstractNum w:abstractNumId="13">
    <w:nsid w:val="39EE015C"/>
    <w:multiLevelType w:val="hybridMultilevel"/>
    <w:lvl w:ilvl="0">
      <w:lvlJc w:val="left"/>
      <w:lvlText w:val="•"/>
      <w:numFmt w:val="bullet"/>
      <w:start w:val="1"/>
    </w:lvl>
  </w:abstractNum>
  <w:abstractNum w:abstractNumId="14">
    <w:nsid w:val="57FC4FBB"/>
    <w:multiLevelType w:val="hybridMultilevel"/>
    <w:lvl w:ilvl="0">
      <w:lvlJc w:val="left"/>
      <w:lvlText w:val="(%1)"/>
      <w:numFmt w:val="decimal"/>
      <w:start w:val="1"/>
    </w:lvl>
  </w:abstractNum>
  <w:abstractNum w:abstractNumId="15">
    <w:nsid w:val="CC1016F"/>
    <w:multiLevelType w:val="hybridMultilevel"/>
    <w:lvl w:ilvl="0">
      <w:lvlJc w:val="left"/>
      <w:lvlText w:val="(%1)"/>
      <w:numFmt w:val="decimal"/>
      <w:start w:val="1"/>
    </w:lvl>
  </w:abstractNum>
  <w:abstractNum w:abstractNumId="16">
    <w:nsid w:val="43F18422"/>
    <w:multiLevelType w:val="hybridMultilevel"/>
    <w:lvl w:ilvl="0">
      <w:lvlJc w:val="left"/>
      <w:lvlText w:val="•"/>
      <w:numFmt w:val="bullet"/>
      <w:start w:val="1"/>
    </w:lvl>
  </w:abstractNum>
  <w:abstractNum w:abstractNumId="17">
    <w:nsid w:val="60EF0119"/>
    <w:multiLevelType w:val="hybridMultilevel"/>
    <w:lvl w:ilvl="0">
      <w:lvlJc w:val="left"/>
      <w:lvlText w:val="•"/>
      <w:numFmt w:val="bullet"/>
      <w:start w:val="1"/>
    </w:lvl>
  </w:abstractNum>
  <w:abstractNum w:abstractNumId="18">
    <w:nsid w:val="26F324BA"/>
    <w:multiLevelType w:val="hybridMultilevel"/>
    <w:lvl w:ilvl="0">
      <w:lvlJc w:val="left"/>
      <w:lvlText w:val="•"/>
      <w:numFmt w:val="bullet"/>
      <w:start w:val="1"/>
    </w:lvl>
  </w:abstractNum>
  <w:abstractNum w:abstractNumId="19">
    <w:nsid w:val="7F01579B"/>
    <w:multiLevelType w:val="hybridMultilevel"/>
    <w:lvl w:ilvl="0">
      <w:lvlJc w:val="left"/>
      <w:lvlText w:val="•"/>
      <w:numFmt w:val="bullet"/>
      <w:start w:val="1"/>
    </w:lvl>
  </w:abstractNum>
  <w:abstractNum w:abstractNumId="20">
    <w:nsid w:val="49DA307D"/>
    <w:multiLevelType w:val="hybridMultilevel"/>
    <w:lvl w:ilvl="0">
      <w:lvlJc w:val="left"/>
      <w:lvlText w:val="•"/>
      <w:numFmt w:val="bullet"/>
      <w:start w:val="1"/>
    </w:lvl>
  </w:abstractNum>
  <w:abstractNum w:abstractNumId="21">
    <w:nsid w:val="7055A5F5"/>
    <w:multiLevelType w:val="hybridMultilevel"/>
    <w:lvl w:ilvl="0">
      <w:lvlJc w:val="left"/>
      <w:lvlText w:val="•"/>
      <w:numFmt w:val="bullet"/>
      <w:start w:val="1"/>
    </w:lvl>
  </w:abstractNum>
  <w:abstractNum w:abstractNumId="22">
    <w:nsid w:val="5FB8370B"/>
    <w:multiLevelType w:val="hybridMultilevel"/>
    <w:lvl w:ilvl="0">
      <w:lvlJc w:val="left"/>
      <w:lvlText w:val="•"/>
      <w:numFmt w:val="bullet"/>
      <w:start w:val="1"/>
    </w:lvl>
  </w:abstractNum>
  <w:abstractNum w:abstractNumId="23">
    <w:nsid w:val="50801EE1"/>
    <w:multiLevelType w:val="hybridMultilevel"/>
    <w:lvl w:ilvl="0">
      <w:lvlJc w:val="left"/>
      <w:lvlText w:val="•"/>
      <w:numFmt w:val="bullet"/>
      <w:start w:val="1"/>
    </w:lvl>
  </w:abstractNum>
  <w:abstractNum w:abstractNumId="24">
    <w:nsid w:val="488AC1A"/>
    <w:multiLevelType w:val="hybridMultilevel"/>
    <w:lvl w:ilvl="0">
      <w:lvlJc w:val="left"/>
      <w:lvlText w:val="•"/>
      <w:numFmt w:val="bullet"/>
      <w:start w:val="1"/>
    </w:lvl>
  </w:abstractNum>
  <w:abstractNum w:abstractNumId="25">
    <w:nsid w:val="5FB8011C"/>
    <w:multiLevelType w:val="hybridMultilevel"/>
    <w:lvl w:ilvl="0">
      <w:lvlJc w:val="left"/>
      <w:lvlText w:val="•"/>
      <w:numFmt w:val="bullet"/>
      <w:start w:val="1"/>
    </w:lvl>
  </w:abstractNum>
  <w:abstractNum w:abstractNumId="26">
    <w:nsid w:val="6AA78F7F"/>
    <w:multiLevelType w:val="hybridMultilevel"/>
    <w:lvl w:ilvl="0">
      <w:lvlJc w:val="left"/>
      <w:lvlText w:val="•"/>
      <w:numFmt w:val="bullet"/>
      <w:start w:val="1"/>
    </w:lvl>
  </w:abstractNum>
  <w:abstractNum w:abstractNumId="27">
    <w:nsid w:val="7672BD23"/>
    <w:multiLevelType w:val="hybridMultilevel"/>
    <w:lvl w:ilvl="0">
      <w:lvlJc w:val="left"/>
      <w:lvlText w:val="•"/>
      <w:numFmt w:val="bullet"/>
      <w:start w:val="1"/>
    </w:lvl>
  </w:abstractNum>
  <w:abstractNum w:abstractNumId="28">
    <w:nsid w:val="6FC75AF8"/>
    <w:multiLevelType w:val="hybridMultilevel"/>
    <w:lvl w:ilvl="0">
      <w:lvlJc w:val="left"/>
      <w:lvlText w:val="•"/>
      <w:numFmt w:val="bullet"/>
      <w:start w:val="1"/>
    </w:lvl>
  </w:abstractNum>
  <w:abstractNum w:abstractNumId="29">
    <w:nsid w:val="6A5F7029"/>
    <w:multiLevelType w:val="hybridMultilevel"/>
    <w:lvl w:ilvl="0">
      <w:lvlJc w:val="left"/>
      <w:lvlText w:val="•"/>
      <w:numFmt w:val="bullet"/>
      <w:start w:val="1"/>
    </w:lvl>
  </w:abstractNum>
  <w:abstractNum w:abstractNumId="30">
    <w:nsid w:val="7D5E18F8"/>
    <w:multiLevelType w:val="hybridMultilevel"/>
    <w:lvl w:ilvl="0">
      <w:lvlJc w:val="left"/>
      <w:lvlText w:val="•"/>
      <w:numFmt w:val="bullet"/>
      <w:start w:val="1"/>
    </w:lvl>
  </w:abstractNum>
  <w:abstractNum w:abstractNumId="31">
    <w:nsid w:val="5F3534A4"/>
    <w:multiLevelType w:val="hybridMultilevel"/>
    <w:lvl w:ilvl="0">
      <w:lvlJc w:val="left"/>
      <w:lvlText w:val="•"/>
      <w:numFmt w:val="bullet"/>
      <w:start w:val="1"/>
    </w:lvl>
  </w:abstractNum>
  <w:abstractNum w:abstractNumId="32">
    <w:nsid w:val="73A1821B"/>
    <w:multiLevelType w:val="hybridMultilevel"/>
    <w:lvl w:ilvl="0">
      <w:lvlJc w:val="left"/>
      <w:lvlText w:val="•"/>
      <w:numFmt w:val="bullet"/>
      <w:start w:val="1"/>
    </w:lvl>
  </w:abstractNum>
  <w:abstractNum w:abstractNumId="33">
    <w:nsid w:val="7DE67713"/>
    <w:multiLevelType w:val="hybridMultilevel"/>
    <w:lvl w:ilvl="0">
      <w:lvlJc w:val="left"/>
      <w:lvlText w:val="•"/>
      <w:numFmt w:val="bullet"/>
      <w:start w:val="1"/>
    </w:lvl>
  </w:abstractNum>
  <w:abstractNum w:abstractNumId="34">
    <w:nsid w:val="555C55B5"/>
    <w:multiLevelType w:val="hybridMultilevel"/>
    <w:lvl w:ilvl="0">
      <w:lvlJc w:val="left"/>
      <w:lvlText w:val="•"/>
      <w:numFmt w:val="bullet"/>
      <w:start w:val="1"/>
    </w:lvl>
  </w:abstractNum>
  <w:abstractNum w:abstractNumId="35">
    <w:nsid w:val="3FA62ACA"/>
    <w:multiLevelType w:val="hybridMultilevel"/>
    <w:lvl w:ilvl="0">
      <w:lvlJc w:val="left"/>
      <w:lvlText w:val="•"/>
      <w:numFmt w:val="bullet"/>
      <w:start w:val="1"/>
    </w:lvl>
  </w:abstractNum>
  <w:abstractNum w:abstractNumId="36">
    <w:nsid w:val="14FCE74E"/>
    <w:multiLevelType w:val="hybridMultilevel"/>
    <w:lvl w:ilvl="0">
      <w:lvlJc w:val="left"/>
      <w:lvlText w:val="•"/>
      <w:numFmt w:val="bullet"/>
      <w:start w:val="1"/>
    </w:lvl>
  </w:abstractNum>
  <w:abstractNum w:abstractNumId="37">
    <w:nsid w:val="6A3DD3E8"/>
    <w:multiLevelType w:val="hybridMultilevel"/>
    <w:lvl w:ilvl="0">
      <w:lvlJc w:val="left"/>
      <w:lvlText w:val="•"/>
      <w:numFmt w:val="bullet"/>
      <w:start w:val="1"/>
    </w:lvl>
  </w:abstractNum>
  <w:abstractNum w:abstractNumId="38">
    <w:nsid w:val="71C91298"/>
    <w:multiLevelType w:val="hybridMultilevel"/>
    <w:lvl w:ilvl="0">
      <w:lvlJc w:val="left"/>
      <w:lvlText w:val="•"/>
      <w:numFmt w:val="bullet"/>
      <w:start w:val="1"/>
    </w:lvl>
  </w:abstractNum>
  <w:abstractNum w:abstractNumId="39">
    <w:nsid w:val="9DAF632"/>
    <w:multiLevelType w:val="hybridMultilevel"/>
    <w:lvl w:ilvl="0">
      <w:lvlJc w:val="left"/>
      <w:lvlText w:val="•"/>
      <w:numFmt w:val="bullet"/>
      <w:start w:val="1"/>
    </w:lvl>
  </w:abstractNum>
  <w:abstractNum w:abstractNumId="40">
    <w:nsid w:val="53299938"/>
    <w:multiLevelType w:val="hybridMultilevel"/>
    <w:lvl w:ilvl="0">
      <w:lvlJc w:val="left"/>
      <w:lvlText w:val="•"/>
      <w:numFmt w:val="bullet"/>
      <w:start w:val="1"/>
    </w:lvl>
  </w:abstractNum>
  <w:abstractNum w:abstractNumId="41">
    <w:nsid w:val="1FBFE8E0"/>
    <w:multiLevelType w:val="hybridMultilevel"/>
    <w:lvl w:ilvl="0">
      <w:lvlJc w:val="left"/>
      <w:lvlText w:val="•"/>
      <w:numFmt w:val="bullet"/>
      <w:start w:val="1"/>
    </w:lvl>
  </w:abstractNum>
  <w:abstractNum w:abstractNumId="42">
    <w:nsid w:val="5092CA79"/>
    <w:multiLevelType w:val="hybridMultilevel"/>
    <w:lvl w:ilvl="0">
      <w:lvlJc w:val="left"/>
      <w:lvlText w:val="•"/>
      <w:numFmt w:val="bullet"/>
      <w:start w:val="1"/>
    </w:lvl>
  </w:abstractNum>
  <w:abstractNum w:abstractNumId="43">
    <w:nsid w:val="1D545C4D"/>
    <w:multiLevelType w:val="hybridMultilevel"/>
    <w:lvl w:ilvl="0">
      <w:lvlJc w:val="left"/>
      <w:lvlText w:val="•"/>
      <w:numFmt w:val="bullet"/>
      <w:start w:val="1"/>
    </w:lvl>
  </w:abstractNum>
  <w:abstractNum w:abstractNumId="44">
    <w:nsid w:val="59ADEA3D"/>
    <w:multiLevelType w:val="hybridMultilevel"/>
    <w:lvl w:ilvl="0">
      <w:lvlJc w:val="left"/>
      <w:lvlText w:val="•"/>
      <w:numFmt w:val="bullet"/>
      <w:start w:val="1"/>
    </w:lvl>
  </w:abstractNum>
  <w:abstractNum w:abstractNumId="45">
    <w:nsid w:val="288F1A34"/>
    <w:multiLevelType w:val="hybridMultilevel"/>
    <w:lvl w:ilvl="0">
      <w:lvlJc w:val="left"/>
      <w:lvlText w:val="•"/>
      <w:numFmt w:val="bullet"/>
      <w:start w:val="1"/>
    </w:lvl>
  </w:abstractNum>
  <w:abstractNum w:abstractNumId="46">
    <w:nsid w:val="2A155DBC"/>
    <w:multiLevelType w:val="hybridMultilevel"/>
    <w:lvl w:ilvl="0">
      <w:lvlJc w:val="left"/>
      <w:lvlText w:val="•"/>
      <w:numFmt w:val="bullet"/>
      <w:start w:val="1"/>
    </w:lvl>
  </w:abstractNum>
  <w:abstractNum w:abstractNumId="47">
    <w:nsid w:val="1D9F6E5F"/>
    <w:multiLevelType w:val="hybridMultilevel"/>
    <w:lvl w:ilvl="0">
      <w:lvlJc w:val="left"/>
      <w:lvlText w:val="•"/>
      <w:numFmt w:val="bullet"/>
      <w:start w:val="1"/>
    </w:lvl>
  </w:abstractNum>
  <w:abstractNum w:abstractNumId="48">
    <w:nsid w:val="97E1B4E"/>
    <w:multiLevelType w:val="hybridMultilevel"/>
    <w:lvl w:ilvl="0">
      <w:lvlJc w:val="left"/>
      <w:lvlText w:val="•"/>
      <w:numFmt w:val="bullet"/>
      <w:start w:val="1"/>
    </w:lvl>
  </w:abstractNum>
  <w:abstractNum w:abstractNumId="49">
    <w:nsid w:val="51088277"/>
    <w:multiLevelType w:val="hybridMultilevel"/>
    <w:lvl w:ilvl="0">
      <w:lvlJc w:val="left"/>
      <w:lvlText w:val="•"/>
      <w:numFmt w:val="bullet"/>
      <w:start w:val="1"/>
    </w:lvl>
  </w:abstractNum>
  <w:abstractNum w:abstractNumId="50">
    <w:nsid w:val="1CA0C5FA"/>
    <w:multiLevelType w:val="hybridMultilevel"/>
    <w:lvl w:ilvl="0">
      <w:lvlJc w:val="left"/>
      <w:lvlText w:val="•"/>
      <w:numFmt w:val="bullet"/>
      <w:start w:val="1"/>
    </w:lvl>
  </w:abstractNum>
  <w:abstractNum w:abstractNumId="51">
    <w:nsid w:val="53584BCB"/>
    <w:multiLevelType w:val="hybridMultilevel"/>
    <w:lvl w:ilvl="0">
      <w:lvlJc w:val="left"/>
      <w:lvlText w:val="•"/>
      <w:numFmt w:val="bullet"/>
      <w:start w:val="1"/>
    </w:lvl>
  </w:abstractNum>
  <w:abstractNum w:abstractNumId="52">
    <w:nsid w:val="415E286C"/>
    <w:multiLevelType w:val="hybridMultilevel"/>
    <w:lvl w:ilvl="0">
      <w:lvlJc w:val="left"/>
      <w:lvlText w:val="•"/>
      <w:numFmt w:val="bullet"/>
      <w:start w:val="1"/>
    </w:lvl>
  </w:abstractNum>
  <w:abstractNum w:abstractNumId="53">
    <w:nsid w:val="7C58FD05"/>
    <w:multiLevelType w:val="hybridMultilevel"/>
    <w:lvl w:ilvl="0">
      <w:lvlJc w:val="left"/>
      <w:lvlText w:val="•"/>
      <w:numFmt w:val="bullet"/>
      <w:start w:val="1"/>
    </w:lvl>
  </w:abstractNum>
  <w:abstractNum w:abstractNumId="54">
    <w:nsid w:val="23D86AAC"/>
    <w:multiLevelType w:val="hybridMultilevel"/>
    <w:lvl w:ilvl="0">
      <w:lvlJc w:val="left"/>
      <w:lvlText w:val="•"/>
      <w:numFmt w:val="bullet"/>
      <w:start w:val="1"/>
    </w:lvl>
  </w:abstractNum>
  <w:abstractNum w:abstractNumId="55">
    <w:nsid w:val="45E6D486"/>
    <w:multiLevelType w:val="hybridMultilevel"/>
    <w:lvl w:ilvl="0">
      <w:lvlJc w:val="left"/>
      <w:lvlText w:val="(%1)"/>
      <w:numFmt w:val="decimal"/>
      <w:start w:val="1"/>
    </w:lvl>
  </w:abstractNum>
  <w:abstractNum w:abstractNumId="56">
    <w:nsid w:val="5C10FE21"/>
    <w:multiLevelType w:val="hybridMultilevel"/>
    <w:lvl w:ilvl="0">
      <w:lvlJc w:val="left"/>
      <w:lvlText w:val="(%1)"/>
      <w:numFmt w:val="decimal"/>
      <w:start w:val="1"/>
    </w:lvl>
  </w:abstractNum>
  <w:abstractNum w:abstractNumId="57">
    <w:nsid w:val="E7FFA2B"/>
    <w:multiLevelType w:val="hybridMultilevel"/>
    <w:lvl w:ilvl="0">
      <w:lvlJc w:val="left"/>
      <w:lvlText w:val="(%1)"/>
      <w:numFmt w:val="decimal"/>
      <w:start w:val="1"/>
    </w:lvl>
  </w:abstractNum>
  <w:abstractNum w:abstractNumId="58">
    <w:nsid w:val="3C5991AA"/>
    <w:multiLevelType w:val="hybridMultilevel"/>
    <w:lvl w:ilvl="0">
      <w:lvlJc w:val="left"/>
      <w:lvlText w:val="•"/>
      <w:numFmt w:val="bullet"/>
      <w:start w:val="1"/>
    </w:lvl>
  </w:abstractNum>
  <w:abstractNum w:abstractNumId="59">
    <w:nsid w:val="4BD8591A"/>
    <w:multiLevelType w:val="hybridMultilevel"/>
    <w:lvl w:ilvl="0">
      <w:lvlJc w:val="left"/>
      <w:lvlText w:val="•"/>
      <w:numFmt w:val="bullet"/>
      <w:start w:val="1"/>
    </w:lvl>
  </w:abstractNum>
  <w:abstractNum w:abstractNumId="60">
    <w:nsid w:val="78DF6A55"/>
    <w:multiLevelType w:val="hybridMultilevel"/>
    <w:lvl w:ilvl="0">
      <w:lvlJc w:val="left"/>
      <w:lvlText w:val="•"/>
      <w:numFmt w:val="bullet"/>
      <w:start w:val="1"/>
    </w:lvl>
  </w:abstractNum>
  <w:abstractNum w:abstractNumId="61">
    <w:nsid w:val="39B7AAA2"/>
    <w:multiLevelType w:val="hybridMultilevel"/>
    <w:lvl w:ilvl="0">
      <w:lvlJc w:val="left"/>
      <w:lvlText w:val="*"/>
      <w:numFmt w:val="bullet"/>
      <w:start w:val="1"/>
    </w:lvl>
  </w:abstractNum>
  <w:abstractNum w:abstractNumId="62">
    <w:nsid w:val="2B0D8DBE"/>
    <w:multiLevelType w:val="hybridMultilevel"/>
    <w:lvl w:ilvl="0">
      <w:lvlJc w:val="left"/>
      <w:lvlText w:val="*"/>
      <w:numFmt w:val="bullet"/>
      <w:start w:val="1"/>
    </w:lvl>
  </w:abstractNum>
  <w:abstractNum w:abstractNumId="63">
    <w:nsid w:val="6C80EC70"/>
    <w:multiLevelType w:val="hybridMultilevel"/>
    <w:lvl w:ilvl="0">
      <w:lvlJc w:val="left"/>
      <w:lvlText w:val="•"/>
      <w:numFmt w:val="bullet"/>
      <w:start w:val="1"/>
    </w:lvl>
  </w:abstractNum>
  <w:abstractNum w:abstractNumId="64">
    <w:nsid w:val="379E21B5"/>
    <w:multiLevelType w:val="hybridMultilevel"/>
    <w:lvl w:ilvl="0">
      <w:lvlJc w:val="left"/>
      <w:lvlText w:val="•"/>
      <w:numFmt w:val="bullet"/>
      <w:start w:val="1"/>
    </w:lvl>
  </w:abstractNum>
  <w:abstractNum w:abstractNumId="65">
    <w:nsid w:val="69E373"/>
    <w:multiLevelType w:val="hybridMultilevel"/>
    <w:lvl w:ilvl="0">
      <w:lvlJc w:val="left"/>
      <w:lvlText w:val="•"/>
      <w:numFmt w:val="bullet"/>
      <w:start w:val="1"/>
    </w:lvl>
  </w:abstractNum>
  <w:abstractNum w:abstractNumId="66">
    <w:nsid w:val="2C27173B"/>
    <w:multiLevelType w:val="hybridMultilevel"/>
    <w:lvl w:ilvl="0">
      <w:lvlJc w:val="left"/>
      <w:lvlText w:val="•"/>
      <w:numFmt w:val="bullet"/>
      <w:start w:val="1"/>
    </w:lvl>
  </w:abstractNum>
  <w:abstractNum w:abstractNumId="67">
    <w:nsid w:val="4C9B0904"/>
    <w:multiLevelType w:val="hybridMultilevel"/>
    <w:lvl w:ilvl="0">
      <w:lvlJc w:val="left"/>
      <w:lvlText w:val="•"/>
      <w:numFmt w:val="bullet"/>
      <w:start w:val="1"/>
    </w:lvl>
  </w:abstractNum>
  <w:abstractNum w:abstractNumId="68">
    <w:nsid w:val="6AA7B75C"/>
    <w:multiLevelType w:val="hybridMultilevel"/>
    <w:lvl w:ilvl="0">
      <w:lvlJc w:val="left"/>
      <w:lvlText w:val="•"/>
      <w:numFmt w:val="bullet"/>
      <w:start w:val="1"/>
    </w:lvl>
  </w:abstractNum>
  <w:abstractNum w:abstractNumId="69">
    <w:nsid w:val="1DF029D3"/>
    <w:multiLevelType w:val="hybridMultilevel"/>
    <w:lvl w:ilvl="0">
      <w:lvlJc w:val="left"/>
      <w:lvlText w:val="(%1)"/>
      <w:numFmt w:val="decimal"/>
      <w:start w:val="1"/>
    </w:lvl>
  </w:abstractNum>
  <w:abstractNum w:abstractNumId="70">
    <w:nsid w:val="5675FF36"/>
    <w:multiLevelType w:val="hybridMultilevel"/>
    <w:lvl w:ilvl="0">
      <w:lvlJc w:val="left"/>
      <w:lvlText w:val="•"/>
      <w:numFmt w:val="bullet"/>
      <w:start w:val="1"/>
    </w:lvl>
  </w:abstractNum>
  <w:abstractNum w:abstractNumId="71">
    <w:nsid w:val="3DD15094"/>
    <w:multiLevelType w:val="hybridMultilevel"/>
    <w:lvl w:ilvl="0">
      <w:lvlJc w:val="left"/>
      <w:lvlText w:val="•"/>
      <w:numFmt w:val="bullet"/>
      <w:start w:val="1"/>
    </w:lvl>
  </w:abstractNum>
  <w:abstractNum w:abstractNumId="72">
    <w:nsid w:val="3DB012B3"/>
    <w:multiLevelType w:val="hybridMultilevel"/>
    <w:lvl w:ilvl="0">
      <w:lvlJc w:val="left"/>
      <w:lvlText w:val="•"/>
      <w:numFmt w:val="bullet"/>
      <w:start w:val="1"/>
    </w:lvl>
  </w:abstractNum>
  <w:abstractNum w:abstractNumId="73">
    <w:nsid w:val="2708C9AF"/>
    <w:multiLevelType w:val="hybridMultilevel"/>
    <w:lvl w:ilvl="0">
      <w:lvlJc w:val="left"/>
      <w:lvlText w:val="•"/>
      <w:numFmt w:val="bullet"/>
      <w:start w:val="1"/>
    </w:lvl>
  </w:abstractNum>
  <w:abstractNum w:abstractNumId="74">
    <w:nsid w:val="5B25ACE2"/>
    <w:multiLevelType w:val="hybridMultilevel"/>
    <w:lvl w:ilvl="0">
      <w:lvlJc w:val="left"/>
      <w:lvlText w:val="•"/>
      <w:numFmt w:val="bullet"/>
      <w:start w:val="1"/>
    </w:lvl>
  </w:abstractNum>
  <w:abstractNum w:abstractNumId="75">
    <w:nsid w:val="175DFCF0"/>
    <w:multiLevelType w:val="hybridMultilevel"/>
    <w:lvl w:ilvl="0">
      <w:lvlJc w:val="left"/>
      <w:lvlText w:val="•"/>
      <w:numFmt w:val="bullet"/>
      <w:start w:val="1"/>
    </w:lvl>
  </w:abstractNum>
  <w:abstractNum w:abstractNumId="76">
    <w:nsid w:val="4F97E3E4"/>
    <w:multiLevelType w:val="hybridMultilevel"/>
    <w:lvl w:ilvl="0">
      <w:lvlJc w:val="left"/>
      <w:lvlText w:val="•"/>
      <w:numFmt w:val="bullet"/>
      <w:start w:val="1"/>
    </w:lvl>
  </w:abstractNum>
  <w:abstractNum w:abstractNumId="77">
    <w:nsid w:val="53B0A9E"/>
    <w:multiLevelType w:val="hybridMultilevel"/>
    <w:lvl w:ilvl="0">
      <w:lvlJc w:val="left"/>
      <w:lvlText w:val="•"/>
      <w:numFmt w:val="bullet"/>
      <w:start w:val="1"/>
    </w:lvl>
  </w:abstractNum>
  <w:abstractNum w:abstractNumId="78">
    <w:nsid w:val="34FD6B4F"/>
    <w:multiLevelType w:val="hybridMultilevel"/>
    <w:lvl w:ilvl="0">
      <w:lvlJc w:val="left"/>
      <w:lvlText w:val="•"/>
      <w:numFmt w:val="bullet"/>
      <w:start w:val="1"/>
    </w:lvl>
  </w:abstractNum>
  <w:abstractNum w:abstractNumId="79">
    <w:nsid w:val="5915FF32"/>
    <w:multiLevelType w:val="hybridMultilevel"/>
    <w:lvl w:ilvl="0">
      <w:lvlJc w:val="left"/>
      <w:lvlText w:val="•"/>
      <w:numFmt w:val="bullet"/>
      <w:start w:val="1"/>
    </w:lvl>
  </w:abstractNum>
  <w:abstractNum w:abstractNumId="80">
    <w:nsid w:val="56438D15"/>
    <w:multiLevelType w:val="hybridMultilevel"/>
    <w:lvl w:ilvl="0">
      <w:lvlJc w:val="left"/>
      <w:lvlText w:val="•"/>
      <w:numFmt w:val="bullet"/>
      <w:start w:val="1"/>
    </w:lvl>
  </w:abstractNum>
  <w:abstractNum w:abstractNumId="81">
    <w:nsid w:val="519E3149"/>
    <w:multiLevelType w:val="hybridMultilevel"/>
    <w:lvl w:ilvl="0">
      <w:lvlJc w:val="left"/>
      <w:lvlText w:val="•"/>
      <w:numFmt w:val="bullet"/>
      <w:start w:val="1"/>
    </w:lvl>
  </w:abstractNum>
  <w:abstractNum w:abstractNumId="82">
    <w:nsid w:val="2C6E4AFD"/>
    <w:multiLevelType w:val="hybridMultilevel"/>
    <w:lvl w:ilvl="0">
      <w:lvlJc w:val="left"/>
      <w:lvlText w:val="•"/>
      <w:numFmt w:val="bullet"/>
      <w:start w:val="1"/>
    </w:lvl>
  </w:abstractNum>
  <w:abstractNum w:abstractNumId="83">
    <w:nsid w:val="17A1B582"/>
    <w:multiLevelType w:val="hybridMultilevel"/>
    <w:lvl w:ilvl="0">
      <w:lvlJc w:val="left"/>
      <w:lvlText w:val="•"/>
      <w:numFmt w:val="bullet"/>
      <w:start w:val="1"/>
    </w:lvl>
  </w:abstractNum>
  <w:abstractNum w:abstractNumId="84">
    <w:nsid w:val="4DF72E4E"/>
    <w:multiLevelType w:val="hybridMultilevel"/>
    <w:lvl w:ilvl="0">
      <w:lvlJc w:val="left"/>
      <w:lvlText w:val="•"/>
      <w:numFmt w:val="bullet"/>
      <w:start w:val="1"/>
    </w:lvl>
  </w:abstractNum>
  <w:abstractNum w:abstractNumId="85">
    <w:nsid w:val="5046B5A9"/>
    <w:multiLevelType w:val="hybridMultilevel"/>
    <w:lvl w:ilvl="0">
      <w:lvlJc w:val="left"/>
      <w:lvlText w:val="•"/>
      <w:numFmt w:val="bullet"/>
      <w:start w:val="1"/>
    </w:lvl>
  </w:abstractNum>
  <w:abstractNum w:abstractNumId="86">
    <w:nsid w:val="5D888A08"/>
    <w:multiLevelType w:val="hybridMultilevel"/>
    <w:lvl w:ilvl="0">
      <w:lvlJc w:val="left"/>
      <w:lvlText w:val="(%1)"/>
      <w:numFmt w:val="decimal"/>
      <w:start w:val="1"/>
    </w:lvl>
  </w:abstractNum>
  <w:abstractNum w:abstractNumId="87">
    <w:nsid w:val="2A082C70"/>
    <w:multiLevelType w:val="hybridMultilevel"/>
    <w:lvl w:ilvl="0">
      <w:lvlJc w:val="left"/>
      <w:lvlText w:val="•"/>
      <w:numFmt w:val="bullet"/>
      <w:start w:val="1"/>
    </w:lvl>
  </w:abstractNum>
  <w:abstractNum w:abstractNumId="88">
    <w:nsid w:val="5EC6AFD4"/>
    <w:multiLevelType w:val="hybridMultilevel"/>
    <w:lvl w:ilvl="0">
      <w:lvlJc w:val="left"/>
      <w:lvlText w:val="•"/>
      <w:numFmt w:val="bullet"/>
      <w:start w:val="1"/>
    </w:lvl>
  </w:abstractNum>
  <w:abstractNum w:abstractNumId="89">
    <w:nsid w:val="19E21BB2"/>
    <w:multiLevelType w:val="hybridMultilevel"/>
    <w:lvl w:ilvl="0">
      <w:lvlJc w:val="left"/>
      <w:lvlText w:val="•"/>
      <w:numFmt w:val="bullet"/>
      <w:start w:val="1"/>
    </w:lvl>
  </w:abstractNum>
  <w:abstractNum w:abstractNumId="90">
    <w:nsid w:val="75E0858A"/>
    <w:multiLevelType w:val="hybridMultilevel"/>
    <w:lvl w:ilvl="0">
      <w:lvlJc w:val="left"/>
      <w:lvlText w:val="•"/>
      <w:numFmt w:val="bullet"/>
      <w:start w:val="1"/>
    </w:lvl>
  </w:abstractNum>
  <w:abstractNum w:abstractNumId="91">
    <w:nsid w:val="57A61A29"/>
    <w:multiLevelType w:val="hybridMultilevel"/>
    <w:lvl w:ilvl="0">
      <w:lvlJc w:val="left"/>
      <w:lvlText w:val="(%1)"/>
      <w:numFmt w:val="decimal"/>
      <w:start w:val="1"/>
    </w:lvl>
  </w:abstractNum>
  <w:abstractNum w:abstractNumId="92">
    <w:nsid w:val="5399C654"/>
    <w:multiLevelType w:val="hybridMultilevel"/>
    <w:lvl w:ilvl="0">
      <w:lvlJc w:val="left"/>
      <w:lvlText w:val="•"/>
      <w:numFmt w:val="bullet"/>
      <w:start w:val="1"/>
    </w:lvl>
  </w:abstractNum>
  <w:abstractNum w:abstractNumId="93">
    <w:nsid w:val="20EE1348"/>
    <w:multiLevelType w:val="hybridMultilevel"/>
    <w:lvl w:ilvl="0">
      <w:lvlJc w:val="left"/>
      <w:lvlText w:val="•"/>
      <w:numFmt w:val="bullet"/>
      <w:start w:val="1"/>
    </w:lvl>
  </w:abstractNum>
  <w:abstractNum w:abstractNumId="94">
    <w:nsid w:val="4427069A"/>
    <w:multiLevelType w:val="hybridMultilevel"/>
    <w:lvl w:ilvl="0">
      <w:lvlJc w:val="left"/>
      <w:lvlText w:val="•"/>
      <w:numFmt w:val="bullet"/>
      <w:start w:val="1"/>
    </w:lvl>
  </w:abstractNum>
  <w:abstractNum w:abstractNumId="95">
    <w:nsid w:val="B37E80A"/>
    <w:multiLevelType w:val="hybridMultilevel"/>
    <w:lvl w:ilvl="0">
      <w:lvlJc w:val="left"/>
      <w:lvlText w:val="(%1)"/>
      <w:numFmt w:val="decimal"/>
      <w:start w:val="1"/>
    </w:lvl>
  </w:abstractNum>
  <w:abstractNum w:abstractNumId="96">
    <w:nsid w:val="2157F6BC"/>
    <w:multiLevelType w:val="hybridMultilevel"/>
    <w:lvl w:ilvl="0">
      <w:lvlJc w:val="left"/>
      <w:lvlText w:val="(%1)"/>
      <w:numFmt w:val="decimal"/>
      <w:start w:val="1"/>
    </w:lvl>
  </w:abstractNum>
  <w:abstractNum w:abstractNumId="97">
    <w:nsid w:val="704E1DD5"/>
    <w:multiLevelType w:val="hybridMultilevel"/>
    <w:lvl w:ilvl="0">
      <w:lvlJc w:val="left"/>
      <w:lvlText w:val="•"/>
      <w:numFmt w:val="bullet"/>
      <w:start w:val="1"/>
    </w:lvl>
  </w:abstractNum>
  <w:abstractNum w:abstractNumId="98">
    <w:nsid w:val="57D2F10E"/>
    <w:multiLevelType w:val="hybridMultilevel"/>
    <w:lvl w:ilvl="0">
      <w:lvlJc w:val="left"/>
      <w:lvlText w:val="•"/>
      <w:numFmt w:val="bullet"/>
      <w:start w:val="1"/>
    </w:lvl>
  </w:abstractNum>
  <w:abstractNum w:abstractNumId="99">
    <w:nsid w:val="BFFAE18"/>
    <w:multiLevelType w:val="hybridMultilevel"/>
    <w:lvl w:ilvl="0">
      <w:lvlJc w:val="left"/>
      <w:lvlText w:val="•"/>
      <w:numFmt w:val="bullet"/>
      <w:start w:val="1"/>
    </w:lvl>
  </w:abstractNum>
  <w:abstractNum w:abstractNumId="100">
    <w:nsid w:val="E3E47A8"/>
    <w:multiLevelType w:val="hybridMultilevel"/>
    <w:lvl w:ilvl="0">
      <w:lvlJc w:val="left"/>
      <w:lvlText w:val="•"/>
      <w:numFmt w:val="bullet"/>
      <w:start w:val="1"/>
    </w:lvl>
  </w:abstractNum>
  <w:abstractNum w:abstractNumId="101">
    <w:nsid w:val="2E48F044"/>
    <w:multiLevelType w:val="hybridMultilevel"/>
    <w:lvl w:ilvl="0">
      <w:lvlJc w:val="left"/>
      <w:lvlText w:val="•"/>
      <w:numFmt w:val="bullet"/>
      <w:start w:val="1"/>
    </w:lvl>
  </w:abstractNum>
  <w:abstractNum w:abstractNumId="102">
    <w:nsid w:val="49D0FEAC"/>
    <w:multiLevelType w:val="hybridMultilevel"/>
    <w:lvl w:ilvl="0">
      <w:lvlJc w:val="left"/>
      <w:lvlText w:val="(%1)"/>
      <w:numFmt w:val="decimal"/>
      <w:start w:val="2"/>
    </w:lvl>
  </w:abstractNum>
  <w:abstractNum w:abstractNumId="103">
    <w:nsid w:val="4BEE5A5B"/>
    <w:multiLevelType w:val="hybridMultilevel"/>
    <w:lvl w:ilvl="0">
      <w:lvlJc w:val="left"/>
      <w:lvlText w:val="•"/>
      <w:numFmt w:val="bullet"/>
      <w:start w:val="1"/>
    </w:lvl>
  </w:abstractNum>
  <w:abstractNum w:abstractNumId="104">
    <w:nsid w:val="5551B9F3"/>
    <w:multiLevelType w:val="hybridMultilevel"/>
    <w:lvl w:ilvl="0">
      <w:lvlJc w:val="left"/>
      <w:lvlText w:val="•"/>
      <w:numFmt w:val="bullet"/>
      <w:start w:val="1"/>
    </w:lvl>
  </w:abstractNum>
  <w:abstractNum w:abstractNumId="105">
    <w:nsid w:val="24F6AB8E"/>
    <w:multiLevelType w:val="hybridMultilevel"/>
    <w:lvl w:ilvl="0">
      <w:lvlJc w:val="left"/>
      <w:lvlText w:val="•"/>
      <w:numFmt w:val="bullet"/>
      <w:start w:val="1"/>
    </w:lvl>
  </w:abstractNum>
  <w:abstractNum w:abstractNumId="106">
    <w:nsid w:val="634C574C"/>
    <w:multiLevelType w:val="hybridMultilevel"/>
    <w:lvl w:ilvl="0">
      <w:lvlJc w:val="left"/>
      <w:lvlText w:val="(%1)"/>
      <w:numFmt w:val="decimal"/>
      <w:start w:val="1"/>
    </w:lvl>
  </w:abstractNum>
  <w:abstractNum w:abstractNumId="107">
    <w:nsid w:val="24E99DD7"/>
    <w:multiLevelType w:val="hybridMultilevel"/>
    <w:lvl w:ilvl="0">
      <w:lvlJc w:val="left"/>
      <w:lvlText w:val="•"/>
      <w:numFmt w:val="bullet"/>
      <w:start w:val="1"/>
    </w:lvl>
  </w:abstractNum>
  <w:abstractNum w:abstractNumId="108">
    <w:nsid w:val="2A31B62D"/>
    <w:multiLevelType w:val="hybridMultilevel"/>
    <w:lvl w:ilvl="0">
      <w:lvlJc w:val="left"/>
      <w:lvlText w:val="•"/>
      <w:numFmt w:val="bullet"/>
      <w:start w:val="1"/>
    </w:lvl>
  </w:abstractNum>
  <w:abstractNum w:abstractNumId="109">
    <w:nsid w:val="1849C29B"/>
    <w:multiLevelType w:val="hybridMultilevel"/>
    <w:lvl w:ilvl="0">
      <w:lvlJc w:val="left"/>
      <w:lvlText w:val="•"/>
      <w:numFmt w:val="bullet"/>
      <w:start w:val="1"/>
    </w:lvl>
  </w:abstractNum>
  <w:abstractNum w:abstractNumId="110">
    <w:nsid w:val="7DFF9D09"/>
    <w:multiLevelType w:val="hybridMultilevel"/>
    <w:lvl w:ilvl="0">
      <w:lvlJc w:val="left"/>
      <w:lvlText w:val="*"/>
      <w:numFmt w:val="bullet"/>
      <w:start w:val="1"/>
    </w:lvl>
  </w:abstractNum>
  <w:abstractNum w:abstractNumId="111">
    <w:nsid w:val="754342"/>
    <w:multiLevelType w:val="hybridMultilevel"/>
    <w:lvl w:ilvl="0">
      <w:lvlJc w:val="left"/>
      <w:lvlText w:val="(%1)"/>
      <w:numFmt w:val="decimal"/>
      <w:start w:val="1"/>
    </w:lvl>
  </w:abstractNum>
  <w:abstractNum w:abstractNumId="112">
    <w:nsid w:val="69E7F3E5"/>
    <w:multiLevelType w:val="hybridMultilevel"/>
    <w:lvl w:ilvl="0">
      <w:lvlJc w:val="left"/>
      <w:lvlText w:val="(%1)"/>
      <w:numFmt w:val="decimal"/>
      <w:start w:val="6"/>
    </w:lvl>
  </w:abstractNum>
  <w:abstractNum w:abstractNumId="113">
    <w:nsid w:val="2A6DE806"/>
    <w:multiLevelType w:val="hybridMultilevel"/>
    <w:lvl w:ilvl="0">
      <w:lvlJc w:val="left"/>
      <w:lvlText w:val="•"/>
      <w:numFmt w:val="bullet"/>
      <w:start w:val="1"/>
    </w:lvl>
  </w:abstractNum>
  <w:abstractNum w:abstractNumId="114">
    <w:nsid w:val="1816F8C4"/>
    <w:multiLevelType w:val="hybridMultilevel"/>
    <w:lvl w:ilvl="0">
      <w:lvlJc w:val="left"/>
      <w:lvlText w:val="•"/>
      <w:numFmt w:val="bullet"/>
      <w:start w:val="1"/>
    </w:lvl>
  </w:abstractNum>
  <w:abstractNum w:abstractNumId="115">
    <w:nsid w:val="37DF2233"/>
    <w:multiLevelType w:val="hybridMultilevel"/>
    <w:lvl w:ilvl="0">
      <w:lvlJc w:val="left"/>
      <w:lvlText w:val="•"/>
      <w:numFmt w:val="bullet"/>
      <w:start w:val="1"/>
    </w:lvl>
  </w:abstractNum>
  <w:abstractNum w:abstractNumId="116">
    <w:nsid w:val="7AB49DAF"/>
    <w:multiLevelType w:val="hybridMultilevel"/>
    <w:lvl w:ilvl="0">
      <w:lvlJc w:val="left"/>
      <w:lvlText w:val="•"/>
      <w:numFmt w:val="bullet"/>
      <w:start w:val="1"/>
    </w:lvl>
  </w:abstractNum>
  <w:abstractNum w:abstractNumId="117">
    <w:nsid w:val="759F82CD"/>
    <w:multiLevelType w:val="hybridMultilevel"/>
    <w:lvl w:ilvl="0">
      <w:lvlJc w:val="left"/>
      <w:lvlText w:val="•"/>
      <w:numFmt w:val="bullet"/>
      <w:start w:val="1"/>
    </w:lvl>
  </w:abstractNum>
  <w:abstractNum w:abstractNumId="118">
    <w:nsid w:val="61E74EA3"/>
    <w:multiLevelType w:val="hybridMultilevel"/>
    <w:lvl w:ilvl="0">
      <w:lvlJc w:val="left"/>
      <w:lvlText w:val="•"/>
      <w:numFmt w:val="bullet"/>
      <w:start w:val="1"/>
    </w:lvl>
  </w:abstractNum>
  <w:abstractNum w:abstractNumId="119">
    <w:nsid w:val="597B4D84"/>
    <w:multiLevelType w:val="hybridMultilevel"/>
    <w:lvl w:ilvl="0">
      <w:lvlJc w:val="left"/>
      <w:lvlText w:val="•"/>
      <w:numFmt w:val="bullet"/>
      <w:start w:val="1"/>
    </w:lvl>
  </w:abstractNum>
  <w:abstractNum w:abstractNumId="120">
    <w:nsid w:val="F819E7F"/>
    <w:multiLevelType w:val="hybridMultilevel"/>
    <w:lvl w:ilvl="0">
      <w:lvlJc w:val="left"/>
      <w:lvlText w:val="•"/>
      <w:numFmt w:val="bullet"/>
      <w:start w:val="1"/>
    </w:lvl>
  </w:abstractNum>
  <w:abstractNum w:abstractNumId="121">
    <w:nsid w:val="57C7D42D"/>
    <w:multiLevelType w:val="hybridMultilevel"/>
    <w:lvl w:ilvl="0">
      <w:lvlJc w:val="left"/>
      <w:lvlText w:val="•"/>
      <w:numFmt w:val="bullet"/>
      <w:start w:val="1"/>
    </w:lvl>
  </w:abstractNum>
  <w:abstractNum w:abstractNumId="122">
    <w:nsid w:val="312167AD"/>
    <w:multiLevelType w:val="hybridMultilevel"/>
    <w:lvl w:ilvl="0">
      <w:lvlJc w:val="left"/>
      <w:lvlText w:val="•"/>
      <w:numFmt w:val="bullet"/>
      <w:start w:val="1"/>
    </w:lvl>
  </w:abstractNum>
  <w:abstractNum w:abstractNumId="123">
    <w:nsid w:val="631B64D4"/>
    <w:multiLevelType w:val="hybridMultilevel"/>
    <w:lvl w:ilvl="0">
      <w:lvlJc w:val="left"/>
      <w:lvlText w:val="•"/>
      <w:numFmt w:val="bullet"/>
      <w:start w:val="1"/>
    </w:lvl>
  </w:abstractNum>
  <w:abstractNum w:abstractNumId="124">
    <w:nsid w:val="78B5E776"/>
    <w:multiLevelType w:val="hybridMultilevel"/>
    <w:lvl w:ilvl="0">
      <w:lvlJc w:val="left"/>
      <w:lvlText w:val="%1."/>
      <w:numFmt w:val="decimal"/>
      <w:start w:val="1"/>
    </w:lvl>
  </w:abstractNum>
  <w:abstractNum w:abstractNumId="125">
    <w:nsid w:val="75486E47"/>
    <w:multiLevelType w:val="hybridMultilevel"/>
    <w:lvl w:ilvl="0">
      <w:lvlJc w:val="left"/>
      <w:lvlText w:val="%1."/>
      <w:numFmt w:val="decimal"/>
      <w:start w:val="2"/>
    </w:lvl>
  </w:abstractNum>
  <w:abstractNum w:abstractNumId="126">
    <w:nsid w:val="6E534CDE"/>
    <w:multiLevelType w:val="hybridMultilevel"/>
    <w:lvl w:ilvl="0">
      <w:lvlJc w:val="left"/>
      <w:lvlText w:val="%1."/>
      <w:numFmt w:val="decimal"/>
      <w:start w:val="3"/>
    </w:lvl>
  </w:abstractNum>
  <w:abstractNum w:abstractNumId="127">
    <w:nsid w:val="1A0DDE32"/>
    <w:multiLevelType w:val="hybridMultilevel"/>
    <w:lvl w:ilvl="0">
      <w:lvlJc w:val="left"/>
      <w:lvlText w:val="%1."/>
      <w:numFmt w:val="decimal"/>
      <w:start w:val="4"/>
    </w:lvl>
  </w:abstractNum>
  <w:abstractNum w:abstractNumId="128">
    <w:nsid w:val="65968C1C"/>
    <w:multiLevelType w:val="hybridMultilevel"/>
    <w:lvl w:ilvl="0">
      <w:lvlJc w:val="left"/>
      <w:lvlText w:val="%1."/>
      <w:numFmt w:val="decimal"/>
      <w:start w:val="5"/>
    </w:lvl>
  </w:abstractNum>
  <w:abstractNum w:abstractNumId="129">
    <w:nsid w:val="46263DEC"/>
    <w:multiLevelType w:val="hybridMultilevel"/>
    <w:lvl w:ilvl="0">
      <w:lvlJc w:val="left"/>
      <w:lvlText w:val="%1."/>
      <w:numFmt w:val="decimal"/>
      <w:start w:val="6"/>
    </w:lvl>
  </w:abstractNum>
  <w:abstractNum w:abstractNumId="130">
    <w:nsid w:val="260D8C4A"/>
    <w:multiLevelType w:val="hybridMultilevel"/>
    <w:lvl w:ilvl="0">
      <w:lvlJc w:val="left"/>
      <w:lvlText w:val="%1."/>
      <w:numFmt w:val="decimal"/>
      <w:start w:val="7"/>
    </w:lvl>
  </w:abstractNum>
  <w:abstractNum w:abstractNumId="131">
    <w:nsid w:val="73D4D3C4"/>
    <w:multiLevelType w:val="hybridMultilevel"/>
    <w:lvl w:ilvl="0">
      <w:lvlJc w:val="left"/>
      <w:lvlText w:val="•"/>
      <w:numFmt w:val="bullet"/>
      <w:start w:val="1"/>
    </w:lvl>
  </w:abstractNum>
  <w:abstractNum w:abstractNumId="132">
    <w:nsid w:val="746F2E30"/>
    <w:multiLevelType w:val="hybridMultilevel"/>
    <w:lvl w:ilvl="0">
      <w:lvlJc w:val="left"/>
      <w:lvlText w:val="•"/>
      <w:numFmt w:val="bullet"/>
      <w:start w:val="1"/>
    </w:lvl>
  </w:abstractNum>
  <w:abstractNum w:abstractNumId="133">
    <w:nsid w:val="6FDE8AF6"/>
    <w:multiLevelType w:val="hybridMultilevel"/>
    <w:lvl w:ilvl="0">
      <w:lvlJc w:val="left"/>
      <w:lvlText w:val="%1."/>
      <w:numFmt w:val="decimal"/>
      <w:start w:val="8"/>
    </w:lvl>
  </w:abstractNum>
  <w:abstractNum w:abstractNumId="134">
    <w:nsid w:val="3FC32E20"/>
    <w:multiLevelType w:val="hybridMultilevel"/>
    <w:lvl w:ilvl="0">
      <w:lvlJc w:val="left"/>
      <w:lvlText w:val="%1."/>
      <w:numFmt w:val="decimal"/>
      <w:start w:val="9"/>
    </w:lvl>
  </w:abstractNum>
  <w:abstractNum w:abstractNumId="135">
    <w:nsid w:val="49C0E823"/>
    <w:multiLevelType w:val="hybridMultilevel"/>
    <w:lvl w:ilvl="0">
      <w:lvlJc w:val="left"/>
      <w:lvlText w:val="%1."/>
      <w:numFmt w:val="decimal"/>
      <w:start w:val="10"/>
    </w:lvl>
  </w:abstractNum>
  <w:abstractNum w:abstractNumId="136">
    <w:nsid w:val="14D53685"/>
    <w:multiLevelType w:val="hybridMultilevel"/>
    <w:lvl w:ilvl="0">
      <w:lvlJc w:val="left"/>
      <w:lvlText w:val="%1."/>
      <w:numFmt w:val="decimal"/>
      <w:start w:val="11"/>
    </w:lvl>
  </w:abstractNum>
  <w:abstractNum w:abstractNumId="137">
    <w:nsid w:val="230F856C"/>
    <w:multiLevelType w:val="hybridMultilevel"/>
    <w:lvl w:ilvl="0">
      <w:lvlJc w:val="left"/>
      <w:lvlText w:val="%1."/>
      <w:numFmt w:val="decimal"/>
      <w:start w:val="12"/>
    </w:lvl>
  </w:abstractNum>
  <w:abstractNum w:abstractNumId="138">
    <w:nsid w:val="6EAA85FB"/>
    <w:multiLevelType w:val="hybridMultilevel"/>
    <w:lvl w:ilvl="0">
      <w:lvlJc w:val="left"/>
      <w:lvlText w:val="•"/>
      <w:numFmt w:val="bullet"/>
      <w:start w:val="1"/>
    </w:lvl>
  </w:abstractNum>
  <w:abstractNum w:abstractNumId="139">
    <w:nsid w:val="3F06ECB2"/>
    <w:multiLevelType w:val="hybridMultilevel"/>
    <w:lvl w:ilvl="0">
      <w:lvlJc w:val="left"/>
      <w:lvlText w:val="•"/>
      <w:numFmt w:val="bullet"/>
      <w:start w:val="1"/>
    </w:lvl>
  </w:abstractNum>
  <w:abstractNum w:abstractNumId="140">
    <w:nsid w:val="3B594807"/>
    <w:multiLevelType w:val="hybridMultilevel"/>
    <w:lvl w:ilvl="0">
      <w:lvlJc w:val="left"/>
      <w:lvlText w:val="%1."/>
      <w:numFmt w:val="decimal"/>
      <w:start w:val="13"/>
    </w:lvl>
  </w:abstractNum>
  <w:abstractNum w:abstractNumId="141">
    <w:nsid w:val="6CAA2304"/>
    <w:multiLevelType w:val="hybridMultilevel"/>
    <w:lvl w:ilvl="0">
      <w:lvlJc w:val="left"/>
      <w:lvlText w:val="%1."/>
      <w:numFmt w:val="decimal"/>
      <w:start w:val="14"/>
    </w:lvl>
  </w:abstractNum>
  <w:abstractNum w:abstractNumId="142">
    <w:nsid w:val="3F7C2FF4"/>
    <w:multiLevelType w:val="hybridMultilevel"/>
    <w:lvl w:ilvl="0">
      <w:lvlJc w:val="left"/>
      <w:lvlText w:val="%1."/>
      <w:numFmt w:val="decimal"/>
      <w:start w:val="15"/>
    </w:lvl>
  </w:abstractNum>
  <w:abstractNum w:abstractNumId="143">
    <w:nsid w:val="25413BEC"/>
    <w:multiLevelType w:val="hybridMultilevel"/>
    <w:lvl w:ilvl="0">
      <w:lvlJc w:val="left"/>
      <w:lvlText w:val="%1."/>
      <w:numFmt w:val="decimal"/>
      <w:start w:val="16"/>
    </w:lvl>
  </w:abstractNum>
  <w:abstractNum w:abstractNumId="144">
    <w:nsid w:val="17180B0B"/>
    <w:multiLevelType w:val="hybridMultilevel"/>
    <w:lvl w:ilvl="0">
      <w:lvlJc w:val="left"/>
      <w:lvlText w:val="%1."/>
      <w:numFmt w:val="decimal"/>
      <w:start w:val="17"/>
    </w:lvl>
  </w:abstractNum>
  <w:abstractNum w:abstractNumId="145">
    <w:nsid w:val="579328B9"/>
    <w:multiLevelType w:val="hybridMultilevel"/>
    <w:lvl w:ilvl="0">
      <w:lvlJc w:val="left"/>
      <w:lvlText w:val="(%1)"/>
      <w:numFmt w:val="lowerLetter"/>
      <w:start w:val="1"/>
    </w:lvl>
  </w:abstractNum>
  <w:abstractNum w:abstractNumId="146">
    <w:nsid w:val="5D205E20"/>
    <w:multiLevelType w:val="hybridMultilevel"/>
    <w:lvl w:ilvl="0">
      <w:lvlJc w:val="left"/>
      <w:lvlText w:val="(%1)"/>
      <w:numFmt w:val="lowerLetter"/>
      <w:start w:val="2"/>
    </w:lvl>
  </w:abstractNum>
  <w:abstractNum w:abstractNumId="147">
    <w:nsid w:val="11CCA8BA"/>
    <w:multiLevelType w:val="hybridMultilevel"/>
    <w:lvl w:ilvl="0">
      <w:lvlJc w:val="left"/>
      <w:lvlText w:val="(%1)"/>
      <w:numFmt w:val="lowerLetter"/>
      <w:start w:val="3"/>
    </w:lvl>
  </w:abstractNum>
  <w:abstractNum w:abstractNumId="148">
    <w:nsid w:val="4D32AB86"/>
    <w:multiLevelType w:val="hybridMultilevel"/>
    <w:lvl w:ilvl="0">
      <w:lvlJc w:val="left"/>
      <w:lvlText w:val="(%1)"/>
      <w:numFmt w:val="lowerLetter"/>
      <w:start w:val="4"/>
    </w:lvl>
  </w:abstractNum>
  <w:abstractNum w:abstractNumId="149">
    <w:nsid w:val="3F07ACC3"/>
    <w:multiLevelType w:val="hybridMultilevel"/>
    <w:lvl w:ilvl="0">
      <w:lvlJc w:val="left"/>
      <w:lvlText w:val="(%1)"/>
      <w:numFmt w:val="lowerLetter"/>
      <w:start w:val="5"/>
    </w:lvl>
  </w:abstractNum>
  <w:abstractNum w:abstractNumId="150">
    <w:nsid w:val="6B47F63E"/>
    <w:multiLevelType w:val="hybridMultilevel"/>
    <w:lvl w:ilvl="0">
      <w:lvlJc w:val="left"/>
      <w:lvlText w:val="(%1)"/>
      <w:numFmt w:val="lowerLetter"/>
      <w:start w:val="6"/>
    </w:lvl>
  </w:abstractNum>
  <w:abstractNum w:abstractNumId="151">
    <w:nsid w:val="5CB44A05"/>
    <w:multiLevelType w:val="hybridMultilevel"/>
    <w:lvl w:ilvl="0">
      <w:lvlJc w:val="left"/>
      <w:lvlText w:val="(%1)"/>
      <w:numFmt w:val="lowerLetter"/>
      <w:start w:val="7"/>
    </w:lvl>
  </w:abstractNum>
  <w:abstractNum w:abstractNumId="152">
    <w:nsid w:val="16CF80F1"/>
    <w:multiLevelType w:val="hybridMultilevel"/>
    <w:lvl w:ilvl="0">
      <w:lvlJc w:val="left"/>
      <w:lvlText w:val="(%1)"/>
      <w:numFmt w:val="lowerLetter"/>
      <w:start w:val="8"/>
    </w:lvl>
  </w:abstractNum>
  <w:abstractNum w:abstractNumId="153">
    <w:nsid w:val="1C695DEC"/>
    <w:multiLevelType w:val="hybridMultilevel"/>
    <w:lvl w:ilvl="0">
      <w:lvlJc w:val="left"/>
      <w:lvlText w:val="(%1)"/>
      <w:numFmt w:val="lowerRoman"/>
      <w:start w:val="1"/>
    </w:lvl>
  </w:abstractNum>
  <w:abstractNum w:abstractNumId="154">
    <w:nsid w:val="3FCFAED9"/>
    <w:multiLevelType w:val="hybridMultilevel"/>
    <w:lvl w:ilvl="0">
      <w:lvlJc w:val="left"/>
      <w:lvlText w:val="%1."/>
      <w:numFmt w:val="decimal"/>
      <w:start w:val="1"/>
    </w:lvl>
  </w:abstractNum>
  <w:abstractNum w:abstractNumId="155">
    <w:nsid w:val="F856867"/>
    <w:multiLevelType w:val="hybridMultilevel"/>
    <w:lvl w:ilvl="0">
      <w:lvlJc w:val="left"/>
      <w:lvlText w:val="%1."/>
      <w:numFmt w:val="decimal"/>
      <w:start w:val="2"/>
    </w:lvl>
  </w:abstractNum>
  <w:abstractNum w:abstractNumId="156">
    <w:nsid w:val="11B1CC33"/>
    <w:multiLevelType w:val="hybridMultilevel"/>
    <w:lvl w:ilvl="0">
      <w:lvlJc w:val="left"/>
      <w:lvlText w:val="%1)"/>
      <w:numFmt w:val="decimal"/>
      <w:start w:val="3"/>
    </w:lvl>
  </w:abstractNum>
  <w:abstractNum w:abstractNumId="157">
    <w:nsid w:val="2E22FBB7"/>
    <w:multiLevelType w:val="hybridMultilevel"/>
    <w:lvl w:ilvl="0">
      <w:lvlJc w:val="left"/>
      <w:lvlText w:val="%1."/>
      <w:numFmt w:val="decimal"/>
      <w:start w:val="4"/>
    </w:lvl>
  </w:abstractNum>
  <w:abstractNum w:abstractNumId="158">
    <w:nsid w:val="29934699"/>
    <w:multiLevelType w:val="hybridMultilevel"/>
    <w:lvl w:ilvl="0">
      <w:lvlJc w:val="left"/>
      <w:lvlText w:val="%1."/>
      <w:numFmt w:val="decimal"/>
      <w:start w:val="5"/>
    </w:lvl>
  </w:abstractNum>
  <w:abstractNum w:abstractNumId="159">
    <w:nsid w:val="77485850"/>
    <w:multiLevelType w:val="hybridMultilevel"/>
    <w:lvl w:ilvl="0">
      <w:lvlJc w:val="left"/>
      <w:lvlText w:val="%1."/>
      <w:numFmt w:val="decimal"/>
      <w:start w:val="6"/>
    </w:lvl>
  </w:abstractNum>
  <w:abstractNum w:abstractNumId="160">
    <w:nsid w:val="744939A3"/>
    <w:multiLevelType w:val="hybridMultilevel"/>
    <w:lvl w:ilvl="0">
      <w:lvlJc w:val="left"/>
      <w:lvlText w:val="•"/>
      <w:numFmt w:val="bullet"/>
      <w:start w:val="1"/>
    </w:lvl>
  </w:abstractNum>
  <w:abstractNum w:abstractNumId="161">
    <w:nsid w:val="4FA0D2E3"/>
    <w:multiLevelType w:val="hybridMultilevel"/>
    <w:lvl w:ilvl="0">
      <w:lvlJc w:val="left"/>
      <w:lvlText w:val="•"/>
      <w:numFmt w:val="bullet"/>
      <w:start w:val="1"/>
    </w:lvl>
  </w:abstractNum>
  <w:abstractNum w:abstractNumId="162">
    <w:nsid w:val="6B1D2C14"/>
    <w:multiLevelType w:val="hybridMultilevel"/>
    <w:lvl w:ilvl="0">
      <w:lvlJc w:val="left"/>
      <w:lvlText w:val="%1."/>
      <w:numFmt w:val="decimal"/>
      <w:start w:val="7"/>
    </w:lvl>
  </w:abstractNum>
  <w:abstractNum w:abstractNumId="163">
    <w:nsid w:val="68B867D3"/>
    <w:multiLevelType w:val="hybridMultilevel"/>
    <w:lvl w:ilvl="0">
      <w:lvlJc w:val="left"/>
      <w:lvlText w:val="%1."/>
      <w:numFmt w:val="decimal"/>
      <w:start w:val="8"/>
    </w:lvl>
  </w:abstractNum>
  <w:abstractNum w:abstractNumId="164">
    <w:nsid w:val="3F7F5DD9"/>
    <w:multiLevelType w:val="hybridMultilevel"/>
    <w:lvl w:ilvl="0">
      <w:lvlJc w:val="left"/>
      <w:lvlText w:val="%1."/>
      <w:numFmt w:val="decimal"/>
      <w:start w:val="9"/>
    </w:lvl>
  </w:abstractNum>
  <w:abstractNum w:abstractNumId="165">
    <w:nsid w:val="2AE05A34"/>
    <w:multiLevelType w:val="hybridMultilevel"/>
    <w:lvl w:ilvl="0">
      <w:lvlJc w:val="left"/>
      <w:lvlText w:val="%1."/>
      <w:numFmt w:val="decimal"/>
      <w:start w:val="10"/>
    </w:lvl>
  </w:abstractNum>
  <w:abstractNum w:abstractNumId="166">
    <w:nsid w:val="32794FF7"/>
    <w:multiLevelType w:val="hybridMultilevel"/>
    <w:lvl w:ilvl="0">
      <w:lvlJc w:val="left"/>
      <w:lvlText w:val="%1."/>
      <w:numFmt w:val="decimal"/>
      <w:start w:val="11"/>
    </w:lvl>
  </w:abstractNum>
  <w:abstractNum w:abstractNumId="167">
    <w:nsid w:val="5454945E"/>
    <w:multiLevelType w:val="hybridMultilevel"/>
    <w:lvl w:ilvl="0">
      <w:lvlJc w:val="left"/>
      <w:lvlText w:val="•"/>
      <w:numFmt w:val="bullet"/>
      <w:start w:val="1"/>
    </w:lvl>
  </w:abstractNum>
  <w:abstractNum w:abstractNumId="168">
    <w:nsid w:val="4DEFDFA0"/>
    <w:multiLevelType w:val="hybridMultilevel"/>
    <w:lvl w:ilvl="0">
      <w:lvlJc w:val="left"/>
      <w:lvlText w:val="%1."/>
      <w:numFmt w:val="decimal"/>
      <w:start w:val="12"/>
    </w:lvl>
  </w:abstractNum>
  <w:abstractNum w:abstractNumId="169">
    <w:nsid w:val="2123D5F2"/>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2021-01-21T15:23:09Z</dcterms:created>
  <dcterms:modified xsi:type="dcterms:W3CDTF">2021-01-21T15:23:09Z</dcterms:modified>
</cp:coreProperties>
</file>