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120"/>
        <w:spacing w:after="0"/>
        <w:rPr>
          <w:sz w:val="20"/>
          <w:szCs w:val="20"/>
          <w:color w:val="auto"/>
        </w:rPr>
      </w:pPr>
      <w:r>
        <w:rPr>
          <w:rFonts w:ascii="Arial" w:cs="Arial" w:eastAsia="Arial" w:hAnsi="Arial"/>
          <w:sz w:val="12"/>
          <w:szCs w:val="12"/>
          <w:color w:val="003D4C"/>
        </w:rPr>
        <w:t>Wilson Sonsini Goodrich &amp; Rosati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088390"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8390" cy="403225"/>
                    </a:xfrm>
                    <a:prstGeom prst="rect">
                      <a:avLst/>
                    </a:prstGeom>
                    <a:noFill/>
                  </pic:spPr>
                </pic:pic>
              </a:graphicData>
            </a:graphic>
          </wp:anchor>
        </w:drawing>
      </w:r>
    </w:p>
    <w:p>
      <w:pPr>
        <w:spacing w:after="0" w:line="3" w:lineRule="exact"/>
        <w:rPr>
          <w:sz w:val="24"/>
          <w:szCs w:val="24"/>
          <w:color w:val="auto"/>
        </w:rPr>
      </w:pPr>
    </w:p>
    <w:p>
      <w:pPr>
        <w:ind w:left="8120"/>
        <w:spacing w:after="0"/>
        <w:rPr>
          <w:sz w:val="20"/>
          <w:szCs w:val="20"/>
          <w:color w:val="auto"/>
        </w:rPr>
      </w:pPr>
      <w:r>
        <w:rPr>
          <w:rFonts w:ascii="Arial" w:cs="Arial" w:eastAsia="Arial" w:hAnsi="Arial"/>
          <w:sz w:val="14"/>
          <w:szCs w:val="14"/>
          <w:color w:val="003D4C"/>
        </w:rPr>
        <w:t>Professional Corporation</w:t>
      </w:r>
    </w:p>
    <w:p>
      <w:pPr>
        <w:spacing w:after="0" w:line="83" w:lineRule="exact"/>
        <w:rPr>
          <w:sz w:val="24"/>
          <w:szCs w:val="24"/>
          <w:color w:val="auto"/>
        </w:rPr>
      </w:pPr>
    </w:p>
    <w:p>
      <w:pPr>
        <w:ind w:left="8120"/>
        <w:spacing w:after="0"/>
        <w:rPr>
          <w:sz w:val="20"/>
          <w:szCs w:val="20"/>
          <w:color w:val="auto"/>
        </w:rPr>
      </w:pPr>
      <w:r>
        <w:rPr>
          <w:rFonts w:ascii="Arial" w:cs="Arial" w:eastAsia="Arial" w:hAnsi="Arial"/>
          <w:sz w:val="14"/>
          <w:szCs w:val="14"/>
          <w:color w:val="003D4C"/>
        </w:rPr>
        <w:t>650 Page Mill Road</w:t>
      </w:r>
    </w:p>
    <w:p>
      <w:pPr>
        <w:ind w:left="8120"/>
        <w:spacing w:after="0"/>
        <w:rPr>
          <w:sz w:val="20"/>
          <w:szCs w:val="20"/>
          <w:color w:val="auto"/>
        </w:rPr>
      </w:pPr>
      <w:r>
        <w:rPr>
          <w:rFonts w:ascii="Arial" w:cs="Arial" w:eastAsia="Arial" w:hAnsi="Arial"/>
          <w:sz w:val="13"/>
          <w:szCs w:val="13"/>
          <w:color w:val="003D4C"/>
        </w:rPr>
        <w:t>Palo Alto, California 94304-1050</w:t>
      </w:r>
    </w:p>
    <w:p>
      <w:pPr>
        <w:spacing w:after="0" w:line="95" w:lineRule="exact"/>
        <w:rPr>
          <w:sz w:val="24"/>
          <w:szCs w:val="24"/>
          <w:color w:val="auto"/>
        </w:rPr>
      </w:pPr>
    </w:p>
    <w:p>
      <w:pPr>
        <w:ind w:left="8120"/>
        <w:spacing w:after="0"/>
        <w:rPr>
          <w:sz w:val="20"/>
          <w:szCs w:val="20"/>
          <w:color w:val="auto"/>
        </w:rPr>
      </w:pPr>
      <w:r>
        <w:rPr>
          <w:rFonts w:ascii="Arial" w:cs="Arial" w:eastAsia="Arial" w:hAnsi="Arial"/>
          <w:sz w:val="14"/>
          <w:szCs w:val="14"/>
          <w:color w:val="003D4C"/>
        </w:rPr>
        <w:t>o: 650.493.9300</w:t>
      </w:r>
    </w:p>
    <w:p>
      <w:pPr>
        <w:ind w:left="8120"/>
        <w:spacing w:after="0"/>
        <w:rPr>
          <w:sz w:val="20"/>
          <w:szCs w:val="20"/>
          <w:color w:val="auto"/>
        </w:rPr>
      </w:pPr>
      <w:r>
        <w:rPr>
          <w:rFonts w:ascii="Arial" w:cs="Arial" w:eastAsia="Arial" w:hAnsi="Arial"/>
          <w:sz w:val="14"/>
          <w:szCs w:val="14"/>
          <w:color w:val="003D4C"/>
        </w:rPr>
        <w:t>f: 650.493.6811</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September 17, 2020</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Via EDGAR and Courier</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20"/>
          <w:szCs w:val="20"/>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Office of Life Sciences</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ectPr>
          <w:pgSz w:w="11900" w:h="16838" w:orient="portrait"/>
          <w:cols w:equalWidth="0" w:num="1">
            <w:col w:w="11260"/>
          </w:cols>
          <w:pgMar w:left="320" w:top="337" w:right="319" w:bottom="1440" w:gutter="0" w:footer="0" w:header="0"/>
        </w:sectPr>
      </w:pP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Attention: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20"/>
          <w:szCs w:val="20"/>
          <w:color w:val="auto"/>
        </w:rPr>
        <w:t>Michael Fay</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20"/>
          <w:szCs w:val="20"/>
          <w:color w:val="auto"/>
        </w:rPr>
        <w:t>Daniel Gordon</w:t>
      </w:r>
    </w:p>
    <w:p>
      <w:pPr>
        <w:ind w:left="20"/>
        <w:spacing w:after="0"/>
        <w:rPr>
          <w:sz w:val="20"/>
          <w:szCs w:val="20"/>
          <w:color w:val="auto"/>
        </w:rPr>
      </w:pPr>
      <w:r>
        <w:rPr>
          <w:rFonts w:ascii="Arial" w:cs="Arial" w:eastAsia="Arial" w:hAnsi="Arial"/>
          <w:sz w:val="19"/>
          <w:szCs w:val="19"/>
          <w:color w:val="auto"/>
        </w:rPr>
        <w:t>Deanna Virginio</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6"/>
          <w:szCs w:val="16"/>
          <w:color w:val="auto"/>
        </w:rPr>
        <w:t>Ada D. Sarmento</w:t>
      </w:r>
    </w:p>
    <w:p>
      <w:pPr>
        <w:spacing w:after="0" w:line="200" w:lineRule="exact"/>
        <w:rPr>
          <w:sz w:val="24"/>
          <w:szCs w:val="24"/>
          <w:color w:val="auto"/>
        </w:rPr>
      </w:pPr>
    </w:p>
    <w:p>
      <w:pPr>
        <w:sectPr>
          <w:pgSz w:w="11900" w:h="16838" w:orient="portrait"/>
          <w:cols w:equalWidth="0" w:num="2">
            <w:col w:w="1000" w:space="720"/>
            <w:col w:w="9540"/>
          </w:cols>
          <w:pgMar w:left="320" w:top="337" w:right="319" w:bottom="1440" w:gutter="0" w:footer="0" w:header="0"/>
          <w:type w:val="continuous"/>
        </w:sectPr>
      </w:pP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Athira Pharma, Inc.</w:t>
      </w:r>
    </w:p>
    <w:p>
      <w:pPr>
        <w:spacing w:after="0" w:line="21" w:lineRule="exact"/>
        <w:rPr>
          <w:sz w:val="24"/>
          <w:szCs w:val="24"/>
          <w:color w:val="auto"/>
        </w:rPr>
      </w:pPr>
    </w:p>
    <w:p>
      <w:pPr>
        <w:ind w:left="140"/>
        <w:spacing w:after="0"/>
        <w:rPr>
          <w:sz w:val="20"/>
          <w:szCs w:val="20"/>
          <w:color w:val="auto"/>
        </w:rPr>
      </w:pPr>
      <w:r>
        <w:rPr>
          <w:rFonts w:ascii="Arial" w:cs="Arial" w:eastAsia="Arial" w:hAnsi="Arial"/>
          <w:sz w:val="20"/>
          <w:szCs w:val="20"/>
          <w:b w:val="1"/>
          <w:bCs w:val="1"/>
          <w:color w:val="auto"/>
        </w:rPr>
        <w:t>Registration Statement on Form S-1</w:t>
      </w:r>
    </w:p>
    <w:p>
      <w:pPr>
        <w:ind w:left="140"/>
        <w:spacing w:after="0"/>
        <w:rPr>
          <w:sz w:val="20"/>
          <w:szCs w:val="20"/>
          <w:color w:val="auto"/>
        </w:rPr>
      </w:pPr>
      <w:r>
        <w:rPr>
          <w:rFonts w:ascii="Arial" w:cs="Arial" w:eastAsia="Arial" w:hAnsi="Arial"/>
          <w:sz w:val="20"/>
          <w:szCs w:val="20"/>
          <w:b w:val="1"/>
          <w:bCs w:val="1"/>
          <w:color w:val="auto"/>
        </w:rPr>
        <w:t>Filed August 26, 2020</w:t>
      </w:r>
    </w:p>
    <w:p>
      <w:pPr>
        <w:ind w:left="140"/>
        <w:spacing w:after="0"/>
        <w:rPr>
          <w:sz w:val="20"/>
          <w:szCs w:val="20"/>
          <w:color w:val="auto"/>
        </w:rPr>
      </w:pPr>
      <w:r>
        <w:rPr>
          <w:rFonts w:ascii="Arial" w:cs="Arial" w:eastAsia="Arial" w:hAnsi="Arial"/>
          <w:sz w:val="16"/>
          <w:szCs w:val="16"/>
          <w:b w:val="1"/>
          <w:bCs w:val="1"/>
          <w:color w:val="auto"/>
        </w:rPr>
        <w:t>Amendment No. 2 to the Registration Statement on Form S-1</w:t>
      </w:r>
    </w:p>
    <w:p>
      <w:pPr>
        <w:spacing w:after="0" w:line="45" w:lineRule="exact"/>
        <w:rPr>
          <w:sz w:val="24"/>
          <w:szCs w:val="24"/>
          <w:color w:val="auto"/>
        </w:rPr>
      </w:pPr>
    </w:p>
    <w:p>
      <w:pPr>
        <w:ind w:left="20"/>
        <w:spacing w:after="0"/>
        <w:rPr>
          <w:sz w:val="20"/>
          <w:szCs w:val="20"/>
          <w:color w:val="auto"/>
        </w:rPr>
      </w:pPr>
      <w:r>
        <w:rPr>
          <w:rFonts w:ascii="Arial" w:cs="Arial" w:eastAsia="Arial" w:hAnsi="Arial"/>
          <w:sz w:val="20"/>
          <w:szCs w:val="20"/>
          <w:b w:val="1"/>
          <w:bCs w:val="1"/>
          <w:color w:val="auto"/>
        </w:rPr>
        <w:t>Filed on September 14, 2020</w:t>
      </w:r>
    </w:p>
    <w:p>
      <w:pPr>
        <w:ind w:left="20"/>
        <w:spacing w:after="0"/>
        <w:rPr>
          <w:sz w:val="20"/>
          <w:szCs w:val="20"/>
          <w:color w:val="auto"/>
        </w:rPr>
      </w:pPr>
      <w:r>
        <w:rPr>
          <w:rFonts w:ascii="Arial" w:cs="Arial" w:eastAsia="Arial" w:hAnsi="Arial"/>
          <w:sz w:val="20"/>
          <w:szCs w:val="20"/>
          <w:b w:val="1"/>
          <w:bCs w:val="1"/>
          <w:color w:val="auto"/>
        </w:rPr>
        <w:t>File No. 333-248428</w:t>
      </w:r>
    </w:p>
    <w:p>
      <w:pPr>
        <w:spacing w:after="0" w:line="200" w:lineRule="exact"/>
        <w:rPr>
          <w:sz w:val="24"/>
          <w:szCs w:val="24"/>
          <w:color w:val="auto"/>
        </w:rPr>
      </w:pPr>
    </w:p>
    <w:p>
      <w:pPr>
        <w:sectPr>
          <w:pgSz w:w="11900" w:h="16838" w:orient="portrait"/>
          <w:cols w:equalWidth="0" w:num="2">
            <w:col w:w="300" w:space="560"/>
            <w:col w:w="10400"/>
          </w:cols>
          <w:pgMar w:left="320" w:top="337" w:right="319" w:bottom="1440" w:gutter="0" w:footer="0" w:header="0"/>
          <w:type w:val="continuous"/>
        </w:sectPr>
      </w:pPr>
    </w:p>
    <w:p>
      <w:pPr>
        <w:spacing w:after="0"/>
        <w:rPr>
          <w:sz w:val="20"/>
          <w:szCs w:val="20"/>
          <w:color w:val="auto"/>
        </w:rPr>
      </w:pPr>
      <w:r>
        <w:rPr>
          <w:rFonts w:ascii="Arial" w:cs="Arial" w:eastAsia="Arial" w:hAnsi="Arial"/>
          <w:sz w:val="20"/>
          <w:szCs w:val="20"/>
          <w:color w:val="auto"/>
        </w:rPr>
        <w:t>Ladies and Gentlemen:</w:t>
      </w:r>
    </w:p>
    <w:p>
      <w:pPr>
        <w:spacing w:after="0" w:line="210" w:lineRule="exact"/>
        <w:rPr>
          <w:sz w:val="24"/>
          <w:szCs w:val="24"/>
          <w:color w:val="auto"/>
        </w:rPr>
      </w:pPr>
    </w:p>
    <w:p>
      <w:pPr>
        <w:ind w:right="180" w:firstLine="858"/>
        <w:spacing w:after="0" w:line="236" w:lineRule="exact"/>
        <w:rPr>
          <w:sz w:val="20"/>
          <w:szCs w:val="20"/>
          <w:color w:val="auto"/>
        </w:rPr>
      </w:pPr>
      <w:r>
        <w:rPr>
          <w:rFonts w:ascii="Arial" w:cs="Arial" w:eastAsia="Arial" w:hAnsi="Arial"/>
          <w:sz w:val="18"/>
          <w:szCs w:val="18"/>
          <w:color w:val="231F20"/>
        </w:rPr>
        <w:t>On behalf of our client, Athira Pharma, Inc. (the “</w:t>
      </w:r>
      <w:r>
        <w:rPr>
          <w:rFonts w:ascii="Arial" w:cs="Arial" w:eastAsia="Arial" w:hAnsi="Arial"/>
          <w:sz w:val="18"/>
          <w:szCs w:val="18"/>
          <w:b w:val="1"/>
          <w:bCs w:val="1"/>
          <w:color w:val="231F20"/>
        </w:rPr>
        <w:t>Company</w:t>
      </w:r>
      <w:r>
        <w:rPr>
          <w:rFonts w:ascii="Arial" w:cs="Arial" w:eastAsia="Arial" w:hAnsi="Arial"/>
          <w:sz w:val="18"/>
          <w:szCs w:val="18"/>
          <w:color w:val="231F20"/>
        </w:rPr>
        <w:t xml:space="preserve">”), </w:t>
      </w:r>
      <w:r>
        <w:rPr>
          <w:rFonts w:ascii="Arial" w:cs="Arial" w:eastAsia="Arial" w:hAnsi="Arial"/>
          <w:sz w:val="18"/>
          <w:szCs w:val="18"/>
          <w:color w:val="000000"/>
        </w:rPr>
        <w:t>we submit this letter in response to comments from the staff (the</w:t>
      </w:r>
      <w:r>
        <w:rPr>
          <w:rFonts w:ascii="Arial" w:cs="Arial" w:eastAsia="Arial" w:hAnsi="Arial"/>
          <w:sz w:val="18"/>
          <w:szCs w:val="18"/>
          <w:color w:val="231F20"/>
        </w:rPr>
        <w:t xml:space="preserve"> </w:t>
      </w:r>
      <w:r>
        <w:rPr>
          <w:rFonts w:ascii="Arial" w:cs="Arial" w:eastAsia="Arial" w:hAnsi="Arial"/>
          <w:sz w:val="18"/>
          <w:szCs w:val="18"/>
          <w:color w:val="000000"/>
        </w:rPr>
        <w:t>“</w:t>
      </w:r>
      <w:r>
        <w:rPr>
          <w:rFonts w:ascii="Arial" w:cs="Arial" w:eastAsia="Arial" w:hAnsi="Arial"/>
          <w:sz w:val="18"/>
          <w:szCs w:val="18"/>
          <w:b w:val="1"/>
          <w:bCs w:val="1"/>
          <w:color w:val="000000"/>
        </w:rPr>
        <w:t>Staff</w:t>
      </w:r>
      <w:r>
        <w:rPr>
          <w:rFonts w:ascii="Arial" w:cs="Arial" w:eastAsia="Arial" w:hAnsi="Arial"/>
          <w:sz w:val="18"/>
          <w:szCs w:val="18"/>
          <w:color w:val="000000"/>
        </w:rPr>
        <w:t>”) of the Securities and Exchange Commission (the “</w:t>
      </w:r>
      <w:r>
        <w:rPr>
          <w:rFonts w:ascii="Arial" w:cs="Arial" w:eastAsia="Arial" w:hAnsi="Arial"/>
          <w:sz w:val="18"/>
          <w:szCs w:val="18"/>
          <w:b w:val="1"/>
          <w:bCs w:val="1"/>
          <w:color w:val="000000"/>
        </w:rPr>
        <w:t>Commission</w:t>
      </w:r>
      <w:r>
        <w:rPr>
          <w:rFonts w:ascii="Arial" w:cs="Arial" w:eastAsia="Arial" w:hAnsi="Arial"/>
          <w:sz w:val="18"/>
          <w:szCs w:val="18"/>
          <w:color w:val="000000"/>
        </w:rPr>
        <w:t>”) contained in its letter dated September 16, 2020, relating to the above-referenced Registration Statement on Form S</w:t>
      </w:r>
      <w:r>
        <w:rPr>
          <w:rFonts w:ascii="MS PGothic" w:cs="MS PGothic" w:eastAsia="MS PGothic" w:hAnsi="MS PGothic"/>
          <w:sz w:val="18"/>
          <w:szCs w:val="18"/>
          <w:color w:val="000000"/>
        </w:rPr>
        <w:t>‑</w:t>
      </w:r>
      <w:r>
        <w:rPr>
          <w:rFonts w:ascii="Arial" w:cs="Arial" w:eastAsia="Arial" w:hAnsi="Arial"/>
          <w:sz w:val="18"/>
          <w:szCs w:val="18"/>
          <w:color w:val="000000"/>
        </w:rPr>
        <w:t>1 (the “</w:t>
      </w:r>
      <w:r>
        <w:rPr>
          <w:rFonts w:ascii="Arial" w:cs="Arial" w:eastAsia="Arial" w:hAnsi="Arial"/>
          <w:sz w:val="18"/>
          <w:szCs w:val="18"/>
          <w:b w:val="1"/>
          <w:bCs w:val="1"/>
          <w:color w:val="000000"/>
        </w:rPr>
        <w:t>Registration Statement</w:t>
      </w:r>
      <w:r>
        <w:rPr>
          <w:rFonts w:ascii="Arial" w:cs="Arial" w:eastAsia="Arial" w:hAnsi="Arial"/>
          <w:sz w:val="18"/>
          <w:szCs w:val="18"/>
          <w:color w:val="000000"/>
        </w:rPr>
        <w:t>”). On behalf of the Company, we are concurrently publicly filing via EDGAR Amendment No. 3 to the Registration Statement (the “</w:t>
      </w:r>
      <w:r>
        <w:rPr>
          <w:rFonts w:ascii="Arial" w:cs="Arial" w:eastAsia="Arial" w:hAnsi="Arial"/>
          <w:sz w:val="18"/>
          <w:szCs w:val="18"/>
          <w:b w:val="1"/>
          <w:bCs w:val="1"/>
          <w:color w:val="000000"/>
        </w:rPr>
        <w:t>Amended Registration Statement</w:t>
      </w:r>
      <w:r>
        <w:rPr>
          <w:rFonts w:ascii="Arial" w:cs="Arial" w:eastAsia="Arial" w:hAnsi="Arial"/>
          <w:sz w:val="18"/>
          <w:szCs w:val="18"/>
          <w:color w:val="000000"/>
        </w:rPr>
        <w:t>”).</w:t>
      </w:r>
    </w:p>
    <w:p>
      <w:pPr>
        <w:spacing w:after="0" w:line="198" w:lineRule="exact"/>
        <w:rPr>
          <w:sz w:val="24"/>
          <w:szCs w:val="24"/>
          <w:color w:val="auto"/>
        </w:rPr>
      </w:pPr>
    </w:p>
    <w:p>
      <w:pPr>
        <w:jc w:val="both"/>
        <w:ind w:right="840" w:firstLine="589"/>
        <w:spacing w:after="0" w:line="291" w:lineRule="auto"/>
        <w:rPr>
          <w:sz w:val="20"/>
          <w:szCs w:val="20"/>
          <w:color w:val="auto"/>
        </w:rPr>
      </w:pPr>
      <w:r>
        <w:rPr>
          <w:rFonts w:ascii="Arial" w:cs="Arial" w:eastAsia="Arial" w:hAnsi="Arial"/>
          <w:sz w:val="18"/>
          <w:szCs w:val="18"/>
          <w:color w:val="auto"/>
        </w:rPr>
        <w:t>In this letter, we have recited the comments from the Staff in italicized, bold type and have followed each comment with the Company’s response. Except for page references appearing in the headings and Staff comments below (which are references to the Registration Statement), all page references herein correspond to the pages of the Amended Registration Statement.</w:t>
      </w:r>
    </w:p>
    <w:p>
      <w:pPr>
        <w:spacing w:after="0" w:line="141"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Amendment No. 2 to Registration Statement on Form S-1</w:t>
      </w:r>
    </w:p>
    <w:p>
      <w:pPr>
        <w:spacing w:after="0" w:line="17"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Overview, page 1</w:t>
      </w:r>
    </w:p>
    <w:p>
      <w:pPr>
        <w:spacing w:after="0" w:line="200" w:lineRule="exact"/>
        <w:rPr>
          <w:sz w:val="24"/>
          <w:szCs w:val="24"/>
          <w:color w:val="auto"/>
        </w:rPr>
      </w:pPr>
    </w:p>
    <w:p>
      <w:pPr>
        <w:ind w:left="860" w:hanging="852"/>
        <w:spacing w:after="0"/>
        <w:tabs>
          <w:tab w:leader="none" w:pos="860"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revisions in response to prior comment one and reissue in part. Your statements that "ATH-1017 significantly</w:t>
      </w:r>
    </w:p>
    <w:p>
      <w:pPr>
        <w:spacing w:after="0" w:line="62" w:lineRule="exact"/>
        <w:rPr>
          <w:sz w:val="24"/>
          <w:szCs w:val="24"/>
          <w:color w:val="auto"/>
        </w:rPr>
      </w:pPr>
    </w:p>
    <w:p>
      <w:pPr>
        <w:ind w:left="860"/>
        <w:spacing w:after="0"/>
        <w:rPr>
          <w:sz w:val="20"/>
          <w:szCs w:val="20"/>
          <w:color w:val="auto"/>
        </w:rPr>
      </w:pPr>
      <w:r>
        <w:rPr>
          <w:rFonts w:ascii="Arial" w:cs="Arial" w:eastAsia="Arial" w:hAnsi="Arial"/>
          <w:sz w:val="20"/>
          <w:szCs w:val="20"/>
          <w:b w:val="1"/>
          <w:bCs w:val="1"/>
          <w:i w:val="1"/>
          <w:iCs w:val="1"/>
          <w:color w:val="auto"/>
        </w:rPr>
        <w:t>improved P300</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ind w:left="1840"/>
              <w:spacing w:after="0"/>
              <w:rPr>
                <w:sz w:val="20"/>
                <w:szCs w:val="20"/>
                <w:color w:val="auto"/>
              </w:rPr>
            </w:pPr>
            <w:r>
              <w:rPr>
                <w:rFonts w:ascii="Arial" w:cs="Arial" w:eastAsia="Arial" w:hAnsi="Arial"/>
                <w:sz w:val="13"/>
                <w:szCs w:val="13"/>
                <w:color w:val="003D4C"/>
                <w:w w:val="94"/>
              </w:rPr>
              <w:t>AUSTINBEIJING</w:t>
            </w:r>
          </w:p>
        </w:tc>
        <w:tc>
          <w:tcPr>
            <w:tcW w:w="1420" w:type="dxa"/>
            <w:vAlign w:val="bottom"/>
          </w:tcPr>
          <w:p>
            <w:pPr>
              <w:ind w:left="40"/>
              <w:spacing w:after="0"/>
              <w:rPr>
                <w:sz w:val="20"/>
                <w:szCs w:val="20"/>
                <w:color w:val="auto"/>
              </w:rPr>
            </w:pPr>
            <w:r>
              <w:rPr>
                <w:rFonts w:ascii="Arial" w:cs="Arial" w:eastAsia="Arial" w:hAnsi="Arial"/>
                <w:sz w:val="13"/>
                <w:szCs w:val="13"/>
                <w:color w:val="003D4C"/>
                <w:w w:val="89"/>
              </w:rPr>
              <w:t>BOSTONBRUSSELS</w:t>
            </w:r>
          </w:p>
        </w:tc>
        <w:tc>
          <w:tcPr>
            <w:tcW w:w="2960" w:type="dxa"/>
            <w:vAlign w:val="bottom"/>
          </w:tcPr>
          <w:p>
            <w:pPr>
              <w:ind w:left="260"/>
              <w:spacing w:after="0"/>
              <w:rPr>
                <w:sz w:val="20"/>
                <w:szCs w:val="20"/>
                <w:color w:val="auto"/>
              </w:rPr>
            </w:pPr>
            <w:r>
              <w:rPr>
                <w:rFonts w:ascii="Arial" w:cs="Arial" w:eastAsia="Arial" w:hAnsi="Arial"/>
                <w:sz w:val="13"/>
                <w:szCs w:val="13"/>
                <w:color w:val="003D4C"/>
                <w:w w:val="94"/>
              </w:rPr>
              <w:t>HONG KONGLONDONLOS ANGELES</w:t>
            </w:r>
          </w:p>
        </w:tc>
        <w:tc>
          <w:tcPr>
            <w:tcW w:w="3640" w:type="dxa"/>
            <w:vAlign w:val="bottom"/>
          </w:tcPr>
          <w:p>
            <w:pPr>
              <w:ind w:left="180"/>
              <w:spacing w:after="0"/>
              <w:rPr>
                <w:sz w:val="20"/>
                <w:szCs w:val="20"/>
                <w:color w:val="auto"/>
              </w:rPr>
            </w:pPr>
            <w:r>
              <w:rPr>
                <w:rFonts w:ascii="Arial" w:cs="Arial" w:eastAsia="Arial" w:hAnsi="Arial"/>
                <w:sz w:val="13"/>
                <w:szCs w:val="13"/>
                <w:color w:val="003D4C"/>
                <w:w w:val="91"/>
              </w:rPr>
              <w:t>NEW YORKPALO ALTO</w:t>
            </w:r>
          </w:p>
        </w:tc>
      </w:tr>
      <w:tr>
        <w:trPr>
          <w:trHeight w:val="160"/>
        </w:trPr>
        <w:tc>
          <w:tcPr>
            <w:tcW w:w="3240" w:type="dxa"/>
            <w:vAlign w:val="bottom"/>
          </w:tcPr>
          <w:p>
            <w:pPr>
              <w:ind w:left="2500"/>
              <w:spacing w:after="0"/>
              <w:rPr>
                <w:sz w:val="20"/>
                <w:szCs w:val="20"/>
                <w:color w:val="auto"/>
              </w:rPr>
            </w:pPr>
            <w:r>
              <w:rPr>
                <w:rFonts w:ascii="Arial" w:cs="Arial" w:eastAsia="Arial" w:hAnsi="Arial"/>
                <w:sz w:val="13"/>
                <w:szCs w:val="13"/>
                <w:color w:val="003D4C"/>
                <w:w w:val="99"/>
              </w:rPr>
              <w:t>SAN DIEGO</w:t>
            </w:r>
          </w:p>
        </w:tc>
        <w:tc>
          <w:tcPr>
            <w:tcW w:w="1420" w:type="dxa"/>
            <w:vAlign w:val="bottom"/>
          </w:tcPr>
          <w:p>
            <w:pPr>
              <w:ind w:left="180"/>
              <w:spacing w:after="0"/>
              <w:rPr>
                <w:sz w:val="20"/>
                <w:szCs w:val="20"/>
                <w:color w:val="auto"/>
              </w:rPr>
            </w:pPr>
            <w:r>
              <w:rPr>
                <w:rFonts w:ascii="Arial" w:cs="Arial" w:eastAsia="Arial" w:hAnsi="Arial"/>
                <w:sz w:val="13"/>
                <w:szCs w:val="13"/>
                <w:color w:val="003D4C"/>
              </w:rPr>
              <w:t>SAN FRANCISCO</w:t>
            </w:r>
          </w:p>
        </w:tc>
        <w:tc>
          <w:tcPr>
            <w:tcW w:w="2960" w:type="dxa"/>
            <w:vAlign w:val="bottom"/>
          </w:tcPr>
          <w:p>
            <w:pPr>
              <w:ind w:left="20"/>
              <w:spacing w:after="0"/>
              <w:rPr>
                <w:sz w:val="20"/>
                <w:szCs w:val="20"/>
                <w:color w:val="auto"/>
              </w:rPr>
            </w:pPr>
            <w:r>
              <w:rPr>
                <w:rFonts w:ascii="Arial" w:cs="Arial" w:eastAsia="Arial" w:hAnsi="Arial"/>
                <w:sz w:val="13"/>
                <w:szCs w:val="13"/>
                <w:color w:val="003D4C"/>
                <w:w w:val="93"/>
              </w:rPr>
              <w:t>SEATTLESHANGHAIWASHINGTON, DC</w:t>
            </w:r>
          </w:p>
        </w:tc>
        <w:tc>
          <w:tcPr>
            <w:tcW w:w="3640" w:type="dxa"/>
            <w:vAlign w:val="bottom"/>
          </w:tcPr>
          <w:p>
            <w:pPr>
              <w:ind w:left="60"/>
              <w:spacing w:after="0"/>
              <w:rPr>
                <w:sz w:val="20"/>
                <w:szCs w:val="20"/>
                <w:color w:val="auto"/>
              </w:rPr>
            </w:pPr>
            <w:r>
              <w:rPr>
                <w:rFonts w:ascii="Arial" w:cs="Arial" w:eastAsia="Arial" w:hAnsi="Arial"/>
                <w:sz w:val="13"/>
                <w:szCs w:val="13"/>
                <w:color w:val="003D4C"/>
              </w:rPr>
              <w:t>WILMINGTON, DE</w:t>
            </w:r>
          </w:p>
        </w:tc>
      </w:tr>
      <w:tr>
        <w:trPr>
          <w:trHeight w:val="306"/>
        </w:trPr>
        <w:tc>
          <w:tcPr>
            <w:tcW w:w="3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9750" cy="19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39750" cy="19748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September 17, 2020</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16" w:lineRule="exact"/>
        <w:rPr>
          <w:sz w:val="20"/>
          <w:szCs w:val="20"/>
          <w:color w:val="auto"/>
        </w:rPr>
      </w:pPr>
    </w:p>
    <w:p>
      <w:pPr>
        <w:ind w:left="860" w:right="160"/>
        <w:spacing w:after="0" w:line="263" w:lineRule="auto"/>
        <w:rPr>
          <w:sz w:val="20"/>
          <w:szCs w:val="20"/>
          <w:color w:val="auto"/>
        </w:rPr>
      </w:pPr>
      <w:r>
        <w:rPr>
          <w:rFonts w:ascii="Arial" w:cs="Arial" w:eastAsia="Arial" w:hAnsi="Arial"/>
          <w:sz w:val="19"/>
          <w:szCs w:val="19"/>
          <w:b w:val="1"/>
          <w:bCs w:val="1"/>
          <w:i w:val="1"/>
          <w:iCs w:val="1"/>
          <w:color w:val="auto"/>
        </w:rPr>
        <w:t>latency" and "P300 latency is a functional measure that is highly correlated with cognition" appear to imply an expectation that the improvement in P300 latency will result in cognitive improvement. Please revise these statements and similar statements on pages 5, 90 and 108 to clarify that you have yet to establish a connection between the P300 latency results observed in your Phase 1 trials and improved cognition.</w:t>
      </w:r>
    </w:p>
    <w:p>
      <w:pPr>
        <w:spacing w:after="0" w:line="176"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In response to the Staff’s comment, the Company has revised its disclosures on pages 1, 4, 89, 107, 122, and 127 of the Amended Registration Statement.</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31F20"/>
        </w:rPr>
        <w:t>***</w:t>
      </w:r>
    </w:p>
    <w:p>
      <w:pPr>
        <w:spacing w:after="0" w:line="223" w:lineRule="exact"/>
        <w:rPr>
          <w:sz w:val="20"/>
          <w:szCs w:val="20"/>
          <w:color w:val="auto"/>
        </w:rPr>
      </w:pPr>
    </w:p>
    <w:p>
      <w:pPr>
        <w:ind w:right="700" w:firstLine="864"/>
        <w:spacing w:after="0" w:line="260" w:lineRule="auto"/>
        <w:rPr>
          <w:sz w:val="20"/>
          <w:szCs w:val="20"/>
          <w:color w:val="auto"/>
        </w:rPr>
      </w:pPr>
      <w:r>
        <w:rPr>
          <w:rFonts w:ascii="Arial" w:cs="Arial" w:eastAsia="Arial" w:hAnsi="Arial"/>
          <w:sz w:val="20"/>
          <w:szCs w:val="20"/>
          <w:color w:val="auto"/>
        </w:rPr>
        <w:t>Please direct any questions regarding the Company’s responses or the Registration Statement to me at (206) 883 2524 or mnordtvedt@wsgr.com.</w:t>
      </w:r>
    </w:p>
    <w:p>
      <w:pPr>
        <w:spacing w:after="0" w:line="177"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Sincerely,</w:t>
      </w:r>
    </w:p>
    <w:p>
      <w:pPr>
        <w:spacing w:after="0" w:line="216"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WILSON SONSINI GOODRICH &amp; ROSATI</w:t>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Professional Corporation</w:t>
      </w:r>
    </w:p>
    <w:p>
      <w:pPr>
        <w:spacing w:after="0" w:line="200"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/s/ Michael Nordtvedt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20764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6450"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20"/>
          <w:szCs w:val="20"/>
          <w:color w:val="auto"/>
        </w:rPr>
        <w:t>Michael Nordtvedt</w:t>
      </w:r>
    </w:p>
    <w:p>
      <w:pPr>
        <w:spacing w:after="0" w:line="200" w:lineRule="exact"/>
        <w:rPr>
          <w:sz w:val="20"/>
          <w:szCs w:val="20"/>
          <w:color w:val="auto"/>
        </w:rPr>
      </w:pPr>
    </w:p>
    <w:p>
      <w:pPr>
        <w:ind w:left="880" w:right="7320" w:hanging="872"/>
        <w:spacing w:after="0" w:line="275" w:lineRule="auto"/>
        <w:tabs>
          <w:tab w:leader="none" w:pos="867" w:val="left"/>
        </w:tabs>
        <w:numPr>
          <w:ilvl w:val="0"/>
          <w:numId w:val="2"/>
        </w:numPr>
        <w:rPr>
          <w:rFonts w:ascii="Arial" w:cs="Arial" w:eastAsia="Arial" w:hAnsi="Arial"/>
          <w:sz w:val="18"/>
          <w:szCs w:val="18"/>
          <w:color w:val="auto"/>
        </w:rPr>
      </w:pPr>
      <w:r>
        <w:rPr>
          <w:rFonts w:ascii="Arial" w:cs="Arial" w:eastAsia="Arial" w:hAnsi="Arial"/>
          <w:sz w:val="18"/>
          <w:szCs w:val="18"/>
          <w:color w:val="auto"/>
        </w:rPr>
        <w:t>Leen Kawas, Athira Pharma, Inc. Glenna Mileson, Athira Pharma, Inc.</w:t>
      </w:r>
    </w:p>
    <w:p>
      <w:pPr>
        <w:ind w:left="880" w:right="5800"/>
        <w:spacing w:after="0" w:line="239" w:lineRule="auto"/>
        <w:rPr>
          <w:rFonts w:ascii="Arial" w:cs="Arial" w:eastAsia="Arial" w:hAnsi="Arial"/>
          <w:sz w:val="18"/>
          <w:szCs w:val="18"/>
          <w:color w:val="auto"/>
        </w:rPr>
      </w:pPr>
      <w:r>
        <w:rPr>
          <w:rFonts w:ascii="Arial" w:cs="Arial" w:eastAsia="Arial" w:hAnsi="Arial"/>
          <w:sz w:val="20"/>
          <w:szCs w:val="20"/>
          <w:color w:val="auto"/>
        </w:rPr>
        <w:t>Bryan D. King, Wilson Sonsini Goodrich &amp; Rosati, P.C. Charles S. Kim, Cooley LLP</w:t>
      </w:r>
    </w:p>
    <w:p>
      <w:pPr>
        <w:ind w:left="880" w:right="7300"/>
        <w:spacing w:after="0" w:line="297" w:lineRule="auto"/>
        <w:rPr>
          <w:rFonts w:ascii="Arial" w:cs="Arial" w:eastAsia="Arial" w:hAnsi="Arial"/>
          <w:sz w:val="18"/>
          <w:szCs w:val="18"/>
          <w:color w:val="auto"/>
        </w:rPr>
      </w:pPr>
      <w:r>
        <w:rPr>
          <w:rFonts w:ascii="Arial" w:cs="Arial" w:eastAsia="Arial" w:hAnsi="Arial"/>
          <w:sz w:val="18"/>
          <w:szCs w:val="18"/>
          <w:color w:val="auto"/>
        </w:rPr>
        <w:t>Alan D. Hambelton, Cooley LLP Oren Lang-Furr, Ernst &amp; Young LLP</w:t>
      </w:r>
    </w:p>
    <w:sectPr>
      <w:pgSz w:w="11900" w:h="16838" w:orient="portrait"/>
      <w:cols w:equalWidth="0" w:num="1">
        <w:col w:w="11120"/>
      </w:cols>
      <w:pgMar w:left="320" w:top="6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2021-08-15T19:55:06Z</dcterms:created>
  <dcterms:modified xsi:type="dcterms:W3CDTF">2021-08-15T19:55:06Z</dcterms:modified>
</cp:coreProperties>
</file>