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4"/>
          <w:szCs w:val="24"/>
          <w:color w:val="auto"/>
        </w:rPr>
      </w:pPr>
    </w:p>
    <w:p>
      <w:pPr>
        <w:ind w:left="4220"/>
        <w:spacing w:after="0"/>
        <w:rPr>
          <w:sz w:val="20"/>
          <w:szCs w:val="20"/>
          <w:color w:val="auto"/>
        </w:rPr>
      </w:pPr>
      <w:r>
        <w:rPr>
          <w:rFonts w:ascii="Arial" w:cs="Arial" w:eastAsia="Arial" w:hAnsi="Arial"/>
          <w:sz w:val="22"/>
          <w:szCs w:val="22"/>
          <w:color w:val="auto"/>
        </w:rPr>
        <w:t>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27, 2021</w:t>
      </w:r>
    </w:p>
    <w:p>
      <w:pPr>
        <w:spacing w:after="0" w:line="7"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tbl>
      <w:tblPr>
        <w:tblLayout w:type="fixed"/>
        <w:tblInd w:w="10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4940" w:type="dxa"/>
            <w:vAlign w:val="bottom"/>
          </w:tcPr>
          <w:p>
            <w:pPr>
              <w:jc w:val="right"/>
              <w:ind w:right="958"/>
              <w:spacing w:after="0"/>
              <w:rPr>
                <w:sz w:val="20"/>
                <w:szCs w:val="20"/>
                <w:color w:val="auto"/>
              </w:rPr>
            </w:pPr>
            <w:r>
              <w:rPr>
                <w:rFonts w:ascii="Arial" w:cs="Arial" w:eastAsia="Arial" w:hAnsi="Arial"/>
                <w:sz w:val="18"/>
                <w:szCs w:val="18"/>
                <w:color w:val="auto"/>
              </w:rPr>
              <w:t>________________________________</w:t>
            </w:r>
          </w:p>
        </w:tc>
        <w:tc>
          <w:tcPr>
            <w:tcW w:w="1780" w:type="dxa"/>
            <w:vAlign w:val="bottom"/>
          </w:tcPr>
          <w:p>
            <w:pPr>
              <w:spacing w:after="0"/>
              <w:rPr>
                <w:sz w:val="20"/>
                <w:szCs w:val="20"/>
                <w:color w:val="auto"/>
              </w:rPr>
            </w:pPr>
          </w:p>
        </w:tc>
      </w:tr>
      <w:tr>
        <w:trPr>
          <w:trHeight w:val="470"/>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193"/>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80"/>
        </w:trPr>
        <w:tc>
          <w:tcPr>
            <w:tcW w:w="2160" w:type="dxa"/>
            <w:vAlign w:val="bottom"/>
          </w:tcPr>
          <w:p>
            <w:pPr>
              <w:spacing w:after="0"/>
              <w:rPr>
                <w:sz w:val="24"/>
                <w:szCs w:val="24"/>
                <w:color w:val="auto"/>
              </w:rPr>
            </w:pP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18706 North Creek Parkway, Suite 104</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94"/>
        </w:trPr>
        <w:tc>
          <w:tcPr>
            <w:tcW w:w="2160" w:type="dxa"/>
            <w:vAlign w:val="bottom"/>
          </w:tcPr>
          <w:p>
            <w:pPr>
              <w:spacing w:after="0"/>
              <w:rPr>
                <w:sz w:val="24"/>
                <w:szCs w:val="24"/>
                <w:color w:val="auto"/>
              </w:rPr>
            </w:pPr>
          </w:p>
        </w:tc>
        <w:tc>
          <w:tcPr>
            <w:tcW w:w="49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(425) 620-8501</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335"/>
        </w:trPr>
        <w:tc>
          <w:tcPr>
            <w:tcW w:w="2160" w:type="dxa"/>
            <w:vAlign w:val="bottom"/>
          </w:tcPr>
          <w:p>
            <w:pPr>
              <w:spacing w:after="0"/>
              <w:rPr>
                <w:sz w:val="24"/>
                <w:szCs w:val="24"/>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_________________________________</w:t>
            </w:r>
          </w:p>
        </w:tc>
        <w:tc>
          <w:tcPr>
            <w:tcW w:w="1780" w:type="dxa"/>
            <w:vAlign w:val="bottom"/>
          </w:tcPr>
          <w:p>
            <w:pPr>
              <w:spacing w:after="0"/>
              <w:rPr>
                <w:sz w:val="20"/>
                <w:szCs w:val="20"/>
                <w:color w:val="auto"/>
              </w:rPr>
            </w:pPr>
          </w:p>
        </w:tc>
      </w:tr>
    </w:tbl>
    <w:p>
      <w:pPr>
        <w:spacing w:after="0" w:line="17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720" w:hanging="658"/>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7"/>
          <w:szCs w:val="17"/>
          <w:color w:val="auto"/>
        </w:rPr>
      </w:pPr>
    </w:p>
    <w:p>
      <w:pPr>
        <w:ind w:left="720" w:hanging="658"/>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7"/>
          <w:szCs w:val="17"/>
          <w:color w:val="auto"/>
        </w:rPr>
      </w:pPr>
    </w:p>
    <w:p>
      <w:pPr>
        <w:ind w:left="720" w:hanging="658"/>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7"/>
          <w:szCs w:val="17"/>
          <w:color w:val="auto"/>
        </w:rPr>
      </w:pPr>
    </w:p>
    <w:p>
      <w:pPr>
        <w:ind w:left="720" w:hanging="658"/>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719" w:right="339" w:bottom="1440" w:gutter="0" w:footer="0" w:header="0"/>
        </w:sectPr>
      </w:pPr>
    </w:p>
    <w:p>
      <w:pPr>
        <w:spacing w:after="0" w:line="271" w:lineRule="exact"/>
        <w:rPr>
          <w:sz w:val="24"/>
          <w:szCs w:val="24"/>
          <w:color w:val="auto"/>
        </w:rPr>
      </w:pPr>
    </w:p>
    <w:p>
      <w:pPr>
        <w:ind w:left="13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91" w:lineRule="exact"/>
        <w:rPr>
          <w:sz w:val="24"/>
          <w:szCs w:val="24"/>
          <w:color w:val="auto"/>
        </w:rPr>
      </w:pPr>
    </w:p>
    <w:p>
      <w:pPr>
        <w:sectPr>
          <w:pgSz w:w="11900" w:h="16838" w:orient="portrait"/>
          <w:cols w:equalWidth="0" w:num="3">
            <w:col w:w="4340" w:space="720"/>
            <w:col w:w="2260" w:space="720"/>
            <w:col w:w="3200"/>
          </w:cols>
          <w:pgMar w:left="320" w:top="719"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ATHA</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6"/>
          <w:szCs w:val="16"/>
          <w:color w:val="auto"/>
        </w:rPr>
        <w:t>The Nasdaq Stock Market LLC</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680" w:space="720"/>
            <w:col w:w="2100" w:space="720"/>
            <w:col w:w="3020"/>
          </w:cols>
          <w:pgMar w:left="320" w:top="719" w:right="339" w:bottom="1440" w:gutter="0" w:footer="0" w:header="0"/>
          <w:type w:val="continuous"/>
        </w:sectPr>
      </w:pPr>
    </w:p>
    <w:p>
      <w:pPr>
        <w:spacing w:after="0" w:line="7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120"/>
        <w:spacing w:after="0" w:line="207" w:lineRule="exact"/>
        <w:tabs>
          <w:tab w:leader="none" w:pos="2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281" w:lineRule="exact"/>
        <w:rPr>
          <w:sz w:val="24"/>
          <w:szCs w:val="24"/>
          <w:color w:val="auto"/>
        </w:rPr>
      </w:pPr>
    </w:p>
    <w:p>
      <w:pPr>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120" w:firstLine="790"/>
        <w:spacing w:after="0" w:line="259" w:lineRule="auto"/>
        <w:rPr>
          <w:sz w:val="20"/>
          <w:szCs w:val="20"/>
          <w:color w:val="auto"/>
        </w:rPr>
      </w:pPr>
      <w:r>
        <w:rPr>
          <w:rFonts w:ascii="Arial" w:cs="Arial" w:eastAsia="Arial" w:hAnsi="Arial"/>
          <w:sz w:val="18"/>
          <w:szCs w:val="18"/>
          <w:color w:val="auto"/>
        </w:rPr>
        <w:t>On May 27, 2021, Athira Pharma, Inc. (the “Company”) held its 2021 Annual Meeting of Stockholders (the “Annual Meeting”). At the Annual Meeting, 24,871,871 shares of the Company’s common stock, or approximately 67% of the total shares entitled to vote, were present virtually or by proxy and voted on the following proposals, which are described in more detail in the Company’s definitive proxy statement filed with the United States Securities and Exchange Commission (the “SEC”) on April 16, 2021:</w:t>
      </w:r>
    </w:p>
    <w:p>
      <w:pPr>
        <w:spacing w:after="0" w:line="7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Proposal One – Election of Class I Directors</w:t>
      </w:r>
      <w:r>
        <w:rPr>
          <w:rFonts w:ascii="Arial" w:cs="Arial" w:eastAsia="Arial" w:hAnsi="Arial"/>
          <w:sz w:val="18"/>
          <w:szCs w:val="18"/>
          <w:color w:val="auto"/>
        </w:rPr>
        <w:t>. The following nominees were elected as Class I directors to serve until the 2024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or until their successors are duly elected and qualified.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Nominee</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240" w:type="dxa"/>
            <w:vAlign w:val="bottom"/>
          </w:tcPr>
          <w:p>
            <w:pPr>
              <w:spacing w:after="0"/>
              <w:rPr>
                <w:sz w:val="20"/>
                <w:szCs w:val="20"/>
                <w:color w:val="auto"/>
              </w:rPr>
            </w:pPr>
          </w:p>
        </w:tc>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Withhold</w:t>
            </w:r>
          </w:p>
        </w:tc>
        <w:tc>
          <w:tcPr>
            <w:tcW w:w="24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Broker Non-Votes</w:t>
            </w:r>
          </w:p>
        </w:tc>
      </w:tr>
      <w:tr>
        <w:trPr>
          <w:trHeight w:val="318"/>
        </w:trPr>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Tadataka Yamada, M.D.</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16,341,870</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4,067,024</w:t>
            </w:r>
          </w:p>
        </w:tc>
        <w:tc>
          <w:tcPr>
            <w:tcW w:w="24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4,462,977</w:t>
            </w:r>
          </w:p>
        </w:tc>
      </w:tr>
      <w:tr>
        <w:trPr>
          <w:trHeight w:val="324"/>
        </w:trPr>
        <w:tc>
          <w:tcPr>
            <w:tcW w:w="2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Leen Kawas, Ph.D.</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17,972,262</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2,436,632</w:t>
            </w:r>
          </w:p>
        </w:tc>
        <w:tc>
          <w:tcPr>
            <w:tcW w:w="24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4,462,977</w:t>
            </w:r>
          </w:p>
        </w:tc>
      </w:tr>
      <w:tr>
        <w:trPr>
          <w:trHeight w:val="324"/>
        </w:trPr>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Barbara Kosacz</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19,961,742</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447,152</w:t>
            </w:r>
          </w:p>
        </w:tc>
        <w:tc>
          <w:tcPr>
            <w:tcW w:w="24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4,462,977</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Proposal Two – Ratification of Appointment of Independent Registered Public Accounting Firm</w:t>
      </w:r>
      <w:r>
        <w:rPr>
          <w:rFonts w:ascii="Arial" w:cs="Arial" w:eastAsia="Arial" w:hAnsi="Arial"/>
          <w:sz w:val="18"/>
          <w:szCs w:val="18"/>
          <w:color w:val="auto"/>
        </w:rPr>
        <w:t>. The appointment of Ernst &amp; Young LLP as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for the Company’s fiscal year ending December 31, 2021 was ratified.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For</w:t>
            </w:r>
          </w:p>
        </w:tc>
        <w:tc>
          <w:tcPr>
            <w:tcW w:w="37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Against</w:t>
            </w:r>
          </w:p>
        </w:tc>
        <w:tc>
          <w:tcPr>
            <w:tcW w:w="3700" w:type="dxa"/>
            <w:vAlign w:val="bottom"/>
          </w:tcPr>
          <w:p>
            <w:pPr>
              <w:jc w:val="center"/>
              <w:spacing w:after="0"/>
              <w:rPr>
                <w:sz w:val="20"/>
                <w:szCs w:val="20"/>
                <w:color w:val="auto"/>
              </w:rPr>
            </w:pPr>
            <w:r>
              <w:rPr>
                <w:rFonts w:ascii="Arial" w:cs="Arial" w:eastAsia="Arial" w:hAnsi="Arial"/>
                <w:sz w:val="18"/>
                <w:szCs w:val="18"/>
                <w:color w:val="auto"/>
                <w:w w:val="93"/>
              </w:rPr>
              <w:t>Abstain</w:t>
            </w:r>
          </w:p>
        </w:tc>
      </w:tr>
      <w:tr>
        <w:trPr>
          <w:trHeight w:val="318"/>
        </w:trPr>
        <w:tc>
          <w:tcPr>
            <w:tcW w:w="372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24,862,289</w:t>
            </w:r>
          </w:p>
        </w:tc>
        <w:tc>
          <w:tcPr>
            <w:tcW w:w="60" w:type="dxa"/>
            <w:vAlign w:val="bottom"/>
          </w:tcPr>
          <w:p>
            <w:pPr>
              <w:spacing w:after="0"/>
              <w:rPr>
                <w:sz w:val="24"/>
                <w:szCs w:val="24"/>
                <w:color w:val="auto"/>
              </w:rPr>
            </w:pPr>
          </w:p>
        </w:tc>
        <w:tc>
          <w:tcPr>
            <w:tcW w:w="370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rPr>
              <w:t>9,471</w:t>
            </w:r>
          </w:p>
        </w:tc>
        <w:tc>
          <w:tcPr>
            <w:tcW w:w="60" w:type="dxa"/>
            <w:vAlign w:val="bottom"/>
          </w:tcPr>
          <w:p>
            <w:pPr>
              <w:spacing w:after="0"/>
              <w:rPr>
                <w:sz w:val="24"/>
                <w:szCs w:val="24"/>
                <w:color w:val="auto"/>
              </w:rPr>
            </w:pPr>
          </w:p>
        </w:tc>
        <w:tc>
          <w:tcPr>
            <w:tcW w:w="3700" w:type="dxa"/>
            <w:vAlign w:val="bottom"/>
            <w:tcBorders>
              <w:top w:val="single" w:sz="8" w:color="auto"/>
            </w:tcBorders>
          </w:tcPr>
          <w:p>
            <w:pPr>
              <w:jc w:val="right"/>
              <w:ind w:right="1630"/>
              <w:spacing w:after="0"/>
              <w:rPr>
                <w:sz w:val="20"/>
                <w:szCs w:val="20"/>
                <w:color w:val="auto"/>
              </w:rPr>
            </w:pPr>
            <w:r>
              <w:rPr>
                <w:rFonts w:ascii="Arial" w:cs="Arial" w:eastAsia="Arial" w:hAnsi="Arial"/>
                <w:sz w:val="18"/>
                <w:szCs w:val="18"/>
                <w:color w:val="auto"/>
              </w:rPr>
              <w:t>111</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9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Athira Pharma, Inc.</w:t>
      </w:r>
    </w:p>
    <w:p>
      <w:pPr>
        <w:spacing w:after="0" w:line="364" w:lineRule="exact"/>
        <w:rPr>
          <w:sz w:val="20"/>
          <w:szCs w:val="20"/>
          <w:color w:val="auto"/>
        </w:rPr>
      </w:pPr>
    </w:p>
    <w:p>
      <w:pPr>
        <w:ind w:left="100"/>
        <w:spacing w:after="0"/>
        <w:tabs>
          <w:tab w:leader="none" w:pos="6680" w:val="left"/>
          <w:tab w:leader="none" w:pos="720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31750</wp:posOffset>
            </wp:positionV>
            <wp:extent cx="258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Leen Kawas</w:t>
      </w:r>
    </w:p>
    <w:p>
      <w:pPr>
        <w:spacing w:after="0" w:line="7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sectPr>
      <w:pgSz w:w="11900" w:h="16838" w:orient="portrait"/>
      <w:cols w:equalWidth="0" w:num="1">
        <w:col w:w="11080"/>
      </w:cols>
      <w:pgMar w:left="320" w:top="98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2021-06-01T15:12:47Z</dcterms:created>
  <dcterms:modified xsi:type="dcterms:W3CDTF">2021-06-01T15:12:47Z</dcterms:modified>
</cp:coreProperties>
</file>