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2140" w:type="dxa"/>
            <w:vAlign w:val="bottom"/>
          </w:tcPr>
          <w:p>
            <w:pPr>
              <w:jc w:val="center"/>
              <w:ind w:right="4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164"/>
        </w:trPr>
        <w:tc>
          <w:tcPr>
            <w:tcW w:w="214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87"/>
        </w:trPr>
        <w:tc>
          <w:tcPr>
            <w:tcW w:w="2140" w:type="dxa"/>
            <w:vAlign w:val="bottom"/>
          </w:tcPr>
          <w:p>
            <w:pPr>
              <w:spacing w:after="0"/>
              <w:rPr>
                <w:sz w:val="24"/>
                <w:szCs w:val="24"/>
                <w:color w:val="auto"/>
              </w:rPr>
            </w:pPr>
          </w:p>
        </w:tc>
        <w:tc>
          <w:tcPr>
            <w:tcW w:w="49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40" w:type="dxa"/>
            <w:vAlign w:val="bottom"/>
          </w:tcPr>
          <w:p>
            <w:pPr>
              <w:spacing w:after="0"/>
              <w:rPr>
                <w:sz w:val="18"/>
                <w:szCs w:val="18"/>
                <w:color w:val="auto"/>
              </w:rPr>
            </w:pPr>
          </w:p>
        </w:tc>
        <w:tc>
          <w:tcPr>
            <w:tcW w:w="49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8"/>
              </w:rPr>
              <w:t>Bothell, WA 98011</w:t>
            </w:r>
          </w:p>
        </w:tc>
        <w:tc>
          <w:tcPr>
            <w:tcW w:w="1780" w:type="dxa"/>
            <w:vAlign w:val="bottom"/>
          </w:tcPr>
          <w:p>
            <w:pPr>
              <w:spacing w:after="0"/>
              <w:rPr>
                <w:sz w:val="18"/>
                <w:szCs w:val="18"/>
                <w:color w:val="auto"/>
              </w:rPr>
            </w:pPr>
          </w:p>
        </w:tc>
      </w:tr>
      <w:tr>
        <w:trPr>
          <w:trHeight w:val="190"/>
        </w:trPr>
        <w:tc>
          <w:tcPr>
            <w:tcW w:w="2140" w:type="dxa"/>
            <w:vAlign w:val="bottom"/>
          </w:tcPr>
          <w:p>
            <w:pPr>
              <w:spacing w:after="0"/>
              <w:rPr>
                <w:sz w:val="16"/>
                <w:szCs w:val="16"/>
                <w:color w:val="auto"/>
              </w:rPr>
            </w:pPr>
          </w:p>
        </w:tc>
        <w:tc>
          <w:tcPr>
            <w:tcW w:w="49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390"/>
        </w:trPr>
        <w:tc>
          <w:tcPr>
            <w:tcW w:w="2140" w:type="dxa"/>
            <w:vAlign w:val="bottom"/>
          </w:tcPr>
          <w:p>
            <w:pPr>
              <w:spacing w:after="0"/>
              <w:rPr>
                <w:sz w:val="24"/>
                <w:szCs w:val="24"/>
                <w:color w:val="auto"/>
              </w:rPr>
            </w:pPr>
          </w:p>
        </w:tc>
        <w:tc>
          <w:tcPr>
            <w:tcW w:w="49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(206) 221-8112</w:t>
            </w:r>
          </w:p>
        </w:tc>
        <w:tc>
          <w:tcPr>
            <w:tcW w:w="178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49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325"/>
        </w:trPr>
        <w:tc>
          <w:tcPr>
            <w:tcW w:w="2140" w:type="dxa"/>
            <w:vAlign w:val="bottom"/>
          </w:tcPr>
          <w:p>
            <w:pPr>
              <w:spacing w:after="0"/>
              <w:rPr>
                <w:sz w:val="24"/>
                <w:szCs w:val="24"/>
                <w:color w:val="auto"/>
              </w:rPr>
            </w:pPr>
          </w:p>
        </w:tc>
        <w:tc>
          <w:tcPr>
            <w:tcW w:w="49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rPr>
              <w:t>4000 Mason Road, Suite 300</w:t>
            </w:r>
          </w:p>
        </w:tc>
        <w:tc>
          <w:tcPr>
            <w:tcW w:w="1780" w:type="dxa"/>
            <w:vAlign w:val="bottom"/>
          </w:tcPr>
          <w:p>
            <w:pPr>
              <w:spacing w:after="0"/>
              <w:rPr>
                <w:sz w:val="24"/>
                <w:szCs w:val="24"/>
                <w:color w:val="auto"/>
              </w:rPr>
            </w:pPr>
          </w:p>
        </w:tc>
      </w:tr>
      <w:tr>
        <w:trPr>
          <w:trHeight w:val="214"/>
        </w:trPr>
        <w:tc>
          <w:tcPr>
            <w:tcW w:w="2140" w:type="dxa"/>
            <w:vAlign w:val="bottom"/>
          </w:tcPr>
          <w:p>
            <w:pPr>
              <w:spacing w:after="0"/>
              <w:rPr>
                <w:sz w:val="18"/>
                <w:szCs w:val="18"/>
                <w:color w:val="auto"/>
              </w:rPr>
            </w:pPr>
          </w:p>
        </w:tc>
        <w:tc>
          <w:tcPr>
            <w:tcW w:w="49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8"/>
              </w:rPr>
              <w:t>Seattle, WA 98195</w:t>
            </w:r>
          </w:p>
        </w:tc>
        <w:tc>
          <w:tcPr>
            <w:tcW w:w="1780" w:type="dxa"/>
            <w:vAlign w:val="bottom"/>
          </w:tcPr>
          <w:p>
            <w:pPr>
              <w:spacing w:after="0"/>
              <w:rPr>
                <w:sz w:val="18"/>
                <w:szCs w:val="18"/>
                <w:color w:val="auto"/>
              </w:rPr>
            </w:pPr>
          </w:p>
        </w:tc>
      </w:tr>
      <w:tr>
        <w:trPr>
          <w:trHeight w:val="190"/>
        </w:trPr>
        <w:tc>
          <w:tcPr>
            <w:tcW w:w="2140" w:type="dxa"/>
            <w:vAlign w:val="bottom"/>
          </w:tcPr>
          <w:p>
            <w:pPr>
              <w:spacing w:after="0"/>
              <w:rPr>
                <w:sz w:val="16"/>
                <w:szCs w:val="16"/>
                <w:color w:val="auto"/>
              </w:rPr>
            </w:pPr>
          </w:p>
        </w:tc>
        <w:tc>
          <w:tcPr>
            <w:tcW w:w="49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6" w:lineRule="exact"/>
        <w:rPr>
          <w:sz w:val="24"/>
          <w:szCs w:val="24"/>
          <w:color w:val="auto"/>
        </w:rPr>
      </w:pPr>
    </w:p>
    <w:tbl>
      <w:tblPr>
        <w:tblLayout w:type="fixed"/>
        <w:tblInd w:w="820" w:type="dxa"/>
        <w:tblCellMar>
          <w:top w:w="0" w:type="dxa"/>
          <w:left w:w="0" w:type="dxa"/>
          <w:bottom w:w="0" w:type="dxa"/>
          <w:right w:w="0" w:type="dxa"/>
        </w:tblCellMar>
      </w:tblPr>
      <w:tr>
        <w:trPr>
          <w:trHeight w:val="161"/>
        </w:trPr>
        <w:tc>
          <w:tcPr>
            <w:tcW w:w="3840" w:type="dxa"/>
            <w:vAlign w:val="bottom"/>
          </w:tcPr>
          <w:p>
            <w:pPr>
              <w:jc w:val="center"/>
              <w:ind w:right="88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40" w:type="dxa"/>
            <w:vAlign w:val="bottom"/>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00" w:type="dxa"/>
            <w:vAlign w:val="bottom"/>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4"/>
        </w:trPr>
        <w:tc>
          <w:tcPr>
            <w:tcW w:w="3840" w:type="dxa"/>
            <w:vAlign w:val="bottom"/>
          </w:tcPr>
          <w:p>
            <w:pPr>
              <w:jc w:val="center"/>
              <w:ind w:right="884"/>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2840" w:type="dxa"/>
            <w:vAlign w:val="bottom"/>
          </w:tcPr>
          <w:p>
            <w:pPr>
              <w:jc w:val="center"/>
              <w:ind w:left="159"/>
              <w:spacing w:after="0"/>
              <w:rPr>
                <w:sz w:val="20"/>
                <w:szCs w:val="20"/>
                <w:color w:val="auto"/>
              </w:rPr>
            </w:pPr>
            <w:r>
              <w:rPr>
                <w:rFonts w:ascii="Times New Roman" w:cs="Times New Roman" w:eastAsia="Times New Roman" w:hAnsi="Times New Roman"/>
                <w:sz w:val="18"/>
                <w:szCs w:val="18"/>
                <w:color w:val="auto"/>
                <w:w w:val="95"/>
              </w:rPr>
              <w:t>ATHA</w:t>
            </w:r>
          </w:p>
        </w:tc>
        <w:tc>
          <w:tcPr>
            <w:tcW w:w="3400" w:type="dxa"/>
            <w:vAlign w:val="bottom"/>
          </w:tcPr>
          <w:p>
            <w:pPr>
              <w:jc w:val="center"/>
              <w:ind w:left="642"/>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3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00" w:type="dxa"/>
            <w:vAlign w:val="bottom"/>
          </w:tcPr>
          <w:p>
            <w:pPr>
              <w:jc w:val="center"/>
              <w:ind w:left="642"/>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0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ind w:left="60"/>
        <w:spacing w:after="0" w:line="207" w:lineRule="exact"/>
        <w:tabs>
          <w:tab w:leader="none" w:pos="27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3"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829945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On January 8, 2021, the compensation committee (the “Committee”) of the board of directors (the “Board”) of Athira Pharma, Inc. (the “Company”) approved 2020 bonus payments for the Company’s executive officers as set forth in the table below. The Committee approved the bonus payments in recognition of the executive team’s achievements in 2020, including the advancement of the Company’s product candidates and completion of certain financing and other corporate objectives.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2020 Bonus</w:t>
            </w:r>
          </w:p>
        </w:tc>
      </w:tr>
      <w:tr>
        <w:trPr>
          <w:trHeight w:val="223"/>
        </w:trPr>
        <w:tc>
          <w:tcPr>
            <w:tcW w:w="2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Dr. Leen Kawas</w:t>
            </w:r>
          </w:p>
        </w:tc>
        <w:tc>
          <w:tcPr>
            <w:tcW w:w="200" w:type="dxa"/>
            <w:vAlign w:val="bottom"/>
            <w:tcBorders>
              <w:top w:val="single" w:sz="8" w:color="CFF0FC"/>
            </w:tcBorders>
            <w:shd w:val="clear" w:color="auto" w:fill="CFF0FC"/>
          </w:tcPr>
          <w:p>
            <w:pPr>
              <w:spacing w:after="0"/>
              <w:rPr>
                <w:sz w:val="19"/>
                <w:szCs w:val="19"/>
                <w:color w:val="auto"/>
              </w:rPr>
            </w:pPr>
          </w:p>
        </w:tc>
        <w:tc>
          <w:tcPr>
            <w:tcW w:w="4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Glenna Mileson</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215,600</w:t>
            </w:r>
          </w:p>
        </w:tc>
        <w:tc>
          <w:tcPr>
            <w:tcW w:w="100" w:type="dxa"/>
            <w:vAlign w:val="bottom"/>
          </w:tcPr>
          <w:p>
            <w:pPr>
              <w:spacing w:after="0"/>
              <w:rPr>
                <w:sz w:val="19"/>
                <w:szCs w:val="19"/>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Dr. Hans Moebius</w:t>
            </w: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5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190,120</w:t>
            </w:r>
          </w:p>
        </w:tc>
        <w:tc>
          <w:tcPr>
            <w:tcW w:w="100" w:type="dxa"/>
            <w:vAlign w:val="bottom"/>
            <w:shd w:val="clear" w:color="auto" w:fill="CFF0FC"/>
          </w:tcPr>
          <w:p>
            <w:pPr>
              <w:spacing w:after="0"/>
              <w:rPr>
                <w:sz w:val="19"/>
                <w:szCs w:val="19"/>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Mark Litton</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172,000</w:t>
            </w:r>
          </w:p>
        </w:tc>
        <w:tc>
          <w:tcPr>
            <w:tcW w:w="100" w:type="dxa"/>
            <w:vAlign w:val="bottom"/>
          </w:tcPr>
          <w:p>
            <w:pPr>
              <w:spacing w:after="0"/>
              <w:rPr>
                <w:sz w:val="19"/>
                <w:szCs w:val="19"/>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Dr. Kevin Church</w:t>
            </w: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Vice President of Discovery</w:t>
            </w:r>
          </w:p>
        </w:tc>
        <w:tc>
          <w:tcPr>
            <w:tcW w:w="5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shd w:val="clear" w:color="auto" w:fill="CFF0FC"/>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Commencing on or after January 11, 2021, members of the Company’s management will be providing a corporate update to analysts and investors through a series of one-on-one meetings.</w:t>
      </w:r>
    </w:p>
    <w:p>
      <w:pPr>
        <w:spacing w:after="0" w:line="54"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the slides to be used in such one-on-one meetings attached as Exhibit 99.1 hereto, are being furnished and not filed pursuant to Item 7.01 of Form 8-K. Such information shall not be deemed to be “filed” for purposes of Section 18 of the Exchange Act of 1934, as amended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99"/>
        </w:trPr>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1008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Athira Pharma, Inc. Presentation Slides</w:t>
              </w:r>
            </w:hyperlink>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Athira Pharma, Inc.</w:t>
            </w:r>
          </w:p>
        </w:tc>
      </w:tr>
      <w:tr>
        <w:trPr>
          <w:trHeight w:val="45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11, 2021</w:t>
            </w:r>
          </w:p>
        </w:tc>
        <w:tc>
          <w:tcPr>
            <w:tcW w:w="760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Leen Kawas</w:t>
            </w:r>
          </w:p>
        </w:tc>
      </w:tr>
      <w:tr>
        <w:trPr>
          <w:trHeight w:val="218"/>
        </w:trPr>
        <w:tc>
          <w:tcPr>
            <w:tcW w:w="36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Leen Kawas</w:t>
            </w:r>
          </w:p>
        </w:tc>
      </w:tr>
      <w:tr>
        <w:trPr>
          <w:trHeight w:val="234"/>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3640" w:type="dxa"/>
            <w:vAlign w:val="bottom"/>
          </w:tcPr>
          <w:p>
            <w:pPr>
              <w:spacing w:after="0"/>
              <w:rPr>
                <w:sz w:val="24"/>
                <w:szCs w:val="24"/>
                <w:color w:val="auto"/>
              </w:rPr>
            </w:pPr>
          </w:p>
        </w:tc>
        <w:tc>
          <w:tcPr>
            <w:tcW w:w="30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w:t>
            </w:r>
          </w:p>
        </w:tc>
        <w:tc>
          <w:tcPr>
            <w:tcW w:w="452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37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3937635</wp:posOffset>
            </wp:positionV>
            <wp:extent cx="71323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37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2021-01-11T05:10:24Z</dcterms:created>
  <dcterms:modified xsi:type="dcterms:W3CDTF">2021-01-11T05:10:24Z</dcterms:modified>
</cp:coreProperties>
</file>