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2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Worthington Mark</w:t>
              </w:r>
            </w:hyperlink>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Athira Pharma,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ATHA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20" w:type="dxa"/>
            <w:vAlign w:val="bottom"/>
            <w:gridSpan w:val="3"/>
            <w:vMerge w:val="continue"/>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Borders>
              <w:top w:val="single" w:sz="8" w:color="0000EE"/>
            </w:tcBorders>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3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ATHIRA PHARMA, INC.</w:t>
            </w:r>
          </w:p>
        </w:tc>
        <w:tc>
          <w:tcPr>
            <w:tcW w:w="1320" w:type="dxa"/>
            <w:vAlign w:val="bottom"/>
          </w:tcPr>
          <w:p>
            <w:pPr>
              <w:spacing w:after="0"/>
              <w:rPr>
                <w:sz w:val="19"/>
                <w:szCs w:val="19"/>
                <w:color w:val="auto"/>
              </w:rPr>
            </w:pPr>
          </w:p>
        </w:tc>
        <w:tc>
          <w:tcPr>
            <w:tcW w:w="18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06/22/2022</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20" w:type="dxa"/>
            <w:vAlign w:val="bottom"/>
            <w:gridSpan w:val="3"/>
            <w:vMerge w:val="continue"/>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BOTHELL</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98011</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7"/>
                <w:szCs w:val="7"/>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10"/>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20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(1)</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w w:val="97"/>
              </w:rPr>
              <w:t>05/18/2022</w:t>
            </w:r>
            <w:r>
              <w:rPr>
                <w:rFonts w:ascii="Times New Roman" w:cs="Times New Roman" w:eastAsia="Times New Roman" w:hAnsi="Times New Roman"/>
                <w:sz w:val="22"/>
                <w:szCs w:val="22"/>
                <w:color w:val="008000"/>
                <w:w w:val="97"/>
                <w:vertAlign w:val="superscript"/>
              </w:rPr>
              <w:t>(2)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3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V</w:t>
            </w:r>
          </w:p>
        </w:tc>
        <w:tc>
          <w:tcPr>
            <w:tcW w:w="76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rPr>
              <w:t>3,396</w:t>
            </w:r>
          </w:p>
        </w:tc>
        <w:tc>
          <w:tcPr>
            <w:tcW w:w="4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7.06</w:t>
            </w:r>
            <w:r>
              <w:rPr>
                <w:rFonts w:ascii="Times New Roman" w:cs="Times New Roman" w:eastAsia="Times New Roman" w:hAnsi="Times New Roman"/>
                <w:sz w:val="22"/>
                <w:szCs w:val="22"/>
                <w:color w:val="008000"/>
                <w:w w:val="92"/>
                <w:vertAlign w:val="superscript"/>
              </w:rPr>
              <w:t>(3)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11,711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06/22/2022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3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w w:val="93"/>
              </w:rPr>
              <w:t>10,000</w:t>
            </w:r>
            <w:r>
              <w:rPr>
                <w:rFonts w:ascii="Times New Roman" w:cs="Times New Roman" w:eastAsia="Times New Roman" w:hAnsi="Times New Roman"/>
                <w:sz w:val="22"/>
                <w:szCs w:val="22"/>
                <w:color w:val="008000"/>
                <w:w w:val="93"/>
                <w:vertAlign w:val="superscript"/>
              </w:rPr>
              <w:t>(4)</w:t>
            </w:r>
          </w:p>
        </w:tc>
        <w:tc>
          <w:tcPr>
            <w:tcW w:w="4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21,711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06/23/2022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(5)</w:t>
            </w:r>
          </w:p>
        </w:tc>
        <w:tc>
          <w:tcPr>
            <w:tcW w:w="3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rPr>
              <w:t>2,614</w:t>
            </w:r>
          </w:p>
        </w:tc>
        <w:tc>
          <w:tcPr>
            <w:tcW w:w="4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2.69</w:t>
            </w:r>
            <w:r>
              <w:rPr>
                <w:rFonts w:ascii="Times New Roman" w:cs="Times New Roman" w:eastAsia="Times New Roman" w:hAnsi="Times New Roman"/>
                <w:sz w:val="22"/>
                <w:szCs w:val="22"/>
                <w:color w:val="008000"/>
                <w:w w:val="92"/>
                <w:vertAlign w:val="superscript"/>
              </w:rPr>
              <w:t>(6)</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19,097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20" w:type="dxa"/>
            <w:vAlign w:val="bottom"/>
            <w:gridSpan w:val="13"/>
          </w:tcPr>
          <w:p>
            <w:pPr>
              <w:jc w:val="center"/>
              <w:ind w:left="4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3"/>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voluntarily reporting the acquisition of shares of the issuer's common stock pursuant to the Athira Pharma, Inc. 2020 Employee Stock Purchase Plan ("ESPP"), for the ESPP Purchase Period (as defined in the ESPP) of November 18, 2021 through May 18, 2022. This transaction is also exempt under Rule 16b-3(c).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Purchase Period ended May 18, 2022 and is the Purchase Period comprising the Offering Period (as defined in the ESPP) that began November 18,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ESPP, these shares were purchased based on 85% of the closing price on May 18, 2022.</w:t>
      </w:r>
    </w:p>
    <w:p>
      <w:pPr>
        <w:spacing w:after="0" w:line="50" w:lineRule="exact"/>
        <w:rPr>
          <w:rFonts w:ascii="Times New Roman" w:cs="Times New Roman" w:eastAsia="Times New Roman" w:hAnsi="Times New Roman"/>
          <w:sz w:val="13"/>
          <w:szCs w:val="13"/>
          <w:color w:val="008000"/>
        </w:rPr>
      </w:pPr>
    </w:p>
    <w:p>
      <w:pPr>
        <w:jc w:val="both"/>
        <w:ind w:left="40" w:right="24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3, 2021, the reporting person was granted restricted stock units ("RSUs") representing 30,000 shares of Common Stock of the Issuer. The RSUs were scheduled to vest according to the following schedule: (1) one third (1/3rd) of the number of shares subject to the RSU award vest at the completion of the public readout of topline results of the Issuer's ACT-AD Phase 2 clinical trial; (2) one third (1/3rd) of the number of shares subject to the RSU award vest at the completion of the public readout of topline results of the Issuer's LIFT-AD Phase 2/3 clinical trial (the "LIFT-AD Readout") and (3) one third (1/3rd) of the number of shares subject to the RSU award vest six (6) months after the LIFT-AD Readout, in each case subject to continued service with the Issuer through the applicable vesting date. On June 22, 2022, the Issuer completed the public readout of topline results of the ACT-AD Phase 2 clinical trial and 10,000 RSUs vested and settled on such date.</w:t>
      </w:r>
    </w:p>
    <w:p>
      <w:pPr>
        <w:spacing w:after="0" w:line="26"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were sold to cover the Issuer's tax withholding obligations in connection with the vesting of RSUs. Such sale was made pursuant to an Issuer-mandated policy and was not subject to discretion.</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and "Price" reported in this Column 4 reflect the aggregate number and weighted-average price, respectively, of shares sold. These shares were sold in multiple transactions at prices ranging from $2.62 to $2.78,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Glenna Mileson, Attorney-  </w:t>
      </w:r>
      <w:r>
        <w:rPr>
          <w:rFonts w:ascii="Times New Roman" w:cs="Times New Roman" w:eastAsia="Times New Roman" w:hAnsi="Times New Roman"/>
          <w:sz w:val="34"/>
          <w:szCs w:val="34"/>
          <w:color w:val="0000FF"/>
          <w:vertAlign w:val="subscript"/>
        </w:rPr>
        <w:t>06/24/2022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9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Mark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313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381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61464"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2022-06-24T18:56:32Z</dcterms:created>
  <dcterms:modified xsi:type="dcterms:W3CDTF">2022-06-24T18:56:32Z</dcterms:modified>
</cp:coreProperties>
</file>