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980" w:type="dxa"/>
            <w:vAlign w:val="bottom"/>
            <w:gridSpan w:val="3"/>
            <w:vMerge w:val="restart"/>
          </w:tcPr>
          <w:p>
            <w:pPr>
              <w:spacing w:after="0" w:line="256"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Panzara Michael A.</w:t>
              </w:r>
            </w:hyperlink>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98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03/18/2022</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8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800" w:type="dxa"/>
            <w:vAlign w:val="bottom"/>
          </w:tcPr>
          <w:p>
            <w:pPr>
              <w:ind w:left="8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C/O ATHIRA PHARMA, INC.</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right="1700"/>
        <w:spacing w:after="0" w:line="269" w:lineRule="auto"/>
        <w:rPr>
          <w:sz w:val="20"/>
          <w:szCs w:val="20"/>
          <w:color w:val="auto"/>
        </w:rPr>
      </w:pPr>
      <w:r>
        <w:rPr>
          <w:rFonts w:ascii="Arial" w:cs="Arial" w:eastAsia="Arial" w:hAnsi="Arial"/>
          <w:sz w:val="20"/>
          <w:szCs w:val="20"/>
          <w:color w:val="0000FF"/>
        </w:rPr>
        <w:t>18706 NORTH CREEK PARKWAY, SUITE 104</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BOTHELL  WA</w:t>
            </w:r>
          </w:p>
        </w:tc>
        <w:tc>
          <w:tcPr>
            <w:tcW w:w="860" w:type="dxa"/>
            <w:vAlign w:val="bottom"/>
          </w:tcPr>
          <w:p>
            <w:pPr>
              <w:jc w:val="right"/>
              <w:spacing w:after="0"/>
              <w:rPr>
                <w:sz w:val="20"/>
                <w:szCs w:val="20"/>
                <w:color w:val="auto"/>
              </w:rPr>
            </w:pPr>
            <w:r>
              <w:rPr>
                <w:rFonts w:ascii="Arial" w:cs="Arial" w:eastAsia="Arial" w:hAnsi="Arial"/>
                <w:sz w:val="20"/>
                <w:szCs w:val="20"/>
                <w:color w:val="0000FF"/>
              </w:rPr>
              <w:t>98011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Athira Pharma,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ATHA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w w:val="91"/>
              </w:rPr>
              <w:t>No securities are beneficially owned.</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ind w:left="860"/>
              <w:spacing w:after="0"/>
              <w:rPr>
                <w:sz w:val="20"/>
                <w:szCs w:val="20"/>
                <w:color w:val="auto"/>
              </w:rPr>
            </w:pPr>
            <w:r>
              <w:rPr>
                <w:rFonts w:ascii="Arial" w:cs="Arial" w:eastAsia="Arial" w:hAnsi="Arial"/>
                <w:sz w:val="20"/>
                <w:szCs w:val="20"/>
                <w:color w:val="0000FF"/>
              </w:rPr>
              <w:t>0</w:t>
            </w:r>
          </w:p>
        </w:tc>
        <w:tc>
          <w:tcPr>
            <w:tcW w:w="900" w:type="dxa"/>
            <w:vAlign w:val="bottom"/>
            <w:gridSpan w:val="2"/>
          </w:tcPr>
          <w:p>
            <w:pPr>
              <w:ind w:left="72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6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3060" w:type="dxa"/>
            <w:vAlign w:val="bottom"/>
            <w:tcBorders>
              <w:top w:val="single" w:sz="8" w:color="2C2C2C"/>
            </w:tcBorders>
          </w:tcPr>
          <w:p>
            <w:pPr>
              <w:spacing w:after="0"/>
              <w:rPr>
                <w:sz w:val="22"/>
                <w:szCs w:val="22"/>
                <w:color w:val="auto"/>
              </w:rPr>
            </w:pPr>
          </w:p>
        </w:tc>
        <w:tc>
          <w:tcPr>
            <w:tcW w:w="546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52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gridSpan w:val="2"/>
          </w:tcPr>
          <w:p>
            <w:pPr>
              <w:ind w:left="20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gridSpan w:val="2"/>
          </w:tcPr>
          <w:p>
            <w:pPr>
              <w:ind w:left="2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w w:val="91"/>
              </w:rPr>
              <w:t>No securities are beneficially owned.</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309"/>
              <w:spacing w:after="0"/>
              <w:rPr>
                <w:sz w:val="20"/>
                <w:szCs w:val="20"/>
                <w:color w:val="auto"/>
              </w:rPr>
            </w:pPr>
            <w:r>
              <w:rPr>
                <w:rFonts w:ascii="Arial" w:cs="Arial" w:eastAsia="Arial" w:hAnsi="Arial"/>
                <w:sz w:val="13"/>
                <w:szCs w:val="13"/>
                <w:color w:val="008000"/>
              </w:rPr>
              <w:t>(1)</w:t>
            </w:r>
          </w:p>
        </w:tc>
        <w:tc>
          <w:tcPr>
            <w:tcW w:w="1740" w:type="dxa"/>
            <w:vAlign w:val="bottom"/>
          </w:tcPr>
          <w:p>
            <w:pPr>
              <w:ind w:left="340"/>
              <w:spacing w:after="0"/>
              <w:rPr>
                <w:sz w:val="20"/>
                <w:szCs w:val="20"/>
                <w:color w:val="auto"/>
              </w:rPr>
            </w:pPr>
            <w:r>
              <w:rPr>
                <w:rFonts w:ascii="Arial" w:cs="Arial" w:eastAsia="Arial" w:hAnsi="Arial"/>
                <w:sz w:val="20"/>
                <w:szCs w:val="20"/>
                <w:color w:val="0000FF"/>
              </w:rPr>
              <w:t>Not Applicable</w:t>
            </w:r>
          </w:p>
        </w:tc>
        <w:tc>
          <w:tcPr>
            <w:tcW w:w="840" w:type="dxa"/>
            <w:vAlign w:val="bottom"/>
          </w:tcPr>
          <w:p>
            <w:pPr>
              <w:ind w:left="440"/>
              <w:spacing w:after="0"/>
              <w:rPr>
                <w:sz w:val="20"/>
                <w:szCs w:val="20"/>
                <w:color w:val="auto"/>
              </w:rPr>
            </w:pPr>
            <w:r>
              <w:rPr>
                <w:rFonts w:ascii="Arial" w:cs="Arial" w:eastAsia="Arial" w:hAnsi="Arial"/>
                <w:sz w:val="20"/>
                <w:szCs w:val="20"/>
                <w:color w:val="0000FF"/>
              </w:rPr>
              <w:t>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0.00</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Not applicable.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Glenna Mileson,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33858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38580" cy="9525"/>
                    </a:xfrm>
                    <a:prstGeom prst="rect">
                      <a:avLst/>
                    </a:prstGeom>
                    <a:noFill/>
                  </pic:spPr>
                </pic:pic>
              </a:graphicData>
            </a:graphic>
          </wp:anchor>
        </w:drawing>
      </w:r>
    </w:p>
    <w:p>
      <w:pPr>
        <w:ind w:left="6580"/>
        <w:spacing w:after="0"/>
        <w:tabs>
          <w:tab w:leader="none" w:pos="8740" w:val="left"/>
        </w:tabs>
        <w:rPr>
          <w:sz w:val="20"/>
          <w:szCs w:val="20"/>
          <w:color w:val="auto"/>
        </w:rPr>
      </w:pPr>
      <w:r>
        <w:rPr>
          <w:rFonts w:ascii="Arial" w:cs="Arial" w:eastAsia="Arial" w:hAnsi="Arial"/>
          <w:sz w:val="20"/>
          <w:szCs w:val="20"/>
          <w:color w:val="0000FF"/>
        </w:rPr>
        <w:t>in-fact for Michael</w:t>
      </w:r>
      <w:r>
        <w:rPr>
          <w:sz w:val="20"/>
          <w:szCs w:val="20"/>
          <w:color w:val="auto"/>
        </w:rPr>
        <w:tab/>
      </w:r>
      <w:r>
        <w:rPr>
          <w:rFonts w:ascii="Arial" w:cs="Arial" w:eastAsia="Arial" w:hAnsi="Arial"/>
          <w:sz w:val="17"/>
          <w:szCs w:val="17"/>
          <w:color w:val="0000FF"/>
        </w:rPr>
        <w:t>03/21/2022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Panzara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917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9179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Athira Pharma, Inc. (the "Company"), hereby constitutes and appoints Glenna Mileson, V. Keophilavanh and each of the responsible attorneys and paralegals of Wilson Sonsini Goodrich &amp; Rosati, Professional Corporation, the undersigned's true and lawful attorney-in-fact to:</w:t>
      </w:r>
    </w:p>
    <w:p>
      <w:pPr>
        <w:spacing w:after="0" w:line="232" w:lineRule="exact"/>
        <w:rPr>
          <w:sz w:val="20"/>
          <w:szCs w:val="20"/>
          <w:color w:val="auto"/>
        </w:rPr>
      </w:pPr>
    </w:p>
    <w:p>
      <w:pPr>
        <w:ind w:right="39"/>
        <w:spacing w:after="0" w:line="264"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 4, and 5 and other forms and all amendments thereto as such attorney-in-fact shall in his or her discretion determine to be required or advisable pursuant to Section 16 of the Securities Exchange Act of</w:t>
      </w:r>
    </w:p>
    <w:p>
      <w:pPr>
        <w:spacing w:after="0" w:line="2" w:lineRule="exact"/>
        <w:rPr>
          <w:rFonts w:ascii="Courier New" w:cs="Courier New" w:eastAsia="Courier New" w:hAnsi="Courier New"/>
          <w:sz w:val="18"/>
          <w:szCs w:val="18"/>
          <w:color w:val="auto"/>
        </w:rPr>
      </w:pPr>
    </w:p>
    <w:p>
      <w:pPr>
        <w:ind w:right="61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(as amended) and the rules and regulations promulgated thereunder, or any successor laws and regulations, as a consequence of the undersigned's ownership, acquisition or disposition of securities of the Company; and</w:t>
      </w:r>
    </w:p>
    <w:p>
      <w:pPr>
        <w:spacing w:after="0" w:line="232" w:lineRule="exact"/>
        <w:rPr>
          <w:rFonts w:ascii="Courier New" w:cs="Courier New" w:eastAsia="Courier New" w:hAnsi="Courier New"/>
          <w:sz w:val="18"/>
          <w:szCs w:val="18"/>
          <w:color w:val="auto"/>
        </w:rPr>
      </w:pPr>
    </w:p>
    <w:p>
      <w:pPr>
        <w:ind w:right="499"/>
        <w:spacing w:after="0" w:line="237"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5" w:lineRule="exact"/>
        <w:rPr>
          <w:rFonts w:ascii="Courier New" w:cs="Courier New" w:eastAsia="Courier New" w:hAnsi="Courier New"/>
          <w:sz w:val="20"/>
          <w:szCs w:val="20"/>
          <w:color w:val="auto"/>
        </w:rPr>
      </w:pPr>
    </w:p>
    <w:p>
      <w:pPr>
        <w:ind w:right="6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March 16, 2022.</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Michael Panzara</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79039"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2022-03-21T15:38:20Z</dcterms:created>
  <dcterms:modified xsi:type="dcterms:W3CDTF">2022-03-21T15:38:20Z</dcterms:modified>
</cp:coreProperties>
</file>