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919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919595"/>
                    </a:xfrm>
                    <a:prstGeom prst="rect">
                      <a:avLst/>
                    </a:prstGeom>
                    <a:noFill/>
                  </pic:spPr>
                </pic:pic>
              </a:graphicData>
            </a:graphic>
          </wp:anchor>
        </w:drawing>
      </w:r>
    </w:p>
    <w:p>
      <w:pPr>
        <w:spacing w:after="0" w:line="1183" w:lineRule="exact"/>
        <w:rPr>
          <w:sz w:val="24"/>
          <w:szCs w:val="24"/>
          <w:color w:val="auto"/>
        </w:rPr>
      </w:pPr>
    </w:p>
    <w:p>
      <w:pPr>
        <w:sectPr>
          <w:pgSz w:w="11900" w:h="16925"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Litton Mark James</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Athira Pharma,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ATHA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180" w:type="dxa"/>
            <w:vAlign w:val="bottom"/>
          </w:tcPr>
          <w:p>
            <w:pPr>
              <w:spacing w:after="0"/>
              <w:rPr>
                <w:sz w:val="18"/>
                <w:szCs w:val="18"/>
                <w:color w:val="auto"/>
              </w:rPr>
            </w:pP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12/31/2025</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937"/>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1" w:lineRule="exact"/>
        <w:rPr>
          <w:sz w:val="20"/>
          <w:szCs w:val="20"/>
          <w:color w:val="auto"/>
        </w:rPr>
      </w:pPr>
    </w:p>
    <w:p>
      <w:pPr>
        <w:sectPr>
          <w:pgSz w:w="11900" w:h="16925" w:orient="portrait"/>
          <w:cols w:equalWidth="0" w:num="2">
            <w:col w:w="7660" w:space="63"/>
            <w:col w:w="3357"/>
          </w:cols>
          <w:pgMar w:left="460" w:top="217" w:right="359" w:bottom="0" w:gutter="0" w:footer="0" w:header="0"/>
          <w:type w:val="continuous"/>
        </w:sectPr>
      </w:pP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0"/>
          <w:szCs w:val="20"/>
          <w:color w:val="auto"/>
        </w:rPr>
      </w:pPr>
    </w:p>
    <w:p>
      <w:pPr>
        <w:sectPr>
          <w:pgSz w:w="11900" w:h="16925"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12/31/2025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ind w:right="17"/>
              <w:spacing w:after="0"/>
              <w:rPr>
                <w:sz w:val="20"/>
                <w:szCs w:val="20"/>
                <w:color w:val="auto"/>
              </w:rPr>
            </w:pPr>
            <w:r>
              <w:rPr>
                <w:rFonts w:ascii="Times New Roman" w:cs="Times New Roman" w:eastAsia="Times New Roman" w:hAnsi="Times New Roman"/>
                <w:sz w:val="17"/>
                <w:szCs w:val="17"/>
                <w:color w:val="0000FF"/>
              </w:rPr>
              <w:t>10,834</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43,414</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01/02/2026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right"/>
              <w:ind w:right="57"/>
              <w:spacing w:after="0"/>
              <w:rPr>
                <w:sz w:val="20"/>
                <w:szCs w:val="20"/>
                <w:color w:val="auto"/>
              </w:rPr>
            </w:pPr>
            <w:r>
              <w:rPr>
                <w:rFonts w:ascii="Times New Roman" w:cs="Times New Roman" w:eastAsia="Times New Roman" w:hAnsi="Times New Roman"/>
                <w:sz w:val="17"/>
                <w:szCs w:val="17"/>
                <w:color w:val="0000FF"/>
              </w:rPr>
              <w:t>2,586</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6.88</w:t>
            </w:r>
            <w:r>
              <w:rPr>
                <w:rFonts w:ascii="Times New Roman" w:cs="Times New Roman" w:eastAsia="Times New Roman" w:hAnsi="Times New Roman"/>
                <w:sz w:val="21"/>
                <w:szCs w:val="21"/>
                <w:color w:val="008000"/>
                <w:w w:val="89"/>
                <w:vertAlign w:val="superscript"/>
              </w:rPr>
              <w:t>(3)</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40,828</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center"/>
              <w:ind w:left="334"/>
              <w:spacing w:after="0"/>
              <w:rPr>
                <w:sz w:val="20"/>
                <w:szCs w:val="20"/>
                <w:color w:val="auto"/>
              </w:rPr>
            </w:pPr>
            <w:r>
              <w:rPr>
                <w:rFonts w:ascii="Times New Roman" w:cs="Times New Roman" w:eastAsia="Times New Roman" w:hAnsi="Times New Roman"/>
                <w:sz w:val="17"/>
                <w:szCs w:val="17"/>
                <w:color w:val="0000FF"/>
                <w:w w:val="93"/>
              </w:rPr>
              <w:t>656</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vMerge w:val="restart"/>
          </w:tcPr>
          <w:p>
            <w:pPr>
              <w:jc w:val="center"/>
              <w:ind w:right="33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4"/>
          </w:tcPr>
          <w:p>
            <w:pPr>
              <w:ind w:left="60"/>
              <w:spacing w:after="0" w:line="271" w:lineRule="exact"/>
              <w:rPr>
                <w:sz w:val="20"/>
                <w:szCs w:val="20"/>
                <w:color w:val="auto"/>
              </w:rPr>
            </w:pPr>
            <w:r>
              <w:rPr>
                <w:rFonts w:ascii="Times New Roman" w:cs="Times New Roman" w:eastAsia="Times New Roman" w:hAnsi="Times New Roman"/>
                <w:sz w:val="31"/>
                <w:szCs w:val="31"/>
                <w:color w:val="0000FF"/>
                <w:vertAlign w:val="subscript"/>
              </w:rPr>
              <w:t>OSL</w:t>
            </w: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center"/>
              <w:ind w:left="334"/>
              <w:spacing w:after="0"/>
              <w:rPr>
                <w:sz w:val="20"/>
                <w:szCs w:val="20"/>
                <w:color w:val="auto"/>
              </w:rPr>
            </w:pPr>
            <w:r>
              <w:rPr>
                <w:rFonts w:ascii="Times New Roman" w:cs="Times New Roman" w:eastAsia="Times New Roman" w:hAnsi="Times New Roman"/>
                <w:sz w:val="17"/>
                <w:szCs w:val="17"/>
                <w:color w:val="0000FF"/>
                <w:w w:val="93"/>
              </w:rPr>
              <w:t>656</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vMerge w:val="restart"/>
          </w:tcPr>
          <w:p>
            <w:pPr>
              <w:jc w:val="center"/>
              <w:ind w:right="33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4"/>
          </w:tcPr>
          <w:p>
            <w:pPr>
              <w:ind w:left="60"/>
              <w:spacing w:after="0" w:line="271" w:lineRule="exact"/>
              <w:rPr>
                <w:sz w:val="20"/>
                <w:szCs w:val="20"/>
                <w:color w:val="auto"/>
              </w:rPr>
            </w:pPr>
            <w:r>
              <w:rPr>
                <w:rFonts w:ascii="Times New Roman" w:cs="Times New Roman" w:eastAsia="Times New Roman" w:hAnsi="Times New Roman"/>
                <w:sz w:val="31"/>
                <w:szCs w:val="31"/>
                <w:color w:val="0000FF"/>
                <w:vertAlign w:val="subscript"/>
              </w:rPr>
              <w:t>SWL</w:t>
            </w:r>
            <w:r>
              <w:rPr>
                <w:rFonts w:ascii="Times New Roman" w:cs="Times New Roman" w:eastAsia="Times New Roman" w:hAnsi="Times New Roman"/>
                <w:sz w:val="10"/>
                <w:szCs w:val="10"/>
                <w:color w:val="008000"/>
              </w:rPr>
              <w:t>(5)</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center"/>
              <w:ind w:left="334"/>
              <w:spacing w:after="0"/>
              <w:rPr>
                <w:sz w:val="20"/>
                <w:szCs w:val="20"/>
                <w:color w:val="auto"/>
              </w:rPr>
            </w:pPr>
            <w:r>
              <w:rPr>
                <w:rFonts w:ascii="Times New Roman" w:cs="Times New Roman" w:eastAsia="Times New Roman" w:hAnsi="Times New Roman"/>
                <w:sz w:val="17"/>
                <w:szCs w:val="17"/>
                <w:color w:val="0000FF"/>
                <w:w w:val="93"/>
              </w:rPr>
              <w:t>656</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vMerge w:val="restart"/>
          </w:tcPr>
          <w:p>
            <w:pPr>
              <w:jc w:val="center"/>
              <w:ind w:right="33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WGL</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1"/>
              </w:rPr>
              <w:t>Transaction(s)</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w w:val="88"/>
              </w:rPr>
              <w:t>(Instr. 4)</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10,834</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12/31/2025</w:t>
            </w:r>
          </w:p>
        </w:tc>
        <w:tc>
          <w:tcPr>
            <w:tcW w:w="1140" w:type="dxa"/>
            <w:vAlign w:val="bottom"/>
          </w:tcPr>
          <w:p>
            <w:pPr>
              <w:spacing w:after="0"/>
              <w:rPr>
                <w:sz w:val="12"/>
                <w:szCs w:val="12"/>
                <w:color w:val="auto"/>
              </w:rPr>
            </w:pP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82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10,834</w:t>
            </w: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(9)</w:t>
            </w:r>
          </w:p>
        </w:tc>
        <w:tc>
          <w:tcPr>
            <w:tcW w:w="6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46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w w:val="91"/>
              </w:rPr>
              <w:t>0</w:t>
            </w:r>
          </w:p>
        </w:tc>
        <w:tc>
          <w:tcPr>
            <w:tcW w:w="340" w:type="dxa"/>
            <w:vAlign w:val="bottom"/>
          </w:tcPr>
          <w:p>
            <w:pPr>
              <w:spacing w:after="0"/>
              <w:rPr>
                <w:sz w:val="12"/>
                <w:szCs w:val="12"/>
                <w:color w:val="auto"/>
              </w:rPr>
            </w:pPr>
          </w:p>
        </w:tc>
        <w:tc>
          <w:tcPr>
            <w:tcW w:w="54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(7)</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-2028825</wp:posOffset>
            </wp:positionV>
            <wp:extent cx="29210" cy="2033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number of shares in this Form 4 has been adjusted to reflect the impact of the Issuer's 10-for-1 reverse stock split completed on September 17, 2025 (the "Reverse Stock Split").</w:t>
      </w:r>
    </w:p>
    <w:p>
      <w:pPr>
        <w:spacing w:after="0" w:line="44" w:lineRule="exact"/>
        <w:rPr>
          <w:rFonts w:ascii="Times New Roman" w:cs="Times New Roman" w:eastAsia="Times New Roman" w:hAnsi="Times New Roman"/>
          <w:sz w:val="13"/>
          <w:szCs w:val="13"/>
          <w:color w:val="008000"/>
        </w:rPr>
      </w:pPr>
    </w:p>
    <w:p>
      <w:pPr>
        <w:ind w:left="40" w:right="18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 No additional shares of common stock were sold by the reporting person and the shares of common stock received upon settlement of the RSUs are subject to a lock-up agreement with Cantor Fitzgerald &amp;amp; Co. entered into in connection with the Issuer's private placement in December 2025.</w:t>
      </w:r>
    </w:p>
    <w:p>
      <w:pPr>
        <w:spacing w:after="0" w:line="26" w:lineRule="exact"/>
        <w:rPr>
          <w:rFonts w:ascii="Times New Roman" w:cs="Times New Roman" w:eastAsia="Times New Roman" w:hAnsi="Times New Roman"/>
          <w:sz w:val="13"/>
          <w:szCs w:val="13"/>
          <w:color w:val="008000"/>
        </w:rPr>
      </w:pPr>
    </w:p>
    <w:p>
      <w:pPr>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$6.60 to $7.56,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OSL held for the benefit of Dr. Litton's children.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SWL held for the benefit of Dr. Litton's children.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WGL held for the benefit of Dr. Litton's children.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common stock on a one-for-one basis.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 2024, the reporting person was granted 32,500 RSUs. One-third (1/3rd) of the RSUs vest on each of December 31, 2024, June 30, 2025 and December 31, 2025, subject to the reporting person continuing to be a Service Provider (as defined in the Issuer's 2020 Equity Incentive Plan (the "Plan")) through the applicable vesting dates.</w:t>
      </w:r>
    </w:p>
    <w:p>
      <w:pPr>
        <w:sectPr>
          <w:pgSz w:w="11900" w:h="16925"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94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2"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on behalf of</w:t>
      </w:r>
      <w:r>
        <w:rPr>
          <w:sz w:val="20"/>
          <w:szCs w:val="20"/>
          <w:color w:val="auto"/>
        </w:rPr>
        <w:tab/>
      </w:r>
      <w:r>
        <w:rPr>
          <w:rFonts w:ascii="Times New Roman" w:cs="Times New Roman" w:eastAsia="Times New Roman" w:hAnsi="Times New Roman"/>
          <w:sz w:val="16"/>
          <w:szCs w:val="16"/>
          <w:color w:val="0000FF"/>
        </w:rPr>
        <w:t>01/05/2026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Mark James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8051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5180" cy="8255"/>
                    </a:xfrm>
                    <a:prstGeom prst="rect">
                      <a:avLst/>
                    </a:prstGeom>
                    <a:noFill/>
                  </pic:spPr>
                </pic:pic>
              </a:graphicData>
            </a:graphic>
          </wp:anchor>
        </w:drawing>
      </w:r>
    </w:p>
    <w:p>
      <w:pPr>
        <w:spacing w:after="0" w:line="3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4834"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2026-01-05T19:58:51Z</dcterms:created>
  <dcterms:modified xsi:type="dcterms:W3CDTF">2026-01-05T19:58:51Z</dcterms:modified>
</cp:coreProperties>
</file>