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 w:right="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-225425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5253990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3976370</wp:posOffset>
            </wp:positionH>
            <wp:positionV relativeFrom="paragraph">
              <wp:posOffset>-626110</wp:posOffset>
            </wp:positionV>
            <wp:extent cx="58420" cy="6394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743585</wp:posOffset>
            </wp:positionV>
            <wp:extent cx="7046595" cy="47421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7421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8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Renninger Robert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81" w:lineRule="exact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</w:rPr>
                <w:t xml:space="preserve">Athira Pharma, Inc. </w:t>
              </w:r>
            </w:hyperlink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ATHA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ATHIRA PHARMA, INC.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12/24/2025</w:t>
            </w:r>
          </w:p>
        </w:tc>
        <w:tc>
          <w:tcPr>
            <w:tcW w:w="2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18706 NORTH CREEK PARKWAY, SUITE 104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54" w:lineRule="exact"/>
        <w:rPr>
          <w:sz w:val="20"/>
          <w:szCs w:val="20"/>
          <w:color w:val="auto"/>
        </w:rPr>
      </w:pPr>
    </w:p>
    <w:p>
      <w:pPr>
        <w:ind w:right="620"/>
        <w:spacing w:after="0" w:line="258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520"/>
        <w:spacing w:after="0"/>
        <w:tabs>
          <w:tab w:leader="none" w:pos="205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520"/>
        <w:spacing w:after="0"/>
        <w:tabs>
          <w:tab w:leader="none" w:pos="205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ind w:left="8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Financial Officer</w:t>
      </w:r>
    </w:p>
    <w:p>
      <w:pPr>
        <w:spacing w:after="0" w:line="395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80" w:space="60"/>
            <w:col w:w="3340"/>
          </w:cols>
          <w:pgMar w:left="460" w:top="217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80" w:type="dxa"/>
            <w:vAlign w:val="bottom"/>
            <w:gridSpan w:val="8"/>
          </w:tcPr>
          <w:p>
            <w:pPr>
              <w:jc w:val="center"/>
              <w:ind w:right="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10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BOTHELL</w:t>
            </w: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WA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98011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20" w:type="dxa"/>
            <w:vAlign w:val="bottom"/>
            <w:gridSpan w:val="12"/>
          </w:tcPr>
          <w:p>
            <w:pPr>
              <w:jc w:val="center"/>
              <w:ind w:left="4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</w:tcPr>
          <w:p>
            <w:pPr>
              <w:ind w:left="200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5"/>
              </w:rPr>
              <w:t>4.07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5"/>
                <w:vertAlign w:val="superscript"/>
              </w:rPr>
              <w:t>(1)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12/24/2025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34,358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09/23/2035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34,358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34,358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exercise price is equal to the closing price per share of Common Stock as reported on the Nasdaq Global Market on the date of grant.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60" w:firstLine="2"/>
        <w:spacing w:after="0" w:line="237" w:lineRule="auto"/>
        <w:tabs>
          <w:tab w:leader="none" w:pos="169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On September 24, 2025, the reporting person was granted an option to purchase 34,358 shares of common stock. The option was scheduled to vest only upon satisfaction of both a milestone requirement (the "Milestone Requirement") and a service-based requirement (the "Service-Based Requirement"). The Milestone Requirement was satisfied on December 23, 2025. The Service-Based Requirement will be satisfied as to 50% of the total number of shares granted under the option on December 23, 2026 and as to 1/36th of the remaining 50% on the 23rd day of each month thereafter, subject to the optionee continuing to be a Service Provider (as defined in the Issuer's 2020 Equity Incentive Plan) through the applicable vesting dates.</w:t>
      </w:r>
    </w:p>
    <w:p>
      <w:pPr>
        <w:spacing w:after="0" w:line="54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Mark Worthington,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-8890</wp:posOffset>
            </wp:positionV>
            <wp:extent cx="94615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61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on behalf of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12/29/2025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-15875</wp:posOffset>
            </wp:positionV>
            <wp:extent cx="188531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53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Robert Renninger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-15875</wp:posOffset>
            </wp:positionV>
            <wp:extent cx="75946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94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1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2037968" TargetMode="External"/><Relationship Id="rId14" Type="http://schemas.openxmlformats.org/officeDocument/2006/relationships/hyperlink" Target="http://www.sec.gov/cgi-bin/browse-edgar?action=getcompany&amp;CIK=000162046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2025-12-29T15:29:53Z</dcterms:created>
  <dcterms:modified xsi:type="dcterms:W3CDTF">2025-12-29T15:29:53Z</dcterms:modified>
</cp:coreProperties>
</file>