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Gengos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0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100" w:type="dxa"/>
            <w:vAlign w:val="bottom"/>
            <w:gridSpan w:val="3"/>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0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200" w:type="dxa"/>
            <w:vAlign w:val="bottom"/>
          </w:tcPr>
          <w:p>
            <w:pPr>
              <w:ind w:left="6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0000FF"/>
              </w:rPr>
              <w:t>See Below</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01/04/2023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85,012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01/05/2023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1,208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2.91</w:t>
            </w:r>
            <w:r>
              <w:rPr>
                <w:rFonts w:ascii="Times New Roman" w:cs="Times New Roman" w:eastAsia="Times New Roman" w:hAnsi="Times New Roman"/>
                <w:sz w:val="22"/>
                <w:szCs w:val="22"/>
                <w:color w:val="008000"/>
                <w:w w:val="92"/>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83,804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18, 2023, the reporting person was granted restricted stock units ("RSUs") representing 10,000 shares of Common Stock of the Issuer. The RSUs were scheduled to vest according to the following amended schedule: (1) fifty percent (50%) of the shares subject to the RSU award vest as of the date the the Compensation Committee (the "Committee" determines that enrollment of the Company's LIFT-AD Phase 2/3 clinical trial has been completed, and (2) the remaining fifty percent (50%) of the shares subject to the RSUs shall vest at the completion of the public readout of topline results of the Company's LIFT-AD Phase 2/3 clinical trial, in each case subject to continued service with the Issuer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Committee determined that enrollment of the Company's LIFT-AD Phase 2/3 clinical trial had been completed and 5,000 RSUs vested and settled on such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Chief Business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Andrew</w:t>
        <w:tab/>
        <w:t>01/08/2024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Gengos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63623"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2024-01-08T15:50:59Z</dcterms:created>
  <dcterms:modified xsi:type="dcterms:W3CDTF">2024-01-08T15:50:59Z</dcterms:modified>
</cp:coreProperties>
</file>