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2"/>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69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6"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61" w:lineRule="exact"/>
        <w:rPr>
          <w:sz w:val="24"/>
          <w:szCs w:val="24"/>
          <w:color w:val="auto"/>
        </w:rPr>
      </w:pPr>
    </w:p>
    <w:p>
      <w:pPr>
        <w:ind w:left="5052"/>
        <w:spacing w:after="0"/>
        <w:rPr>
          <w:sz w:val="20"/>
          <w:szCs w:val="20"/>
          <w:color w:val="auto"/>
        </w:rPr>
      </w:pPr>
      <w:r>
        <w:rPr>
          <w:rFonts w:ascii="Times New Roman" w:cs="Times New Roman" w:eastAsia="Times New Roman" w:hAnsi="Times New Roman"/>
          <w:sz w:val="18"/>
          <w:szCs w:val="18"/>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4"/>
          <w:szCs w:val="24"/>
          <w:color w:val="auto"/>
        </w:rPr>
      </w:pPr>
    </w:p>
    <w:p>
      <w:pPr>
        <w:ind w:left="3052"/>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972"/>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70" w:lineRule="exact"/>
        <w:rPr>
          <w:sz w:val="24"/>
          <w:szCs w:val="24"/>
          <w:color w:val="auto"/>
        </w:rPr>
      </w:pPr>
    </w:p>
    <w:p>
      <w:pPr>
        <w:ind w:left="72"/>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72"/>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72"/>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852" w:hanging="852"/>
        <w:spacing w:after="0"/>
        <w:tabs>
          <w:tab w:leader="none" w:pos="8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852" w:hanging="852"/>
        <w:spacing w:after="0" w:line="207" w:lineRule="exact"/>
        <w:tabs>
          <w:tab w:leader="none" w:pos="8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6(e)(2))</w:t>
      </w:r>
    </w:p>
    <w:p>
      <w:pPr>
        <w:spacing w:after="0" w:line="146" w:lineRule="exact"/>
        <w:rPr>
          <w:sz w:val="24"/>
          <w:szCs w:val="24"/>
          <w:color w:val="auto"/>
        </w:rPr>
      </w:pPr>
    </w:p>
    <w:p>
      <w:pPr>
        <w:ind w:left="852" w:hanging="852"/>
        <w:spacing w:after="0"/>
        <w:tabs>
          <w:tab w:leader="none" w:pos="8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852" w:hanging="852"/>
        <w:spacing w:after="0"/>
        <w:tabs>
          <w:tab w:leader="none" w:pos="8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88" w:lineRule="exact"/>
        <w:rPr>
          <w:rFonts w:ascii="MS PGothic" w:cs="MS PGothic" w:eastAsia="MS PGothic" w:hAnsi="MS PGothic"/>
          <w:sz w:val="18"/>
          <w:szCs w:val="18"/>
          <w:color w:val="auto"/>
        </w:rPr>
      </w:pPr>
    </w:p>
    <w:p>
      <w:pPr>
        <w:ind w:left="852" w:hanging="852"/>
        <w:spacing w:after="0" w:line="207" w:lineRule="exact"/>
        <w:tabs>
          <w:tab w:leader="none" w:pos="8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135"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5"/>
          <w:szCs w:val="25"/>
          <w:b w:val="1"/>
          <w:bCs w:val="1"/>
          <w:color w:val="auto"/>
        </w:rPr>
        <w:t>ATHIRA PHARMA, INC.</w:t>
      </w:r>
    </w:p>
    <w:p>
      <w:pPr>
        <w:spacing w:after="0" w:line="47" w:lineRule="exact"/>
        <w:rPr>
          <w:sz w:val="24"/>
          <w:szCs w:val="24"/>
          <w:color w:val="auto"/>
        </w:rPr>
      </w:pPr>
    </w:p>
    <w:p>
      <w:pPr>
        <w:ind w:left="3792"/>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2852"/>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3" w:lineRule="exact"/>
        <w:rPr>
          <w:sz w:val="24"/>
          <w:szCs w:val="24"/>
          <w:color w:val="auto"/>
        </w:rPr>
      </w:pPr>
    </w:p>
    <w:p>
      <w:pPr>
        <w:ind w:left="72"/>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852" w:hanging="852"/>
        <w:spacing w:after="0"/>
        <w:tabs>
          <w:tab w:leader="none" w:pos="85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852" w:hanging="852"/>
        <w:spacing w:after="0"/>
        <w:tabs>
          <w:tab w:leader="none" w:pos="85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852" w:hanging="852"/>
        <w:spacing w:after="0"/>
        <w:tabs>
          <w:tab w:leader="none" w:pos="85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424815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1"/>
          </w:cols>
          <w:pgMar w:left="328" w:top="57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646430</wp:posOffset>
            </wp:positionV>
            <wp:extent cx="1859915" cy="925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599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18706 North Creek Parkway, Suite 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Bothell, Washington 98011</w:t>
      </w:r>
    </w:p>
    <w:p>
      <w:pPr>
        <w:jc w:val="center"/>
        <w:spacing w:after="0"/>
        <w:rPr>
          <w:sz w:val="20"/>
          <w:szCs w:val="20"/>
          <w:color w:val="auto"/>
        </w:rPr>
      </w:pPr>
      <w:r>
        <w:rPr>
          <w:rFonts w:ascii="Arial" w:cs="Arial" w:eastAsia="Arial" w:hAnsi="Arial"/>
          <w:sz w:val="18"/>
          <w:szCs w:val="18"/>
          <w:color w:val="auto"/>
        </w:rPr>
        <w:t>(425) 620-8501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April 5,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We are pleased to invite you to attend the 2022 annual meeting of stockholders (together with any postponement, adjournments or other delays thereof, the “Annual Meeting”) of Athira Pharma, Inc. (the "Company"). The Annual Meeting will be held on May 19, 2022, at 8:00 a.m., Pacific Time. The Annual Meeting will be held at the offices of Wilson Sonsini Goodrich &amp; Rosati, Professional Corporation, located at 701 Fifth Ave, Suite 5100, Seattle, Washington 98104.</w:t>
      </w:r>
    </w:p>
    <w:p>
      <w:pPr>
        <w:spacing w:after="0" w:line="17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Our board of directors is soliciting proxies for the Annual Meeting. The attached formal meeting notice and proxy statement contain details of the business to be conducted at the Annual Meeting. The proxy statement contains important information for you to consider when deciding how to vote on the matters brought before the Annual Meeting. We ask that you please read it carefully.</w:t>
      </w:r>
    </w:p>
    <w:p>
      <w:pPr>
        <w:spacing w:after="0" w:line="169"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 xml:space="preserve">The proxy statement,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the Company’s Annual Report on Form 10-K for the fiscal year ended December 31, 2021, were first sent or given to our stockholders on or about April 5, 2022.</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Please submit your proxy promptly via the Internet or telephone, or by mail.</w:t>
      </w:r>
    </w:p>
    <w:p>
      <w:pPr>
        <w:spacing w:after="0" w:line="21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Your vote at the Annual Meeting is especially important. Whether or not you attend the Annual Meeting, it is important that your shares be represented and voted at the Annual Meeting. As you may know, Richard Kayne delivered notice of an intent to nominate himself and George W. Bickerstaff, III for election as directors at the Annual Meeting. While we do not know whether Mr. Kayne will in fact nominate himself and Mr. Bickerstaff or solicit proxies, you may receive solicitation materials from Mr. Kayne seeking your proxy to vote at the Annual Meeting. Our board of directors recommends that you disregard these materials. </w:t>
      </w:r>
      <w:r>
        <w:rPr>
          <w:rFonts w:ascii="Arial" w:cs="Arial" w:eastAsia="Arial" w:hAnsi="Arial"/>
          <w:sz w:val="18"/>
          <w:szCs w:val="18"/>
          <w:b w:val="1"/>
          <w:bCs w:val="1"/>
          <w:color w:val="auto"/>
        </w:rPr>
        <w:t>Our board of directors unanimously recommends 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vote "for" the election of each of the board's nominees on the enclosed WHITE proxy card. Our board of directors urges you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sign or return any blue proxy card sent to you by Mr. Kayne, even as a protest vote. </w:t>
      </w:r>
      <w:r>
        <w:rPr>
          <w:rFonts w:ascii="Arial" w:cs="Arial" w:eastAsia="Arial" w:hAnsi="Arial"/>
          <w:sz w:val="18"/>
          <w:szCs w:val="18"/>
          <w:color w:val="auto"/>
        </w:rPr>
        <w:t>Even if you have previously signed a blue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card sent to you by Mr. Kayne, you have every right to change your vote by signing and dating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returning it in the postage-paid envelope provided or by voting via the Internet or telephone by following the instructions provided on the enclosed </w:t>
      </w:r>
      <w:r>
        <w:rPr>
          <w:rFonts w:ascii="Arial" w:cs="Arial" w:eastAsia="Arial" w:hAnsi="Arial"/>
          <w:sz w:val="18"/>
          <w:szCs w:val="18"/>
          <w:b w:val="1"/>
          <w:bCs w:val="1"/>
          <w:color w:val="auto"/>
        </w:rPr>
        <w:t xml:space="preserve">WHITE </w:t>
      </w:r>
      <w:r>
        <w:rPr>
          <w:rFonts w:ascii="Arial" w:cs="Arial" w:eastAsia="Arial" w:hAnsi="Arial"/>
          <w:sz w:val="18"/>
          <w:szCs w:val="18"/>
          <w:color w:val="auto"/>
        </w:rPr>
        <w:t>proxy card. Only your last-dated proxy will count, and any proxy may be revoked at any time prior to its exercise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as described in the accompanying proxy statement.</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If you have any questions, or need assistance voting your shares, please contact the firm assisting us in the solicitation of proxies:</w:t>
      </w:r>
    </w:p>
    <w:p>
      <w:pPr>
        <w:spacing w:after="0" w:line="212"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Innisfree M&amp;A Incorporated</w:t>
      </w:r>
    </w:p>
    <w:p>
      <w:pPr>
        <w:spacing w:after="0" w:line="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Stockholders in the US or Canada may call toll-free at (877) 456-3510</w:t>
      </w:r>
    </w:p>
    <w:p>
      <w:pPr>
        <w:jc w:val="center"/>
        <w:ind w:left="580"/>
        <w:spacing w:after="0" w:line="234" w:lineRule="auto"/>
        <w:rPr>
          <w:sz w:val="20"/>
          <w:szCs w:val="20"/>
          <w:color w:val="auto"/>
        </w:rPr>
      </w:pPr>
      <w:r>
        <w:rPr>
          <w:rFonts w:ascii="Arial" w:cs="Arial" w:eastAsia="Arial" w:hAnsi="Arial"/>
          <w:sz w:val="18"/>
          <w:szCs w:val="18"/>
          <w:color w:val="auto"/>
        </w:rPr>
        <w:t>Stockholders in other locations may call direct at +1 (412) 232-3651</w:t>
      </w:r>
    </w:p>
    <w:p>
      <w:pPr>
        <w:spacing w:after="0" w:line="1"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Banks and brokers please call collect at (212) 750-5833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firstLine="589"/>
        <w:spacing w:after="0" w:line="271" w:lineRule="auto"/>
        <w:rPr>
          <w:sz w:val="20"/>
          <w:szCs w:val="20"/>
          <w:color w:val="auto"/>
        </w:rPr>
      </w:pPr>
      <w:r>
        <w:rPr>
          <w:rFonts w:ascii="Arial" w:cs="Arial" w:eastAsia="Arial" w:hAnsi="Arial"/>
          <w:sz w:val="18"/>
          <w:szCs w:val="18"/>
          <w:color w:val="auto"/>
        </w:rPr>
        <w:t>On behalf of our board of directors, we would like to express our appreciation for your continued support of and interest in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68655"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Mark Litton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18706 North Creek Parkway, Suite 104</w:t>
      </w:r>
    </w:p>
    <w:p>
      <w:pPr>
        <w:jc w:val="center"/>
        <w:ind w:right="20"/>
        <w:spacing w:after="0"/>
        <w:rPr>
          <w:sz w:val="20"/>
          <w:szCs w:val="20"/>
          <w:color w:val="auto"/>
        </w:rPr>
      </w:pPr>
      <w:r>
        <w:rPr>
          <w:rFonts w:ascii="Arial" w:cs="Arial" w:eastAsia="Arial" w:hAnsi="Arial"/>
          <w:sz w:val="18"/>
          <w:szCs w:val="18"/>
          <w:b w:val="1"/>
          <w:bCs w:val="1"/>
          <w:color w:val="auto"/>
        </w:rPr>
        <w:t>Bothell, Washington 98011</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2" w:lineRule="exact"/>
        <w:rPr>
          <w:sz w:val="20"/>
          <w:szCs w:val="20"/>
          <w:color w:val="auto"/>
        </w:rPr>
      </w:pPr>
    </w:p>
    <w:p>
      <w:pPr>
        <w:ind w:right="20" w:firstLine="589"/>
        <w:spacing w:after="0" w:line="271" w:lineRule="auto"/>
        <w:rPr>
          <w:sz w:val="20"/>
          <w:szCs w:val="20"/>
          <w:color w:val="auto"/>
        </w:rPr>
      </w:pPr>
      <w:r>
        <w:rPr>
          <w:rFonts w:ascii="Arial" w:cs="Arial" w:eastAsia="Arial" w:hAnsi="Arial"/>
          <w:sz w:val="18"/>
          <w:szCs w:val="18"/>
          <w:color w:val="auto"/>
        </w:rPr>
        <w:t>You are cordially invited to attend the annual meeting of stockholders (together with any postponement, adjournments or other delays thereof, the “Annual Meeting”) of Athira Pharma, Inc. (the “Company”).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8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8880" w:type="dxa"/>
            <w:vAlign w:val="bottom"/>
          </w:tcPr>
          <w:p>
            <w:pPr>
              <w:ind w:left="820"/>
              <w:spacing w:after="0"/>
              <w:rPr>
                <w:sz w:val="20"/>
                <w:szCs w:val="20"/>
                <w:color w:val="auto"/>
              </w:rPr>
            </w:pPr>
            <w:r>
              <w:rPr>
                <w:rFonts w:ascii="Arial" w:cs="Arial" w:eastAsia="Arial" w:hAnsi="Arial"/>
                <w:sz w:val="18"/>
                <w:szCs w:val="18"/>
                <w:color w:val="auto"/>
              </w:rPr>
              <w:t>8:00 a.m., Pacific Time, on May 19, 2022.</w:t>
            </w:r>
          </w:p>
        </w:tc>
      </w:tr>
      <w:tr>
        <w:trPr>
          <w:trHeight w:val="347"/>
        </w:trPr>
        <w:tc>
          <w:tcPr>
            <w:tcW w:w="23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880" w:type="dxa"/>
            <w:vAlign w:val="bottom"/>
          </w:tcPr>
          <w:p>
            <w:pPr>
              <w:ind w:left="820"/>
              <w:spacing w:after="0"/>
              <w:rPr>
                <w:sz w:val="20"/>
                <w:szCs w:val="20"/>
                <w:color w:val="auto"/>
              </w:rPr>
            </w:pPr>
            <w:r>
              <w:rPr>
                <w:rFonts w:ascii="Arial" w:cs="Arial" w:eastAsia="Arial" w:hAnsi="Arial"/>
                <w:sz w:val="18"/>
                <w:szCs w:val="18"/>
                <w:color w:val="auto"/>
              </w:rPr>
              <w:t>The offices of Wilson Sonsini Goodrich &amp; Rosati, Professional</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Corporation, located at 701 Fifth Ave, Suite 5100, Seattle, Washington</w:t>
            </w:r>
          </w:p>
        </w:tc>
      </w:tr>
      <w:tr>
        <w:trPr>
          <w:trHeight w:val="239"/>
        </w:trPr>
        <w:tc>
          <w:tcPr>
            <w:tcW w:w="2380" w:type="dxa"/>
            <w:vAlign w:val="bottom"/>
          </w:tcPr>
          <w:p>
            <w:pPr>
              <w:spacing w:after="0"/>
              <w:rPr>
                <w:sz w:val="20"/>
                <w:szCs w:val="20"/>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98104.</w:t>
            </w:r>
          </w:p>
        </w:tc>
      </w:tr>
      <w:tr>
        <w:trPr>
          <w:trHeight w:val="315"/>
        </w:trPr>
        <w:tc>
          <w:tcPr>
            <w:tcW w:w="23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880" w:type="dxa"/>
            <w:vAlign w:val="bottom"/>
          </w:tcPr>
          <w:p>
            <w:pPr>
              <w:ind w:left="820"/>
              <w:spacing w:after="0"/>
              <w:rPr>
                <w:sz w:val="20"/>
                <w:szCs w:val="20"/>
                <w:color w:val="auto"/>
              </w:rPr>
            </w:pPr>
            <w:r>
              <w:rPr>
                <w:rFonts w:ascii="Arial" w:cs="Arial" w:eastAsia="Arial" w:hAnsi="Arial"/>
                <w:sz w:val="18"/>
                <w:szCs w:val="18"/>
                <w:color w:val="auto"/>
              </w:rPr>
              <w:t>1.  To elect three Class II directors of the Company, each to serve for terms of three years and until</w:t>
            </w:r>
          </w:p>
        </w:tc>
      </w:tr>
      <w:tr>
        <w:trPr>
          <w:trHeight w:val="203"/>
        </w:trPr>
        <w:tc>
          <w:tcPr>
            <w:tcW w:w="2380" w:type="dxa"/>
            <w:vAlign w:val="bottom"/>
          </w:tcPr>
          <w:p>
            <w:pPr>
              <w:spacing w:after="0"/>
              <w:rPr>
                <w:sz w:val="17"/>
                <w:szCs w:val="17"/>
                <w:color w:val="auto"/>
              </w:rPr>
            </w:pPr>
          </w:p>
        </w:tc>
        <w:tc>
          <w:tcPr>
            <w:tcW w:w="8880" w:type="dxa"/>
            <w:vAlign w:val="bottom"/>
          </w:tcPr>
          <w:p>
            <w:pPr>
              <w:ind w:left="1160"/>
              <w:spacing w:after="0" w:line="202" w:lineRule="exact"/>
              <w:rPr>
                <w:sz w:val="20"/>
                <w:szCs w:val="20"/>
                <w:color w:val="auto"/>
              </w:rPr>
            </w:pPr>
            <w:r>
              <w:rPr>
                <w:rFonts w:ascii="Arial" w:cs="Arial" w:eastAsia="Arial" w:hAnsi="Arial"/>
                <w:sz w:val="18"/>
                <w:szCs w:val="18"/>
                <w:color w:val="auto"/>
              </w:rPr>
              <w:t>their respective successors are elected and qualified, or until their earlier death, subject to earlier</w:t>
            </w:r>
          </w:p>
        </w:tc>
      </w:tr>
      <w:tr>
        <w:trPr>
          <w:trHeight w:val="239"/>
        </w:trPr>
        <w:tc>
          <w:tcPr>
            <w:tcW w:w="2380" w:type="dxa"/>
            <w:vAlign w:val="bottom"/>
          </w:tcPr>
          <w:p>
            <w:pPr>
              <w:spacing w:after="0"/>
              <w:rPr>
                <w:sz w:val="20"/>
                <w:szCs w:val="20"/>
                <w:color w:val="auto"/>
              </w:rPr>
            </w:pPr>
          </w:p>
        </w:tc>
        <w:tc>
          <w:tcPr>
            <w:tcW w:w="8880" w:type="dxa"/>
            <w:vAlign w:val="bottom"/>
          </w:tcPr>
          <w:p>
            <w:pPr>
              <w:ind w:left="1160"/>
              <w:spacing w:after="0"/>
              <w:rPr>
                <w:sz w:val="20"/>
                <w:szCs w:val="20"/>
                <w:color w:val="auto"/>
              </w:rPr>
            </w:pPr>
            <w:r>
              <w:rPr>
                <w:rFonts w:ascii="Arial" w:cs="Arial" w:eastAsia="Arial" w:hAnsi="Arial"/>
                <w:sz w:val="18"/>
                <w:szCs w:val="18"/>
                <w:color w:val="auto"/>
              </w:rPr>
              <w:t>resignation or removal.</w:t>
            </w:r>
          </w:p>
        </w:tc>
      </w:tr>
      <w:tr>
        <w:trPr>
          <w:trHeight w:val="274"/>
        </w:trPr>
        <w:tc>
          <w:tcPr>
            <w:tcW w:w="2380" w:type="dxa"/>
            <w:vAlign w:val="bottom"/>
          </w:tcPr>
          <w:p>
            <w:pPr>
              <w:spacing w:after="0"/>
              <w:rPr>
                <w:sz w:val="23"/>
                <w:szCs w:val="23"/>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2.  To ratify the appointment of Ernst &amp; Young LLP as the Company’s independent registered public</w:t>
            </w:r>
          </w:p>
        </w:tc>
      </w:tr>
      <w:tr>
        <w:trPr>
          <w:trHeight w:val="239"/>
        </w:trPr>
        <w:tc>
          <w:tcPr>
            <w:tcW w:w="2380" w:type="dxa"/>
            <w:vAlign w:val="bottom"/>
          </w:tcPr>
          <w:p>
            <w:pPr>
              <w:spacing w:after="0"/>
              <w:rPr>
                <w:sz w:val="20"/>
                <w:szCs w:val="20"/>
                <w:color w:val="auto"/>
              </w:rPr>
            </w:pPr>
          </w:p>
        </w:tc>
        <w:tc>
          <w:tcPr>
            <w:tcW w:w="8880" w:type="dxa"/>
            <w:vAlign w:val="bottom"/>
          </w:tcPr>
          <w:p>
            <w:pPr>
              <w:ind w:left="1160"/>
              <w:spacing w:after="0"/>
              <w:rPr>
                <w:sz w:val="20"/>
                <w:szCs w:val="20"/>
                <w:color w:val="auto"/>
              </w:rPr>
            </w:pPr>
            <w:r>
              <w:rPr>
                <w:rFonts w:ascii="Arial" w:cs="Arial" w:eastAsia="Arial" w:hAnsi="Arial"/>
                <w:sz w:val="18"/>
                <w:szCs w:val="18"/>
                <w:color w:val="auto"/>
              </w:rPr>
              <w:t>accounting firm for its fiscal year ending December 31, 2022.</w:t>
            </w:r>
          </w:p>
        </w:tc>
      </w:tr>
      <w:tr>
        <w:trPr>
          <w:trHeight w:val="274"/>
        </w:trPr>
        <w:tc>
          <w:tcPr>
            <w:tcW w:w="2380" w:type="dxa"/>
            <w:vAlign w:val="bottom"/>
          </w:tcPr>
          <w:p>
            <w:pPr>
              <w:spacing w:after="0"/>
              <w:rPr>
                <w:sz w:val="23"/>
                <w:szCs w:val="23"/>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3.  To vote on a resolution submitted by a stockholder of the Company to repeal any provision of the</w:t>
            </w:r>
          </w:p>
        </w:tc>
      </w:tr>
      <w:tr>
        <w:trPr>
          <w:trHeight w:val="203"/>
        </w:trPr>
        <w:tc>
          <w:tcPr>
            <w:tcW w:w="2380" w:type="dxa"/>
            <w:vAlign w:val="bottom"/>
          </w:tcPr>
          <w:p>
            <w:pPr>
              <w:spacing w:after="0"/>
              <w:rPr>
                <w:sz w:val="17"/>
                <w:szCs w:val="17"/>
                <w:color w:val="auto"/>
              </w:rPr>
            </w:pPr>
          </w:p>
        </w:tc>
        <w:tc>
          <w:tcPr>
            <w:tcW w:w="8880" w:type="dxa"/>
            <w:vAlign w:val="bottom"/>
          </w:tcPr>
          <w:p>
            <w:pPr>
              <w:ind w:left="1160"/>
              <w:spacing w:after="0" w:line="202" w:lineRule="exact"/>
              <w:rPr>
                <w:sz w:val="20"/>
                <w:szCs w:val="20"/>
                <w:color w:val="auto"/>
              </w:rPr>
            </w:pPr>
            <w:r>
              <w:rPr>
                <w:rFonts w:ascii="Arial" w:cs="Arial" w:eastAsia="Arial" w:hAnsi="Arial"/>
                <w:sz w:val="18"/>
                <w:szCs w:val="18"/>
                <w:color w:val="auto"/>
              </w:rPr>
              <w:t>Company’s bylaws in effect at the time of the Annual Meeting that was not included in the</w:t>
            </w:r>
          </w:p>
        </w:tc>
      </w:tr>
      <w:tr>
        <w:trPr>
          <w:trHeight w:val="203"/>
        </w:trPr>
        <w:tc>
          <w:tcPr>
            <w:tcW w:w="2380" w:type="dxa"/>
            <w:vAlign w:val="bottom"/>
          </w:tcPr>
          <w:p>
            <w:pPr>
              <w:spacing w:after="0"/>
              <w:rPr>
                <w:sz w:val="17"/>
                <w:szCs w:val="17"/>
                <w:color w:val="auto"/>
              </w:rPr>
            </w:pPr>
          </w:p>
        </w:tc>
        <w:tc>
          <w:tcPr>
            <w:tcW w:w="8880" w:type="dxa"/>
            <w:vAlign w:val="bottom"/>
          </w:tcPr>
          <w:p>
            <w:pPr>
              <w:ind w:left="1160"/>
              <w:spacing w:after="0" w:line="202" w:lineRule="exact"/>
              <w:rPr>
                <w:sz w:val="20"/>
                <w:szCs w:val="20"/>
                <w:color w:val="auto"/>
              </w:rPr>
            </w:pPr>
            <w:r>
              <w:rPr>
                <w:rFonts w:ascii="Arial" w:cs="Arial" w:eastAsia="Arial" w:hAnsi="Arial"/>
                <w:sz w:val="18"/>
                <w:szCs w:val="18"/>
                <w:color w:val="auto"/>
              </w:rPr>
              <w:t>Company’s bylaws as publicly filed with the Securities and Exchange Commission on or prior to</w:t>
            </w:r>
          </w:p>
        </w:tc>
      </w:tr>
      <w:tr>
        <w:trPr>
          <w:trHeight w:val="239"/>
        </w:trPr>
        <w:tc>
          <w:tcPr>
            <w:tcW w:w="2380" w:type="dxa"/>
            <w:vAlign w:val="bottom"/>
          </w:tcPr>
          <w:p>
            <w:pPr>
              <w:spacing w:after="0"/>
              <w:rPr>
                <w:sz w:val="20"/>
                <w:szCs w:val="20"/>
                <w:color w:val="auto"/>
              </w:rPr>
            </w:pPr>
          </w:p>
        </w:tc>
        <w:tc>
          <w:tcPr>
            <w:tcW w:w="8880" w:type="dxa"/>
            <w:vAlign w:val="bottom"/>
          </w:tcPr>
          <w:p>
            <w:pPr>
              <w:ind w:left="1160"/>
              <w:spacing w:after="0"/>
              <w:rPr>
                <w:sz w:val="20"/>
                <w:szCs w:val="20"/>
                <w:color w:val="auto"/>
              </w:rPr>
            </w:pPr>
            <w:r>
              <w:rPr>
                <w:rFonts w:ascii="Arial" w:cs="Arial" w:eastAsia="Arial" w:hAnsi="Arial"/>
                <w:sz w:val="18"/>
                <w:szCs w:val="18"/>
                <w:color w:val="auto"/>
              </w:rPr>
              <w:t>February 18, 2022.</w:t>
            </w:r>
          </w:p>
        </w:tc>
      </w:tr>
      <w:tr>
        <w:trPr>
          <w:trHeight w:val="311"/>
        </w:trPr>
        <w:tc>
          <w:tcPr>
            <w:tcW w:w="2380" w:type="dxa"/>
            <w:vAlign w:val="bottom"/>
          </w:tcPr>
          <w:p>
            <w:pPr>
              <w:spacing w:after="0"/>
              <w:rPr>
                <w:sz w:val="24"/>
                <w:szCs w:val="24"/>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4.  To transact other business that may properly come before the Annual Meeting.</w:t>
            </w:r>
          </w:p>
        </w:tc>
      </w:tr>
      <w:tr>
        <w:trPr>
          <w:trHeight w:val="274"/>
        </w:trPr>
        <w:tc>
          <w:tcPr>
            <w:tcW w:w="2380" w:type="dxa"/>
            <w:vAlign w:val="bottom"/>
          </w:tcPr>
          <w:p>
            <w:pPr>
              <w:spacing w:after="0"/>
              <w:rPr>
                <w:sz w:val="23"/>
                <w:szCs w:val="23"/>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w:t>
            </w:r>
          </w:p>
        </w:tc>
      </w:tr>
      <w:tr>
        <w:trPr>
          <w:trHeight w:val="239"/>
        </w:trPr>
        <w:tc>
          <w:tcPr>
            <w:tcW w:w="2380" w:type="dxa"/>
            <w:vAlign w:val="bottom"/>
          </w:tcPr>
          <w:p>
            <w:pPr>
              <w:spacing w:after="0"/>
              <w:rPr>
                <w:sz w:val="20"/>
                <w:szCs w:val="20"/>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Notice.</w:t>
            </w:r>
          </w:p>
        </w:tc>
      </w:tr>
      <w:tr>
        <w:trPr>
          <w:trHeight w:val="274"/>
        </w:trPr>
        <w:tc>
          <w:tcPr>
            <w:tcW w:w="2380" w:type="dxa"/>
            <w:vAlign w:val="bottom"/>
          </w:tcPr>
          <w:p>
            <w:pPr>
              <w:spacing w:after="0"/>
              <w:rPr>
                <w:sz w:val="23"/>
                <w:szCs w:val="23"/>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 xml:space="preserve">The board of directors strongly and unanimously recommends that you vote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 xml:space="preserve">card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board’s independent nominees as Class II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No. 2, and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3. The board does </w:t>
            </w:r>
            <w:r>
              <w:rPr>
                <w:rFonts w:ascii="Arial" w:cs="Arial" w:eastAsia="Arial" w:hAnsi="Arial"/>
                <w:sz w:val="18"/>
                <w:szCs w:val="18"/>
                <w:b w:val="1"/>
                <w:bCs w:val="1"/>
                <w:color w:val="auto"/>
              </w:rPr>
              <w:t>NOT</w:t>
            </w:r>
            <w:r>
              <w:rPr>
                <w:rFonts w:ascii="Arial" w:cs="Arial" w:eastAsia="Arial" w:hAnsi="Arial"/>
                <w:sz w:val="18"/>
                <w:szCs w:val="18"/>
                <w:color w:val="auto"/>
              </w:rPr>
              <w:t xml:space="preserve"> endorse the election of any nominee</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 xml:space="preserve">proposed by Mr. Kayne and strongly and unanimously urges you to </w:t>
            </w:r>
            <w:r>
              <w:rPr>
                <w:rFonts w:ascii="Arial" w:cs="Arial" w:eastAsia="Arial" w:hAnsi="Arial"/>
                <w:sz w:val="18"/>
                <w:szCs w:val="18"/>
                <w:b w:val="1"/>
                <w:bCs w:val="1"/>
                <w:color w:val="auto"/>
              </w:rPr>
              <w:t>NOT</w:t>
            </w:r>
            <w:r>
              <w:rPr>
                <w:rFonts w:ascii="Arial" w:cs="Arial" w:eastAsia="Arial" w:hAnsi="Arial"/>
                <w:sz w:val="18"/>
                <w:szCs w:val="18"/>
                <w:color w:val="auto"/>
              </w:rPr>
              <w:t xml:space="preserve"> return any blue proxy card</w:t>
            </w:r>
          </w:p>
        </w:tc>
      </w:tr>
      <w:tr>
        <w:trPr>
          <w:trHeight w:val="239"/>
        </w:trPr>
        <w:tc>
          <w:tcPr>
            <w:tcW w:w="2380" w:type="dxa"/>
            <w:vAlign w:val="bottom"/>
          </w:tcPr>
          <w:p>
            <w:pPr>
              <w:spacing w:after="0"/>
              <w:rPr>
                <w:sz w:val="20"/>
                <w:szCs w:val="20"/>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sent to you by Mr. Kayne.</w:t>
            </w:r>
          </w:p>
        </w:tc>
      </w:tr>
      <w:tr>
        <w:trPr>
          <w:trHeight w:val="359"/>
        </w:trPr>
        <w:tc>
          <w:tcPr>
            <w:tcW w:w="23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880" w:type="dxa"/>
            <w:vAlign w:val="bottom"/>
          </w:tcPr>
          <w:p>
            <w:pPr>
              <w:ind w:left="820"/>
              <w:spacing w:after="0"/>
              <w:rPr>
                <w:sz w:val="20"/>
                <w:szCs w:val="20"/>
                <w:color w:val="auto"/>
              </w:rPr>
            </w:pPr>
            <w:r>
              <w:rPr>
                <w:rFonts w:ascii="Arial" w:cs="Arial" w:eastAsia="Arial" w:hAnsi="Arial"/>
                <w:sz w:val="18"/>
                <w:szCs w:val="18"/>
                <w:color w:val="auto"/>
              </w:rPr>
              <w:t>March 21, 2022.</w:t>
            </w:r>
          </w:p>
        </w:tc>
      </w:tr>
      <w:tr>
        <w:trPr>
          <w:trHeight w:val="347"/>
        </w:trPr>
        <w:tc>
          <w:tcPr>
            <w:tcW w:w="2380" w:type="dxa"/>
            <w:vAlign w:val="bottom"/>
          </w:tcPr>
          <w:p>
            <w:pPr>
              <w:spacing w:after="0"/>
              <w:rPr>
                <w:sz w:val="20"/>
                <w:szCs w:val="20"/>
                <w:color w:val="auto"/>
              </w:rPr>
            </w:pPr>
            <w:r>
              <w:rPr>
                <w:rFonts w:ascii="Arial" w:cs="Arial" w:eastAsia="Arial" w:hAnsi="Arial"/>
                <w:sz w:val="18"/>
                <w:szCs w:val="18"/>
                <w:b w:val="1"/>
                <w:bCs w:val="1"/>
                <w:color w:val="auto"/>
              </w:rPr>
              <w:t>Proxy Materials</w:t>
            </w:r>
          </w:p>
        </w:tc>
        <w:tc>
          <w:tcPr>
            <w:tcW w:w="8880" w:type="dxa"/>
            <w:vAlign w:val="bottom"/>
          </w:tcPr>
          <w:p>
            <w:pPr>
              <w:ind w:left="820"/>
              <w:spacing w:after="0"/>
              <w:rPr>
                <w:sz w:val="20"/>
                <w:szCs w:val="20"/>
                <w:color w:val="auto"/>
              </w:rPr>
            </w:pPr>
            <w:r>
              <w:rPr>
                <w:rFonts w:ascii="Arial" w:cs="Arial" w:eastAsia="Arial" w:hAnsi="Arial"/>
                <w:sz w:val="18"/>
                <w:szCs w:val="18"/>
                <w:color w:val="auto"/>
              </w:rPr>
              <w:t xml:space="preserve">The proxy statement,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the Company’s Annual Report on Form</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10-K for the fiscal year ended December 31, 2021 were first sent or given to our stockholders on or</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 xml:space="preserve">about April 5, 2022. You should also have received a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postage-paid return</w:t>
            </w:r>
          </w:p>
        </w:tc>
      </w:tr>
      <w:tr>
        <w:trPr>
          <w:trHeight w:val="239"/>
        </w:trPr>
        <w:tc>
          <w:tcPr>
            <w:tcW w:w="2380" w:type="dxa"/>
            <w:vAlign w:val="bottom"/>
          </w:tcPr>
          <w:p>
            <w:pPr>
              <w:spacing w:after="0"/>
              <w:rPr>
                <w:sz w:val="20"/>
                <w:szCs w:val="20"/>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envelope, through which your vote is being solicited on behalf of our board of directors.</w:t>
            </w:r>
          </w:p>
        </w:tc>
      </w:tr>
      <w:tr>
        <w:trPr>
          <w:trHeight w:val="274"/>
        </w:trPr>
        <w:tc>
          <w:tcPr>
            <w:tcW w:w="2380" w:type="dxa"/>
            <w:vAlign w:val="bottom"/>
          </w:tcPr>
          <w:p>
            <w:pPr>
              <w:spacing w:after="0"/>
              <w:rPr>
                <w:sz w:val="23"/>
                <w:szCs w:val="23"/>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All stockholders as of the record date are cordially invited to attend the Annual Meeting. Whether or</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not you expect to attend the Annual Meeting, we encourage you to submit your proxy as soon as</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possible using one of three convenient methods: (1) by accessing the Internet site described in the</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b w:val="1"/>
                <w:bCs w:val="1"/>
                <w:color w:val="auto"/>
              </w:rPr>
              <w:t xml:space="preserve">WHITE </w:t>
            </w:r>
            <w:r>
              <w:rPr>
                <w:rFonts w:ascii="Arial" w:cs="Arial" w:eastAsia="Arial" w:hAnsi="Arial"/>
                <w:sz w:val="18"/>
                <w:szCs w:val="18"/>
                <w:color w:val="auto"/>
              </w:rPr>
              <w:t>proxy card provided to you, (2) by calling the toll-free number on the</w:t>
            </w:r>
            <w:r>
              <w:rPr>
                <w:rFonts w:ascii="Arial" w:cs="Arial" w:eastAsia="Arial" w:hAnsi="Arial"/>
                <w:sz w:val="18"/>
                <w:szCs w:val="18"/>
                <w:b w:val="1"/>
                <w:bCs w:val="1"/>
                <w:color w:val="auto"/>
              </w:rPr>
              <w:t xml:space="preserve"> WHITE </w:t>
            </w:r>
            <w:r>
              <w:rPr>
                <w:rFonts w:ascii="Arial" w:cs="Arial" w:eastAsia="Arial" w:hAnsi="Arial"/>
                <w:sz w:val="18"/>
                <w:szCs w:val="18"/>
                <w:color w:val="auto"/>
              </w:rPr>
              <w:t>proxy card</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 xml:space="preserve">provided to you, or (3) signing, dating and returning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You are urged to</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 xml:space="preserve">complete and submit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even if your shares were sold after the record</w:t>
            </w:r>
          </w:p>
        </w:tc>
      </w:tr>
      <w:tr>
        <w:trPr>
          <w:trHeight w:val="239"/>
        </w:trPr>
        <w:tc>
          <w:tcPr>
            <w:tcW w:w="2380" w:type="dxa"/>
            <w:vAlign w:val="bottom"/>
          </w:tcPr>
          <w:p>
            <w:pPr>
              <w:spacing w:after="0"/>
              <w:rPr>
                <w:sz w:val="20"/>
                <w:szCs w:val="20"/>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date.</w:t>
            </w:r>
          </w:p>
        </w:tc>
      </w:tr>
      <w:tr>
        <w:trPr>
          <w:trHeight w:val="274"/>
        </w:trPr>
        <w:tc>
          <w:tcPr>
            <w:tcW w:w="2380" w:type="dxa"/>
            <w:vAlign w:val="bottom"/>
          </w:tcPr>
          <w:p>
            <w:pPr>
              <w:spacing w:after="0"/>
              <w:rPr>
                <w:sz w:val="23"/>
                <w:szCs w:val="23"/>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If your shares of common stock are held in a brokerage account or by a broker, bank or other</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nominee (i.e., your shares are held beneficially in “street name”), you will receive a voting instruction</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form from the holder of record. You must provide voting instructions by completing the voting</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instruction form and returning it to your broker, bank or other nominee for your shares to be voted.</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We recommend that you instruct your broker, bank or other nominee to vote your shares using the</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b w:val="1"/>
                <w:bCs w:val="1"/>
                <w:color w:val="auto"/>
              </w:rPr>
              <w:t xml:space="preserve">WHITE </w:t>
            </w:r>
            <w:r>
              <w:rPr>
                <w:rFonts w:ascii="Arial" w:cs="Arial" w:eastAsia="Arial" w:hAnsi="Arial"/>
                <w:sz w:val="18"/>
                <w:szCs w:val="18"/>
                <w:color w:val="auto"/>
              </w:rPr>
              <w:t>voting instruction form. The availability of Internet and telephone voting options will depend</w:t>
            </w:r>
          </w:p>
        </w:tc>
      </w:tr>
      <w:tr>
        <w:trPr>
          <w:trHeight w:val="239"/>
        </w:trPr>
        <w:tc>
          <w:tcPr>
            <w:tcW w:w="2380" w:type="dxa"/>
            <w:vAlign w:val="bottom"/>
          </w:tcPr>
          <w:p>
            <w:pPr>
              <w:spacing w:after="0"/>
              <w:rPr>
                <w:sz w:val="20"/>
                <w:szCs w:val="20"/>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on the voting process of your broker, bank or other nominee.</w:t>
            </w:r>
          </w:p>
        </w:tc>
      </w:tr>
      <w:tr>
        <w:trPr>
          <w:trHeight w:val="456"/>
        </w:trPr>
        <w:tc>
          <w:tcPr>
            <w:tcW w:w="2380" w:type="dxa"/>
            <w:vAlign w:val="bottom"/>
          </w:tcPr>
          <w:p>
            <w:pPr>
              <w:spacing w:after="0"/>
              <w:rPr>
                <w:sz w:val="24"/>
                <w:szCs w:val="24"/>
                <w:color w:val="auto"/>
              </w:rPr>
            </w:pPr>
          </w:p>
        </w:tc>
        <w:tc>
          <w:tcPr>
            <w:tcW w:w="8880" w:type="dxa"/>
            <w:vAlign w:val="bottom"/>
          </w:tcPr>
          <w:p>
            <w:pPr>
              <w:ind w:left="30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iii</w:t>
            </w:r>
            <w:r>
              <w:rPr>
                <w:rFonts w:ascii="Arial" w:cs="Arial" w:eastAsia="Arial" w:hAnsi="Arial"/>
                <w:sz w:val="22"/>
                <w:szCs w:val="22"/>
                <w:color w:val="auto"/>
              </w:rPr>
              <w:t xml:space="preserve"> -</w:t>
            </w:r>
          </w:p>
        </w:tc>
      </w:tr>
      <w:tr>
        <w:trPr>
          <w:trHeight w:val="101"/>
        </w:trPr>
        <w:tc>
          <w:tcPr>
            <w:tcW w:w="2380" w:type="dxa"/>
            <w:vAlign w:val="bottom"/>
            <w:tcBorders>
              <w:bottom w:val="single" w:sz="8" w:color="9A9A9A"/>
            </w:tcBorders>
          </w:tcPr>
          <w:p>
            <w:pPr>
              <w:spacing w:after="0"/>
              <w:rPr>
                <w:sz w:val="8"/>
                <w:szCs w:val="8"/>
                <w:color w:val="auto"/>
              </w:rPr>
            </w:pPr>
          </w:p>
        </w:tc>
        <w:tc>
          <w:tcPr>
            <w:tcW w:w="8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380" w:type="dxa"/>
            <w:vAlign w:val="bottom"/>
            <w:gridSpan w:val="5"/>
          </w:tcPr>
          <w:p>
            <w:pPr>
              <w:ind w:left="1320"/>
              <w:spacing w:after="0"/>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 Whether or not you plan to attend the Annual Meeting, we urge you to</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submit your proxy via the Internet or telephone or by mail as soon as possible.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Your vote (whether cast by you personally or by proxy) will be especially important at the Annual</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Meeting. As you may know, Richard Kayne has notified the Company that he intends to nominate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himself and George W. Bickerstaff, III for election as directors at the Annual Meeting.  You may</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receive proxy solicitation materials from Mr. Kayne, including proxy statements and blue proxy cards.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b w:val="1"/>
                <w:bCs w:val="1"/>
                <w:color w:val="auto"/>
              </w:rPr>
              <w:t>The board of directors recommends that you disregard them</w:t>
            </w:r>
            <w:r>
              <w:rPr>
                <w:rFonts w:ascii="Arial" w:cs="Arial" w:eastAsia="Arial" w:hAnsi="Arial"/>
                <w:sz w:val="18"/>
                <w:szCs w:val="18"/>
                <w:color w:val="auto"/>
              </w:rPr>
              <w:t>. We are not responsible for the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accuracy of any information provided by or relating to Mr. Kayne or the nominees contained in any</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proxy solicitation materials filed or disseminated by, or on behalf of, Mr. Kayne, or any other</w:t>
            </w: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p>
        </w:tc>
        <w:tc>
          <w:tcPr>
            <w:tcW w:w="9380" w:type="dxa"/>
            <w:vAlign w:val="bottom"/>
            <w:gridSpan w:val="5"/>
          </w:tcPr>
          <w:p>
            <w:pPr>
              <w:ind w:left="1320"/>
              <w:spacing w:after="0"/>
              <w:rPr>
                <w:sz w:val="20"/>
                <w:szCs w:val="20"/>
                <w:color w:val="auto"/>
              </w:rPr>
            </w:pPr>
            <w:r>
              <w:rPr>
                <w:rFonts w:ascii="Arial" w:cs="Arial" w:eastAsia="Arial" w:hAnsi="Arial"/>
                <w:sz w:val="18"/>
                <w:szCs w:val="18"/>
                <w:color w:val="auto"/>
              </w:rPr>
              <w:t>statements that Mr. Kayne or his representatives have made or may otherwise make.</w:t>
            </w:r>
          </w:p>
        </w:tc>
        <w:tc>
          <w:tcPr>
            <w:tcW w:w="0" w:type="dxa"/>
            <w:vAlign w:val="bottom"/>
          </w:tcPr>
          <w:p>
            <w:pPr>
              <w:spacing w:after="0"/>
              <w:rPr>
                <w:sz w:val="1"/>
                <w:szCs w:val="1"/>
                <w:color w:val="auto"/>
              </w:rPr>
            </w:pPr>
          </w:p>
        </w:tc>
      </w:tr>
      <w:tr>
        <w:trPr>
          <w:trHeight w:val="274"/>
        </w:trPr>
        <w:tc>
          <w:tcPr>
            <w:tcW w:w="1880" w:type="dxa"/>
            <w:vAlign w:val="bottom"/>
          </w:tcPr>
          <w:p>
            <w:pPr>
              <w:spacing w:after="0"/>
              <w:rPr>
                <w:sz w:val="23"/>
                <w:szCs w:val="23"/>
                <w:color w:val="auto"/>
              </w:rPr>
            </w:pPr>
          </w:p>
        </w:tc>
        <w:tc>
          <w:tcPr>
            <w:tcW w:w="9380" w:type="dxa"/>
            <w:vAlign w:val="bottom"/>
            <w:gridSpan w:val="5"/>
          </w:tcPr>
          <w:p>
            <w:pPr>
              <w:ind w:left="1320"/>
              <w:spacing w:after="0"/>
              <w:rPr>
                <w:sz w:val="20"/>
                <w:szCs w:val="20"/>
                <w:color w:val="auto"/>
              </w:rPr>
            </w:pPr>
            <w:r>
              <w:rPr>
                <w:rFonts w:ascii="Arial" w:cs="Arial" w:eastAsia="Arial" w:hAnsi="Arial"/>
                <w:sz w:val="18"/>
                <w:szCs w:val="18"/>
                <w:color w:val="auto"/>
              </w:rPr>
              <w:t>Signing, dating and returning any blue proxy card that Mr. Kayne may send to you, even with</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instructions to vote “withhold” with respect to Mr. Kayne’s nominees, will cancel any proxy that you</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380" w:type="dxa"/>
            <w:vAlign w:val="bottom"/>
            <w:gridSpan w:val="5"/>
          </w:tcPr>
          <w:p>
            <w:pPr>
              <w:ind w:left="1320"/>
              <w:spacing w:after="0"/>
              <w:rPr>
                <w:sz w:val="20"/>
                <w:szCs w:val="20"/>
                <w:color w:val="auto"/>
              </w:rPr>
            </w:pPr>
            <w:r>
              <w:rPr>
                <w:rFonts w:ascii="Arial" w:cs="Arial" w:eastAsia="Arial" w:hAnsi="Arial"/>
                <w:sz w:val="18"/>
                <w:szCs w:val="18"/>
                <w:color w:val="auto"/>
              </w:rPr>
              <w:t>have previously submitted. If you have previously submitted a blue proxy card sent to you by or on</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behalf of Mr. Kayne, you have every right to change your vote. You can revoke that proxy and vote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for your board of directors’ nominees and on the other matters to be voted on at the Annual Meeting</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 xml:space="preserve">by using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by submitting your proxy and voting instructions over</w:t>
            </w: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p>
        </w:tc>
        <w:tc>
          <w:tcPr>
            <w:tcW w:w="9380" w:type="dxa"/>
            <w:vAlign w:val="bottom"/>
            <w:gridSpan w:val="5"/>
          </w:tcPr>
          <w:p>
            <w:pPr>
              <w:ind w:left="1320"/>
              <w:spacing w:after="0"/>
              <w:rPr>
                <w:sz w:val="20"/>
                <w:szCs w:val="20"/>
                <w:color w:val="auto"/>
              </w:rPr>
            </w:pPr>
            <w:r>
              <w:rPr>
                <w:rFonts w:ascii="Arial" w:cs="Arial" w:eastAsia="Arial" w:hAnsi="Arial"/>
                <w:sz w:val="18"/>
                <w:szCs w:val="18"/>
                <w:color w:val="auto"/>
              </w:rPr>
              <w:t>the Internet or by telephone.</w:t>
            </w:r>
          </w:p>
        </w:tc>
        <w:tc>
          <w:tcPr>
            <w:tcW w:w="0" w:type="dxa"/>
            <w:vAlign w:val="bottom"/>
          </w:tcPr>
          <w:p>
            <w:pPr>
              <w:spacing w:after="0"/>
              <w:rPr>
                <w:sz w:val="1"/>
                <w:szCs w:val="1"/>
                <w:color w:val="auto"/>
              </w:rPr>
            </w:pPr>
          </w:p>
        </w:tc>
      </w:tr>
      <w:tr>
        <w:trPr>
          <w:trHeight w:val="274"/>
        </w:trPr>
        <w:tc>
          <w:tcPr>
            <w:tcW w:w="1880" w:type="dxa"/>
            <w:vAlign w:val="bottom"/>
          </w:tcPr>
          <w:p>
            <w:pPr>
              <w:spacing w:after="0"/>
              <w:rPr>
                <w:sz w:val="23"/>
                <w:szCs w:val="23"/>
                <w:color w:val="auto"/>
              </w:rPr>
            </w:pPr>
          </w:p>
        </w:tc>
        <w:tc>
          <w:tcPr>
            <w:tcW w:w="9380" w:type="dxa"/>
            <w:vAlign w:val="bottom"/>
            <w:gridSpan w:val="5"/>
          </w:tcPr>
          <w:p>
            <w:pPr>
              <w:ind w:left="1320"/>
              <w:spacing w:after="0"/>
              <w:rPr>
                <w:sz w:val="20"/>
                <w:szCs w:val="20"/>
                <w:color w:val="auto"/>
              </w:rPr>
            </w:pPr>
            <w:r>
              <w:rPr>
                <w:rFonts w:ascii="Arial" w:cs="Arial" w:eastAsia="Arial" w:hAnsi="Arial"/>
                <w:sz w:val="18"/>
                <w:szCs w:val="18"/>
                <w:color w:val="auto"/>
              </w:rPr>
              <w:t xml:space="preserve">The board of directors strongly and unanimously recommends that you vote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color w:val="auto"/>
              </w:rPr>
              <w:t xml:space="preserve">card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board’s independent nominees as Class II directors. The board does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b w:val="1"/>
                <w:bCs w:val="1"/>
                <w:color w:val="auto"/>
              </w:rPr>
              <w:t xml:space="preserve">NOT </w:t>
            </w:r>
            <w:r>
              <w:rPr>
                <w:rFonts w:ascii="Arial" w:cs="Arial" w:eastAsia="Arial" w:hAnsi="Arial"/>
                <w:sz w:val="18"/>
                <w:szCs w:val="18"/>
                <w:color w:val="auto"/>
              </w:rPr>
              <w:t>endorse the election of any nominee proposed by Mr. Kayne and strongly and unanimously</w:t>
            </w:r>
          </w:p>
        </w:tc>
        <w:tc>
          <w:tcPr>
            <w:tcW w:w="0" w:type="dxa"/>
            <w:vAlign w:val="bottom"/>
          </w:tcPr>
          <w:p>
            <w:pPr>
              <w:spacing w:after="0"/>
              <w:rPr>
                <w:sz w:val="1"/>
                <w:szCs w:val="1"/>
                <w:color w:val="auto"/>
              </w:rPr>
            </w:pPr>
          </w:p>
        </w:tc>
      </w:tr>
      <w:tr>
        <w:trPr>
          <w:trHeight w:val="247"/>
        </w:trPr>
        <w:tc>
          <w:tcPr>
            <w:tcW w:w="1880" w:type="dxa"/>
            <w:vAlign w:val="bottom"/>
          </w:tcPr>
          <w:p>
            <w:pPr>
              <w:spacing w:after="0"/>
              <w:rPr>
                <w:sz w:val="21"/>
                <w:szCs w:val="21"/>
                <w:color w:val="auto"/>
              </w:rPr>
            </w:pPr>
          </w:p>
        </w:tc>
        <w:tc>
          <w:tcPr>
            <w:tcW w:w="9380" w:type="dxa"/>
            <w:vAlign w:val="bottom"/>
            <w:gridSpan w:val="5"/>
          </w:tcPr>
          <w:p>
            <w:pPr>
              <w:ind w:left="1320"/>
              <w:spacing w:after="0"/>
              <w:rPr>
                <w:sz w:val="20"/>
                <w:szCs w:val="20"/>
                <w:color w:val="auto"/>
              </w:rPr>
            </w:pPr>
            <w:r>
              <w:rPr>
                <w:rFonts w:ascii="Arial" w:cs="Arial" w:eastAsia="Arial" w:hAnsi="Arial"/>
                <w:sz w:val="18"/>
                <w:szCs w:val="18"/>
                <w:color w:val="auto"/>
              </w:rPr>
              <w:t xml:space="preserve">urges you to </w:t>
            </w:r>
            <w:r>
              <w:rPr>
                <w:rFonts w:ascii="Arial" w:cs="Arial" w:eastAsia="Arial" w:hAnsi="Arial"/>
                <w:sz w:val="18"/>
                <w:szCs w:val="18"/>
                <w:b w:val="1"/>
                <w:bCs w:val="1"/>
                <w:color w:val="auto"/>
              </w:rPr>
              <w:t>NOT</w:t>
            </w:r>
            <w:r>
              <w:rPr>
                <w:rFonts w:ascii="Arial" w:cs="Arial" w:eastAsia="Arial" w:hAnsi="Arial"/>
                <w:sz w:val="18"/>
                <w:szCs w:val="18"/>
                <w:color w:val="auto"/>
              </w:rPr>
              <w:t xml:space="preserve"> sign or return any blue proxy card sent to you by Mr. Kayne.</w:t>
            </w:r>
          </w:p>
        </w:tc>
        <w:tc>
          <w:tcPr>
            <w:tcW w:w="0" w:type="dxa"/>
            <w:vAlign w:val="bottom"/>
          </w:tcPr>
          <w:p>
            <w:pPr>
              <w:spacing w:after="0"/>
              <w:rPr>
                <w:sz w:val="1"/>
                <w:szCs w:val="1"/>
                <w:color w:val="auto"/>
              </w:rPr>
            </w:pPr>
          </w:p>
        </w:tc>
      </w:tr>
      <w:tr>
        <w:trPr>
          <w:trHeight w:val="266"/>
        </w:trPr>
        <w:tc>
          <w:tcPr>
            <w:tcW w:w="1880" w:type="dxa"/>
            <w:vAlign w:val="bottom"/>
          </w:tcPr>
          <w:p>
            <w:pPr>
              <w:spacing w:after="0"/>
              <w:rPr>
                <w:sz w:val="23"/>
                <w:szCs w:val="23"/>
                <w:color w:val="auto"/>
              </w:rPr>
            </w:pPr>
          </w:p>
        </w:tc>
        <w:tc>
          <w:tcPr>
            <w:tcW w:w="9380" w:type="dxa"/>
            <w:vAlign w:val="bottom"/>
            <w:gridSpan w:val="5"/>
          </w:tcPr>
          <w:p>
            <w:pPr>
              <w:ind w:left="1320"/>
              <w:spacing w:after="0"/>
              <w:rPr>
                <w:sz w:val="20"/>
                <w:szCs w:val="20"/>
                <w:color w:val="auto"/>
              </w:rPr>
            </w:pPr>
            <w:r>
              <w:rPr>
                <w:rFonts w:ascii="Arial" w:cs="Arial" w:eastAsia="Arial" w:hAnsi="Arial"/>
                <w:sz w:val="18"/>
                <w:szCs w:val="18"/>
                <w:b w:val="1"/>
                <w:bCs w:val="1"/>
                <w:color w:val="auto"/>
              </w:rPr>
              <w:t>IT IS IMPORTANT THAT YOUR SHARES BE REPRESENTED AT THE ANNUAL MEETING,</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b w:val="1"/>
                <w:bCs w:val="1"/>
                <w:color w:val="auto"/>
              </w:rPr>
              <w:t>REGARDLESS OF WHETHER OR NOT YOU PLAN TO ATTEND THE ANNUAL MEETING.</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b w:val="1"/>
                <w:bCs w:val="1"/>
                <w:color w:val="auto"/>
              </w:rPr>
              <w:t>ACCORDINGLY,  AFTER  READING  THE  ACCOMPANYING  PROXY  STATEMENT,  PLEASE</w:t>
            </w:r>
          </w:p>
        </w:tc>
        <w:tc>
          <w:tcPr>
            <w:tcW w:w="0" w:type="dxa"/>
            <w:vAlign w:val="bottom"/>
          </w:tcPr>
          <w:p>
            <w:pPr>
              <w:spacing w:after="0"/>
              <w:rPr>
                <w:sz w:val="1"/>
                <w:szCs w:val="1"/>
                <w:color w:val="auto"/>
              </w:rPr>
            </w:pPr>
          </w:p>
        </w:tc>
      </w:tr>
      <w:tr>
        <w:trPr>
          <w:trHeight w:val="194"/>
        </w:trPr>
        <w:tc>
          <w:tcPr>
            <w:tcW w:w="1880" w:type="dxa"/>
            <w:vAlign w:val="bottom"/>
          </w:tcPr>
          <w:p>
            <w:pPr>
              <w:spacing w:after="0"/>
              <w:rPr>
                <w:sz w:val="16"/>
                <w:szCs w:val="16"/>
                <w:color w:val="auto"/>
              </w:rPr>
            </w:pPr>
          </w:p>
        </w:tc>
        <w:tc>
          <w:tcPr>
            <w:tcW w:w="9380" w:type="dxa"/>
            <w:vAlign w:val="bottom"/>
            <w:gridSpan w:val="5"/>
          </w:tcPr>
          <w:p>
            <w:pPr>
              <w:ind w:left="1320"/>
              <w:spacing w:after="0" w:line="195" w:lineRule="exact"/>
              <w:rPr>
                <w:sz w:val="20"/>
                <w:szCs w:val="20"/>
                <w:color w:val="auto"/>
              </w:rPr>
            </w:pPr>
            <w:r>
              <w:rPr>
                <w:rFonts w:ascii="Arial" w:cs="Arial" w:eastAsia="Arial" w:hAnsi="Arial"/>
                <w:sz w:val="18"/>
                <w:szCs w:val="18"/>
                <w:b w:val="1"/>
                <w:bCs w:val="1"/>
                <w:color w:val="auto"/>
              </w:rPr>
              <w:t>FOLLOW THE INSTRUCTIONS ON THE ENCLOSED WHITE PROXY CARD AND PROMPTLY</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PROVIDED.  PLEASE NOTE</w:t>
            </w:r>
          </w:p>
        </w:tc>
        <w:tc>
          <w:tcPr>
            <w:tcW w:w="0" w:type="dxa"/>
            <w:vAlign w:val="bottom"/>
          </w:tcPr>
          <w:p>
            <w:pPr>
              <w:spacing w:after="0" w:line="20" w:lineRule="exact"/>
              <w:rPr>
                <w:sz w:val="1"/>
                <w:szCs w:val="1"/>
                <w:color w:val="auto"/>
              </w:rPr>
            </w:pPr>
          </w:p>
        </w:tc>
      </w:tr>
      <w:tr>
        <w:trPr>
          <w:trHeight w:val="191"/>
        </w:trPr>
        <w:tc>
          <w:tcPr>
            <w:tcW w:w="1880" w:type="dxa"/>
            <w:vAlign w:val="bottom"/>
          </w:tcPr>
          <w:p>
            <w:pPr>
              <w:spacing w:after="0"/>
              <w:rPr>
                <w:sz w:val="16"/>
                <w:szCs w:val="16"/>
                <w:color w:val="auto"/>
              </w:rPr>
            </w:pPr>
          </w:p>
        </w:tc>
        <w:tc>
          <w:tcPr>
            <w:tcW w:w="6500" w:type="dxa"/>
            <w:vAlign w:val="bottom"/>
            <w:gridSpan w:val="4"/>
          </w:tcPr>
          <w:p>
            <w:pPr>
              <w:ind w:left="1320"/>
              <w:spacing w:after="0" w:line="191" w:lineRule="exact"/>
              <w:rPr>
                <w:sz w:val="20"/>
                <w:szCs w:val="20"/>
                <w:color w:val="auto"/>
              </w:rPr>
            </w:pPr>
            <w:r>
              <w:rPr>
                <w:rFonts w:ascii="Arial" w:cs="Arial" w:eastAsia="Arial" w:hAnsi="Arial"/>
                <w:sz w:val="18"/>
                <w:szCs w:val="18"/>
                <w:b w:val="1"/>
                <w:bCs w:val="1"/>
                <w:color w:val="auto"/>
                <w:w w:val="99"/>
              </w:rPr>
              <w:t>SUBMIT YOUR PROXY BY FOLLOWING THE INSTRUCTIONS</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9380" w:type="dxa"/>
            <w:vAlign w:val="bottom"/>
            <w:gridSpan w:val="5"/>
          </w:tcPr>
          <w:p>
            <w:pPr>
              <w:ind w:left="1320"/>
              <w:spacing w:after="0" w:line="202" w:lineRule="exact"/>
              <w:rPr>
                <w:sz w:val="20"/>
                <w:szCs w:val="20"/>
                <w:color w:val="auto"/>
              </w:rPr>
            </w:pPr>
            <w:r>
              <w:rPr>
                <w:rFonts w:ascii="Arial" w:cs="Arial" w:eastAsia="Arial" w:hAnsi="Arial"/>
                <w:sz w:val="18"/>
                <w:szCs w:val="18"/>
                <w:b w:val="1"/>
                <w:bCs w:val="1"/>
                <w:color w:val="auto"/>
              </w:rPr>
              <w:t>THAT EVEN IF YOU PLAN TO ATTEND THE ANNUAL MEETING, WE RECOMMEND THAT YOU</w:t>
            </w:r>
          </w:p>
        </w:tc>
        <w:tc>
          <w:tcPr>
            <w:tcW w:w="0" w:type="dxa"/>
            <w:vAlign w:val="bottom"/>
          </w:tcPr>
          <w:p>
            <w:pPr>
              <w:spacing w:after="0"/>
              <w:rPr>
                <w:sz w:val="1"/>
                <w:szCs w:val="1"/>
                <w:color w:val="auto"/>
              </w:rPr>
            </w:pPr>
          </w:p>
        </w:tc>
      </w:tr>
      <w:tr>
        <w:trPr>
          <w:trHeight w:val="194"/>
        </w:trPr>
        <w:tc>
          <w:tcPr>
            <w:tcW w:w="1880" w:type="dxa"/>
            <w:vAlign w:val="bottom"/>
          </w:tcPr>
          <w:p>
            <w:pPr>
              <w:spacing w:after="0"/>
              <w:rPr>
                <w:sz w:val="16"/>
                <w:szCs w:val="16"/>
                <w:color w:val="auto"/>
              </w:rPr>
            </w:pPr>
          </w:p>
        </w:tc>
        <w:tc>
          <w:tcPr>
            <w:tcW w:w="9380" w:type="dxa"/>
            <w:vAlign w:val="bottom"/>
            <w:gridSpan w:val="5"/>
          </w:tcPr>
          <w:p>
            <w:pPr>
              <w:ind w:left="1320"/>
              <w:spacing w:after="0" w:line="195" w:lineRule="exact"/>
              <w:rPr>
                <w:sz w:val="20"/>
                <w:szCs w:val="20"/>
                <w:color w:val="auto"/>
              </w:rPr>
            </w:pPr>
            <w:r>
              <w:rPr>
                <w:rFonts w:ascii="Arial" w:cs="Arial" w:eastAsia="Arial" w:hAnsi="Arial"/>
                <w:sz w:val="18"/>
                <w:szCs w:val="18"/>
                <w:b w:val="1"/>
                <w:bCs w:val="1"/>
                <w:color w:val="auto"/>
              </w:rPr>
              <w:t>VOTE USING THE ENCLOSED WHITE PROXY CARD PRIOR TO THE ANNUAL MEETING TO</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02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ENSURE THAT YOUR SHARES</w:t>
            </w:r>
          </w:p>
        </w:tc>
        <w:tc>
          <w:tcPr>
            <w:tcW w:w="580" w:type="dxa"/>
            <w:vAlign w:val="bottom"/>
            <w:shd w:val="clear" w:color="auto" w:fill="000000"/>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88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5360" w:type="dxa"/>
            <w:vAlign w:val="bottom"/>
            <w:gridSpan w:val="4"/>
          </w:tcPr>
          <w:p>
            <w:pPr>
              <w:spacing w:after="0"/>
              <w:rPr>
                <w:sz w:val="20"/>
                <w:szCs w:val="20"/>
                <w:color w:val="auto"/>
              </w:rPr>
            </w:pPr>
            <w:r>
              <w:rPr>
                <w:rFonts w:ascii="Arial" w:cs="Arial" w:eastAsia="Arial" w:hAnsi="Arial"/>
                <w:sz w:val="18"/>
                <w:szCs w:val="18"/>
                <w:b w:val="1"/>
                <w:bCs w:val="1"/>
                <w:color w:val="auto"/>
              </w:rPr>
              <w:t>WILL BE REPRESENTED.</w:t>
            </w:r>
          </w:p>
        </w:tc>
        <w:tc>
          <w:tcPr>
            <w:tcW w:w="0" w:type="dxa"/>
            <w:vAlign w:val="bottom"/>
          </w:tcPr>
          <w:p>
            <w:pPr>
              <w:spacing w:after="0"/>
              <w:rPr>
                <w:sz w:val="1"/>
                <w:szCs w:val="1"/>
                <w:color w:val="auto"/>
              </w:rPr>
            </w:pPr>
          </w:p>
        </w:tc>
      </w:tr>
      <w:tr>
        <w:trPr>
          <w:trHeight w:val="442"/>
        </w:trPr>
        <w:tc>
          <w:tcPr>
            <w:tcW w:w="1880" w:type="dxa"/>
            <w:vAlign w:val="bottom"/>
          </w:tcPr>
          <w:p>
            <w:pPr>
              <w:spacing w:after="0"/>
              <w:rPr>
                <w:sz w:val="24"/>
                <w:szCs w:val="24"/>
                <w:color w:val="auto"/>
              </w:rPr>
            </w:pPr>
          </w:p>
        </w:tc>
        <w:tc>
          <w:tcPr>
            <w:tcW w:w="9380" w:type="dxa"/>
            <w:vAlign w:val="bottom"/>
            <w:gridSpan w:val="5"/>
          </w:tcPr>
          <w:p>
            <w:pPr>
              <w:ind w:left="35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iv</w:t>
            </w:r>
            <w:r>
              <w:rPr>
                <w:rFonts w:ascii="Arial" w:cs="Arial" w:eastAsia="Arial" w:hAnsi="Arial"/>
                <w:sz w:val="22"/>
                <w:szCs w:val="22"/>
                <w:color w:val="auto"/>
              </w:rPr>
              <w:t xml:space="preserve"> -</w:t>
            </w:r>
          </w:p>
        </w:tc>
        <w:tc>
          <w:tcPr>
            <w:tcW w:w="0" w:type="dxa"/>
            <w:vAlign w:val="bottom"/>
          </w:tcPr>
          <w:p>
            <w:pPr>
              <w:spacing w:after="0"/>
              <w:rPr>
                <w:sz w:val="1"/>
                <w:szCs w:val="1"/>
                <w:color w:val="auto"/>
              </w:rPr>
            </w:pPr>
          </w:p>
        </w:tc>
      </w:tr>
      <w:tr>
        <w:trPr>
          <w:trHeight w:val="101"/>
        </w:trPr>
        <w:tc>
          <w:tcPr>
            <w:tcW w:w="188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5" w:name="page6"/>
    <w:bookmarkEnd w:id="5"/>
    <w:p>
      <w:pPr>
        <w:ind w:firstLine="589"/>
        <w:spacing w:after="0" w:line="271" w:lineRule="auto"/>
        <w:rPr>
          <w:sz w:val="20"/>
          <w:szCs w:val="20"/>
          <w:color w:val="auto"/>
        </w:rPr>
      </w:pPr>
      <w:r>
        <w:rPr>
          <w:rFonts w:ascii="Arial" w:cs="Arial" w:eastAsia="Arial" w:hAnsi="Arial"/>
          <w:sz w:val="18"/>
          <w:szCs w:val="18"/>
          <w:color w:val="auto"/>
        </w:rPr>
        <w:t>Regardless of the number of shares of common stock of the Company that you own, your vote is important. Thank you for your continued support, interest and investment in the Company.</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Litton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ind w:left="5620"/>
        <w:spacing w:after="0" w:line="234" w:lineRule="auto"/>
        <w:rPr>
          <w:sz w:val="20"/>
          <w:szCs w:val="20"/>
          <w:color w:val="auto"/>
        </w:rPr>
      </w:pPr>
      <w:r>
        <w:rPr>
          <w:rFonts w:ascii="Arial" w:cs="Arial" w:eastAsia="Arial" w:hAnsi="Arial"/>
          <w:sz w:val="18"/>
          <w:szCs w:val="18"/>
          <w:color w:val="auto"/>
        </w:rPr>
        <w:t>Bothell, Washington</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April 5, 2022</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v</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MAY 19, 2022.</w:t>
      </w:r>
    </w:p>
    <w:p>
      <w:pPr>
        <w:spacing w:after="0" w:line="136"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 xml:space="preserve">The proxy statement, the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the Annual Report on Form 10-K for the fiscal year ended December 31, 2021 are available free of charge at www.eproxyaccess.com/ATHA2022. Information on this website, other than this proxy statement, is not a part of this proxy statement.</w:t>
      </w:r>
    </w:p>
    <w:p>
      <w:pPr>
        <w:spacing w:after="0" w:line="169"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 xml:space="preserve">Please sign, date and promptly return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in the envelope provided, or submit your proxy and voting instructions over the Internet or by telephone by following the instructions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so that you may be represented at the Annual Meeting.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The accompanying proxy statement provides a detailed description of the business to be conducted at the Annual Meeting. We urge you to read the accompanying proxy statement, including the appendices, carefully and in their entirety.</w:t>
      </w:r>
    </w:p>
    <w:p>
      <w:pPr>
        <w:spacing w:after="0" w:line="154"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If you have any questions concerning the business to be conducted at the Annual Meeting, would like additional copies of the proxy statement or if you need assistance voting your shares, please contact Innisfree M&amp;A Incorporated, the Company’s proxy solicitor: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Innisfree M&amp;A Incorporated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in the US or Canada may call toll-free at (877) 456-3510</w:t>
      </w:r>
    </w:p>
    <w:p>
      <w:pPr>
        <w:jc w:val="center"/>
        <w:ind w:right="-19"/>
        <w:spacing w:after="0" w:line="234" w:lineRule="auto"/>
        <w:rPr>
          <w:sz w:val="20"/>
          <w:szCs w:val="20"/>
          <w:color w:val="auto"/>
        </w:rPr>
      </w:pPr>
      <w:r>
        <w:rPr>
          <w:rFonts w:ascii="Arial" w:cs="Arial" w:eastAsia="Arial" w:hAnsi="Arial"/>
          <w:sz w:val="18"/>
          <w:szCs w:val="18"/>
          <w:color w:val="auto"/>
        </w:rPr>
        <w:t>Stockholders in other locations may call direct at +1 (412) 232-3651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please call collect at (212) 750-5833</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vi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18"/>
        </w:trPr>
        <w:tc>
          <w:tcPr>
            <w:tcW w:w="10460" w:type="dxa"/>
            <w:vAlign w:val="bottom"/>
            <w:gridSpan w:val="4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QUESTIONS AND ANSWERS ABOUT THE PROXY MATERIALS AND OUR ANNUAL MEETING</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80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BOARD OF DIRECTORS AND CORPORATE GOVERNANCE</w:t>
              </w:r>
            </w:hyperlink>
          </w:p>
        </w:tc>
        <w:tc>
          <w:tcPr>
            <w:tcW w:w="266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Composition of the Board</w:t>
              </w:r>
            </w:hyperlink>
          </w:p>
        </w:tc>
        <w:tc>
          <w:tcPr>
            <w:tcW w:w="2760" w:type="dxa"/>
            <w:vAlign w:val="bottom"/>
            <w:tcBorders>
              <w:top w:val="single" w:sz="8" w:color="0000EE"/>
            </w:tcBorders>
            <w:gridSpan w:val="22"/>
          </w:tcPr>
          <w:p>
            <w:pPr>
              <w:spacing w:after="0"/>
              <w:rPr>
                <w:sz w:val="17"/>
                <w:szCs w:val="17"/>
                <w:color w:val="auto"/>
              </w:rPr>
            </w:pPr>
          </w:p>
        </w:tc>
        <w:tc>
          <w:tcPr>
            <w:tcW w:w="548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Nominees for Director</w:t>
              </w:r>
            </w:hyperlink>
          </w:p>
        </w:tc>
        <w:tc>
          <w:tcPr>
            <w:tcW w:w="8520" w:type="dxa"/>
            <w:vAlign w:val="bottom"/>
            <w:gridSpan w:val="3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Continuing Directors</w:t>
              </w:r>
            </w:hyperlink>
          </w:p>
        </w:tc>
        <w:tc>
          <w:tcPr>
            <w:tcW w:w="8640" w:type="dxa"/>
            <w:vAlign w:val="bottom"/>
            <w:gridSpan w:val="3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Director Independence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Board Leadership Structure</w:t>
              </w:r>
            </w:hyperlink>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20" w:type="dxa"/>
            <w:vAlign w:val="bottom"/>
            <w:tcBorders>
              <w:bottom w:val="single" w:sz="8" w:color="0000EE"/>
            </w:tcBorders>
            <w:gridSpan w:val="23"/>
          </w:tcPr>
          <w:p>
            <w:pPr>
              <w:spacing w:after="0" w:line="19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Role of Board in Risk Oversight Process</w:t>
              </w:r>
            </w:hyperlink>
          </w:p>
        </w:tc>
        <w:tc>
          <w:tcPr>
            <w:tcW w:w="7060" w:type="dxa"/>
            <w:vAlign w:val="bottom"/>
            <w:gridSpan w:val="21"/>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00" w:type="dxa"/>
            <w:vAlign w:val="bottom"/>
            <w:tcBorders>
              <w:bottom w:val="single" w:sz="8" w:color="0000EE"/>
            </w:tcBorders>
            <w:gridSpan w:val="2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Attendance at Board and Stockholder Meetings</w:t>
              </w:r>
            </w:hyperlink>
          </w:p>
        </w:tc>
        <w:tc>
          <w:tcPr>
            <w:tcW w:w="648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80" w:type="dxa"/>
            <w:vAlign w:val="bottom"/>
            <w:tcBorders>
              <w:bottom w:val="single" w:sz="8" w:color="0000EE"/>
            </w:tcBorders>
            <w:gridSpan w:val="27"/>
          </w:tcPr>
          <w:p>
            <w:pPr>
              <w:spacing w:after="0" w:line="19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Executive Sessions of Non-Employee Directors</w:t>
              </w:r>
            </w:hyperlink>
          </w:p>
        </w:tc>
        <w:tc>
          <w:tcPr>
            <w:tcW w:w="650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Board Diversity</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Board Committees</w:t>
              </w:r>
            </w:hyperlink>
          </w:p>
        </w:tc>
        <w:tc>
          <w:tcPr>
            <w:tcW w:w="8780" w:type="dxa"/>
            <w:vAlign w:val="bottom"/>
            <w:gridSpan w:val="38"/>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Considerations in Evaluating Director Nominees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920" w:type="dxa"/>
            <w:vAlign w:val="bottom"/>
            <w:tcBorders>
              <w:bottom w:val="single" w:sz="8" w:color="0000EE"/>
            </w:tcBorders>
            <w:gridSpan w:val="37"/>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Stockholder Recommendations and Nominations to our Board of Directors</w:t>
              </w:r>
            </w:hyperlink>
          </w:p>
        </w:tc>
        <w:tc>
          <w:tcPr>
            <w:tcW w:w="4360" w:type="dxa"/>
            <w:vAlign w:val="bottom"/>
            <w:gridSpan w:val="7"/>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bottom w:val="single" w:sz="8" w:color="0000EE"/>
            </w:tcBorders>
            <w:gridSpan w:val="25"/>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Communications with the Board of Directors</w:t>
              </w:r>
            </w:hyperlink>
          </w:p>
        </w:tc>
        <w:tc>
          <w:tcPr>
            <w:tcW w:w="676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Policy Prohibiting Hedging or Pledging of Securities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Code of Business Conduct and Ethics</w:t>
              </w:r>
            </w:hyperlink>
          </w:p>
        </w:tc>
        <w:tc>
          <w:tcPr>
            <w:tcW w:w="1060" w:type="dxa"/>
            <w:vAlign w:val="bottom"/>
            <w:tcBorders>
              <w:top w:val="single" w:sz="8" w:color="0000EE"/>
            </w:tcBorders>
            <w:gridSpan w:val="10"/>
          </w:tcPr>
          <w:p>
            <w:pPr>
              <w:spacing w:after="0"/>
              <w:rPr>
                <w:sz w:val="17"/>
                <w:szCs w:val="17"/>
                <w:color w:val="auto"/>
              </w:rPr>
            </w:pPr>
          </w:p>
        </w:tc>
        <w:tc>
          <w:tcPr>
            <w:tcW w:w="61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Director Compensation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96"/>
        </w:trPr>
        <w:tc>
          <w:tcPr>
            <w:tcW w:w="4720" w:type="dxa"/>
            <w:vAlign w:val="bottom"/>
            <w:tcBorders>
              <w:bottom w:val="single" w:sz="8" w:color="0000EE"/>
            </w:tcBorders>
            <w:gridSpan w:val="35"/>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PROPOSAL NO. 1: ELECTION OF CLASS II DIRECTORS</w:t>
              </w:r>
            </w:hyperlink>
          </w:p>
        </w:tc>
        <w:tc>
          <w:tcPr>
            <w:tcW w:w="5740" w:type="dxa"/>
            <w:vAlign w:val="bottom"/>
            <w:gridSpan w:val="10"/>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Nominees</w:t>
              </w:r>
            </w:hyperlink>
          </w:p>
        </w:tc>
        <w:tc>
          <w:tcPr>
            <w:tcW w:w="9460" w:type="dxa"/>
            <w:vAlign w:val="bottom"/>
            <w:gridSpan w:val="4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Board Recommendation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96"/>
        </w:trPr>
        <w:tc>
          <w:tcPr>
            <w:tcW w:w="9800" w:type="dxa"/>
            <w:vAlign w:val="bottom"/>
            <w:tcBorders>
              <w:bottom w:val="single" w:sz="8" w:color="0000EE"/>
            </w:tcBorders>
            <w:gridSpan w:val="44"/>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PROPOSAL NO. 2: RATIFICATION OF APPOINTMENT OF INDEPENDENT REGISTERED PUBLIC ACCOUNTING FIRM</w:t>
              </w:r>
            </w:hyperlink>
          </w:p>
        </w:tc>
        <w:tc>
          <w:tcPr>
            <w:tcW w:w="6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180" w:type="dxa"/>
            <w:vAlign w:val="bottom"/>
            <w:tcBorders>
              <w:bottom w:val="single" w:sz="8" w:color="0000EE"/>
            </w:tcBorders>
            <w:gridSpan w:val="36"/>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Fees Paid to the Independent Registered Public Accounting Firm</w:t>
              </w:r>
            </w:hyperlink>
          </w:p>
        </w:tc>
        <w:tc>
          <w:tcPr>
            <w:tcW w:w="51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Auditor Independence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Audit Committee Policy on Pre-Approval of Audit and Permissible Non-Audit Services of Independent Registered Public</w:t>
              </w:r>
            </w:hyperlink>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50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Accounting Firm</w:t>
              </w:r>
            </w:hyperlink>
          </w:p>
        </w:tc>
        <w:tc>
          <w:tcPr>
            <w:tcW w:w="780" w:type="dxa"/>
            <w:vAlign w:val="bottom"/>
            <w:gridSpan w:val="2"/>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 w:type="dxa"/>
            <w:vAlign w:val="bottom"/>
          </w:tcPr>
          <w:p>
            <w:pPr>
              <w:spacing w:after="0"/>
              <w:rPr>
                <w:sz w:val="15"/>
                <w:szCs w:val="15"/>
                <w:color w:val="auto"/>
              </w:rPr>
            </w:pPr>
          </w:p>
        </w:tc>
        <w:tc>
          <w:tcPr>
            <w:tcW w:w="10280" w:type="dxa"/>
            <w:vAlign w:val="bottom"/>
            <w:gridSpan w:val="44"/>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Board Recommendation</w:t>
              </w:r>
            </w:hyperlink>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PROPOSAL NO. 3: KAYNE BYLAW REPEAL PROPOSAL</w:t>
              </w:r>
            </w:hyperlink>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Stockholder Proposal</w:t>
              </w:r>
            </w:hyperlink>
          </w:p>
        </w:tc>
        <w:tc>
          <w:tcPr>
            <w:tcW w:w="2740" w:type="dxa"/>
            <w:vAlign w:val="bottom"/>
            <w:tcBorders>
              <w:top w:val="single" w:sz="8" w:color="0000EE"/>
            </w:tcBorders>
            <w:gridSpan w:val="24"/>
          </w:tcPr>
          <w:p>
            <w:pPr>
              <w:spacing w:after="0"/>
              <w:rPr>
                <w:sz w:val="17"/>
                <w:szCs w:val="17"/>
                <w:color w:val="auto"/>
              </w:rPr>
            </w:pPr>
          </w:p>
        </w:tc>
        <w:tc>
          <w:tcPr>
            <w:tcW w:w="578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Board Recommendation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REPORT OF THE AUDIT COMMITTEE</w:t>
              </w:r>
            </w:hyperlink>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EXECUTIVE OFFICERS</w:t>
              </w:r>
            </w:hyperlink>
          </w:p>
        </w:tc>
        <w:tc>
          <w:tcPr>
            <w:tcW w:w="7280" w:type="dxa"/>
            <w:vAlign w:val="bottom"/>
            <w:gridSpan w:val="2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Executive Officers</w:t>
              </w:r>
            </w:hyperlink>
          </w:p>
        </w:tc>
        <w:tc>
          <w:tcPr>
            <w:tcW w:w="360" w:type="dxa"/>
            <w:vAlign w:val="bottom"/>
            <w:tcBorders>
              <w:top w:val="single" w:sz="8" w:color="0000EE"/>
            </w:tcBorders>
            <w:gridSpan w:val="5"/>
          </w:tcPr>
          <w:p>
            <w:pPr>
              <w:spacing w:after="0"/>
              <w:rPr>
                <w:sz w:val="17"/>
                <w:szCs w:val="17"/>
                <w:color w:val="auto"/>
              </w:rPr>
            </w:pPr>
          </w:p>
        </w:tc>
        <w:tc>
          <w:tcPr>
            <w:tcW w:w="8460" w:type="dxa"/>
            <w:vAlign w:val="bottom"/>
            <w:gridSpan w:val="3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EXECUTIVE COMPENSATION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Processes and Procedures for Compensation Decisions</w:t>
              </w:r>
            </w:hyperlink>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Executive Compensation</w:t>
              </w:r>
            </w:hyperlink>
          </w:p>
        </w:tc>
        <w:tc>
          <w:tcPr>
            <w:tcW w:w="2460" w:type="dxa"/>
            <w:vAlign w:val="bottom"/>
            <w:tcBorders>
              <w:top w:val="single" w:sz="8" w:color="0000EE"/>
            </w:tcBorders>
            <w:gridSpan w:val="20"/>
          </w:tcPr>
          <w:p>
            <w:pPr>
              <w:spacing w:after="0"/>
              <w:rPr>
                <w:sz w:val="17"/>
                <w:szCs w:val="17"/>
                <w:color w:val="auto"/>
              </w:rPr>
            </w:pPr>
          </w:p>
        </w:tc>
        <w:tc>
          <w:tcPr>
            <w:tcW w:w="58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380" w:type="dxa"/>
            <w:vAlign w:val="bottom"/>
            <w:tcBorders>
              <w:bottom w:val="single" w:sz="8" w:color="0000EE"/>
            </w:tcBorders>
            <w:gridSpan w:val="24"/>
          </w:tcPr>
          <w:p>
            <w:pPr>
              <w:spacing w:after="0" w:line="196"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2020-2021 Summary Compensation Table</w:t>
              </w:r>
            </w:hyperlink>
          </w:p>
        </w:tc>
        <w:tc>
          <w:tcPr>
            <w:tcW w:w="69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Outstanding Equity Awards at December 31, 2021</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Executive Employment Arrangements</w:t>
              </w:r>
            </w:hyperlink>
          </w:p>
        </w:tc>
        <w:tc>
          <w:tcPr>
            <w:tcW w:w="980" w:type="dxa"/>
            <w:vAlign w:val="bottom"/>
            <w:tcBorders>
              <w:top w:val="single" w:sz="8" w:color="0000EE"/>
            </w:tcBorders>
            <w:gridSpan w:val="10"/>
          </w:tcPr>
          <w:p>
            <w:pPr>
              <w:spacing w:after="0"/>
              <w:rPr>
                <w:sz w:val="17"/>
                <w:szCs w:val="17"/>
                <w:color w:val="auto"/>
              </w:rPr>
            </w:pPr>
          </w:p>
        </w:tc>
        <w:tc>
          <w:tcPr>
            <w:tcW w:w="628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40" w:type="dxa"/>
            <w:vAlign w:val="bottom"/>
            <w:tcBorders>
              <w:bottom w:val="single" w:sz="8" w:color="0000EE"/>
            </w:tcBorders>
            <w:gridSpan w:val="26"/>
          </w:tcPr>
          <w:p>
            <w:pPr>
              <w:spacing w:after="0" w:line="196"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Change in Control and Severance Agreements</w:t>
              </w:r>
            </w:hyperlink>
          </w:p>
        </w:tc>
        <w:tc>
          <w:tcPr>
            <w:tcW w:w="654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80" w:type="dxa"/>
            <w:vAlign w:val="bottom"/>
            <w:tcBorders>
              <w:bottom w:val="single" w:sz="8" w:color="0000EE"/>
            </w:tcBorders>
            <w:gridSpan w:val="22"/>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Executive Incentive Compensation Plan</w:t>
              </w:r>
            </w:hyperlink>
          </w:p>
        </w:tc>
        <w:tc>
          <w:tcPr>
            <w:tcW w:w="7100" w:type="dxa"/>
            <w:vAlign w:val="bottom"/>
            <w:gridSpan w:val="2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6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20" w:type="dxa"/>
            <w:vAlign w:val="bottom"/>
            <w:gridSpan w:val="20"/>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0000EE"/>
            </w:tcBorders>
            <w:gridSpan w:val="40"/>
          </w:tcPr>
          <w:p>
            <w:pPr>
              <w:spacing w:after="0" w:line="196"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SECURITIES AUTHORIZED FOR ISSUANCE UNDER EQUITY COMPENSATION PLANS</w:t>
              </w:r>
            </w:hyperlink>
          </w:p>
        </w:tc>
        <w:tc>
          <w:tcPr>
            <w:tcW w:w="3200" w:type="dxa"/>
            <w:vAlign w:val="bottom"/>
            <w:gridSpan w:val="5"/>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0000EE"/>
            </w:tcBorders>
            <w:gridSpan w:val="19"/>
          </w:tcPr>
          <w:p>
            <w:pPr>
              <w:spacing w:after="0" w:line="196"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RELATED PERSON TRANSACTIONS</w:t>
              </w:r>
            </w:hyperlink>
          </w:p>
        </w:tc>
        <w:tc>
          <w:tcPr>
            <w:tcW w:w="7360" w:type="dxa"/>
            <w:vAlign w:val="bottom"/>
            <w:gridSpan w:val="2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Related-Person Transactions Policy</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Sales of Securities</w:t>
              </w:r>
            </w:hyperlink>
          </w:p>
        </w:tc>
        <w:tc>
          <w:tcPr>
            <w:tcW w:w="1360" w:type="dxa"/>
            <w:vAlign w:val="bottom"/>
            <w:tcBorders>
              <w:top w:val="single" w:sz="8" w:color="0000EE"/>
            </w:tcBorders>
            <w:gridSpan w:val="11"/>
          </w:tcPr>
          <w:p>
            <w:pPr>
              <w:spacing w:after="0"/>
              <w:rPr>
                <w:sz w:val="17"/>
                <w:szCs w:val="17"/>
                <w:color w:val="auto"/>
              </w:rPr>
            </w:pPr>
          </w:p>
        </w:tc>
        <w:tc>
          <w:tcPr>
            <w:tcW w:w="7420" w:type="dxa"/>
            <w:vAlign w:val="bottom"/>
            <w:gridSpan w:val="2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Investors’ Rights Agreement</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Voting Agreement</w:t>
              </w:r>
            </w:hyperlink>
          </w:p>
        </w:tc>
        <w:tc>
          <w:tcPr>
            <w:tcW w:w="820" w:type="dxa"/>
            <w:vAlign w:val="bottom"/>
            <w:tcBorders>
              <w:top w:val="single" w:sz="8" w:color="0000EE"/>
            </w:tcBorders>
            <w:gridSpan w:val="11"/>
          </w:tcPr>
          <w:p>
            <w:pPr>
              <w:spacing w:after="0"/>
              <w:rPr>
                <w:sz w:val="17"/>
                <w:szCs w:val="17"/>
                <w:color w:val="auto"/>
              </w:rPr>
            </w:pPr>
          </w:p>
        </w:tc>
        <w:tc>
          <w:tcPr>
            <w:tcW w:w="8020" w:type="dxa"/>
            <w:vAlign w:val="bottom"/>
            <w:gridSpan w:val="2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Other Transactions</w:t>
              </w:r>
            </w:hyperlink>
          </w:p>
        </w:tc>
        <w:tc>
          <w:tcPr>
            <w:tcW w:w="8740" w:type="dxa"/>
            <w:vAlign w:val="bottom"/>
            <w:gridSpan w:val="3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CERTAIN INFORMATION REGARDING PARTICIPANTS IN THE SOLICITATION OF PROXIES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vii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5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OTHER MATTERS</w:t>
              </w:r>
            </w:hyperlink>
          </w:p>
        </w:tc>
        <w:tc>
          <w:tcPr>
            <w:tcW w:w="5300" w:type="dxa"/>
            <w:vAlign w:val="bottom"/>
            <w:gridSpan w:val="4"/>
          </w:tcPr>
          <w:p>
            <w:pPr>
              <w:spacing w:after="0"/>
              <w:rPr>
                <w:sz w:val="17"/>
                <w:szCs w:val="17"/>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Availability of Bylaws</w:t>
              </w:r>
            </w:hyperlink>
          </w:p>
        </w:tc>
        <w:tc>
          <w:tcPr>
            <w:tcW w:w="4980" w:type="dxa"/>
            <w:vAlign w:val="bottom"/>
            <w:gridSpan w:val="2"/>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60" w:type="dxa"/>
            <w:vAlign w:val="bottom"/>
            <w:gridSpan w:val="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Delinquent Section 16 Reports</w:t>
              </w:r>
            </w:hyperlink>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2021 Annual Report</w:t>
              </w:r>
            </w:hyperlink>
          </w:p>
        </w:tc>
        <w:tc>
          <w:tcPr>
            <w:tcW w:w="4220" w:type="dxa"/>
            <w:vAlign w:val="bottom"/>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44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ANNEX A</w:t>
              </w:r>
            </w:hyperlink>
          </w:p>
        </w:tc>
        <w:tc>
          <w:tcPr>
            <w:tcW w:w="6040" w:type="dxa"/>
            <w:vAlign w:val="bottom"/>
            <w:gridSpan w:val="5"/>
          </w:tcPr>
          <w:p>
            <w:pPr>
              <w:spacing w:after="0"/>
              <w:rPr>
                <w:sz w:val="17"/>
                <w:szCs w:val="17"/>
                <w:color w:val="auto"/>
              </w:rPr>
            </w:pPr>
          </w:p>
        </w:tc>
        <w:tc>
          <w:tcPr>
            <w:tcW w:w="4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viii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p>
      <w:pPr>
        <w:ind w:left="4520"/>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2022 ANNUAL MEETING OF STOCKHOLDERS</w:t>
      </w:r>
    </w:p>
    <w:p>
      <w:pPr>
        <w:jc w:val="center"/>
        <w:spacing w:after="0"/>
        <w:rPr>
          <w:sz w:val="20"/>
          <w:szCs w:val="20"/>
          <w:color w:val="auto"/>
        </w:rPr>
      </w:pPr>
      <w:r>
        <w:rPr>
          <w:rFonts w:ascii="Arial" w:cs="Arial" w:eastAsia="Arial" w:hAnsi="Arial"/>
          <w:sz w:val="18"/>
          <w:szCs w:val="18"/>
          <w:b w:val="1"/>
          <w:bCs w:val="1"/>
          <w:color w:val="auto"/>
        </w:rPr>
        <w:t>To be held at 8:00 a.m., Pacific Time, on May 19, 2022</w:t>
      </w:r>
    </w:p>
    <w:p>
      <w:pPr>
        <w:spacing w:after="0" w:line="19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The board of directors of Athira Pharma, Inc., a Delaware corporation (“we,” “us,” “our,” the “Company” or “Athira”), is soliciting proxies to be used at our 2022 annual meeting of stockholders (together with any postponement, adjournment or continuation thereof, the “Annual Meeting”). The Annual Meeting will be held on May 19, 2022, at 8:00 a.m., Pacific Time. The Annual Meeting will be held at the offices of Wilson Sonsini Goodrich &amp; Rosati, Professional Corporation, located at 701 Fifth Ave, Suite 5100, Seattle, Washington 98104.</w:t>
      </w:r>
    </w:p>
    <w:p>
      <w:pPr>
        <w:spacing w:after="0" w:line="174"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 xml:space="preserve">This proxy statement and the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along with the Company’s Annual Report on Form 10-K for the fiscal year ended December 31, 2021, will be first sent or given to stockholders on or about April 5, 2022.</w:t>
      </w:r>
    </w:p>
    <w:p>
      <w:pPr>
        <w:spacing w:after="0" w:line="46"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QUESTIONS AND ANSWERS ABOUT THE PROXY MATERIALS AND OUR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04"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 xml:space="preserve">This proxy statement and the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are furnished in connection with the solicitation of proxies by our board of directors for use at the Annual Meeting.</w:t>
      </w:r>
    </w:p>
    <w:p>
      <w:pPr>
        <w:spacing w:after="0" w:line="15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Please sign, date and return the enclosed</w:t>
      </w:r>
      <w:r>
        <w:rPr>
          <w:rFonts w:ascii="Arial" w:cs="Arial" w:eastAsia="Arial" w:hAnsi="Arial"/>
          <w:sz w:val="18"/>
          <w:szCs w:val="18"/>
          <w:b w:val="1"/>
          <w:bCs w:val="1"/>
          <w:color w:val="auto"/>
        </w:rPr>
        <w:t xml:space="preserve"> WHITE </w:t>
      </w:r>
      <w:r>
        <w:rPr>
          <w:rFonts w:ascii="Arial" w:cs="Arial" w:eastAsia="Arial" w:hAnsi="Arial"/>
          <w:sz w:val="18"/>
          <w:szCs w:val="18"/>
          <w:color w:val="auto"/>
        </w:rPr>
        <w:t>proxy card in the postage-paid envelope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use the telephone or Internet voting instructions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even if you plan to attend the Annual Meeting. If you hold your shares in an account at a broker, bank or other nominee, follow the instructions provided by your nominee to vote your shares. Voting your shares by proxy ensures that if you are unable to attend the Annual Meeting, your shares will be voted at the Annual Meeting. Voting now will not limit your right to change your vote or to attend the Annual Meeting.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proposals will be voted on at the Annual Meeting:</w:t>
      </w:r>
    </w:p>
    <w:p>
      <w:pPr>
        <w:spacing w:after="0" w:line="104" w:lineRule="exact"/>
        <w:rPr>
          <w:sz w:val="20"/>
          <w:szCs w:val="20"/>
          <w:color w:val="auto"/>
        </w:rPr>
      </w:pPr>
    </w:p>
    <w:p>
      <w:pPr>
        <w:ind w:left="1180" w:hanging="578"/>
        <w:spacing w:after="0" w:line="270" w:lineRule="auto"/>
        <w:tabs>
          <w:tab w:leader="none" w:pos="11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No. 1</w:t>
      </w:r>
      <w:r>
        <w:rPr>
          <w:rFonts w:ascii="Arial" w:cs="Arial" w:eastAsia="Arial" w:hAnsi="Arial"/>
          <w:sz w:val="18"/>
          <w:szCs w:val="18"/>
          <w:color w:val="auto"/>
        </w:rPr>
        <w:t>: the election of three nominees as Class II directors of the Company, each to hold office until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are elected and qualified, or until their earlier death, resignation or removal.</w:t>
      </w:r>
    </w:p>
    <w:p>
      <w:pPr>
        <w:spacing w:after="0" w:line="46" w:lineRule="exact"/>
        <w:rPr>
          <w:rFonts w:ascii="Times New Roman" w:cs="Times New Roman" w:eastAsia="Times New Roman" w:hAnsi="Times New Roman"/>
          <w:sz w:val="18"/>
          <w:szCs w:val="18"/>
          <w:color w:val="auto"/>
        </w:rPr>
      </w:pPr>
    </w:p>
    <w:p>
      <w:pPr>
        <w:ind w:left="1180" w:right="20" w:hanging="578"/>
        <w:spacing w:after="0" w:line="270" w:lineRule="auto"/>
        <w:tabs>
          <w:tab w:leader="none" w:pos="11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No. 2</w:t>
      </w:r>
      <w:r>
        <w:rPr>
          <w:rFonts w:ascii="Arial" w:cs="Arial" w:eastAsia="Arial" w:hAnsi="Arial"/>
          <w:sz w:val="18"/>
          <w:szCs w:val="18"/>
          <w:color w:val="auto"/>
        </w:rPr>
        <w:t>: the ratification of the appointment of Ernst &amp; Young LLP as the Company’s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its fiscal year ending December 31, 2022.</w:t>
      </w:r>
    </w:p>
    <w:p>
      <w:pPr>
        <w:spacing w:after="0" w:line="46" w:lineRule="exact"/>
        <w:rPr>
          <w:rFonts w:ascii="Times New Roman" w:cs="Times New Roman" w:eastAsia="Times New Roman" w:hAnsi="Times New Roman"/>
          <w:sz w:val="18"/>
          <w:szCs w:val="18"/>
          <w:color w:val="auto"/>
        </w:rPr>
      </w:pPr>
    </w:p>
    <w:p>
      <w:pPr>
        <w:jc w:val="both"/>
        <w:ind w:left="1180" w:hanging="578"/>
        <w:spacing w:after="0" w:line="252" w:lineRule="auto"/>
        <w:tabs>
          <w:tab w:leader="none" w:pos="11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No. 3</w:t>
      </w:r>
      <w:r>
        <w:rPr>
          <w:rFonts w:ascii="Arial" w:cs="Arial" w:eastAsia="Arial" w:hAnsi="Arial"/>
          <w:sz w:val="18"/>
          <w:szCs w:val="18"/>
          <w:color w:val="auto"/>
        </w:rPr>
        <w:t>: the repeal of any provision of the Company’s bylaws (the “Bylaws”) in effect at the time of the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was not included in the Bylaws as publicly filed with the Securities and Exchange Commission (the “SEC”) on or prior to February 18, 2022.</w:t>
      </w:r>
    </w:p>
    <w:p>
      <w:pPr>
        <w:spacing w:after="0" w:line="387"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color w:val="auto"/>
        </w:rPr>
        <w:t>As of the date of this proxy statement, our management and board of directors were not aware of any other matters to be presented at the Annual Meeting.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1</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How does the board of directors recommend that I vote on these proposals?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104" w:lineRule="exact"/>
        <w:rPr>
          <w:sz w:val="20"/>
          <w:szCs w:val="20"/>
          <w:color w:val="auto"/>
        </w:rPr>
      </w:pPr>
    </w:p>
    <w:p>
      <w:pPr>
        <w:ind w:left="1300" w:hanging="590"/>
        <w:spacing w:after="0" w:line="270" w:lineRule="auto"/>
        <w:tabs>
          <w:tab w:leader="none" w:pos="13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Class II director nominee named in this proxy statement (Proposal No. 1) (which nominees are Joseph Edelman, John M. Fluke, Jr. and Grant Pickering).</w:t>
      </w:r>
    </w:p>
    <w:p>
      <w:pPr>
        <w:spacing w:after="0" w:line="46" w:lineRule="exact"/>
        <w:rPr>
          <w:rFonts w:ascii="Times New Roman" w:cs="Times New Roman" w:eastAsia="Times New Roman" w:hAnsi="Times New Roman"/>
          <w:sz w:val="18"/>
          <w:szCs w:val="18"/>
          <w:color w:val="auto"/>
        </w:rPr>
      </w:pPr>
    </w:p>
    <w:p>
      <w:pPr>
        <w:ind w:left="1300" w:right="20" w:hanging="590"/>
        <w:spacing w:after="0" w:line="270" w:lineRule="auto"/>
        <w:tabs>
          <w:tab w:leader="none" w:pos="13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 for our fiscal year ending December 31, 2022 (Proposal No. 2).</w:t>
      </w:r>
    </w:p>
    <w:p>
      <w:pPr>
        <w:spacing w:after="0" w:line="46" w:lineRule="exact"/>
        <w:rPr>
          <w:rFonts w:ascii="Times New Roman" w:cs="Times New Roman" w:eastAsia="Times New Roman" w:hAnsi="Times New Roman"/>
          <w:sz w:val="18"/>
          <w:szCs w:val="18"/>
          <w:color w:val="auto"/>
        </w:rPr>
      </w:pPr>
    </w:p>
    <w:p>
      <w:pPr>
        <w:ind w:left="1300" w:hanging="590"/>
        <w:spacing w:after="0" w:line="270" w:lineRule="auto"/>
        <w:tabs>
          <w:tab w:leader="none" w:pos="13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proposal to repeal any provision of the Bylaws in effect at the time of the Annual Meeting that was not included in the Bylaws as publicly filed with the SEC on or prior to February 18, 2022 (Proposal No. 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 Annual Meeting important?</w:t>
      </w:r>
    </w:p>
    <w:p>
      <w:pPr>
        <w:spacing w:after="0" w:line="10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Yes. As you may know, Richard Kayne has notified the Company that he intends to nominate himself and George W. Bickerstaff, III for election as directors at the Annual Meeting. You may receive proxy solicitation materials from Mr. Kayne, including proxy statements and blue proxy cards. The board of directors recommends that you disregard them.</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Help support Athira’s progress and the important work that the board of directors is doing to continue to position Athira for success.</w:t>
      </w:r>
    </w:p>
    <w:p>
      <w:pPr>
        <w:spacing w:after="0" w:line="1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To show your support for the board of directors, please sign, date and return the enclosed WHITE proxy card in the postage-paid envelope provided, or use the telephone or Internet voting instructions on the enclosed WHITE proxy card to submit your proxy</w:t>
      </w:r>
      <w:r>
        <w:rPr>
          <w:rFonts w:ascii="Arial" w:cs="Arial" w:eastAsia="Arial" w:hAnsi="Arial"/>
          <w:sz w:val="18"/>
          <w:szCs w:val="18"/>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Mr. Kayne?</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Mr. Kayne is a private investor. Mr. Kayne has provided notice to the Company of his intent to nominate himself and Mr. Bickerstaff as director candidates for election to the board at the Annual Meeting. You may receive proxy solicitation materials from Mr. Kayne. The Company is not responsible for the accuracy of any information contained in any proxy solicitation materials filed or disseminated by, or on behalf of, Mr. Kayne or any other statements that he may otherwise make.</w:t>
      </w:r>
    </w:p>
    <w:p>
      <w:pPr>
        <w:spacing w:after="0" w:line="174"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color w:val="auto"/>
        </w:rPr>
        <w:t>The board does not endorse Messrs. Kayne or Bickerstaff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board’s nominees, “</w:t>
      </w:r>
      <w:r>
        <w:rPr>
          <w:rFonts w:ascii="Arial" w:cs="Arial" w:eastAsia="Arial" w:hAnsi="Arial"/>
          <w:sz w:val="18"/>
          <w:szCs w:val="18"/>
          <w:b w:val="1"/>
          <w:bCs w:val="1"/>
          <w:color w:val="auto"/>
        </w:rPr>
        <w:t>FOR</w:t>
      </w:r>
      <w:r>
        <w:rPr>
          <w:rFonts w:ascii="Arial" w:cs="Arial" w:eastAsia="Arial" w:hAnsi="Arial"/>
          <w:sz w:val="18"/>
          <w:szCs w:val="18"/>
          <w:color w:val="auto"/>
        </w:rPr>
        <w:t>” Proposal No. 2, and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3 using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by following the telephone or Internet voting instructions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The board urges you to disregard any materials and </w:t>
      </w:r>
      <w:r>
        <w:rPr>
          <w:rFonts w:ascii="Arial" w:cs="Arial" w:eastAsia="Arial" w:hAnsi="Arial"/>
          <w:sz w:val="18"/>
          <w:szCs w:val="18"/>
          <w:b w:val="1"/>
          <w:bCs w:val="1"/>
          <w:color w:val="auto"/>
        </w:rPr>
        <w:t>NOT</w:t>
      </w:r>
      <w:r>
        <w:rPr>
          <w:rFonts w:ascii="Arial" w:cs="Arial" w:eastAsia="Arial" w:hAnsi="Arial"/>
          <w:sz w:val="18"/>
          <w:szCs w:val="18"/>
          <w:color w:val="auto"/>
        </w:rPr>
        <w:t xml:space="preserve"> to sign, return or vote using any blue proxy card sent to you by or on behalf of Mr. Kayne. Voting to “withhold” with respect to any of Mr. Kayne’s nominees on a blue proxy card is not the same as voting for the board’s nominees, because a vote to “withhold” with respect to any of Mr. Kayne’s nominees on a blue proxy card will revoke any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that you may have previously submitted. To support the board’s nominees, you should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board’s nominees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If you vote, or have already submitted a vote, using any blue proxy card provided by or on behalf of Mr. Kayne, you have the right to change your vote by following the instructions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to vote by Internet or telephone or by signing, dating and returning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in the postage pre-paid envelope provided or by voting at the Annual Meeting. Only your latest-dated proxy will count.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different colored proxy cards?</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 xml:space="preserve">As discussed in the previous question, Mr. Kayne has notified us that he intends to nominate candidates for election as directors at the Annual Meeting. We have provided you with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Mr. Kayne may send you a blue proxy card. The board recommends only using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to vote “</w:t>
      </w:r>
      <w:r>
        <w:rPr>
          <w:rFonts w:ascii="Arial" w:cs="Arial" w:eastAsia="Arial" w:hAnsi="Arial"/>
          <w:sz w:val="18"/>
          <w:szCs w:val="18"/>
          <w:b w:val="1"/>
          <w:bCs w:val="1"/>
          <w:color w:val="auto"/>
        </w:rPr>
        <w:t>FOR</w:t>
      </w:r>
      <w:r>
        <w:rPr>
          <w:rFonts w:ascii="Arial" w:cs="Arial" w:eastAsia="Arial" w:hAnsi="Arial"/>
          <w:sz w:val="18"/>
          <w:szCs w:val="18"/>
          <w:color w:val="auto"/>
        </w:rPr>
        <w:t>” the board’s nominees for election as directors. The board also recommends that you disregard any blue proxy cards you may receive.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jc w:val="both"/>
        <w:ind w:firstLine="589"/>
        <w:spacing w:after="0" w:line="257" w:lineRule="auto"/>
        <w:rPr>
          <w:sz w:val="20"/>
          <w:szCs w:val="20"/>
          <w:color w:val="auto"/>
        </w:rPr>
      </w:pPr>
      <w:r>
        <w:rPr>
          <w:rFonts w:ascii="Arial" w:cs="Arial" w:eastAsia="Arial" w:hAnsi="Arial"/>
          <w:sz w:val="18"/>
          <w:szCs w:val="18"/>
          <w:color w:val="auto"/>
        </w:rPr>
        <w:t xml:space="preserve">Your shares may be owned through more than one brokerage or other share ownership account. In order to vote all of the shares that you own, you must use each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you receive in order to vote with respect to each account by Internet, by telephone or by signing, dating and returning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in the postage pre-paid envelope provided.</w:t>
      </w:r>
    </w:p>
    <w:p>
      <w:pPr>
        <w:spacing w:after="0" w:line="159"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 xml:space="preserve">If Mr. Kayne proceeds with his previously announced nominations, the Company will likely conduct multiple mailings prior to the Annual Meeting to ensure that stockholders have the Company’s latest proxy information and materials to vote. The Company will send you a new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with each mailing, regardless of whether you have previously voted. We encourage you to vote every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you receive. The latest dated proxy you submit will be counted, and, if you wish to vote as recommended by the board, then you should only submit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 proxy materials from Mr. Kayne?</w:t>
      </w:r>
    </w:p>
    <w:p>
      <w:pPr>
        <w:spacing w:after="0" w:line="104" w:lineRule="exact"/>
        <w:rPr>
          <w:sz w:val="20"/>
          <w:szCs w:val="20"/>
          <w:color w:val="auto"/>
        </w:rPr>
      </w:pPr>
    </w:p>
    <w:p>
      <w:pPr>
        <w:jc w:val="both"/>
        <w:ind w:right="20" w:firstLine="589"/>
        <w:spacing w:after="0" w:line="281" w:lineRule="auto"/>
        <w:rPr>
          <w:sz w:val="20"/>
          <w:szCs w:val="20"/>
          <w:color w:val="auto"/>
        </w:rPr>
      </w:pPr>
      <w:r>
        <w:rPr>
          <w:rFonts w:ascii="Arial" w:cs="Arial" w:eastAsia="Arial" w:hAnsi="Arial"/>
          <w:sz w:val="18"/>
          <w:szCs w:val="18"/>
          <w:color w:val="auto"/>
        </w:rPr>
        <w:t xml:space="preserve">Our board does </w:t>
      </w:r>
      <w:r>
        <w:rPr>
          <w:rFonts w:ascii="Arial" w:cs="Arial" w:eastAsia="Arial" w:hAnsi="Arial"/>
          <w:sz w:val="18"/>
          <w:szCs w:val="18"/>
          <w:b w:val="1"/>
          <w:bCs w:val="1"/>
          <w:color w:val="auto"/>
        </w:rPr>
        <w:t>NOT</w:t>
      </w:r>
      <w:r>
        <w:rPr>
          <w:rFonts w:ascii="Arial" w:cs="Arial" w:eastAsia="Arial" w:hAnsi="Arial"/>
          <w:sz w:val="18"/>
          <w:szCs w:val="18"/>
          <w:color w:val="auto"/>
        </w:rPr>
        <w:t xml:space="preserve"> endorse Messrs. Kayne or Bickerstaff for election as directors and urges you to vote using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Our board urges you </w:t>
      </w:r>
      <w:r>
        <w:rPr>
          <w:rFonts w:ascii="Arial" w:cs="Arial" w:eastAsia="Arial" w:hAnsi="Arial"/>
          <w:sz w:val="18"/>
          <w:szCs w:val="18"/>
          <w:b w:val="1"/>
          <w:bCs w:val="1"/>
          <w:color w:val="auto"/>
        </w:rPr>
        <w:t>NOT</w:t>
      </w:r>
      <w:r>
        <w:rPr>
          <w:rFonts w:ascii="Arial" w:cs="Arial" w:eastAsia="Arial" w:hAnsi="Arial"/>
          <w:sz w:val="18"/>
          <w:szCs w:val="18"/>
          <w:color w:val="auto"/>
        </w:rPr>
        <w:t xml:space="preserve"> to vote any blue proxy card sent to you by Mr. Kayne.</w:t>
      </w:r>
    </w:p>
    <w:p>
      <w:pPr>
        <w:spacing w:after="0" w:line="136" w:lineRule="exact"/>
        <w:rPr>
          <w:sz w:val="20"/>
          <w:szCs w:val="20"/>
          <w:color w:val="auto"/>
        </w:rPr>
      </w:pPr>
    </w:p>
    <w:p>
      <w:pPr>
        <w:jc w:val="both"/>
        <w:ind w:right="20" w:firstLine="589"/>
        <w:spacing w:after="0" w:line="257" w:lineRule="auto"/>
        <w:rPr>
          <w:sz w:val="20"/>
          <w:szCs w:val="20"/>
          <w:color w:val="auto"/>
        </w:rPr>
      </w:pPr>
      <w:r>
        <w:rPr>
          <w:rFonts w:ascii="Arial" w:cs="Arial" w:eastAsia="Arial" w:hAnsi="Arial"/>
          <w:sz w:val="18"/>
          <w:szCs w:val="18"/>
          <w:color w:val="auto"/>
        </w:rPr>
        <w:t xml:space="preserve">Voting to “withhold” with respect to Messrs. Kayne or Bickerstaff on their blue proxy card is not the same as voting for our board’s nominees. This is because a vote to “withhold” with respect to Mr. Kayne or Mr. Bickerstaff on their blue proxy card will revoke any previous proxy submitted by you. </w:t>
      </w:r>
      <w:r>
        <w:rPr>
          <w:rFonts w:ascii="Arial" w:cs="Arial" w:eastAsia="Arial" w:hAnsi="Arial"/>
          <w:sz w:val="18"/>
          <w:szCs w:val="18"/>
          <w:b w:val="1"/>
          <w:bCs w:val="1"/>
          <w:color w:val="auto"/>
        </w:rPr>
        <w:t>Do not return any blue proxy card sent to you by Mr. Kanye, even as a protest vote</w:t>
      </w:r>
      <w:r>
        <w:rPr>
          <w:rFonts w:ascii="Arial" w:cs="Arial" w:eastAsia="Arial" w:hAnsi="Arial"/>
          <w:sz w:val="18"/>
          <w:szCs w:val="18"/>
          <w:color w:val="auto"/>
        </w:rPr>
        <w:t>.</w:t>
      </w:r>
    </w:p>
    <w:p>
      <w:pPr>
        <w:spacing w:after="0" w:line="159"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 xml:space="preserve">If you have already voted using a blue proxy card sent to you by Mr. Kayne, you have every right to change your vote. We urge you to revoke that proxy by voting in favor of our board’s nominees by using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Only the latest-dated and validly executed proxy that you submit will count. If you hold your shares in an account at a broker, bank or other nominee, follow the instructions provided by your nominee to change your vote.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Holders of our common stock as of the close of business on March 21, 2022, the record date for the Annual Meeting, may vote at the Annual Meeting. As of the record date, there were 37,624,058 shares of our common stock outstanding. Each share of common stock is entitled to one vote on each matter properly brought before the Annual Meeting. Stockholders are not permitted to cumulate votes with respect to the election of directors. We do not have any outstanding shares of preferred stock.</w:t>
      </w:r>
    </w:p>
    <w:p>
      <w:pPr>
        <w:spacing w:after="0" w:line="174"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our transfer agent, Computershare Inc., then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considered the stockholder of record with respect to those shares, and this proxy statement was sent directly to you by us. As a stockholder of record, you have the right to grant your proxy directly to the individuals listed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to vote by ballot at the Annual Meeting. Throughout this proxy statement, we refer to these holders as “stockholders of record.” Only stockholders of record as of March 21, 2022,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him at Athira Pharma, Inc., 18706 North Creek Parkway, Suite 104, Bothell, Washington 98011, Attention: Corporate Secretary</w:t>
      </w:r>
    </w:p>
    <w:p>
      <w:pPr>
        <w:spacing w:after="0" w:line="183"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your shares are held in a brokerage account or by a broker, bank or other nominee, then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the beneficial owner of shares held in street name, and this proxy statement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As a beneficial owner, you are also invited to attend the Annual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3</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8"/>
          <w:szCs w:val="18"/>
          <w:color w:val="auto"/>
        </w:rPr>
        <w:t>Meeting. However, because you are not the stockholder of record, you may not vote these shares at the Annual Meeting unless you obtain a “legal proxy” from your broker, bank or other nominee giving you the right to vote the shares. Throughout this proxy statement, we refer to these holders as “street name stockholders.”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know about attending the Annual Meeting?</w:t>
      </w:r>
    </w:p>
    <w:p>
      <w:pPr>
        <w:spacing w:after="0" w:line="104"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color w:val="auto"/>
        </w:rPr>
        <w:t>You are entitled to attend the Annual Meeting only if you were a stockholder as of the record date, a proxy holder for such a stockholder, or an invited guest of the Company. Since seating is limited, admission to the Annual Meeting will be on a first-come, first-served basis. You should be prepared to present government-issued photo identification for admittance, such as a passport or driver’s license. If you are the beneficial owner of your shares, you also will need proof of ownership as of the record date to be admitted to the Annual Meeting, such as your most recent account statement prior to the record date, a copy of the voting instruction card provided by your bank, broker, dealer or other nominee, or similar evidence of ownership. For security reasons, you and your bags may be subject to search prior to your admittance to the Annual Meeting. All attendees must be fully vaccinated against COVID-19, and comply with applicable COVID-19 protocols that may be required to access the meeting site. Cameras and recording devices will not be permitted at the Annual Meeting. If you do not comply with each of the foregoing requirements, you will not be admitted to the Annual Meeting. Although we are planning to hold the Annual Meeting in person, we reserve the right to change that intention depending on, among other things, local public health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104" w:lineRule="exact"/>
        <w:rPr>
          <w:sz w:val="20"/>
          <w:szCs w:val="20"/>
          <w:color w:val="auto"/>
        </w:rPr>
      </w:pPr>
    </w:p>
    <w:p>
      <w:pPr>
        <w:jc w:val="both"/>
        <w:ind w:left="1160" w:hanging="572"/>
        <w:spacing w:after="0" w:line="255" w:lineRule="auto"/>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No. 1</w:t>
      </w:r>
      <w:r>
        <w:rPr>
          <w:rFonts w:ascii="Arial" w:cs="Arial" w:eastAsia="Arial" w:hAnsi="Arial"/>
          <w:sz w:val="18"/>
          <w:szCs w:val="18"/>
          <w:color w:val="auto"/>
        </w:rPr>
        <w:t>: Each director is elected by a plurality of the voting power of the shares present or represented by proxy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Meeting and entitled to vote on the election of directors. A plurality means that the three nominees with the largest number of </w:t>
      </w:r>
      <w:r>
        <w:rPr>
          <w:rFonts w:ascii="Arial" w:cs="Arial" w:eastAsia="Arial" w:hAnsi="Arial"/>
          <w:sz w:val="18"/>
          <w:szCs w:val="18"/>
          <w:b w:val="1"/>
          <w:bCs w:val="1"/>
          <w:color w:val="auto"/>
        </w:rPr>
        <w:t>FOR</w:t>
      </w:r>
      <w:r>
        <w:rPr>
          <w:rFonts w:ascii="Arial" w:cs="Arial" w:eastAsia="Arial" w:hAnsi="Arial"/>
          <w:sz w:val="18"/>
          <w:szCs w:val="18"/>
          <w:color w:val="auto"/>
        </w:rPr>
        <w:t xml:space="preserve"> votes are elected as directors. Because the outcome of this proposal will be determined by a plurality vote, any shares not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 particular nominee, whether as a result of a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vote or a broker non-vote, will have no effect on the outcome of the election.</w:t>
      </w:r>
    </w:p>
    <w:p>
      <w:pPr>
        <w:spacing w:after="0" w:line="60" w:lineRule="exact"/>
        <w:rPr>
          <w:rFonts w:ascii="Times New Roman" w:cs="Times New Roman" w:eastAsia="Times New Roman" w:hAnsi="Times New Roman"/>
          <w:sz w:val="18"/>
          <w:szCs w:val="18"/>
          <w:color w:val="auto"/>
        </w:rPr>
      </w:pPr>
    </w:p>
    <w:p>
      <w:pPr>
        <w:jc w:val="both"/>
        <w:ind w:left="1160" w:hanging="572"/>
        <w:spacing w:after="0" w:line="242" w:lineRule="auto"/>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No. 2</w:t>
      </w:r>
      <w:r>
        <w:rPr>
          <w:rFonts w:ascii="Arial" w:cs="Arial" w:eastAsia="Arial" w:hAnsi="Arial"/>
          <w:sz w:val="18"/>
          <w:szCs w:val="18"/>
          <w:color w:val="auto"/>
        </w:rPr>
        <w:t>: The ratification of the appointment of Ernst &amp; Young LLP as our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firm for our fiscal year ending December 31, 2022, requires the affirmative vote of a majority of the voting power of the shares cast, affirmatively or negatively. You may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or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or you may indicate that you wish to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from voting 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69" w:lineRule="exact"/>
        <w:rPr>
          <w:rFonts w:ascii="Times New Roman" w:cs="Times New Roman" w:eastAsia="Times New Roman" w:hAnsi="Times New Roman"/>
          <w:sz w:val="18"/>
          <w:szCs w:val="18"/>
          <w:color w:val="auto"/>
        </w:rPr>
      </w:pPr>
    </w:p>
    <w:p>
      <w:pPr>
        <w:jc w:val="both"/>
        <w:ind w:left="1160" w:hanging="572"/>
        <w:spacing w:after="0" w:line="238" w:lineRule="auto"/>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No. 3</w:t>
      </w:r>
      <w:r>
        <w:rPr>
          <w:rFonts w:ascii="Arial" w:cs="Arial" w:eastAsia="Arial" w:hAnsi="Arial"/>
          <w:sz w:val="18"/>
          <w:szCs w:val="18"/>
          <w:color w:val="auto"/>
        </w:rPr>
        <w:t>: Amendments to the Bylaws require different levels of affirmative approval by our stockholders depending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 of the Bylaws being amended. There have been no amendments to the Bylaws since September 22, 2020. Athira has not amended the Bylaws since September 22, 2020. An amendment to the Bylaws that is approved by our stockholders must be approved by the affirmative vote of a majority of the voting power of the shares cast, affirmatively or negatively. However, the amendment of Article II, Sections 3.1, 3.2, 3.4 and 3.11 of Article III, Article VIII, Section 9.5 of Article IX or Article X of the Bylaws (including, without limitation, any such Article or Section as renumbered as a result of any amendment, alteration, change, repeal, or adoption of any other Bylaw) (the “Specified Provisions”) requires the affirmative vote of the holders of at least 66 2/3% of the total voting power of outstanding voting securities, voting together as a single class. Other than with respect to the Specified Provisions, broker non-votes and abstentions will be counted for purposes of determining the presence or absence of a quorum, but neither broker non-votes nor abstentions will be considered votes cast for or against this proposal. For the Specified Provisions, broker non-votes and abstentions will be counted for purposes of determining the presence or absence of a quorum, and will have the effect as a vote AGAINST this proposal.</w:t>
      </w:r>
    </w:p>
    <w:p>
      <w:pPr>
        <w:spacing w:after="0" w:line="173" w:lineRule="exact"/>
        <w:rPr>
          <w:rFonts w:ascii="Times New Roman" w:cs="Times New Roman" w:eastAsia="Times New Roman" w:hAnsi="Times New Roman"/>
          <w:sz w:val="18"/>
          <w:szCs w:val="18"/>
          <w:color w:val="auto"/>
        </w:rPr>
      </w:pPr>
    </w:p>
    <w:p>
      <w:pPr>
        <w:ind w:left="5580" w:hanging="132"/>
        <w:spacing w:after="0"/>
        <w:tabs>
          <w:tab w:leader="none" w:pos="5580" w:val="left"/>
        </w:tabs>
        <w:numPr>
          <w:ilvl w:val="1"/>
          <w:numId w:val="8"/>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4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10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A quorum is the minimum number of shares required to be present or represented at the Annual Meeting for the meeting to be properly held under the Bylaws and Delaware law. The presence, in person or by proxy, of a majority of the voting power of our capital stock issued and outstanding and entitled to vote will constitute a quorum to transact business at the Annual Meeting. Abstentions, withheld votes and broker non-votes, if any, are counted as present and entitled to vote for purposes of determining a quorum. Whether or not a quorum exists, the chairperson of the meeting may adjourn the meeting to another time or place.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 are a stockholder of record, you may vote in one of the following ways:</w:t>
      </w:r>
    </w:p>
    <w:p>
      <w:pPr>
        <w:spacing w:after="0" w:line="104" w:lineRule="exact"/>
        <w:rPr>
          <w:sz w:val="20"/>
          <w:szCs w:val="20"/>
          <w:color w:val="auto"/>
        </w:rPr>
      </w:pPr>
    </w:p>
    <w:p>
      <w:pPr>
        <w:ind w:left="1160" w:hanging="572"/>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By Internet following the instructions and using the control number provided on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By telephone using the numbers provided on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143" w:lineRule="exact"/>
        <w:rPr>
          <w:rFonts w:ascii="Times New Roman" w:cs="Times New Roman" w:eastAsia="Times New Roman" w:hAnsi="Times New Roman"/>
          <w:sz w:val="18"/>
          <w:szCs w:val="18"/>
          <w:color w:val="auto"/>
        </w:rPr>
      </w:pPr>
    </w:p>
    <w:p>
      <w:pPr>
        <w:jc w:val="both"/>
        <w:ind w:left="1160" w:hanging="572"/>
        <w:spacing w:after="0" w:line="252"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By signing, dating and returning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in the postage-paid envelope provided, or mailing it to: Athira Pharma, Inc., c/o 200 Business Park Circle, Suite 112, Saint Augustine, Florida 32095. Your proxy card must be received prior to the Annual Meeting.</w:t>
      </w:r>
    </w:p>
    <w:p>
      <w:pPr>
        <w:spacing w:after="0" w:line="62"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By attending the Annual Meeting and voting by ballot.</w:t>
      </w:r>
    </w:p>
    <w:p>
      <w:pPr>
        <w:spacing w:after="0" w:line="251"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then you will receive voting instructions from your broker, bank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cs="Arial" w:eastAsia="Arial" w:hAnsi="Arial"/>
          <w:sz w:val="18"/>
          <w:szCs w:val="18"/>
          <w:b w:val="1"/>
          <w:bCs w:val="1"/>
          <w:color w:val="auto"/>
        </w:rPr>
        <w:t>As</w:t>
      </w:r>
      <w:r>
        <w:rPr>
          <w:rFonts w:ascii="Arial" w:cs="Arial" w:eastAsia="Arial" w:hAnsi="Arial"/>
          <w:sz w:val="18"/>
          <w:szCs w:val="18"/>
          <w:color w:val="auto"/>
        </w:rPr>
        <w:t xml:space="preserve"> </w:t>
      </w:r>
      <w:r>
        <w:rPr>
          <w:rFonts w:ascii="Arial" w:cs="Arial" w:eastAsia="Arial" w:hAnsi="Arial"/>
          <w:sz w:val="18"/>
          <w:szCs w:val="18"/>
          <w:b w:val="1"/>
          <w:bCs w:val="1"/>
          <w:color w:val="auto"/>
        </w:rPr>
        <w:t>discussed above, if you are a street name stockholder, then you may not vote your shares by ballot at the Annual Meeting unless you obtain a “legal proxy” from your broker, bank or other nominee.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With respect to the proxy solicitation for the Annual Meeting, because of the potentially contested nature of this year’s solicitation, your broker will not have discretion to vote your shares on any proposal presented at the Annual Meeting unless you provide specific instructions to your broker as to how your shares are to be voted. If you hold your shares in street name and you do not instruct your broker, bank or other nominee how to vote, your broker will not have discretion to vote your shares.</w:t>
      </w:r>
    </w:p>
    <w:p>
      <w:pPr>
        <w:spacing w:after="0" w:line="17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 xml:space="preserve">If you are a stockholder of record and fail to timely return your proxy card, vote over the Internet or by telephone, or vote by ballot at the Annual Meeting, no votes will be cast on your behalf on any of the items of business at the Annual Meeting. If you are a stockholder of record and you return, in a timely manner, a properly executed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without indicating how you wish to vote, your shares will be voted in accordance with the recommendation of the board of directors.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5</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04"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 are a stockholder of record, you can change your vote or revoke your proxy, even if you have already</w:t>
      </w:r>
      <w:r>
        <w:rPr>
          <w:rFonts w:ascii="Arial" w:cs="Arial" w:eastAsia="Arial" w:hAnsi="Arial"/>
          <w:sz w:val="18"/>
          <w:szCs w:val="18"/>
          <w:i w:val="1"/>
          <w:iCs w:val="1"/>
          <w:color w:val="auto"/>
        </w:rPr>
        <w:t xml:space="preserve"> </w:t>
      </w:r>
      <w:r>
        <w:rPr>
          <w:rFonts w:ascii="Arial" w:cs="Arial" w:eastAsia="Arial" w:hAnsi="Arial"/>
          <w:sz w:val="18"/>
          <w:szCs w:val="18"/>
          <w:color w:val="auto"/>
        </w:rPr>
        <w:t>voted using the blue proxy card sent to you by Mr. Kayne, before the Annual Meeting by:</w:t>
      </w:r>
    </w:p>
    <w:p>
      <w:pPr>
        <w:spacing w:after="0" w:line="46" w:lineRule="exact"/>
        <w:rPr>
          <w:sz w:val="20"/>
          <w:szCs w:val="20"/>
          <w:color w:val="auto"/>
        </w:rPr>
      </w:pPr>
    </w:p>
    <w:p>
      <w:pPr>
        <w:ind w:left="1160" w:hanging="572"/>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entering a new vote by Internet or telephone (subject to the applicable deadlines for each method as set forth above);</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completing and returning a later-dated proxy card, which must be received prior to the Annual Meeting;</w:t>
      </w:r>
    </w:p>
    <w:p>
      <w:pPr>
        <w:spacing w:after="0" w:line="143"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delivering a written notice of revocation to our corporate secretary at Athira Pharma, Inc., 18706 North Creek Parkway, Suite 104, Bothell, Washington 98011, Attention: Corporate Secretary, which must be received prior to the Annual Meeting; or</w:t>
      </w:r>
    </w:p>
    <w:p>
      <w:pPr>
        <w:spacing w:after="0" w:line="46"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attending and voting by ballot at the Annual Meeting (although attendance at the Annual Meeting will not, by itself, revoke a proxy).</w:t>
      </w:r>
    </w:p>
    <w:p>
      <w:pPr>
        <w:spacing w:after="0" w:line="154"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then your broker, bank or other nominee can provide you with</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on how to change or revoke your proxy.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0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 xml:space="preserve">Proxies are being solicited by and on behalf of our board of directors. Glenna Mileson, our Chief Financial Officer, Rachel Lenington, our Chief Operating Officer, and Mark Worthington, our General Counsel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 If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is dated and signed but no specific instructions are given, then the shares will be voted in accordance with the recommendation of our board of directors. If any other matters are properly brought before the Annual Meeting, then the proxy holders will use their own judgment to determine how to vote your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representative of First Coast Results, Inc. will tabulate the votes and act as inspector of election.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Athira’s transfer agent?</w:t>
      </w:r>
    </w:p>
    <w:p>
      <w:pPr>
        <w:spacing w:after="0" w:line="10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You may contact our transfer agent, Computershare Inc., by telephone at (800) 736-3001, or by writing Computershare Inc., P.O. Box 505000, Louisville, KY 40233. You may also access instructions with respect to certain stockholder matters (e.g., change of address) via the Internet at www.computershare.com/investor.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0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 xml:space="preserve">Our board of directors is soliciting proxies for use at the Annual Meeting by means of these proxy materials. By signing, dating and returning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by submitting your proxy over the Internet or by telephone using the instructions found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you are authorizing the persons named as proxies to vote your shares at the Annual Meeting as you have instructed. Proxies will be solicited on behalf of the board of directors by the Company’s directors, director nominees, and certain executive officers and other employees of the Company. Such persons are listed in Annex A to this proxy statement.</w:t>
      </w:r>
    </w:p>
    <w:p>
      <w:pPr>
        <w:spacing w:after="0" w:line="176"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We will bear the entire cost of proxy solicitation, including the preparation, assembly, printing, mailing and distribution of Athira’s proxy materials. Copies of our solicitation materials will also be made available upon request to brokers, banks and other nominees to forward to the beneficial owners of the shares held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6</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jc w:val="both"/>
        <w:spacing w:after="0" w:line="247" w:lineRule="auto"/>
        <w:rPr>
          <w:sz w:val="20"/>
          <w:szCs w:val="20"/>
          <w:color w:val="auto"/>
        </w:rPr>
      </w:pPr>
      <w:r>
        <w:rPr>
          <w:rFonts w:ascii="Arial" w:cs="Arial" w:eastAsia="Arial" w:hAnsi="Arial"/>
          <w:sz w:val="18"/>
          <w:szCs w:val="18"/>
          <w:color w:val="auto"/>
        </w:rPr>
        <w:t>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174"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color w:val="auto"/>
        </w:rPr>
        <w:t>As a result of the proxy contest initiated by Mr. Kayne, we may incur additional costs in connection with the solicitation of proxies. We have engaged Innisfree M&amp;A Incorporated to assist in the solicitation of proxies and provide related advice and informational support, for a service fee and the reimbursement of customary disbursements, which fee is not expected to exceed $400,000 in total. That firm expects that approximately 40 of its employees will assist in the solicitation. Our expenses related to the solicitation of proxies from stockholders this year may substantially exceed those normally spent for an annual meeting of stockholders. Such additional costs are expected to aggregate to approximately $1.5 million. These additional solicitation costs are expected to include: the fee payable to our proxy solicitor; fees of outside counsel to advise us in connection with a contested solicitation of proxies; increased mailing costs, such as the costs of additional mailings of solicitation material to stockholders, including printing costs, mailing costs and the reimbursement of reasonable expenses of banks, brokerage houses and other agents incurred in forwarding solicitation materials to beneficial owners of common stock; and the costs of retaining an independent inspector of election.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0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We will disclose voting results on a Current Report on Form 8-K that we will file with the SEC within four business days after the meeting. If final voting results are not available to us in time to file a Form 8-K, then we will file a Form 8-K to publish preliminary results and will provide the final results in an amendment to the Form 8-K as soon as they become available.</w:t>
      </w:r>
    </w:p>
    <w:p>
      <w:pPr>
        <w:spacing w:after="0" w:line="27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28"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our proxy materials and the 2021 Annual Report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and the 2021 Annual Report to any stockholder at a shared address to which we delivered a single copy of any of these documents. To receive a separate copy, or, if a stockholder is receiving multiple copies, to request that we only send a single copy of these proxy materials or the 2021 Annual Report, stockholders may contact us at the following address and telephone number: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jc w:val="center"/>
        <w:spacing w:after="0" w:line="234" w:lineRule="auto"/>
        <w:rPr>
          <w:sz w:val="20"/>
          <w:szCs w:val="20"/>
          <w:color w:val="auto"/>
        </w:rPr>
      </w:pPr>
      <w:r>
        <w:rPr>
          <w:rFonts w:ascii="Arial" w:cs="Arial" w:eastAsia="Arial" w:hAnsi="Arial"/>
          <w:sz w:val="18"/>
          <w:szCs w:val="18"/>
          <w:color w:val="auto"/>
        </w:rPr>
        <w:t>18706 North Creek Parkway, Suite 104</w:t>
      </w:r>
    </w:p>
    <w:p>
      <w:pPr>
        <w:jc w:val="center"/>
        <w:spacing w:after="0" w:line="235" w:lineRule="auto"/>
        <w:rPr>
          <w:sz w:val="20"/>
          <w:szCs w:val="20"/>
          <w:color w:val="auto"/>
        </w:rPr>
      </w:pPr>
      <w:r>
        <w:rPr>
          <w:rFonts w:ascii="Arial" w:cs="Arial" w:eastAsia="Arial" w:hAnsi="Arial"/>
          <w:sz w:val="18"/>
          <w:szCs w:val="18"/>
          <w:color w:val="auto"/>
        </w:rPr>
        <w:t>Bothell, Washington 98011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(425) 620-8501</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320"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2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If a stockholder would like us to consider including a proposal in our proxy statement for next year’s annual meeting of stockholders pursuant to Rule 14a-8 of the Exchange Act, then the proposal must be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7</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8"/>
          <w:szCs w:val="18"/>
          <w:color w:val="auto"/>
        </w:rPr>
        <w:t>received by our corporate secretary at our principal executive offices on or before December 6, 2022. In addition, stockholder proposals must comply with the requirements of Rule 14a-8 regarding the inclusion of stockholder proposals in company-sponsored proxy materials. Proposals should be addressed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jc w:val="center"/>
        <w:spacing w:after="0" w:line="234" w:lineRule="auto"/>
        <w:rPr>
          <w:sz w:val="20"/>
          <w:szCs w:val="20"/>
          <w:color w:val="auto"/>
        </w:rPr>
      </w:pPr>
      <w:r>
        <w:rPr>
          <w:rFonts w:ascii="Arial" w:cs="Arial" w:eastAsia="Arial" w:hAnsi="Arial"/>
          <w:sz w:val="18"/>
          <w:szCs w:val="18"/>
          <w:color w:val="auto"/>
        </w:rPr>
        <w:t>18706 North Creek Parkway, Suite 104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Bothell, Washington 98011</w:t>
      </w:r>
    </w:p>
    <w:p>
      <w:pPr>
        <w:spacing w:after="0" w:line="19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Bylaws also establish an advance notice procedure for stockholders who wish to present a proposal or nominate a director at an annual meeting, but do not seek to include the proposal or director nominee in our proxy statement. In order to be properly brought before next year’s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the Bylaws. To be timely, a stockholder’s written notice must be received by our corporate secretary at our principal executive offices:</w:t>
      </w:r>
    </w:p>
    <w:p>
      <w:pPr>
        <w:spacing w:after="0" w:line="1" w:lineRule="exact"/>
        <w:rPr>
          <w:sz w:val="20"/>
          <w:szCs w:val="20"/>
          <w:color w:val="auto"/>
        </w:rPr>
      </w:pPr>
    </w:p>
    <w:p>
      <w:pPr>
        <w:ind w:left="1160" w:hanging="572"/>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no earlier than 8:00 a.m., local time, on January 19, 2023, and</w:t>
      </w:r>
    </w:p>
    <w:p>
      <w:pPr>
        <w:spacing w:after="0" w:line="125"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no later than 5:00 p.m., local time, on February 18, 2023.</w:t>
      </w:r>
    </w:p>
    <w:p>
      <w:pPr>
        <w:spacing w:after="0" w:line="251"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color w:val="auto"/>
        </w:rPr>
        <w:t>If we hold our 2023 annual meeting more than 25 days before or after the one-year anniversary of this year’s Annual Meeting, then such written notice must be received by our corporate secretary at our principal executive offices:</w:t>
      </w:r>
    </w:p>
    <w:p>
      <w:pPr>
        <w:spacing w:after="0" w:line="46" w:lineRule="exact"/>
        <w:rPr>
          <w:sz w:val="20"/>
          <w:szCs w:val="20"/>
          <w:color w:val="auto"/>
        </w:rPr>
      </w:pPr>
    </w:p>
    <w:p>
      <w:pPr>
        <w:ind w:left="1160" w:hanging="572"/>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 earlier than 8:00 a.m., local time, on the 120</w:t>
      </w:r>
      <w:r>
        <w:rPr>
          <w:rFonts w:ascii="Arial" w:cs="Arial" w:eastAsia="Arial" w:hAnsi="Arial"/>
          <w:sz w:val="15"/>
          <w:szCs w:val="15"/>
          <w:color w:val="auto"/>
        </w:rPr>
        <w:t>th</w:t>
      </w:r>
      <w:r>
        <w:rPr>
          <w:rFonts w:ascii="Arial" w:cs="Arial" w:eastAsia="Arial" w:hAnsi="Arial"/>
          <w:sz w:val="18"/>
          <w:szCs w:val="18"/>
          <w:color w:val="auto"/>
        </w:rPr>
        <w:t xml:space="preserve"> day prior to the day of our 2023 annual meeting, and</w:t>
      </w:r>
    </w:p>
    <w:p>
      <w:pPr>
        <w:spacing w:after="0" w:line="35"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 later than 5:00 p.m., local time, on the 10</w:t>
      </w:r>
      <w:r>
        <w:rPr>
          <w:rFonts w:ascii="Arial" w:cs="Arial" w:eastAsia="Arial" w:hAnsi="Arial"/>
          <w:sz w:val="15"/>
          <w:szCs w:val="15"/>
          <w:color w:val="auto"/>
        </w:rPr>
        <w:t>th</w:t>
      </w:r>
      <w:r>
        <w:rPr>
          <w:rFonts w:ascii="Arial" w:cs="Arial" w:eastAsia="Arial" w:hAnsi="Arial"/>
          <w:sz w:val="18"/>
          <w:szCs w:val="18"/>
          <w:color w:val="auto"/>
        </w:rPr>
        <w:t xml:space="preserve"> day following the day on which public announcement of the date of the annual meeting is first made by us.</w:t>
      </w:r>
    </w:p>
    <w:p>
      <w:pPr>
        <w:spacing w:after="0" w:line="15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should I contact if I have questions?</w:t>
      </w:r>
    </w:p>
    <w:p>
      <w:pPr>
        <w:spacing w:after="0" w:line="104" w:lineRule="exact"/>
        <w:rPr>
          <w:sz w:val="20"/>
          <w:szCs w:val="20"/>
          <w:color w:val="auto"/>
        </w:rPr>
      </w:pPr>
    </w:p>
    <w:p>
      <w:pPr>
        <w:jc w:val="both"/>
        <w:ind w:right="20" w:firstLine="589"/>
        <w:spacing w:after="0" w:line="253" w:lineRule="auto"/>
        <w:rPr>
          <w:sz w:val="20"/>
          <w:szCs w:val="20"/>
          <w:color w:val="auto"/>
        </w:rPr>
      </w:pPr>
      <w:r>
        <w:rPr>
          <w:rFonts w:ascii="Arial" w:cs="Arial" w:eastAsia="Arial" w:hAnsi="Arial"/>
          <w:sz w:val="18"/>
          <w:szCs w:val="18"/>
          <w:color w:val="auto"/>
        </w:rPr>
        <w:t>Innisfree M&amp;A Incorporated is assisting us with our effort to solicit proxies. If you have additional questions about the election of directors, other matters to be voted on at the Annual Meeting, this Proxy Statement or the Annual Meeting, or if you need assistance voting your shares, please contact:</w:t>
      </w:r>
    </w:p>
    <w:p>
      <w:pPr>
        <w:spacing w:after="0" w:line="16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Innisfree M&amp;A Incorporated</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Stockholders in the US or Canada may call toll-free at (877) 456-3510</w:t>
      </w:r>
    </w:p>
    <w:p>
      <w:pPr>
        <w:ind w:left="3220"/>
        <w:spacing w:after="0" w:line="234" w:lineRule="auto"/>
        <w:rPr>
          <w:sz w:val="20"/>
          <w:szCs w:val="20"/>
          <w:color w:val="auto"/>
        </w:rPr>
      </w:pPr>
      <w:r>
        <w:rPr>
          <w:rFonts w:ascii="Arial" w:cs="Arial" w:eastAsia="Arial" w:hAnsi="Arial"/>
          <w:sz w:val="18"/>
          <w:szCs w:val="18"/>
          <w:color w:val="auto"/>
        </w:rPr>
        <w:t>Stockholders in other locations may call direct at +1 (412) 232-3651</w:t>
      </w:r>
    </w:p>
    <w:p>
      <w:pPr>
        <w:spacing w:after="0" w:line="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Banks and brokers please call collect at (212) 750-5833</w:t>
      </w:r>
    </w:p>
    <w:p>
      <w:pPr>
        <w:spacing w:after="0" w:line="200" w:lineRule="exact"/>
        <w:rPr>
          <w:sz w:val="20"/>
          <w:szCs w:val="20"/>
          <w:color w:val="auto"/>
        </w:rPr>
      </w:pPr>
    </w:p>
    <w:p>
      <w:pPr>
        <w:spacing w:after="0" w:line="212" w:lineRule="exact"/>
        <w:rPr>
          <w:sz w:val="20"/>
          <w:szCs w:val="20"/>
          <w:color w:val="auto"/>
        </w:rPr>
      </w:pPr>
    </w:p>
    <w:p>
      <w:pPr>
        <w:jc w:val="center"/>
        <w:spacing w:after="0" w:line="278" w:lineRule="auto"/>
        <w:rPr>
          <w:sz w:val="20"/>
          <w:szCs w:val="20"/>
          <w:color w:val="auto"/>
        </w:rPr>
      </w:pPr>
      <w:r>
        <w:rPr>
          <w:rFonts w:ascii="Arial" w:cs="Arial" w:eastAsia="Arial" w:hAnsi="Arial"/>
          <w:sz w:val="17"/>
          <w:szCs w:val="17"/>
          <w:b w:val="1"/>
          <w:bCs w:val="1"/>
          <w:i w:val="1"/>
          <w:iCs w:val="1"/>
          <w:color w:val="auto"/>
        </w:rPr>
        <w:t xml:space="preserve">THE BOARD OF DIRECTORS UNANIMOUSLY RECOMMENDS VOTING “FOR” THE ELECTION OF EACH OF THE BOARD OF DIRECTORS’ NOMINEES ON PROPOSAL NO. 1 (WHICH NOMINEES ARE JOSEPH EDELMAN, JOHN M. FLUKE, JR., AND GRANT PICKERING), “FOR” PROPOSAL NO. 2 AND “AGAINST” PROPOSAL NO. 3 USING THE ENCLOSED </w:t>
      </w:r>
      <w:r>
        <w:rPr>
          <w:rFonts w:ascii="Arial" w:cs="Arial" w:eastAsia="Arial" w:hAnsi="Arial"/>
          <w:sz w:val="17"/>
          <w:szCs w:val="17"/>
          <w:b w:val="1"/>
          <w:bCs w:val="1"/>
          <w:i w:val="1"/>
          <w:iCs w:val="1"/>
          <w:u w:val="single" w:color="auto"/>
          <w:color w:val="auto"/>
        </w:rPr>
        <w:t>WHITE</w:t>
      </w:r>
      <w:r>
        <w:rPr>
          <w:rFonts w:ascii="Arial" w:cs="Arial" w:eastAsia="Arial" w:hAnsi="Arial"/>
          <w:sz w:val="17"/>
          <w:szCs w:val="17"/>
          <w:b w:val="1"/>
          <w:bCs w:val="1"/>
          <w:i w:val="1"/>
          <w:iCs w:val="1"/>
          <w:color w:val="auto"/>
        </w:rPr>
        <w:t xml:space="preserve"> PROXY CARD.</w:t>
      </w:r>
    </w:p>
    <w:p>
      <w:pPr>
        <w:spacing w:after="0" w:line="144"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i w:val="1"/>
          <w:iCs w:val="1"/>
          <w:color w:val="auto"/>
        </w:rPr>
        <w:t>THE BOARD OF DIRECTORS URGES YOU NOT TO SIGN, RETURN OR VOTE ANY PROXY CARD SENT TO YOU BY MR. KAYNE, EVEN AS A PROTEST VOTE.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8</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BACKGROUND OF THE SOLICITATION</w:t>
      </w:r>
    </w:p>
    <w:p>
      <w:pPr>
        <w:spacing w:after="0" w:line="211"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Athira is a late clinical-stage biopharmaceutical company focused on developing small molecules to restore neuronal health and slow neurodegeneration. With our product candidates, we aim to provide rapid cognitive improvement and alter the course of neurological diseases, leveraging our novel mechanism of action. Our approach is designed to augment neuronal growth factor signaling through the hepatocyte growth factor/MET, or HGF/MET, a naturally occurring, repair and regenerative system. Our pipeline is built from our proprietary drug discovery platform, and consists of a series of small molecules that are designed to target either (1) the central nervous system by crossing the blood brain barrier or (2) the peripheral nervous system.</w:t>
      </w:r>
    </w:p>
    <w:p>
      <w:pPr>
        <w:spacing w:after="0" w:line="179"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We are currently conducting Phase 2/3 clinical trials for our lead drug candidate. We expect to announce topline data from our Phase 2 clinical trial in the second quarter of 2022.</w:t>
      </w:r>
    </w:p>
    <w:p>
      <w:pPr>
        <w:spacing w:after="0" w:line="181" w:lineRule="exact"/>
        <w:rPr>
          <w:sz w:val="20"/>
          <w:szCs w:val="20"/>
          <w:color w:val="auto"/>
        </w:rPr>
      </w:pPr>
    </w:p>
    <w:p>
      <w:pPr>
        <w:jc w:val="both"/>
        <w:ind w:firstLine="589"/>
        <w:spacing w:after="0" w:line="261" w:lineRule="auto"/>
        <w:rPr>
          <w:sz w:val="20"/>
          <w:szCs w:val="20"/>
          <w:color w:val="auto"/>
        </w:rPr>
      </w:pPr>
      <w:r>
        <w:rPr>
          <w:rFonts w:ascii="Arial" w:cs="Arial" w:eastAsia="Arial" w:hAnsi="Arial"/>
          <w:sz w:val="18"/>
          <w:szCs w:val="18"/>
          <w:color w:val="auto"/>
        </w:rPr>
        <w:t>On June 16, 2021, our board of directors established an independent special committee to investigate and evaluate allegations of impropriety in connection with certain of Dr. Leen Kawas’s research papers while she was a Ph.D. student at Washington State University. Dr. Kawas helped found Athira and, at the time of our investigation, was our chief executive officer and president.</w:t>
      </w:r>
    </w:p>
    <w:p>
      <w:pPr>
        <w:spacing w:after="0" w:line="162"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During the course of its investigation, the special committee, with the assistance of independent outside counsel, determined that Dr. Kawas altered images in her 2011 doctoral dissertation and at least four research papers that she co-authored while she was a graduate student at Washington State University (“WSU”), which papers were published between 2011 and 2014. WSU has undertaken a review of these claims of potential research misconduct. We cannot predict when WSU’s investigation will be completed or what conclusions WSU will reach.</w:t>
      </w:r>
    </w:p>
    <w:p>
      <w:pPr>
        <w:spacing w:after="0" w:line="176"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On October 18, 2021, Dr. Kawas submitted her resignation as president and chief executive officer of Athira and as a member of the board of directors, effective October 18, 2021. Concurrently with Dr. Kawas’ resignation, the board of directors appointed Mark Litton, Ph.D., MBA as our president and chief executive officer, and Rachel Lenington, MBA, as our chief operating officer. Dr. Litton was also appointed to the board of directors. Dr. Litton has over 25 years of experience in the biopharmaceutical industry, serving in C-suite roles at three publicly traded companies. Prior to his appointment as our president and chief executive officer and as a director, Dr. Litton carried out the day-to-day responsibilities of president and chief executive officer of Athira since June 2021, and served as our chief operating officer since July 2019.</w:t>
      </w:r>
    </w:p>
    <w:p>
      <w:pPr>
        <w:spacing w:after="0" w:line="179"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Following Dr. Kawas’ resignation, members of our board of directors and management team continued to meet from time to time with Dr. Kawas, in her capacity as a stockholder, to better understand her perspectives on Athira.</w:t>
      </w:r>
    </w:p>
    <w:p>
      <w:pPr>
        <w:spacing w:after="0" w:line="154"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Mr. Kayne first invested in Athira prior to our initial public offering in September 2020. From time to time subsequent to the initial public offering, members of our board of directors and management team met with Mr. Kayne, in his capacity as a stockholder, to better understand his perspectives on Athira. Following Dr. Kawas’ resignation, Mr. Kayne repeatedly expressed his strong desire to see Dr. Kawas have a substantive role at Athira, including by serving as a consultant to Athira. Mr. Kayne also repeatedly expressed his belief that Dr. Litton was not the right individual to serve as our chief executive officer, as well as his concerns about the manner in which Athira management was pursuing various clinical trials for our drug candidates.</w:t>
      </w:r>
    </w:p>
    <w:p>
      <w:pPr>
        <w:spacing w:after="0" w:line="179"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On January 27, 2022, Grant Pickering was appointed as a member of the board of directors. Mr. Pickering has over 30 years of experience across vaccines and immunotherapeutic drug development and commercialization, and has led the successful formation and financing of multiple platform companies. Mr. Pickering was first identified as a potential director by Mr. Kayne, and Mr. Pickering was appointed to the board with Mr. Kayne’s knowledge and support.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9</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both"/>
        <w:ind w:firstLine="589"/>
        <w:spacing w:after="0" w:line="247" w:lineRule="auto"/>
        <w:rPr>
          <w:sz w:val="20"/>
          <w:szCs w:val="20"/>
          <w:color w:val="auto"/>
        </w:rPr>
      </w:pPr>
      <w:r>
        <w:rPr>
          <w:rFonts w:ascii="Arial" w:cs="Arial" w:eastAsia="Arial" w:hAnsi="Arial"/>
          <w:sz w:val="18"/>
          <w:szCs w:val="18"/>
          <w:color w:val="auto"/>
        </w:rPr>
        <w:t>By February 2022, Mr. Kayne’s communications with members of our board of directors had become more strident. Members of our board of directors continued to meet regularly with Mr. Kayne in recognition of his reputation as an investor and his status as one of our stockholders. At several points in these conversations, Mr. Kayne expressed his desire to join the board of directors and the possibility that he might commence a proxy contest to accomplish that objective.</w:t>
      </w:r>
    </w:p>
    <w:p>
      <w:pPr>
        <w:spacing w:after="0" w:line="17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On February 25, 2022, we received notice from Mr. Kayne that he intended to nominate himself and Mr. Bickerstaff for election as directors at the Annual Meeting. In his nomination notice, Mr. Kayne disclosed that he is the beneficial owner of 1,690,024 shares of our common stock, or approximately 4.52% of the outstanding shares of common stock. Mr. Kayne disclosed to the Company that he and Dr. Kawas are partners in Propel Bio Partners, LP, a private equity fund focused on investments in life sciences businesses. Mr. Kayne also disclosed that he will pay $100,000 in cash to Mr. Bickerstaff in connection with Mr. Bickerstaff serving as one of Mr. Kayne’s nominees.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February 28, 2022, the board of directors met and discussed Mr. Kayne’s nomination notice.</w:t>
      </w:r>
    </w:p>
    <w:p>
      <w:pPr>
        <w:spacing w:after="0" w:line="212"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Following receipt of Mr. Kayne’s nomination notice, members of our board of directors spoke frequently with Mr. Kayne; these conversations have continued through the date of this proxy statement. During these conversations, Mr. Kayne repeatedly advocated for (1) his appointment to the board; (2) a formal consulting relationship between Athira and Dr. Kawas that would give her a day-to-day role in clinical development activities; (3) the immediate termination of Dr. Litton as our chief executive officer (or the commencement of a search process to find Dr. Litton’s replacement); and (4) various changes in the manner in which we were pursuing our clinical trials. Mr. Kayne also expressed concerns over capital allocation matters.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4, 2022, the board of directors met and discussed Mr. Kayne’s nomination notice.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7, 2022, Mr. Kayne provided our board of directors with a letter noting his perspectives on Athira.</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8, 2022, the board of directors met and discussed Mr. Kayne’s nomination notice and letter.</w:t>
      </w:r>
    </w:p>
    <w:p>
      <w:pPr>
        <w:spacing w:after="0" w:line="212" w:lineRule="exact"/>
        <w:rPr>
          <w:sz w:val="20"/>
          <w:szCs w:val="20"/>
          <w:color w:val="auto"/>
        </w:rPr>
      </w:pPr>
    </w:p>
    <w:p>
      <w:pPr>
        <w:jc w:val="both"/>
        <w:ind w:firstLine="589"/>
        <w:spacing w:after="0" w:line="276" w:lineRule="auto"/>
        <w:rPr>
          <w:sz w:val="20"/>
          <w:szCs w:val="20"/>
          <w:color w:val="auto"/>
        </w:rPr>
      </w:pPr>
      <w:r>
        <w:rPr>
          <w:rFonts w:ascii="Arial" w:cs="Arial" w:eastAsia="Arial" w:hAnsi="Arial"/>
          <w:sz w:val="18"/>
          <w:szCs w:val="18"/>
          <w:color w:val="auto"/>
        </w:rPr>
        <w:t>On March 8, 2022, Mr. Kayne delivered a letter to the Company requesting the inspection of certain stockholder list materials and related information pursuant to Section 220 of the Delaware General Corporation Law (the “Books and Records Demand”). Mr. Kayne made a separate request to inspect a variety of confidential materials, including related to the investigation of Dr. Kawas.</w:t>
      </w:r>
    </w:p>
    <w:p>
      <w:pPr>
        <w:spacing w:after="0" w:line="150"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On March 9, 2022, members of the board of directors spoke with Mr. Kayne. During this conversation, they committed to interviewing Mr. Bickerstaff.</w:t>
      </w:r>
    </w:p>
    <w:p>
      <w:pPr>
        <w:spacing w:after="0" w:line="15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During the week of March 13, 2022, representatives of Athira spoke with representatives of Mr. Kayne on multiple occasions. In these conversations, the representatives of Athira expressed an openness on the part of the board of directors to finding a resolution to Mr. Kayne’s proxy contest and a desire to better understand Mr. Kayne’s fundamental demands (which were not always consistent). The representatives of Mr. Kayne repeatedly stated that (1) Mr. Kayne should be appointed to the board of directors; (2) a formalized role at Athira for Dr. Kawas was needed; and (3) Dr. Litton should be replaced immediately as our chief executive officer. These conversations were always hypothetical in nature and the representatives of Athira made clear on multiple occasions that any resolution to Mr. Kayne’s proxy contest would require the approval of our board of directors.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15, 2022, we responded to the Books and Records Demand.</w:t>
      </w:r>
    </w:p>
    <w:p>
      <w:pPr>
        <w:spacing w:after="0" w:line="212"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On March 16, 2022, Barbara Kosacz, one of our directors and chair of the nominating and corporate governance committee, met with Mr. Bickerstaff to discuss his credentials and interest in joining our board of directors.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10</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589"/>
        <w:spacing w:after="0" w:line="253" w:lineRule="auto"/>
        <w:rPr>
          <w:sz w:val="20"/>
          <w:szCs w:val="20"/>
          <w:color w:val="auto"/>
        </w:rPr>
      </w:pPr>
      <w:r>
        <w:rPr>
          <w:rFonts w:ascii="Arial" w:cs="Arial" w:eastAsia="Arial" w:hAnsi="Arial"/>
          <w:sz w:val="18"/>
          <w:szCs w:val="18"/>
          <w:color w:val="auto"/>
        </w:rPr>
        <w:t>On March 18, 2022, the board of directors met and discussed the possibility of a proxy contest at the Annual Meeting. The board of directors determined that it wished to continue to explore possible negotiated resolutions to Mr. Kayne’s proxy contest and requested that Kelly A. Romano, the chairwoman of the board of directors, continue her discussions with Mr. Kayne to try to resolve his proxy contest.</w:t>
      </w:r>
    </w:p>
    <w:p>
      <w:pPr>
        <w:spacing w:after="0" w:line="16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At the board meeting on March 18, 2022, Michael Panzara, M.D. was appointed as a member of the board of directors. Dr. Panzara has over 20 years of biopharmaceutical industry experience developing therapies for neurological disorders.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18, 2022, Mr. Kayne and Dr. Kawas publicly announced that Propel Bio Partners, LP had commenced operations.</w:t>
      </w:r>
    </w:p>
    <w:p>
      <w:pPr>
        <w:spacing w:after="0" w:line="21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On March 22, 2022, Ms. Romano and Mr. Kayne spoke. During this conversation, Mr. Kayne continued to insist on the replacement of Dr. Litton as our chief executive officer and a formalized role for Dr. Kawas.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22, 2022, Ms. Romano met with Mr. Bickerstaff to discuss his credentials and interest in joining our board of directors.</w:t>
      </w:r>
    </w:p>
    <w:p>
      <w:pPr>
        <w:spacing w:after="0" w:line="21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On March 23, 2022, the nominating and corporate governance committee met and considered Messrs. Kayne and Bickerstaff for possible inclusion on the board’s slate of director nominees at the Annual Meeting. The nominating and corporate governance committee determined not to recommend either Mr. Kayne or Mr. Bickerstaff for inclusion on the board’s slate of director nominees.</w:t>
      </w:r>
    </w:p>
    <w:p>
      <w:pPr>
        <w:spacing w:after="0" w:line="169"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On March 23, 2022, the board of directors met and discussed the possibility of a proxy contest at the Annual Meeting. The board of directors determined that it did not support any role for Dr. Kawas at Athira. The board of directors noted its support for Dr. Litton as our chief executive officer. The board of directors approved the recommendation of the nominating and corporate governance committee regarding the composition of its slate of director nominees at the Annual Meeting. The board of directors also authorized representatives of Athira to continue to explore other resolutions to Mr. Kayne’s proxy contest with representatives of Mr. Kayne.</w:t>
      </w:r>
    </w:p>
    <w:p>
      <w:pPr>
        <w:spacing w:after="0" w:line="176"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On March 24, 2022, representatives of Athira spoke with representatives of Mr. Kayne in an effort to find a resolution to Mr. Kayne’s proxy contest. During this conversation, the representatives of Athira proposed a possible resolution to Mr. Kayne’s proxy contest in which a new director would join our board of directors, and Mr. Kayne would have input into the identity of that individual.</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25, 2022, Athira filed a preliminary proxy statement with the SEC.</w:t>
      </w:r>
    </w:p>
    <w:p>
      <w:pPr>
        <w:spacing w:after="0" w:line="212"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Following the filing of our preliminary proxy statement, members of our board of directors spoke with Mr. Kayne on multiple occasions regarding possible resolutions to Mr. Kayne’s proxy contest.</w:t>
      </w:r>
    </w:p>
    <w:p>
      <w:pPr>
        <w:spacing w:after="0" w:line="154"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On March 28, 2022, we received notice from Mr. Kayne that he increased his beneficial ownership of our common stock to 1,795,024 shares, or approximately 4.77% of the outstanding shares of common stock.</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April 5, 2022, Athira filed a definitive proxy statement with the SEC.</w:t>
      </w:r>
    </w:p>
    <w:p>
      <w:pPr>
        <w:spacing w:after="0" w:line="212"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We are disappointed that Mr. Kayne has chosen to pursue a costly and distracting proxy fight. Athira’s board and leadership team are focused on doing what is right for our Company, our stockholders, and our patients and their caregivers. Athira’s highest priority is advancing our lead drug candidate through clinical trials and securing regulatory approval for the treatment of Alzheimer’s disease, which impacts as many as 35 million people worldwide. We do not believe that a proxy fight is in the best interests of our Company or our stockholders.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11</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w:t>
      </w:r>
    </w:p>
    <w:p>
      <w:pPr>
        <w:spacing w:after="0" w:line="10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Our board of directors currently consists of eight directors, seven of whom are independent under the listing standards of The Nasdaq Stock Market LLC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6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The following table sets forth the names, ages as of March 31, 2022, and certain other information for each of our directors and director nominees: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Expiration of</w:t>
            </w:r>
          </w:p>
        </w:tc>
      </w:tr>
      <w:tr>
        <w:trPr>
          <w:trHeight w:val="176"/>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Current</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for</w:t>
            </w:r>
          </w:p>
        </w:tc>
      </w:tr>
      <w:tr>
        <w:trPr>
          <w:trHeight w:val="175"/>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Director</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Which</w:t>
            </w:r>
          </w:p>
        </w:tc>
      </w:t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Class</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Age</w:t>
            </w:r>
          </w:p>
        </w:tc>
        <w:tc>
          <w:tcPr>
            <w:tcW w:w="2860" w:type="dxa"/>
            <w:vAlign w:val="bottom"/>
            <w:gridSpan w:val="2"/>
          </w:tcPr>
          <w:p>
            <w:pPr>
              <w:ind w:left="1080"/>
              <w:spacing w:after="0"/>
              <w:rPr>
                <w:sz w:val="20"/>
                <w:szCs w:val="20"/>
                <w:color w:val="auto"/>
              </w:rPr>
            </w:pPr>
            <w:r>
              <w:rPr>
                <w:rFonts w:ascii="Arial" w:cs="Arial" w:eastAsia="Arial" w:hAnsi="Arial"/>
                <w:sz w:val="14"/>
                <w:szCs w:val="14"/>
                <w:b w:val="1"/>
                <w:bCs w:val="1"/>
                <w:color w:val="auto"/>
              </w:rPr>
              <w:t>Position</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Since</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Expires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Nominated</w:t>
            </w:r>
          </w:p>
        </w:tc>
      </w:tr>
      <w:tr>
        <w:trPr>
          <w:trHeight w:val="182"/>
        </w:trPr>
        <w:tc>
          <w:tcPr>
            <w:tcW w:w="220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Nominees for</w:t>
            </w:r>
          </w:p>
        </w:tc>
        <w:tc>
          <w:tcPr>
            <w:tcW w:w="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360" w:type="dxa"/>
            <w:vAlign w:val="bottom"/>
            <w:gridSpan w:val="2"/>
          </w:tcPr>
          <w:p>
            <w:pPr>
              <w:ind w:left="140"/>
              <w:spacing w:after="0"/>
              <w:rPr>
                <w:sz w:val="20"/>
                <w:szCs w:val="20"/>
                <w:color w:val="auto"/>
              </w:rPr>
            </w:pPr>
            <w:r>
              <w:rPr>
                <w:rFonts w:ascii="Arial" w:cs="Arial" w:eastAsia="Arial" w:hAnsi="Arial"/>
                <w:sz w:val="16"/>
                <w:szCs w:val="16"/>
                <w:b w:val="1"/>
                <w:bCs w:val="1"/>
                <w:color w:val="auto"/>
              </w:rPr>
              <w:t>Director</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Joseph Edelman</w:t>
            </w:r>
            <w:r>
              <w:rPr>
                <w:rFonts w:ascii="Arial" w:cs="Arial" w:eastAsia="Arial" w:hAnsi="Arial"/>
                <w:sz w:val="23"/>
                <w:szCs w:val="23"/>
                <w:color w:val="auto"/>
                <w:vertAlign w:val="superscript"/>
              </w:rPr>
              <w:t>(1)(2)</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66</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FF0FC"/>
          </w:tcPr>
          <w:p>
            <w:pPr>
              <w:spacing w:after="0"/>
              <w:rPr>
                <w:sz w:val="17"/>
                <w:szCs w:val="17"/>
                <w:color w:val="auto"/>
              </w:rPr>
            </w:pPr>
          </w:p>
        </w:tc>
      </w:tr>
      <w:tr>
        <w:trPr>
          <w:trHeight w:val="203"/>
        </w:trPr>
        <w:tc>
          <w:tcPr>
            <w:tcW w:w="2360" w:type="dxa"/>
            <w:vAlign w:val="bottom"/>
            <w:gridSpan w:val="2"/>
          </w:tcPr>
          <w:p>
            <w:pPr>
              <w:spacing w:after="0" w:line="202" w:lineRule="exact"/>
              <w:rPr>
                <w:sz w:val="20"/>
                <w:szCs w:val="20"/>
                <w:color w:val="auto"/>
              </w:rPr>
            </w:pPr>
            <w:r>
              <w:rPr>
                <w:rFonts w:ascii="Arial" w:cs="Arial" w:eastAsia="Arial" w:hAnsi="Arial"/>
                <w:sz w:val="14"/>
                <w:szCs w:val="14"/>
                <w:color w:val="auto"/>
              </w:rPr>
              <w:t>John M. Fluke, Jr.</w:t>
            </w:r>
            <w:r>
              <w:rPr>
                <w:rFonts w:ascii="Arial" w:cs="Arial" w:eastAsia="Arial" w:hAnsi="Arial"/>
                <w:sz w:val="23"/>
                <w:szCs w:val="23"/>
                <w:color w:val="auto"/>
                <w:vertAlign w:val="superscript"/>
              </w:rPr>
              <w:t>(1)(3)</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II</w:t>
            </w:r>
          </w:p>
        </w:tc>
        <w:tc>
          <w:tcPr>
            <w:tcW w:w="760" w:type="dxa"/>
            <w:vAlign w:val="bottom"/>
          </w:tcPr>
          <w:p>
            <w:pPr>
              <w:jc w:val="center"/>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Grant Pickering</w:t>
            </w:r>
            <w:r>
              <w:rPr>
                <w:rFonts w:ascii="Arial" w:cs="Arial" w:eastAsia="Arial" w:hAnsi="Arial"/>
                <w:sz w:val="23"/>
                <w:szCs w:val="23"/>
                <w:color w:val="auto"/>
                <w:vertAlign w:val="superscript"/>
              </w:rPr>
              <w:t>(2)</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FF0FC"/>
          </w:tcPr>
          <w:p>
            <w:pPr>
              <w:spacing w:after="0"/>
              <w:rPr>
                <w:sz w:val="17"/>
                <w:szCs w:val="17"/>
                <w:color w:val="auto"/>
              </w:rPr>
            </w:pPr>
          </w:p>
        </w:tc>
      </w:tr>
      <w:tr>
        <w:trPr>
          <w:trHeight w:val="188"/>
        </w:trPr>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Continuing</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360" w:type="dxa"/>
            <w:vAlign w:val="bottom"/>
            <w:gridSpan w:val="2"/>
          </w:tcPr>
          <w:p>
            <w:pPr>
              <w:ind w:left="140"/>
              <w:spacing w:after="0"/>
              <w:rPr>
                <w:sz w:val="20"/>
                <w:szCs w:val="20"/>
                <w:color w:val="auto"/>
              </w:rPr>
            </w:pPr>
            <w:r>
              <w:rPr>
                <w:rFonts w:ascii="Arial" w:cs="Arial" w:eastAsia="Arial" w:hAnsi="Arial"/>
                <w:sz w:val="16"/>
                <w:szCs w:val="16"/>
                <w:b w:val="1"/>
                <w:bCs w:val="1"/>
                <w:color w:val="auto"/>
              </w:rPr>
              <w:t>Directors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Kelly A. Romano</w:t>
            </w:r>
            <w:r>
              <w:rPr>
                <w:rFonts w:ascii="Arial" w:cs="Arial" w:eastAsia="Arial" w:hAnsi="Arial"/>
                <w:sz w:val="23"/>
                <w:szCs w:val="23"/>
                <w:color w:val="auto"/>
                <w:vertAlign w:val="superscript"/>
              </w:rPr>
              <w:t>(3)</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III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Chairwoman of the Board</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r>
      <w:tr>
        <w:trPr>
          <w:trHeight w:val="187"/>
        </w:trPr>
        <w:tc>
          <w:tcPr>
            <w:tcW w:w="2360" w:type="dxa"/>
            <w:vAlign w:val="bottom"/>
            <w:gridSpan w:val="2"/>
          </w:tcPr>
          <w:p>
            <w:pPr>
              <w:spacing w:after="0"/>
              <w:rPr>
                <w:sz w:val="20"/>
                <w:szCs w:val="20"/>
                <w:color w:val="auto"/>
              </w:rPr>
            </w:pPr>
            <w:r>
              <w:rPr>
                <w:rFonts w:ascii="Arial" w:cs="Arial" w:eastAsia="Arial" w:hAnsi="Arial"/>
                <w:sz w:val="16"/>
                <w:szCs w:val="16"/>
                <w:color w:val="auto"/>
              </w:rPr>
              <w:t>James A.</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2360" w:type="dxa"/>
            <w:vAlign w:val="bottom"/>
            <w:gridSpan w:val="2"/>
          </w:tcPr>
          <w:p>
            <w:pPr>
              <w:ind w:left="140"/>
              <w:spacing w:after="0" w:line="204" w:lineRule="exact"/>
              <w:rPr>
                <w:sz w:val="20"/>
                <w:szCs w:val="20"/>
                <w:color w:val="auto"/>
              </w:rPr>
            </w:pPr>
            <w:r>
              <w:rPr>
                <w:rFonts w:ascii="Arial" w:cs="Arial" w:eastAsia="Arial" w:hAnsi="Arial"/>
                <w:sz w:val="14"/>
                <w:szCs w:val="14"/>
                <w:color w:val="auto"/>
              </w:rPr>
              <w:t>Johnson</w:t>
            </w:r>
            <w:r>
              <w:rPr>
                <w:rFonts w:ascii="Arial" w:cs="Arial" w:eastAsia="Arial" w:hAnsi="Arial"/>
                <w:sz w:val="23"/>
                <w:szCs w:val="23"/>
                <w:color w:val="auto"/>
                <w:vertAlign w:val="superscript"/>
              </w:rPr>
              <w:t>(2)(4)</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III</w:t>
            </w:r>
          </w:p>
        </w:tc>
        <w:tc>
          <w:tcPr>
            <w:tcW w:w="760" w:type="dxa"/>
            <w:vAlign w:val="bottom"/>
          </w:tcPr>
          <w:p>
            <w:pPr>
              <w:jc w:val="center"/>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7"/>
                <w:szCs w:val="17"/>
                <w:color w:val="auto"/>
              </w:rPr>
            </w:pPr>
          </w:p>
        </w:tc>
        <w:tc>
          <w:tcPr>
            <w:tcW w:w="130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Barbara Kosacz</w:t>
            </w:r>
            <w:r>
              <w:rPr>
                <w:rFonts w:ascii="Arial" w:cs="Arial" w:eastAsia="Arial" w:hAnsi="Arial"/>
                <w:sz w:val="23"/>
                <w:szCs w:val="23"/>
                <w:color w:val="auto"/>
                <w:vertAlign w:val="superscript"/>
              </w:rPr>
              <w:t>(5)(6)</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2"/>
          </w:tcPr>
          <w:p>
            <w:pPr>
              <w:spacing w:after="0"/>
              <w:rPr>
                <w:sz w:val="20"/>
                <w:szCs w:val="20"/>
                <w:color w:val="auto"/>
              </w:rPr>
            </w:pPr>
            <w:r>
              <w:rPr>
                <w:rFonts w:ascii="Arial" w:cs="Arial" w:eastAsia="Arial" w:hAnsi="Arial"/>
                <w:sz w:val="16"/>
                <w:szCs w:val="16"/>
                <w:color w:val="auto"/>
              </w:rPr>
              <w:t>Michael Panzara</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w:t>
            </w:r>
          </w:p>
        </w:tc>
        <w:tc>
          <w:tcPr>
            <w:tcW w:w="760" w:type="dxa"/>
            <w:vAlign w:val="bottom"/>
          </w:tcPr>
          <w:p>
            <w:pPr>
              <w:jc w:val="center"/>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7"/>
                <w:szCs w:val="17"/>
                <w:color w:val="auto"/>
              </w:rPr>
            </w:pPr>
          </w:p>
        </w:tc>
        <w:tc>
          <w:tcPr>
            <w:tcW w:w="130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188"/>
        </w:trPr>
        <w:tc>
          <w:tcPr>
            <w:tcW w:w="2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Litton, Ph.D.</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President, Chief Executive</w:t>
            </w: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2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Officer and 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74"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Member of the nominating and corporate governance committee.</w:t>
      </w:r>
    </w:p>
    <w:p>
      <w:pPr>
        <w:spacing w:after="0" w:line="26"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Member of the compensation committee</w:t>
      </w:r>
    </w:p>
    <w:p>
      <w:pPr>
        <w:spacing w:after="0" w:line="27" w:lineRule="exact"/>
        <w:rPr>
          <w:rFonts w:ascii="Arial" w:cs="Arial" w:eastAsia="Arial" w:hAnsi="Arial"/>
          <w:sz w:val="20"/>
          <w:szCs w:val="20"/>
          <w:color w:val="auto"/>
          <w:vertAlign w:val="superscript"/>
        </w:rPr>
      </w:pPr>
    </w:p>
    <w:p>
      <w:pPr>
        <w:ind w:left="580" w:hanging="572"/>
        <w:spacing w:after="0" w:line="183" w:lineRule="auto"/>
        <w:tabs>
          <w:tab w:leader="none" w:pos="58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Member of audit committee.</w:t>
      </w:r>
    </w:p>
    <w:p>
      <w:pPr>
        <w:spacing w:after="0" w:line="27" w:lineRule="exact"/>
        <w:rPr>
          <w:rFonts w:ascii="Arial" w:cs="Arial" w:eastAsia="Arial" w:hAnsi="Arial"/>
          <w:sz w:val="20"/>
          <w:szCs w:val="20"/>
          <w:color w:val="auto"/>
          <w:vertAlign w:val="superscript"/>
        </w:rPr>
      </w:pPr>
    </w:p>
    <w:p>
      <w:pPr>
        <w:ind w:left="580" w:hanging="572"/>
        <w:spacing w:after="0" w:line="183" w:lineRule="auto"/>
        <w:tabs>
          <w:tab w:leader="none" w:pos="58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Chairman of the audit committee.</w:t>
      </w:r>
    </w:p>
    <w:p>
      <w:pPr>
        <w:spacing w:after="0" w:line="27" w:lineRule="exact"/>
        <w:rPr>
          <w:rFonts w:ascii="Arial" w:cs="Arial" w:eastAsia="Arial" w:hAnsi="Arial"/>
          <w:sz w:val="20"/>
          <w:szCs w:val="20"/>
          <w:color w:val="auto"/>
          <w:vertAlign w:val="superscript"/>
        </w:rPr>
      </w:pPr>
    </w:p>
    <w:p>
      <w:pPr>
        <w:ind w:left="580" w:hanging="572"/>
        <w:spacing w:after="0" w:line="183" w:lineRule="auto"/>
        <w:tabs>
          <w:tab w:leader="none" w:pos="58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Chairwoman of the compensation committee.</w:t>
      </w:r>
    </w:p>
    <w:p>
      <w:pPr>
        <w:spacing w:after="0" w:line="27" w:lineRule="exact"/>
        <w:rPr>
          <w:rFonts w:ascii="Arial" w:cs="Arial" w:eastAsia="Arial" w:hAnsi="Arial"/>
          <w:sz w:val="20"/>
          <w:szCs w:val="20"/>
          <w:color w:val="auto"/>
          <w:vertAlign w:val="superscript"/>
        </w:rPr>
      </w:pPr>
    </w:p>
    <w:p>
      <w:pPr>
        <w:ind w:left="580" w:hanging="572"/>
        <w:spacing w:after="0" w:line="183" w:lineRule="auto"/>
        <w:tabs>
          <w:tab w:leader="none" w:pos="58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Chairwoman of the nominating and corporate governance committee.</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Nominees for Director</w:t>
      </w:r>
    </w:p>
    <w:p>
      <w:pPr>
        <w:spacing w:after="0" w:line="104"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positions that he has held since July 1999.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that Mr. Edelman’s experience as a board member and investor in many successful biotechnology companies qualifies him to serve on our board of directors.</w:t>
      </w:r>
    </w:p>
    <w:p>
      <w:pPr>
        <w:spacing w:after="0" w:line="180"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12</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spacing w:after="0" w:line="242" w:lineRule="auto"/>
        <w:rPr>
          <w:sz w:val="20"/>
          <w:szCs w:val="20"/>
          <w:color w:val="auto"/>
        </w:rPr>
      </w:pPr>
      <w:r>
        <w:rPr>
          <w:rFonts w:ascii="Arial" w:cs="Arial" w:eastAsia="Arial" w:hAnsi="Arial"/>
          <w:sz w:val="18"/>
          <w:szCs w:val="18"/>
          <w:color w:val="auto"/>
        </w:rPr>
        <w:t>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that Mr. Fluke’s extensive leadership experience and background as an investor in many successful companies qualifies him to serve on our board of directors.</w:t>
      </w:r>
    </w:p>
    <w:p>
      <w:pPr>
        <w:spacing w:after="0" w:line="179"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i w:val="1"/>
          <w:iCs w:val="1"/>
          <w:color w:val="auto"/>
        </w:rPr>
        <w:t xml:space="preserve">Grant Pickering </w:t>
      </w:r>
      <w:r>
        <w:rPr>
          <w:rFonts w:ascii="Arial" w:cs="Arial" w:eastAsia="Arial" w:hAnsi="Arial"/>
          <w:sz w:val="18"/>
          <w:szCs w:val="18"/>
          <w:color w:val="auto"/>
        </w:rPr>
        <w:t>has served on our board of directors since January 2022. Mr. Pickering co-founded and has served as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as a member of the board of directors at Vaxcyte, Inc., a publicly traded biotechnology company, since November 2013. Mr. Pickering also served as strategic advisor at Atreca, Inc., a publicly traded biotechnology company, from May 2013 to April 2015. Prior to joining Vaxcyte, Mr. Pickering was chief executive officer of Mymetics Corporation, a publicly traded biotechnology company. Prior to that, Mr. Pickering served as executive-in-residence at Kleiner Perkins, a venture capital firm, while serving as the chief executive officer and as a member of the board of directors at Juvaris BioTherapeutics, Inc., a biopharmaceutical company, since March 2008. Prior to that he served as senior vice president of operations of Dendreon Corporation, a publicly traded biotechnology company. Mr. Pickering earned an M.B.A. from Georgetown University in 1997 with high honors and a B.S. in marketing from Penn State University in 1989. We believe that Mr. Pickering’s experience in the healthcare, biopharmaceutical, and biotechnology industries qualifies him to serve on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0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 xml:space="preserve">Kelly A. Romano </w:t>
      </w:r>
      <w:r>
        <w:rPr>
          <w:rFonts w:ascii="Arial" w:cs="Arial" w:eastAsia="Arial" w:hAnsi="Arial"/>
          <w:sz w:val="18"/>
          <w:szCs w:val="18"/>
          <w:color w:val="auto"/>
        </w:rPr>
        <w:t>has served as chairwoman of our board of directors since August 2021 and as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since December 2020. </w:t>
      </w:r>
      <w:r>
        <w:rPr>
          <w:rFonts w:ascii="Arial" w:cs="Arial" w:eastAsia="Arial" w:hAnsi="Arial"/>
          <w:sz w:val="18"/>
          <w:szCs w:val="18"/>
          <w:color w:val="0A0A0A"/>
        </w:rPr>
        <w:t>Ms. Romano brings over 30 years of executive operating experience in technology, with a background in commercial</w:t>
      </w:r>
      <w:r>
        <w:rPr>
          <w:rFonts w:ascii="Arial" w:cs="Arial" w:eastAsia="Arial" w:hAnsi="Arial"/>
          <w:sz w:val="18"/>
          <w:szCs w:val="18"/>
          <w:color w:val="auto"/>
        </w:rPr>
        <w:t xml:space="preserve"> </w:t>
      </w:r>
      <w:r>
        <w:rPr>
          <w:rFonts w:ascii="Arial" w:cs="Arial" w:eastAsia="Arial" w:hAnsi="Arial"/>
          <w:sz w:val="18"/>
          <w:szCs w:val="18"/>
          <w:color w:val="0A0A0A"/>
        </w:rPr>
        <w:t xml:space="preserve">buildings and aerospace. Ms. Romano is the chief executive officer of BlueRipple Capital, LLC, a consultancy firm she founded in May 2018. In addition to her role at BlueRipple Capital, LLC, Ms. Romano is an operating partner at AE Industrial Partners, a private equity firm focused on aerospace and industrial investments, where she has served since August 2020. Ms. Romano has also served on the Executive Advisory Board at Gryphon Investors, a middle-market private equity firm, since December 2016. Previously, she spent 32 years working at United Technologies Corp. (UTC) and held a number of senior executive global positions, including </w:t>
      </w:r>
      <w:r>
        <w:rPr>
          <w:rFonts w:ascii="Arial" w:cs="Arial" w:eastAsia="Arial" w:hAnsi="Arial"/>
          <w:sz w:val="18"/>
          <w:szCs w:val="18"/>
          <w:color w:val="000000"/>
        </w:rPr>
        <w:t>president of Intelligent Building Technologies in</w:t>
      </w:r>
      <w:r>
        <w:rPr>
          <w:rFonts w:ascii="Arial" w:cs="Arial" w:eastAsia="Arial" w:hAnsi="Arial"/>
          <w:sz w:val="18"/>
          <w:szCs w:val="18"/>
          <w:color w:val="0A0A0A"/>
        </w:rPr>
        <w:t xml:space="preserve"> </w:t>
      </w:r>
      <w:r>
        <w:rPr>
          <w:rFonts w:ascii="Arial" w:cs="Arial" w:eastAsia="Arial" w:hAnsi="Arial"/>
          <w:sz w:val="18"/>
          <w:szCs w:val="18"/>
          <w:color w:val="000000"/>
        </w:rPr>
        <w:t>UTC Building &amp; Industrial Systems and president of Building Systems &amp; Services at Carrier Corporation. Ms. Romano is also a member of several boards of directors, including UGI Corporation and Dorman Products, Inc., and is co-chair of the board of directors at Potter Electric Signal. Ms. Romano holds a bachelor's degree in business administration from the State University of New York at Buffalo, an MBA degree from Syracuse University, and is a graduate of the Northwestern University Kellogg School of Management's Corporate Board Governance Executive Program, as well as senior executive programs at Darden School of Management, University of Virginia. We believe that Ms. Romano’s executive operating experience and aptitude for understanding growing companies qualifies her to serve on our board of directors.</w:t>
      </w:r>
    </w:p>
    <w:p>
      <w:pPr>
        <w:spacing w:after="0" w:line="180"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from January 2018 to August 2019. Prior to Nohla, Mr. Johnson served as the chief financial officer of NanoString Technologies, a publicly held provider of life science tools for translational research and molecular diagnostics, from October 2012 to December 2017.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 -stage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that Mr. Johnson’s depth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13</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8"/>
          <w:szCs w:val="18"/>
          <w:color w:val="auto"/>
        </w:rPr>
        <w:t>experience in the biopharmaceuticals industry, including as chief financial officer of a number of publicly traded biopharmaceutical companies, qualifies him to serve on our board of directors.</w:t>
      </w:r>
    </w:p>
    <w:p>
      <w:pPr>
        <w:spacing w:after="0" w:line="154"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i w:val="1"/>
          <w:iCs w:val="1"/>
          <w:color w:val="auto"/>
        </w:rPr>
        <w:t xml:space="preserve">Barbara Kosacz </w:t>
      </w:r>
      <w:r>
        <w:rPr>
          <w:rFonts w:ascii="Arial" w:cs="Arial" w:eastAsia="Arial" w:hAnsi="Arial"/>
          <w:sz w:val="18"/>
          <w:szCs w:val="18"/>
          <w:color w:val="auto"/>
        </w:rPr>
        <w:t>has served on our board of directors since March 2021. Ms. Kosacz has served as chief operating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at Kronos Bio, Inc., a clinical-stage biopharmaceutical company, since July 2020. Prior to joining Kronos Bio, Ms. Kosacz was a partner at Cooley LLP from January 1997 to December 2000, and again from February 2002 until July 2020, where she led the international life sciences practice. Ms. Kosacz has more than 25 years of experience in counseling clients in the life sciences arena, ranging from early stage startups to larger public companies, venture funds, investment banks, and non-profit institutions. She has served as a member of the BIO Emerging Companies’ Section Governing Board, is a member of the Board of Trustees of the Keck Graduate Institute, an advisory board member of Locust Walk Partners, and has been a speaker at multiple life sciences-related conferences, as well as guest lecturer at the University of California, Berkeley, Stanford University, Columbia University, and the University of Pennsylvania about biotechnology law, biotech business models, corporate partnering negotiations and deal structures, and bioethics. Recognized by Best Lawyers in America since 2008 and most recently as Biotechnology Lawyer of the Year in 2018, Ms. Kosacz was listed as a “leading lawyer” for healthcare and life sciences in the 2018 Legal 500, as a “Band 1” attorney in the 2018 edition of Chambers USA: America’s Leading Lawyers for Business and recognized as a “highly recommended transactions” lawyer by IAM Patent 1000 for her “nearly three decades advising diverse companies in the industry at a deeply strategic and commercial level and overseeing their most complex and profitable deals.” Ms. Kosacz is a member of the board of directors of XOMA Corp., a public biotechnology royalty aggregation company, and Phoenix Biotech Acquisition Corp., a blank check company formed for the purpose of acquiring or merging with one or more businesses. Ms. Kosacz received her B.A. from Stanford University and her J.D. from the University of California, Berkeley School of Law. We believe that Ms. Kosacz’s extensive experience as an advisor to life sciences companies qualifies her to serve on our board of directors</w:t>
      </w:r>
      <w:r>
        <w:rPr>
          <w:rFonts w:ascii="Arial" w:cs="Arial" w:eastAsia="Arial" w:hAnsi="Arial"/>
          <w:sz w:val="18"/>
          <w:szCs w:val="18"/>
          <w:color w:val="0A0A0A"/>
        </w:rPr>
        <w:t>.</w:t>
      </w:r>
    </w:p>
    <w:p>
      <w:pPr>
        <w:spacing w:after="0" w:line="184"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i w:val="1"/>
          <w:iCs w:val="1"/>
          <w:color w:val="auto"/>
        </w:rPr>
        <w:t>Michael Panzara, M.D., M.P.H.</w:t>
      </w:r>
      <w:r>
        <w:rPr>
          <w:rFonts w:ascii="Arial" w:cs="Arial" w:eastAsia="Arial" w:hAnsi="Arial"/>
          <w:sz w:val="18"/>
          <w:szCs w:val="18"/>
          <w:color w:val="auto"/>
        </w:rPr>
        <w:t>, has served on our board of directors since March 2022. Dr. Panzara has served as chief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head of therapeutics discovery and development at Wave Life Sciences Ltd., a publicly traded genetic medicines company, since May 2020, where he previously served as chief medical officer from November 2018 to May 2020 and as franchise lead of neurology from July 2016 to November 2018. Prior to joining Wave Life Sciences, Dr. Panzara served in various roles at Sanofi Genzyme, including most recently as head of multiple sclerosis, neurology and ophthalmology therapeutic area for global development. Dr. Panzara has held numerous other positions in the healthcare and biopharmaceutical industries, including vice president and chief medical officer in neurology at Biogen, and instructor in neurology at Harvard Medical School with clinical appointments at Brigham &amp; Women’s Hospital and Massachusetts General Hospital. Dr. Panzara earned an M.P.H from Harvard University in 2002, an M.D. from Stanford University in 1994, and a B.A. in biology from the University of Pennsylvania in 1989. We believe that Dr. Panzara’s extensive experience in the healthcare and biopharmaceutical industries qualifies him to serve on our board of directors.</w:t>
      </w:r>
    </w:p>
    <w:p>
      <w:pPr>
        <w:spacing w:after="0" w:line="180"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president and chief executive officer and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2021 and previously served as our chief operating officer since July 2019. Prior to joining us, Dr. Litton 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14</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44" w:lineRule="auto"/>
        <w:rPr>
          <w:sz w:val="20"/>
          <w:szCs w:val="20"/>
          <w:color w:val="auto"/>
        </w:rPr>
      </w:pPr>
      <w:r>
        <w:rPr>
          <w:rFonts w:ascii="Arial" w:cs="Arial" w:eastAsia="Arial" w:hAnsi="Arial"/>
          <w:sz w:val="18"/>
          <w:szCs w:val="18"/>
          <w:color w:val="auto"/>
        </w:rPr>
        <w:t>associate for DNAX Research Institute, a research facility of Schering-Plough (now Merck &amp; Co., a publicly traded pharmaceutical company). Dr. Litton earned a Ph.D. in immunology from Stockholm University in 1997, an M.B.A. from Santa Clara University in 1994 and a B.A. in biochemistry and molecular biology from the University of California Santa Cruz in 1990. We believe that Dr. Litton’s experience in the biopharmaceutical industry and the perspective and experience he brings as our chief executive officer qualifies him to serve on our board of directors</w:t>
      </w:r>
      <w:r>
        <w:rPr>
          <w:rFonts w:ascii="Arial" w:cs="Arial" w:eastAsia="Arial" w:hAnsi="Arial"/>
          <w:sz w:val="18"/>
          <w:szCs w:val="18"/>
          <w:color w:val="0A0A0A"/>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common stock is listed on the Nasdaq Global Select Market. Under the rules of the Nasdaq Global Select Market, independent directors must comprise a majority of a listed company’s board of directors within a specified period of the completion of this offering.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5"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7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Litton, none of our directors has a relationship that would interfere with the exercise of independent judgment in carrying out the responsibilities of a director and that each of these directors is “independent” as that term is defined under the rules of the Nasdaq Global Select Market. Our board of directors also determined that Mr. Johnson, Mr. Fluke and Ms. Romano, who comprise our audit committee; Ms. Kosacz, Mr. Edelman, Mr. Johnson and Mr. Pickering, who comprise our compensation committee; and Ms. Kosacz, Mr. Edelman and Mr. Fluke,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0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Ms. Romano serves as the chairwoman of the board of directors, and Dr. Litton serves as our president and chief executive officer. The roles of chief executive officer and chairperson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chairperson or appoints a chief executive officer, based on the relevant facts and circumstances applicable at such time. Our board has determined it is in the best interests of our stockholders to continue to maintain an independent chairperson to allow Dr. Litton to focus on his primary responsibility for the operational leadership and strategic direction of our company. Our corporate governance guidelines provide that if our board of directors does not have an independent chairperson, the board of directors will appoint a lead independent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15</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04"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color w:val="auto"/>
        </w:rPr>
        <w:t>Management is responsible for the day-to-day management of risks that the Company faces, and 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While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affected the board of directors’ leadership structure.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Stockholder Meetings</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During our fiscal year ended December 31, 2021, our board of directors held twelve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w:t>
      </w:r>
    </w:p>
    <w:p>
      <w:pPr>
        <w:spacing w:after="0" w:line="17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our annual meetings of stockholders, we encourage, but do not require, directors to attend. Each person who was a member of our board of directors as of such date attended our 2021 annual meeting.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Non-Employee Directors</w:t>
      </w:r>
    </w:p>
    <w:p>
      <w:pPr>
        <w:spacing w:after="0" w:line="10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In addition, if any of our non-employee directors are not independent directors, then our independent directors will also meet in executive session on a periodic basis. These executive sessions are chaired by Kelly Romano, our chairwoman of the board.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104"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Our board and nominating and corporate governance committee are committed to diversity of experience, gender, race and ethnicity, and seek to ensure that there is diversity of thought among our directors. The Company believes that diversity of thought stems from many factors including professional experience, life experience, socio-economic background, gender, race, ethnicity, religion, skill set, and geographic representation. The Company believes that the backgrounds and qualifications of the directors, considered as a group, should provide a significant composite mix of experience, knowledge, abilities, and stockholder and community representation that will allow the board to fulfill its responsibilities.</w:t>
      </w:r>
    </w:p>
    <w:p>
      <w:pPr>
        <w:spacing w:after="0" w:line="179"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August 2021, the SEC approved a Nasdaq Stock Market proposal to adopt new listing rules relating to board diversity and disclosure. As approved by the SEC, the new Nasdaq listing rules require all Nasdaq listed companies to disclose consistent, transparent diversity statistics regarding their boards of directors. The rules also require most Nasdaq listed companies to have, or explain why they do not have, at least two diverse directors, including one who self-identifies as female and one who self-identifies as either an under-represented minority or LGBTQ+. Smaller reporting companies satisfy this requirement where the second diverse director self-identifies as female, LGBTQ+, or an underrepresented minority. In this regard, Kelly Romano and Barbara Kosacz are each female. Accordingly, the Company would be in compliance with Nasdaq’s diversity requirement. The Board Diversity Matrix below presents the board’s diversity statistics in the format prescribed by the Nasdaq rules.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16</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Board Diversity Matrix (As of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4091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4091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4160" w:type="dxa"/>
            <w:vAlign w:val="bottom"/>
            <w:tcBorders>
              <w:top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Total Number of Directors</w:t>
            </w:r>
          </w:p>
        </w:tc>
        <w:tc>
          <w:tcPr>
            <w:tcW w:w="18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gridSpan w:val="2"/>
          </w:tcPr>
          <w:p>
            <w:pPr>
              <w:jc w:val="right"/>
              <w:ind w:right="1710"/>
              <w:spacing w:after="0" w:line="196" w:lineRule="exact"/>
              <w:rPr>
                <w:sz w:val="20"/>
                <w:szCs w:val="20"/>
                <w:color w:val="auto"/>
              </w:rPr>
            </w:pPr>
            <w:r>
              <w:rPr>
                <w:rFonts w:ascii="Arial" w:cs="Arial" w:eastAsia="Arial" w:hAnsi="Arial"/>
                <w:sz w:val="18"/>
                <w:szCs w:val="18"/>
                <w:color w:val="auto"/>
              </w:rPr>
              <w:t>8</w:t>
            </w:r>
          </w:p>
        </w:tc>
        <w:tc>
          <w:tcPr>
            <w:tcW w:w="16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r>
      <w:tr>
        <w:trPr>
          <w:trHeight w:val="177"/>
        </w:trPr>
        <w:tc>
          <w:tcPr>
            <w:tcW w:w="4160" w:type="dxa"/>
            <w:vAlign w:val="bottom"/>
            <w:tcBorders>
              <w:right w:val="single" w:sz="8" w:color="auto"/>
            </w:tcBorders>
            <w:shd w:val="clear" w:color="auto" w:fill="D9D9D9"/>
          </w:tcPr>
          <w:p>
            <w:pPr>
              <w:spacing w:after="0"/>
              <w:rPr>
                <w:sz w:val="15"/>
                <w:szCs w:val="15"/>
                <w:color w:val="auto"/>
              </w:rPr>
            </w:pPr>
          </w:p>
        </w:tc>
        <w:tc>
          <w:tcPr>
            <w:tcW w:w="1800" w:type="dxa"/>
            <w:vAlign w:val="bottom"/>
            <w:tcBorders>
              <w:right w:val="single" w:sz="8" w:color="auto"/>
            </w:tcBorders>
            <w:shd w:val="clear" w:color="auto" w:fill="D9D9D9"/>
          </w:tcPr>
          <w:p>
            <w:pPr>
              <w:jc w:val="center"/>
              <w:spacing w:after="0" w:line="177" w:lineRule="exact"/>
              <w:rPr>
                <w:sz w:val="20"/>
                <w:szCs w:val="20"/>
                <w:color w:val="auto"/>
              </w:rPr>
            </w:pPr>
            <w:r>
              <w:rPr>
                <w:rFonts w:ascii="Arial" w:cs="Arial" w:eastAsia="Arial" w:hAnsi="Arial"/>
                <w:sz w:val="18"/>
                <w:szCs w:val="18"/>
                <w:b w:val="1"/>
                <w:bCs w:val="1"/>
                <w:color w:val="auto"/>
                <w:w w:val="99"/>
              </w:rPr>
              <w:t>Female</w:t>
            </w:r>
          </w:p>
        </w:tc>
        <w:tc>
          <w:tcPr>
            <w:tcW w:w="1380" w:type="dxa"/>
            <w:vAlign w:val="bottom"/>
            <w:shd w:val="clear" w:color="auto" w:fill="D9D9D9"/>
          </w:tcPr>
          <w:p>
            <w:pPr>
              <w:jc w:val="center"/>
              <w:ind w:left="290"/>
              <w:spacing w:after="0" w:line="177" w:lineRule="exact"/>
              <w:rPr>
                <w:sz w:val="20"/>
                <w:szCs w:val="20"/>
                <w:color w:val="auto"/>
              </w:rPr>
            </w:pPr>
            <w:r>
              <w:rPr>
                <w:rFonts w:ascii="Arial" w:cs="Arial" w:eastAsia="Arial" w:hAnsi="Arial"/>
                <w:sz w:val="18"/>
                <w:szCs w:val="18"/>
                <w:b w:val="1"/>
                <w:bCs w:val="1"/>
                <w:color w:val="auto"/>
                <w:w w:val="99"/>
              </w:rPr>
              <w:t>Male</w:t>
            </w:r>
          </w:p>
        </w:tc>
        <w:tc>
          <w:tcPr>
            <w:tcW w:w="400" w:type="dxa"/>
            <w:vAlign w:val="bottom"/>
            <w:tcBorders>
              <w:right w:val="single" w:sz="8" w:color="auto"/>
            </w:tcBorders>
            <w:shd w:val="clear" w:color="auto" w:fill="D9D9D9"/>
          </w:tcPr>
          <w:p>
            <w:pPr>
              <w:spacing w:after="0"/>
              <w:rPr>
                <w:sz w:val="15"/>
                <w:szCs w:val="15"/>
                <w:color w:val="auto"/>
              </w:rPr>
            </w:pPr>
          </w:p>
        </w:tc>
        <w:tc>
          <w:tcPr>
            <w:tcW w:w="1800" w:type="dxa"/>
            <w:vAlign w:val="bottom"/>
            <w:tcBorders>
              <w:right w:val="single" w:sz="8" w:color="auto"/>
            </w:tcBorders>
            <w:shd w:val="clear" w:color="auto" w:fill="D9D9D9"/>
          </w:tcPr>
          <w:p>
            <w:pPr>
              <w:ind w:left="400"/>
              <w:spacing w:after="0" w:line="177" w:lineRule="exact"/>
              <w:rPr>
                <w:sz w:val="20"/>
                <w:szCs w:val="20"/>
                <w:color w:val="auto"/>
              </w:rPr>
            </w:pPr>
            <w:r>
              <w:rPr>
                <w:rFonts w:ascii="Arial" w:cs="Arial" w:eastAsia="Arial" w:hAnsi="Arial"/>
                <w:sz w:val="18"/>
                <w:szCs w:val="18"/>
                <w:b w:val="1"/>
                <w:bCs w:val="1"/>
                <w:color w:val="auto"/>
              </w:rPr>
              <w:t>Non-Binary</w:t>
            </w:r>
          </w:p>
        </w:tc>
        <w:tc>
          <w:tcPr>
            <w:tcW w:w="1680" w:type="dxa"/>
            <w:vAlign w:val="bottom"/>
            <w:shd w:val="clear" w:color="auto" w:fill="D9D9D9"/>
          </w:tcPr>
          <w:p>
            <w:pPr>
              <w:jc w:val="center"/>
              <w:spacing w:after="0" w:line="177" w:lineRule="exact"/>
              <w:rPr>
                <w:sz w:val="20"/>
                <w:szCs w:val="20"/>
                <w:color w:val="auto"/>
              </w:rPr>
            </w:pPr>
            <w:r>
              <w:rPr>
                <w:rFonts w:ascii="Arial" w:cs="Arial" w:eastAsia="Arial" w:hAnsi="Arial"/>
                <w:sz w:val="18"/>
                <w:szCs w:val="18"/>
                <w:b w:val="1"/>
                <w:bCs w:val="1"/>
                <w:color w:val="auto"/>
                <w:w w:val="99"/>
              </w:rPr>
              <w:t>Did Not</w:t>
            </w:r>
          </w:p>
        </w:tc>
        <w:tc>
          <w:tcPr>
            <w:tcW w:w="20" w:type="dxa"/>
            <w:vAlign w:val="bottom"/>
          </w:tcPr>
          <w:p>
            <w:pPr>
              <w:spacing w:after="0"/>
              <w:rPr>
                <w:sz w:val="15"/>
                <w:szCs w:val="15"/>
                <w:color w:val="auto"/>
              </w:rPr>
            </w:pPr>
          </w:p>
        </w:tc>
      </w:tr>
      <w:tr>
        <w:trPr>
          <w:trHeight w:val="203"/>
        </w:trPr>
        <w:tc>
          <w:tcPr>
            <w:tcW w:w="4160" w:type="dxa"/>
            <w:vAlign w:val="bottom"/>
            <w:tcBorders>
              <w:right w:val="single" w:sz="8" w:color="auto"/>
            </w:tcBorders>
            <w:shd w:val="clear" w:color="auto" w:fill="D9D9D9"/>
          </w:tcPr>
          <w:p>
            <w:pPr>
              <w:spacing w:after="0"/>
              <w:rPr>
                <w:sz w:val="17"/>
                <w:szCs w:val="17"/>
                <w:color w:val="auto"/>
              </w:rPr>
            </w:pPr>
          </w:p>
        </w:tc>
        <w:tc>
          <w:tcPr>
            <w:tcW w:w="1800" w:type="dxa"/>
            <w:vAlign w:val="bottom"/>
            <w:tcBorders>
              <w:right w:val="single" w:sz="8" w:color="auto"/>
            </w:tcBorders>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400" w:type="dxa"/>
            <w:vAlign w:val="bottom"/>
            <w:tcBorders>
              <w:right w:val="single" w:sz="8" w:color="auto"/>
            </w:tcBorders>
            <w:shd w:val="clear" w:color="auto" w:fill="D9D9D9"/>
          </w:tcPr>
          <w:p>
            <w:pPr>
              <w:spacing w:after="0"/>
              <w:rPr>
                <w:sz w:val="17"/>
                <w:szCs w:val="17"/>
                <w:color w:val="auto"/>
              </w:rPr>
            </w:pPr>
          </w:p>
        </w:tc>
        <w:tc>
          <w:tcPr>
            <w:tcW w:w="1800" w:type="dxa"/>
            <w:vAlign w:val="bottom"/>
            <w:tcBorders>
              <w:right w:val="single" w:sz="8" w:color="auto"/>
            </w:tcBorders>
            <w:shd w:val="clear" w:color="auto" w:fill="D9D9D9"/>
          </w:tcPr>
          <w:p>
            <w:pPr>
              <w:spacing w:after="0"/>
              <w:rPr>
                <w:sz w:val="17"/>
                <w:szCs w:val="17"/>
                <w:color w:val="auto"/>
              </w:rPr>
            </w:pPr>
          </w:p>
        </w:tc>
        <w:tc>
          <w:tcPr>
            <w:tcW w:w="168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99"/>
              </w:rPr>
              <w:t>Disclose</w:t>
            </w:r>
          </w:p>
        </w:tc>
        <w:tc>
          <w:tcPr>
            <w:tcW w:w="20" w:type="dxa"/>
            <w:vAlign w:val="bottom"/>
          </w:tcPr>
          <w:p>
            <w:pPr>
              <w:spacing w:after="0"/>
              <w:rPr>
                <w:sz w:val="17"/>
                <w:szCs w:val="17"/>
                <w:color w:val="auto"/>
              </w:rPr>
            </w:pPr>
          </w:p>
        </w:tc>
      </w:tr>
      <w:tr>
        <w:trPr>
          <w:trHeight w:val="221"/>
        </w:trPr>
        <w:tc>
          <w:tcPr>
            <w:tcW w:w="4160" w:type="dxa"/>
            <w:vAlign w:val="bottom"/>
            <w:tcBorders>
              <w:bottom w:val="single" w:sz="8" w:color="auto"/>
              <w:right w:val="single" w:sz="8" w:color="auto"/>
            </w:tcBorders>
            <w:shd w:val="clear" w:color="auto" w:fill="D9D9D9"/>
          </w:tcPr>
          <w:p>
            <w:pPr>
              <w:spacing w:after="0"/>
              <w:rPr>
                <w:sz w:val="19"/>
                <w:szCs w:val="19"/>
                <w:color w:val="auto"/>
              </w:rPr>
            </w:pPr>
          </w:p>
        </w:tc>
        <w:tc>
          <w:tcPr>
            <w:tcW w:w="1800" w:type="dxa"/>
            <w:vAlign w:val="bottom"/>
            <w:tcBorders>
              <w:bottom w:val="single" w:sz="8" w:color="auto"/>
              <w:right w:val="single" w:sz="8" w:color="auto"/>
            </w:tcBorders>
            <w:shd w:val="clear" w:color="auto" w:fill="D9D9D9"/>
          </w:tcPr>
          <w:p>
            <w:pPr>
              <w:spacing w:after="0"/>
              <w:rPr>
                <w:sz w:val="19"/>
                <w:szCs w:val="19"/>
                <w:color w:val="auto"/>
              </w:rPr>
            </w:pPr>
          </w:p>
        </w:tc>
        <w:tc>
          <w:tcPr>
            <w:tcW w:w="1380" w:type="dxa"/>
            <w:vAlign w:val="bottom"/>
            <w:tcBorders>
              <w:bottom w:val="single" w:sz="8" w:color="auto"/>
            </w:tcBorders>
            <w:shd w:val="clear" w:color="auto" w:fill="D9D9D9"/>
          </w:tcPr>
          <w:p>
            <w:pPr>
              <w:spacing w:after="0"/>
              <w:rPr>
                <w:sz w:val="19"/>
                <w:szCs w:val="19"/>
                <w:color w:val="auto"/>
              </w:rPr>
            </w:pPr>
          </w:p>
        </w:tc>
        <w:tc>
          <w:tcPr>
            <w:tcW w:w="400" w:type="dxa"/>
            <w:vAlign w:val="bottom"/>
            <w:tcBorders>
              <w:bottom w:val="single" w:sz="8" w:color="auto"/>
              <w:right w:val="single" w:sz="8" w:color="auto"/>
            </w:tcBorders>
            <w:shd w:val="clear" w:color="auto" w:fill="D9D9D9"/>
          </w:tcPr>
          <w:p>
            <w:pPr>
              <w:spacing w:after="0"/>
              <w:rPr>
                <w:sz w:val="19"/>
                <w:szCs w:val="19"/>
                <w:color w:val="auto"/>
              </w:rPr>
            </w:pPr>
          </w:p>
        </w:tc>
        <w:tc>
          <w:tcPr>
            <w:tcW w:w="1800" w:type="dxa"/>
            <w:vAlign w:val="bottom"/>
            <w:tcBorders>
              <w:bottom w:val="single" w:sz="8" w:color="auto"/>
              <w:right w:val="single" w:sz="8" w:color="auto"/>
            </w:tcBorders>
            <w:shd w:val="clear" w:color="auto" w:fill="D9D9D9"/>
          </w:tcPr>
          <w:p>
            <w:pPr>
              <w:spacing w:after="0"/>
              <w:rPr>
                <w:sz w:val="19"/>
                <w:szCs w:val="19"/>
                <w:color w:val="auto"/>
              </w:rPr>
            </w:pPr>
          </w:p>
        </w:tc>
        <w:tc>
          <w:tcPr>
            <w:tcW w:w="16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Gender</w:t>
            </w:r>
          </w:p>
        </w:tc>
        <w:tc>
          <w:tcPr>
            <w:tcW w:w="20" w:type="dxa"/>
            <w:vAlign w:val="bottom"/>
            <w:tcBorders>
              <w:bottom w:val="single" w:sz="8" w:color="auto"/>
            </w:tcBorders>
          </w:tcPr>
          <w:p>
            <w:pPr>
              <w:spacing w:after="0"/>
              <w:rPr>
                <w:sz w:val="19"/>
                <w:szCs w:val="19"/>
                <w:color w:val="auto"/>
              </w:rPr>
            </w:pPr>
          </w:p>
        </w:tc>
      </w:tr>
      <w:tr>
        <w:trPr>
          <w:trHeight w:val="196"/>
        </w:trPr>
        <w:tc>
          <w:tcPr>
            <w:tcW w:w="4160" w:type="dxa"/>
            <w:vAlign w:val="bottom"/>
            <w:tcBorders>
              <w:bottom w:val="single" w:sz="8" w:color="auto"/>
              <w:right w:val="single" w:sz="8" w:color="D9D9D9"/>
            </w:tcBorders>
            <w:shd w:val="clear" w:color="auto" w:fill="D9D9D9"/>
          </w:tcPr>
          <w:p>
            <w:pPr>
              <w:ind w:left="20"/>
              <w:spacing w:after="0" w:line="196" w:lineRule="exact"/>
              <w:rPr>
                <w:sz w:val="20"/>
                <w:szCs w:val="20"/>
                <w:color w:val="auto"/>
              </w:rPr>
            </w:pPr>
            <w:r>
              <w:rPr>
                <w:rFonts w:ascii="Arial" w:cs="Arial" w:eastAsia="Arial" w:hAnsi="Arial"/>
                <w:sz w:val="18"/>
                <w:szCs w:val="18"/>
                <w:b w:val="1"/>
                <w:bCs w:val="1"/>
                <w:color w:val="auto"/>
              </w:rPr>
              <w:t>Part I: Gender Identity</w:t>
            </w:r>
          </w:p>
        </w:tc>
        <w:tc>
          <w:tcPr>
            <w:tcW w:w="1800" w:type="dxa"/>
            <w:vAlign w:val="bottom"/>
            <w:tcBorders>
              <w:bottom w:val="single" w:sz="8" w:color="auto"/>
              <w:right w:val="single" w:sz="8" w:color="D9D9D9"/>
            </w:tcBorders>
            <w:shd w:val="clear" w:color="auto" w:fill="D9D9D9"/>
          </w:tcPr>
          <w:p>
            <w:pPr>
              <w:spacing w:after="0"/>
              <w:rPr>
                <w:sz w:val="17"/>
                <w:szCs w:val="17"/>
                <w:color w:val="auto"/>
              </w:rPr>
            </w:pPr>
          </w:p>
        </w:tc>
        <w:tc>
          <w:tcPr>
            <w:tcW w:w="1380" w:type="dxa"/>
            <w:vAlign w:val="bottom"/>
            <w:tcBorders>
              <w:bottom w:val="single" w:sz="8" w:color="auto"/>
            </w:tcBorders>
            <w:shd w:val="clear" w:color="auto" w:fill="D9D9D9"/>
          </w:tcPr>
          <w:p>
            <w:pPr>
              <w:spacing w:after="0"/>
              <w:rPr>
                <w:sz w:val="17"/>
                <w:szCs w:val="17"/>
                <w:color w:val="auto"/>
              </w:rPr>
            </w:pPr>
          </w:p>
        </w:tc>
        <w:tc>
          <w:tcPr>
            <w:tcW w:w="400" w:type="dxa"/>
            <w:vAlign w:val="bottom"/>
            <w:tcBorders>
              <w:bottom w:val="single" w:sz="8" w:color="auto"/>
              <w:right w:val="single" w:sz="8" w:color="D9D9D9"/>
            </w:tcBorders>
            <w:shd w:val="clear" w:color="auto" w:fill="D9D9D9"/>
          </w:tcPr>
          <w:p>
            <w:pPr>
              <w:spacing w:after="0"/>
              <w:rPr>
                <w:sz w:val="17"/>
                <w:szCs w:val="17"/>
                <w:color w:val="auto"/>
              </w:rPr>
            </w:pPr>
          </w:p>
        </w:tc>
        <w:tc>
          <w:tcPr>
            <w:tcW w:w="1800" w:type="dxa"/>
            <w:vAlign w:val="bottom"/>
            <w:tcBorders>
              <w:bottom w:val="single" w:sz="8" w:color="auto"/>
              <w:right w:val="single" w:sz="8" w:color="D9D9D9"/>
            </w:tcBorders>
            <w:shd w:val="clear" w:color="auto" w:fill="D9D9D9"/>
          </w:tcPr>
          <w:p>
            <w:pPr>
              <w:spacing w:after="0"/>
              <w:rPr>
                <w:sz w:val="17"/>
                <w:szCs w:val="17"/>
                <w:color w:val="auto"/>
              </w:rPr>
            </w:pPr>
          </w:p>
        </w:tc>
        <w:tc>
          <w:tcPr>
            <w:tcW w:w="1680" w:type="dxa"/>
            <w:vAlign w:val="bottom"/>
            <w:tcBorders>
              <w:bottom w:val="single" w:sz="8" w:color="auto"/>
            </w:tcBorders>
            <w:shd w:val="clear" w:color="auto" w:fill="D9D9D9"/>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Directors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5</w:t>
            </w: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Borders>
              <w:bottom w:val="single" w:sz="8" w:color="auto"/>
            </w:tcBorders>
          </w:tcPr>
          <w:p>
            <w:pPr>
              <w:spacing w:after="0"/>
              <w:rPr>
                <w:sz w:val="18"/>
                <w:szCs w:val="18"/>
                <w:color w:val="auto"/>
              </w:rPr>
            </w:pPr>
          </w:p>
        </w:tc>
      </w:tr>
      <w:tr>
        <w:trPr>
          <w:trHeight w:val="196"/>
        </w:trPr>
        <w:tc>
          <w:tcPr>
            <w:tcW w:w="4160" w:type="dxa"/>
            <w:vAlign w:val="bottom"/>
            <w:tcBorders>
              <w:bottom w:val="single" w:sz="8" w:color="auto"/>
              <w:right w:val="single" w:sz="8" w:color="D9D9D9"/>
            </w:tcBorders>
            <w:shd w:val="clear" w:color="auto" w:fill="D9D9D9"/>
          </w:tcPr>
          <w:p>
            <w:pPr>
              <w:ind w:left="20"/>
              <w:spacing w:after="0" w:line="196" w:lineRule="exact"/>
              <w:rPr>
                <w:sz w:val="20"/>
                <w:szCs w:val="20"/>
                <w:color w:val="auto"/>
              </w:rPr>
            </w:pPr>
            <w:r>
              <w:rPr>
                <w:rFonts w:ascii="Arial" w:cs="Arial" w:eastAsia="Arial" w:hAnsi="Arial"/>
                <w:sz w:val="18"/>
                <w:szCs w:val="18"/>
                <w:b w:val="1"/>
                <w:bCs w:val="1"/>
                <w:color w:val="auto"/>
              </w:rPr>
              <w:t>Part II: Demographic Background</w:t>
            </w:r>
          </w:p>
        </w:tc>
        <w:tc>
          <w:tcPr>
            <w:tcW w:w="1800" w:type="dxa"/>
            <w:vAlign w:val="bottom"/>
            <w:tcBorders>
              <w:bottom w:val="single" w:sz="8" w:color="auto"/>
              <w:right w:val="single" w:sz="8" w:color="D9D9D9"/>
            </w:tcBorders>
            <w:shd w:val="clear" w:color="auto" w:fill="D9D9D9"/>
          </w:tcPr>
          <w:p>
            <w:pPr>
              <w:spacing w:after="0"/>
              <w:rPr>
                <w:sz w:val="17"/>
                <w:szCs w:val="17"/>
                <w:color w:val="auto"/>
              </w:rPr>
            </w:pPr>
          </w:p>
        </w:tc>
        <w:tc>
          <w:tcPr>
            <w:tcW w:w="1380" w:type="dxa"/>
            <w:vAlign w:val="bottom"/>
            <w:tcBorders>
              <w:bottom w:val="single" w:sz="8" w:color="auto"/>
            </w:tcBorders>
            <w:shd w:val="clear" w:color="auto" w:fill="D9D9D9"/>
          </w:tcPr>
          <w:p>
            <w:pPr>
              <w:spacing w:after="0"/>
              <w:rPr>
                <w:sz w:val="17"/>
                <w:szCs w:val="17"/>
                <w:color w:val="auto"/>
              </w:rPr>
            </w:pPr>
          </w:p>
        </w:tc>
        <w:tc>
          <w:tcPr>
            <w:tcW w:w="400" w:type="dxa"/>
            <w:vAlign w:val="bottom"/>
            <w:tcBorders>
              <w:bottom w:val="single" w:sz="8" w:color="auto"/>
              <w:right w:val="single" w:sz="8" w:color="D9D9D9"/>
            </w:tcBorders>
            <w:shd w:val="clear" w:color="auto" w:fill="D9D9D9"/>
          </w:tcPr>
          <w:p>
            <w:pPr>
              <w:spacing w:after="0"/>
              <w:rPr>
                <w:sz w:val="17"/>
                <w:szCs w:val="17"/>
                <w:color w:val="auto"/>
              </w:rPr>
            </w:pPr>
          </w:p>
        </w:tc>
        <w:tc>
          <w:tcPr>
            <w:tcW w:w="1800" w:type="dxa"/>
            <w:vAlign w:val="bottom"/>
            <w:tcBorders>
              <w:bottom w:val="single" w:sz="8" w:color="auto"/>
              <w:right w:val="single" w:sz="8" w:color="D9D9D9"/>
            </w:tcBorders>
            <w:shd w:val="clear" w:color="auto" w:fill="D9D9D9"/>
          </w:tcPr>
          <w:p>
            <w:pPr>
              <w:spacing w:after="0"/>
              <w:rPr>
                <w:sz w:val="17"/>
                <w:szCs w:val="17"/>
                <w:color w:val="auto"/>
              </w:rPr>
            </w:pPr>
          </w:p>
        </w:tc>
        <w:tc>
          <w:tcPr>
            <w:tcW w:w="1680" w:type="dxa"/>
            <w:vAlign w:val="bottom"/>
            <w:tcBorders>
              <w:bottom w:val="single" w:sz="8" w:color="auto"/>
            </w:tcBorders>
            <w:shd w:val="clear" w:color="auto" w:fill="D9D9D9"/>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10"/>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African American or Black</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Alaskan Native or Native American</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Asian</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Hispanic or Latinx</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Native Hawaiian or Pacific Islander</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White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5</w:t>
            </w: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Two or More Races or Ethnicities</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LGBTQ+</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Did Not Disclose Demographic Background</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Borders>
              <w:bottom w:val="single" w:sz="8" w:color="auto"/>
            </w:tcBorders>
          </w:tcPr>
          <w:p>
            <w:pPr>
              <w:spacing w:after="0"/>
              <w:rPr>
                <w:sz w:val="18"/>
                <w:szCs w:val="1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As of the date of this proxy statement, our board of directors has three separately designated standing committees: an audit committee, a compensation committee and a nominating and corporate governance committee. On June 16, 2021, our board of directors also established a special committee to investigate and evaluate allegations of impropriety in connection with certain of Dr. Leen Kawas’s research papers while a Ph.D. student at Washington State University.</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committee has the composition and the responsibilities described below.</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2"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color w:val="auto"/>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which is available on our website at https://investors.athira.com/corporate-governance/governance-overview. Our board of directors has determined that each of Messrs. Johnson and Fluke and Ms. Romano is independent for audit committee purposes, as that term is defined in the rules of the SEC and the applicable Nasdaq rules, and have sufficient knowledge in financial and auditing matters to serve on the audit committee. During our fiscal year ended December 31, 2021, our audit committee held six meetings (including regularly scheduled and special meetings).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w:t>
      </w:r>
    </w:p>
    <w:p>
      <w:pPr>
        <w:spacing w:after="0" w:line="104" w:lineRule="exact"/>
        <w:rPr>
          <w:sz w:val="20"/>
          <w:szCs w:val="20"/>
          <w:color w:val="auto"/>
        </w:rPr>
      </w:pPr>
    </w:p>
    <w:p>
      <w:pPr>
        <w:ind w:left="1160" w:hanging="572"/>
        <w:spacing w:after="0" w:line="270" w:lineRule="auto"/>
        <w:tabs>
          <w:tab w:leader="none" w:pos="11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selects, retains, compensates, evaluates, oversees and, where appropriate, terminates our independent registered public accounting firm;</w:t>
      </w:r>
    </w:p>
    <w:p>
      <w:pPr>
        <w:spacing w:after="0" w:line="46" w:lineRule="exact"/>
        <w:rPr>
          <w:rFonts w:ascii="Times New Roman" w:cs="Times New Roman" w:eastAsia="Times New Roman" w:hAnsi="Times New Roman"/>
          <w:sz w:val="18"/>
          <w:szCs w:val="18"/>
          <w:color w:val="auto"/>
        </w:rPr>
      </w:pPr>
    </w:p>
    <w:p>
      <w:pPr>
        <w:ind w:left="1160" w:right="20" w:hanging="572"/>
        <w:spacing w:after="0" w:line="270" w:lineRule="auto"/>
        <w:tabs>
          <w:tab w:leader="none" w:pos="11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scope and plans for the audits and the audit fees and approves all non-audit and tax services to be performed by the independent audit;</w:t>
      </w:r>
    </w:p>
    <w:p>
      <w:pPr>
        <w:spacing w:after="0" w:line="145" w:lineRule="exact"/>
        <w:rPr>
          <w:rFonts w:ascii="Times New Roman" w:cs="Times New Roman" w:eastAsia="Times New Roman" w:hAnsi="Times New Roman"/>
          <w:sz w:val="18"/>
          <w:szCs w:val="18"/>
          <w:color w:val="auto"/>
        </w:rPr>
      </w:pPr>
    </w:p>
    <w:p>
      <w:pPr>
        <w:ind w:left="5520" w:hanging="122"/>
        <w:spacing w:after="0"/>
        <w:tabs>
          <w:tab w:leader="none" w:pos="5520" w:val="left"/>
        </w:tabs>
        <w:numPr>
          <w:ilvl w:val="1"/>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17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26" w:name="page27"/>
    <w:bookmarkEnd w:id="26"/>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evaluates the independence and qualification of the independent registered public accounting firm;</w:t>
      </w:r>
    </w:p>
    <w:p>
      <w:pPr>
        <w:spacing w:after="0" w:line="142"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reviews internal controls and integrity of financial statements;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reviews financial information presentation, earnings press releases and guidance;</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oversees the design, implementation and performance of our internal audit function, if any;</w:t>
      </w:r>
    </w:p>
    <w:p>
      <w:pPr>
        <w:spacing w:after="0" w:line="143" w:lineRule="exact"/>
        <w:rPr>
          <w:rFonts w:ascii="Times New Roman" w:cs="Times New Roman" w:eastAsia="Times New Roman" w:hAnsi="Times New Roman"/>
          <w:sz w:val="18"/>
          <w:szCs w:val="18"/>
          <w:color w:val="auto"/>
        </w:rPr>
      </w:pPr>
    </w:p>
    <w:p>
      <w:pPr>
        <w:ind w:left="1160" w:right="20" w:hanging="572"/>
        <w:spacing w:after="0" w:line="270" w:lineRule="auto"/>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sets hiring policies with regard to the hiring of employees and former employees of our independent auditor and oversees compliance with such policies;</w:t>
      </w:r>
    </w:p>
    <w:p>
      <w:pPr>
        <w:spacing w:after="0" w:line="46"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monitors compliance with our Investment Policy and approves any amendments or deviations;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reviews, approves and monitors related party transactions;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develops, approves, reviews and monitors compliance with our Code of Business Conduct and Ethics;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adopts and oversees procedures to address complaints regarding accounting, internal accounting controls or auditing matters;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discusses with our management and the independent auditor our compliance with various laws;</w:t>
      </w:r>
    </w:p>
    <w:p>
      <w:pPr>
        <w:spacing w:after="0" w:line="143" w:lineRule="exact"/>
        <w:rPr>
          <w:rFonts w:ascii="Times New Roman" w:cs="Times New Roman" w:eastAsia="Times New Roman" w:hAnsi="Times New Roman"/>
          <w:sz w:val="18"/>
          <w:szCs w:val="18"/>
          <w:color w:val="auto"/>
        </w:rPr>
      </w:pPr>
    </w:p>
    <w:p>
      <w:pPr>
        <w:ind w:left="1160" w:right="20" w:hanging="572"/>
        <w:spacing w:after="0" w:line="270" w:lineRule="auto"/>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discusses with management our independent auditor guidelines and policies to identify, monitor, and address enterprise risks;</w:t>
      </w:r>
    </w:p>
    <w:p>
      <w:pPr>
        <w:spacing w:after="0" w:line="46"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engages independent legal, accounting and other advisors;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provides appropriate funding for compensation to independent registered accounting firm, advisors and related expenses; and</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adequacy of the audit committee charter and recommend any proposed changes to our board of directors.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2"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The members of our compensation committee are Ms. Kosacz, Mr. Edelman, Mr. Johnson and Mr. Pickering. Ms. Kosacz is the chairwoman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the Nasdaq Global Select Market. A copy of the charter of our compensation committee is available on our website at https://investors.athira.com/corporate-governance/governance-overview. During our fiscal year ended December 31, 2021, our compensation committee held four meetings (including regularly scheduled and special meetings).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compensation committee:</w:t>
      </w:r>
    </w:p>
    <w:p>
      <w:pPr>
        <w:spacing w:after="0" w:line="104" w:lineRule="exact"/>
        <w:rPr>
          <w:sz w:val="20"/>
          <w:szCs w:val="20"/>
          <w:color w:val="auto"/>
        </w:rPr>
      </w:pPr>
    </w:p>
    <w:p>
      <w:pPr>
        <w:ind w:left="1160" w:hanging="572"/>
        <w:spacing w:after="0"/>
        <w:tabs>
          <w:tab w:leader="none" w:pos="11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corporate goals and objectives applicable to the compensation of our chief executive officer;</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compensation and benefits for our executive officers;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reviews, approves, and administers employee compensation plans;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advises on proposals to stockholders on executive compensation matters;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oversees compensation plans and programs;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discusses our compensation policies and practices and the risks related thereto;</w:t>
      </w:r>
    </w:p>
    <w:p>
      <w:pPr>
        <w:spacing w:after="0" w:line="242" w:lineRule="exact"/>
        <w:rPr>
          <w:rFonts w:ascii="Times New Roman" w:cs="Times New Roman" w:eastAsia="Times New Roman" w:hAnsi="Times New Roman"/>
          <w:sz w:val="18"/>
          <w:szCs w:val="18"/>
          <w:color w:val="auto"/>
        </w:rPr>
      </w:pPr>
    </w:p>
    <w:p>
      <w:pPr>
        <w:ind w:left="5520" w:hanging="122"/>
        <w:spacing w:after="0"/>
        <w:tabs>
          <w:tab w:leader="none" w:pos="5520" w:val="left"/>
        </w:tabs>
        <w:numPr>
          <w:ilvl w:val="1"/>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18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1160" w:hanging="572"/>
        <w:spacing w:after="0"/>
        <w:tabs>
          <w:tab w:leader="none" w:pos="11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approves the creation or revision of any clawback policy allowing us to recoup compensation paid to employees;</w:t>
      </w:r>
    </w:p>
    <w:p>
      <w:pPr>
        <w:spacing w:after="0" w:line="143" w:lineRule="exact"/>
        <w:rPr>
          <w:rFonts w:ascii="Times New Roman" w:cs="Times New Roman" w:eastAsia="Times New Roman" w:hAnsi="Times New Roman"/>
          <w:sz w:val="18"/>
          <w:szCs w:val="18"/>
          <w:color w:val="auto"/>
        </w:rPr>
      </w:pPr>
    </w:p>
    <w:p>
      <w:pPr>
        <w:ind w:left="1160" w:right="20" w:hanging="572"/>
        <w:spacing w:after="0" w:line="270" w:lineRule="auto"/>
        <w:tabs>
          <w:tab w:leader="none" w:pos="11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form and amount of compensation to be paid for service on the board of directors and committees and for service as a chairperson of a committee;</w:t>
      </w:r>
    </w:p>
    <w:p>
      <w:pPr>
        <w:spacing w:after="0" w:line="46"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oversees regulatory compliance with respect to compensation matters;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retains or obtains the advice of compensation consultants; and</w:t>
      </w:r>
    </w:p>
    <w:p>
      <w:pPr>
        <w:spacing w:after="0" w:line="143"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adequacy of the compensation committee charter and recommends any proposed changes to our board of directors.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members of our nominating and corporate governance committee are Ms. Kosacz, Mr. Edelman, and Mr. Fluke. Ms. Kosacz is the chairwoman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Select Market. A copy of the charter of our nominating and corporate governance committee is available on our website at https://investors.athira.com/corporate-governance/governance-overview. During our fiscal year ended December 31, 2021, our nominating and corporate governance committee held three meetings (including regularly scheduled and special meetings).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nominating and corporate governance committee:</w:t>
      </w:r>
    </w:p>
    <w:p>
      <w:pPr>
        <w:spacing w:after="0" w:line="104" w:lineRule="exact"/>
        <w:rPr>
          <w:sz w:val="20"/>
          <w:szCs w:val="20"/>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establishes procedures for the submission of candidates for election to our board of directors;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conducts a periodic review of our succession planning process for the executive management team;</w:t>
      </w:r>
    </w:p>
    <w:p>
      <w:pPr>
        <w:spacing w:after="0" w:line="143"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structure and composition of each committee of our board of directors and makes recommendations for changes to the committees;</w:t>
      </w:r>
    </w:p>
    <w:p>
      <w:pPr>
        <w:spacing w:after="0" w:line="46"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develops and recommends to the board of directors corporate governance guidelines and annually reviews the corporate governance guidelines and their application;</w:t>
      </w:r>
    </w:p>
    <w:p>
      <w:pPr>
        <w:spacing w:after="0" w:line="46"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oversees governance practices;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oversees our director orientation and continuing education;</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oversees the evaluation of our board of directors and its committees;</w:t>
      </w:r>
    </w:p>
    <w:p>
      <w:pPr>
        <w:spacing w:after="0" w:line="143" w:lineRule="exact"/>
        <w:rPr>
          <w:rFonts w:ascii="Times New Roman" w:cs="Times New Roman" w:eastAsia="Times New Roman" w:hAnsi="Times New Roman"/>
          <w:sz w:val="18"/>
          <w:szCs w:val="18"/>
          <w:color w:val="auto"/>
        </w:rPr>
      </w:pPr>
    </w:p>
    <w:p>
      <w:pPr>
        <w:ind w:left="1160" w:right="20" w:hanging="572"/>
        <w:spacing w:after="0" w:line="270" w:lineRule="auto"/>
        <w:tabs>
          <w:tab w:leader="none" w:pos="11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administers policies and procedures for various constituencies that are involved with us to communicate with the non-management members of our board of directors; and</w:t>
      </w:r>
    </w:p>
    <w:p>
      <w:pPr>
        <w:spacing w:after="0" w:line="46"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adequacy of the nominating and corporate governance committee charter and recommends any proposed changes to our board of directors.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102"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The members of our special committee are Mmes. Romano and Kosacz and Mr. Johnson. Ms. Romano is the chairwoman of our special committee. Each is a non-employee member and is independent as that term is defined in the rules of the SEC and the applicable Nasdaq rules. Our board of directors established the special committee on June 16, 2021 to investigate and evaluate allegations of impropriety in connection with certain of Dr. Leen Kawas’s research papers while a Ph.D student at Washington State University. The special committee completed its internal investigations on October 21, 2021, and held 13 meetings during the fiscal year ended December 31, 2021.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19</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0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of directors has not established minimum qualifications for board members, some of the factors that our nominating and corporate governance committee considers in assessing director nominee qualifications include, without limitation, issues of character, professional ethics and integrity, judgment, business acumen, proven achievement and competence in one’s field, the ability to exercise sound business judgment, tenure on the board of directors and skills that are complementary to the board of directors, an understanding of our business, an understanding of the responsibilities that are required of a member of the board of directors, other time commitments,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w:t>
      </w:r>
    </w:p>
    <w:p>
      <w:pPr>
        <w:spacing w:after="0" w:line="180"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7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to our Board of Directors</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Our nominating and corporate governance committee will consider recommendations for candidates to our board of directors from stockholders in the same manner as candidates recommended to the committee from other sources. Our nominating and corporate governance committee will evaluate such recommendations in accordance with its charter, the Bylaws and the director nominee criteria described above.</w:t>
      </w:r>
    </w:p>
    <w:p>
      <w:pPr>
        <w:spacing w:after="0" w:line="17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A stockholder that wants to recommend a candidate to our board of directors should direct the recommendation in writing by letter to our corporate secretary at Athira Pharma, Inc., 18706 North Creek Parkway, Suite 104, Bothell, Washington 98011,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185"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Under the Bylaws, stockholders may also directly nominate persons for our board of directors. Any nomination must comply with the requirements set forth in the Bylaws and the rules and regulations of the SEC and should be sent in writing to our corporate secretary at the address above. To be timely for our next year’s annual meeting of stockholders, nominations must be received by our corporate secretary observing the deadlines discussed above under “</w:t>
      </w:r>
      <w:r>
        <w:rPr>
          <w:rFonts w:ascii="Arial" w:cs="Arial" w:eastAsia="Arial" w:hAnsi="Arial"/>
          <w:sz w:val="18"/>
          <w:szCs w:val="18"/>
          <w:i w:val="1"/>
          <w:iCs w:val="1"/>
          <w:color w:val="auto"/>
        </w:rPr>
        <w:t>Questions and Answers About the Proxy Materials and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20</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jc w:val="both"/>
        <w:spacing w:after="0" w:line="269" w:lineRule="auto"/>
        <w:rPr>
          <w:sz w:val="20"/>
          <w:szCs w:val="20"/>
          <w:color w:val="auto"/>
        </w:rPr>
      </w:pPr>
      <w:r>
        <w:rPr>
          <w:rFonts w:ascii="Arial" w:cs="Arial" w:eastAsia="Arial" w:hAnsi="Arial"/>
          <w:sz w:val="18"/>
          <w:szCs w:val="18"/>
          <w:i w:val="1"/>
          <w:iCs w:val="1"/>
          <w:color w:val="auto"/>
        </w:rPr>
        <w:t>our Annual Meeting—What is the deadline to propose actions for consideration at next year’s annual meeting of stockholders or to nominate individuals to serve as directors?</w:t>
      </w:r>
      <w:r>
        <w:rPr>
          <w:rFonts w:ascii="Arial" w:cs="Arial" w:eastAsia="Arial" w:hAnsi="Arial"/>
          <w:sz w:val="18"/>
          <w:szCs w:val="18"/>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0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Stockholders and other interested parties wishing to communicate directly with our non-employee directors, may do so by writing and sending the correspondence to our General Counsel and Corporate Secretary by mail to our principal executive offices at Athira Pharma, Inc., 18706 North Creek Parkway, Suite 104, Bothell, Washington 98011. Our General Counsel and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w:t>
      </w:r>
    </w:p>
    <w:p>
      <w:pPr>
        <w:spacing w:after="0" w:line="4" w:lineRule="exact"/>
        <w:rPr>
          <w:sz w:val="20"/>
          <w:szCs w:val="20"/>
          <w:color w:val="auto"/>
        </w:rPr>
      </w:pPr>
    </w:p>
    <w:p>
      <w:pPr>
        <w:jc w:val="both"/>
        <w:ind w:firstLine="8"/>
        <w:spacing w:after="0" w:line="239" w:lineRule="auto"/>
        <w:tabs>
          <w:tab w:leader="none" w:pos="2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matters that are of a type that render them improper or irrelevant to the functioning of our board or our business, for example, mass mailings, product complaints or inquiries, job inquiries, business solicitations and patently offensive or otherwise inappropriate material. If appropriate, our General Counsel and Corporate Secretary will route such communications to the appropriate director(s) or, if none is specified, then to the chairperson of the board. These policies and procedures do not apply to communications to non-employee directors from our officers or directors who are stockholders or stockholder proposals submitted pursuant to Rule 14a-8 under the Exchange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Prohibiting Hedging or Pledging of Securities</w:t>
      </w:r>
    </w:p>
    <w:p>
      <w:pPr>
        <w:spacing w:after="0" w:line="10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(4) holding our securities in a margin account.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https://investors.athira.com/corporate-governance/governance-overview. We will post amendments to our code of business conduct and ethics or waivers of our code of business conduct and ethics for directors and executive officers on the same website.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21</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Director Compensation</w:t>
      </w:r>
    </w:p>
    <w:p>
      <w:pPr>
        <w:spacing w:after="0" w:line="104"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2021.</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Fees Earned or</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Paid in Cash</w:t>
            </w:r>
          </w:p>
        </w:tc>
        <w:tc>
          <w:tcPr>
            <w:tcW w:w="126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Option Awards</w:t>
            </w:r>
          </w:p>
        </w:tc>
        <w:tc>
          <w:tcPr>
            <w:tcW w:w="1140" w:type="dxa"/>
            <w:vAlign w:val="bottom"/>
            <w:gridSpan w:val="2"/>
          </w:tcPr>
          <w:p>
            <w:pPr>
              <w:ind w:left="360"/>
              <w:spacing w:after="0" w:line="157" w:lineRule="exact"/>
              <w:rPr>
                <w:sz w:val="20"/>
                <w:szCs w:val="20"/>
                <w:color w:val="auto"/>
              </w:rPr>
            </w:pPr>
            <w:r>
              <w:rPr>
                <w:rFonts w:ascii="Arial" w:cs="Arial" w:eastAsia="Arial" w:hAnsi="Arial"/>
                <w:sz w:val="14"/>
                <w:szCs w:val="14"/>
                <w:b w:val="1"/>
                <w:bCs w:val="1"/>
                <w:color w:val="auto"/>
              </w:rPr>
              <w:t>Total</w:t>
            </w:r>
          </w:p>
        </w:tc>
      </w:tr>
      <w:tr>
        <w:trPr>
          <w:trHeight w:val="177"/>
        </w:trPr>
        <w:tc>
          <w:tcPr>
            <w:tcW w:w="5220" w:type="dxa"/>
            <w:vAlign w:val="bottom"/>
          </w:tcPr>
          <w:p>
            <w:pPr>
              <w:ind w:left="2400"/>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60" w:type="dxa"/>
            <w:vAlign w:val="bottom"/>
          </w:tcPr>
          <w:p>
            <w:pPr>
              <w:jc w:val="right"/>
              <w:ind w:right="295"/>
              <w:spacing w:after="0" w:line="17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200" w:type="dxa"/>
            <w:vAlign w:val="bottom"/>
          </w:tcPr>
          <w:p>
            <w:pPr>
              <w:spacing w:after="0"/>
              <w:rPr>
                <w:sz w:val="15"/>
                <w:szCs w:val="15"/>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209"/>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Barbara Kosacz</w:t>
            </w:r>
            <w:r>
              <w:rPr>
                <w:rFonts w:ascii="Arial" w:cs="Arial" w:eastAsia="Arial" w:hAnsi="Arial"/>
                <w:sz w:val="15"/>
                <w:szCs w:val="15"/>
                <w:color w:val="auto"/>
              </w:rPr>
              <w:t>(2)</w:t>
            </w: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51,229</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390,080</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441,309</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44,000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200,307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244,307</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46,500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200,307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246,807</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64,976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200,307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265,283</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79,217</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79,217</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 Pickering</w:t>
            </w: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Michael Panzara, M.D.</w:t>
            </w:r>
            <w:r>
              <w:rPr>
                <w:rFonts w:ascii="Arial" w:cs="Arial" w:eastAsia="Arial" w:hAnsi="Arial"/>
                <w:sz w:val="15"/>
                <w:szCs w:val="15"/>
                <w:color w:val="auto"/>
              </w:rPr>
              <w:t>(8)</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9"/>
        </w:trPr>
        <w:tc>
          <w:tcPr>
            <w:tcW w:w="5220" w:type="dxa"/>
            <w:vAlign w:val="bottom"/>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49,620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200,307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249,927</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3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7" w:lineRule="exact"/>
        <w:rPr>
          <w:sz w:val="20"/>
          <w:szCs w:val="20"/>
          <w:color w:val="auto"/>
        </w:rPr>
      </w:pPr>
    </w:p>
    <w:p>
      <w:pPr>
        <w:jc w:val="both"/>
        <w:ind w:left="580" w:hanging="572"/>
        <w:spacing w:after="0" w:line="200" w:lineRule="auto"/>
        <w:tabs>
          <w:tab w:leader="none" w:pos="58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In accordance with SEC rules, the amount in this column reflects the aggregate grant date fair value of stock options granted during 2021 computed in accordance with Accounting Standards Codification (ASC) Topic 718, rather than the amount paid or realized by the director. For a discussion of valuation assumptions, see the Note 12 to our financial statements included in our Annual Report on Form 10-K for the year ended December 31, 2021, filed with the SEC on or about March 28, 2022.</w:t>
      </w:r>
    </w:p>
    <w:p>
      <w:pPr>
        <w:spacing w:after="0" w:line="1" w:lineRule="exact"/>
        <w:rPr>
          <w:rFonts w:ascii="Arial" w:cs="Arial" w:eastAsia="Arial" w:hAnsi="Arial"/>
          <w:sz w:val="24"/>
          <w:szCs w:val="24"/>
          <w:color w:val="auto"/>
          <w:vertAlign w:val="superscript"/>
        </w:rPr>
      </w:pPr>
    </w:p>
    <w:p>
      <w:pPr>
        <w:jc w:val="both"/>
        <w:ind w:left="580" w:hanging="572"/>
        <w:spacing w:after="0"/>
        <w:tabs>
          <w:tab w:leader="none" w:pos="58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Ms. Kosacz became a member of our board of directors in March 2021. Ms. Kosacz received $51,229 for board and committee service, including $12,000 for service as a member of a special committee of the board of directors. As of December 31, 2021, Ms. Kosacz held stock options to purchase 27,742 shares of our common stock.</w:t>
      </w:r>
    </w:p>
    <w:p>
      <w:pPr>
        <w:spacing w:after="0" w:line="49" w:lineRule="exact"/>
        <w:rPr>
          <w:rFonts w:ascii="Arial" w:cs="Arial" w:eastAsia="Arial" w:hAnsi="Arial"/>
          <w:sz w:val="24"/>
          <w:szCs w:val="24"/>
          <w:color w:val="auto"/>
          <w:vertAlign w:val="superscript"/>
        </w:rPr>
      </w:pPr>
    </w:p>
    <w:p>
      <w:pPr>
        <w:ind w:left="580" w:hanging="572"/>
        <w:spacing w:after="0" w:line="182" w:lineRule="auto"/>
        <w:tabs>
          <w:tab w:leader="none" w:pos="5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Mr. Edelman became a member of our board of directors in May 2020. As of December 31, 2021, Mr. Edelman held stock options to purchase 41,613 shares of our common stock.</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Mr. Fluke became a member of our board of directors in December 2014. As of December 31, 2021, Mr. Fluke held stock options to purchase 41,613 shares of our common stock.</w:t>
      </w:r>
    </w:p>
    <w:p>
      <w:pPr>
        <w:spacing w:after="0" w:line="1" w:lineRule="exact"/>
        <w:rPr>
          <w:rFonts w:ascii="Arial" w:cs="Arial" w:eastAsia="Arial" w:hAnsi="Arial"/>
          <w:sz w:val="23"/>
          <w:szCs w:val="23"/>
          <w:color w:val="auto"/>
          <w:vertAlign w:val="superscript"/>
        </w:rPr>
      </w:pPr>
    </w:p>
    <w:p>
      <w:pPr>
        <w:jc w:val="both"/>
        <w:ind w:left="580" w:hanging="572"/>
        <w:spacing w:after="0"/>
        <w:tabs>
          <w:tab w:leader="none" w:pos="58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Mr. Johnson became a member of our board of directors in August 2020. Mr. Johnson received $64,976 for board and committee service, including $12,000 for service as a member of a special committee of the board of directors. As of December 31, 2021, Mr. Johnson held stock options to purchase 41,613 shares of our common stock.</w:t>
      </w:r>
    </w:p>
    <w:p>
      <w:pPr>
        <w:spacing w:after="0" w:line="75" w:lineRule="exact"/>
        <w:rPr>
          <w:rFonts w:ascii="Arial" w:cs="Arial" w:eastAsia="Arial" w:hAnsi="Arial"/>
          <w:sz w:val="24"/>
          <w:szCs w:val="24"/>
          <w:color w:val="auto"/>
          <w:vertAlign w:val="superscript"/>
        </w:rPr>
      </w:pPr>
    </w:p>
    <w:p>
      <w:pPr>
        <w:jc w:val="both"/>
        <w:ind w:left="580" w:hanging="572"/>
        <w:spacing w:after="0"/>
        <w:tabs>
          <w:tab w:leader="none" w:pos="58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Ms. Romano was appointed to our board of directors in December 2020. Ms. Romano received $79,217 for board and committee service, including $24,000 for service as chairwoman of a special committee of the board of directors. As of December 31, 2021, Ms. Romano held stock options to purchase 27,742 shares of our common stock.</w:t>
      </w:r>
    </w:p>
    <w:p>
      <w:pPr>
        <w:spacing w:after="0" w:line="63" w:lineRule="exact"/>
        <w:rPr>
          <w:rFonts w:ascii="Arial" w:cs="Arial" w:eastAsia="Arial" w:hAnsi="Arial"/>
          <w:sz w:val="24"/>
          <w:szCs w:val="24"/>
          <w:color w:val="auto"/>
          <w:vertAlign w:val="superscript"/>
        </w:rPr>
      </w:pPr>
    </w:p>
    <w:p>
      <w:pPr>
        <w:ind w:left="580" w:hanging="572"/>
        <w:spacing w:after="0" w:line="182" w:lineRule="auto"/>
        <w:tabs>
          <w:tab w:leader="none" w:pos="5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Mr. Pickering was appointed to our board of directors in January 2022. As of December 31, 2021, Mr. Pickering held no outstanding stock options to purchase our common stock.</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Dr. Panzara was appointed to our board of directors in March 2022. As of December 31, 2021, Dr. Panzara held no outstanding stock options to purchase our common stock.</w:t>
      </w:r>
    </w:p>
    <w:p>
      <w:pPr>
        <w:spacing w:after="0" w:line="1" w:lineRule="exact"/>
        <w:rPr>
          <w:rFonts w:ascii="Arial" w:cs="Arial" w:eastAsia="Arial" w:hAnsi="Arial"/>
          <w:sz w:val="23"/>
          <w:szCs w:val="23"/>
          <w:color w:val="auto"/>
          <w:vertAlign w:val="superscript"/>
        </w:rPr>
      </w:pPr>
    </w:p>
    <w:p>
      <w:pPr>
        <w:ind w:left="580" w:hanging="572"/>
        <w:spacing w:after="0" w:line="185" w:lineRule="auto"/>
        <w:tabs>
          <w:tab w:leader="none" w:pos="58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Dr. Yamada became a member of our board of directors in June 2019, and passed away in August 2021. As of December 31, 2021, Dr. Yamada’s estate held stock options to purchase 67,077 shares of our common stock.</w:t>
      </w:r>
    </w:p>
    <w:p>
      <w:pPr>
        <w:spacing w:after="0" w:line="180" w:lineRule="exact"/>
        <w:rPr>
          <w:sz w:val="20"/>
          <w:szCs w:val="20"/>
          <w:color w:val="auto"/>
        </w:rPr>
      </w:pPr>
    </w:p>
    <w:p>
      <w:pPr>
        <w:jc w:val="both"/>
        <w:ind w:firstLine="589"/>
        <w:spacing w:after="0" w:line="207"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relating to our initial public offering.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September 17, 2020. Our board of directors amended the Outside Director Compensation Policy in January 2022 as discussed in the section titled “</w:t>
      </w:r>
      <w:r>
        <w:rPr>
          <w:rFonts w:ascii="Arial" w:cs="Arial" w:eastAsia="Arial" w:hAnsi="Arial"/>
          <w:sz w:val="18"/>
          <w:szCs w:val="18"/>
          <w:i w:val="1"/>
          <w:iCs w:val="1"/>
          <w:color w:val="auto"/>
        </w:rPr>
        <w:t>2021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Annual Award.</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73" w:lineRule="exact"/>
        <w:rPr>
          <w:sz w:val="20"/>
          <w:szCs w:val="20"/>
          <w:color w:val="auto"/>
        </w:rPr>
      </w:pPr>
    </w:p>
    <w:p>
      <w:pPr>
        <w:jc w:val="both"/>
        <w:ind w:right="20" w:firstLine="589"/>
        <w:spacing w:after="0" w:line="235" w:lineRule="exact"/>
        <w:rPr>
          <w:sz w:val="20"/>
          <w:szCs w:val="20"/>
          <w:color w:val="auto"/>
        </w:rPr>
      </w:pPr>
      <w:r>
        <w:rPr>
          <w:rFonts w:ascii="Arial" w:cs="Arial" w:eastAsia="Arial" w:hAnsi="Arial"/>
          <w:sz w:val="18"/>
          <w:szCs w:val="18"/>
          <w:color w:val="auto"/>
        </w:rPr>
        <w:t>The Outside Director Compensation Policy provides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September 17, 2020:</w:t>
      </w:r>
    </w:p>
    <w:p>
      <w:pPr>
        <w:spacing w:after="0" w:line="44" w:lineRule="exact"/>
        <w:rPr>
          <w:sz w:val="20"/>
          <w:szCs w:val="20"/>
          <w:color w:val="auto"/>
        </w:rPr>
      </w:pPr>
    </w:p>
    <w:p>
      <w:pPr>
        <w:ind w:left="1160" w:hanging="572"/>
        <w:spacing w:after="0" w:line="208" w:lineRule="exact"/>
        <w:tabs>
          <w:tab w:leader="none" w:pos="11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71"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$30,000 per year for service as chairperson of the board of directors;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$15,000 per year for service as chairperson of the audit committee;</w:t>
      </w:r>
    </w:p>
    <w:p>
      <w:pPr>
        <w:spacing w:after="0" w:line="242" w:lineRule="exact"/>
        <w:rPr>
          <w:rFonts w:ascii="Times New Roman" w:cs="Times New Roman" w:eastAsia="Times New Roman" w:hAnsi="Times New Roman"/>
          <w:sz w:val="18"/>
          <w:szCs w:val="18"/>
          <w:color w:val="auto"/>
        </w:rPr>
      </w:pPr>
    </w:p>
    <w:p>
      <w:pPr>
        <w:ind w:left="5520" w:hanging="122"/>
        <w:spacing w:after="0"/>
        <w:tabs>
          <w:tab w:leader="none" w:pos="5520" w:val="left"/>
        </w:tabs>
        <w:numPr>
          <w:ilvl w:val="1"/>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22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ind w:left="1160" w:hanging="572"/>
        <w:spacing w:after="0"/>
        <w:tabs>
          <w:tab w:leader="none" w:pos="11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$7,500 per year for service as a member of the audit committee;</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$10,000 per year for service as chairperson of the compensation committee;</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$5,000 per year for service as a member of the compensation committee;</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$8,000 per year for service as chairperson of the nominating and corporate governance committee; and</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23" w:lineRule="exact"/>
        <w:rPr>
          <w:sz w:val="20"/>
          <w:szCs w:val="20"/>
          <w:color w:val="auto"/>
        </w:rPr>
      </w:pPr>
    </w:p>
    <w:p>
      <w:pPr>
        <w:jc w:val="both"/>
        <w:ind w:firstLine="589"/>
        <w:spacing w:after="0" w:line="215"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chairperson receives only the cash retainer fee as the chairperson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are paid quarterly in arrears on a prorated basis. Under our Outside Director Compensation Policy, we also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chairperson or members of committees are payable in addition to the non-employee director retainer.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then-serving non-employee director received, on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an award, or the IPO Award, of stock options to purchase 27,742 shares of our common stock. For each non-employee director other than Mr. Johnson, each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56" w:lineRule="exact"/>
        <w:rPr>
          <w:sz w:val="20"/>
          <w:szCs w:val="20"/>
          <w:color w:val="auto"/>
        </w:rPr>
      </w:pPr>
    </w:p>
    <w:p>
      <w:pPr>
        <w:jc w:val="both"/>
        <w:ind w:firstLine="589"/>
        <w:spacing w:after="0" w:line="212"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83" w:lineRule="exact"/>
        <w:rPr>
          <w:sz w:val="20"/>
          <w:szCs w:val="20"/>
          <w:color w:val="auto"/>
        </w:rPr>
      </w:pPr>
    </w:p>
    <w:p>
      <w:pPr>
        <w:jc w:val="both"/>
        <w:ind w:firstLine="589"/>
        <w:spacing w:after="0" w:line="207"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In January 2022, our board of directors amended the Outside Director Compensation Policy to provide for a pro-rated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award for directors that had not served continuously since the date of the most recently preceding annual meeting. Pursuant to the amended Outside Director Compensation Policy, each non</w:t>
      </w:r>
      <w:r>
        <w:rPr>
          <w:rFonts w:ascii="MS PGothic" w:cs="MS PGothic" w:eastAsia="MS PGothic" w:hAnsi="MS PGothic"/>
          <w:sz w:val="18"/>
          <w:szCs w:val="18"/>
          <w:color w:val="auto"/>
        </w:rPr>
        <w:t>‑</w:t>
      </w:r>
      <w:r>
        <w:rPr>
          <w:rFonts w:ascii="Arial" w:cs="Arial" w:eastAsia="Arial" w:hAnsi="Arial"/>
          <w:sz w:val="18"/>
          <w:szCs w:val="18"/>
          <w:color w:val="auto"/>
        </w:rPr>
        <w:t xml:space="preserve"> employee director automatically receives, on the first trading day immediately after the date of each annual meeting of our stockholders, an annual award, or the Annual Award, of stock options to purchase 13,871 shares of our common stock. If, as of the date of the annual meeting, such director has not been in continuous service as a non-employee director since the date of the most recently preceding annual meeting, their first annual award will be prorated and equal to the product of 13,871 multiplied by the quotient of (1) the number of whole months of continuous service as a non-employee director completed as of the date of such annual meeting divided by (2) 12, rounded down to the nearest whole share (up to a maximum of 13,871 shares). Each Annual Award vests on the earlier of the one-year anniversary of the grant date, or the day immediately before the day of the next annual meeting of our stockholders that occurs after the grant date of the Annual Award, subject to continued services to us through the applicable vesting date.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23</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2" w:name="page33"/>
    <w:bookmarkEnd w:id="32"/>
    <w:p>
      <w:pPr>
        <w:jc w:val="both"/>
        <w:ind w:firstLine="589"/>
        <w:spacing w:after="0" w:line="229"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66"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46" w:lineRule="exact"/>
        <w:rPr>
          <w:sz w:val="20"/>
          <w:szCs w:val="20"/>
          <w:color w:val="auto"/>
        </w:rPr>
      </w:pPr>
    </w:p>
    <w:p>
      <w:pPr>
        <w:jc w:val="both"/>
        <w:ind w:firstLine="589"/>
        <w:spacing w:after="0" w:line="212"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 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relating to our initial public offering, do not count toward this annual limit.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24</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CLASS II DIRECTORS</w:t>
      </w:r>
    </w:p>
    <w:p>
      <w:pPr>
        <w:spacing w:after="0" w:line="21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Our board of directors currently consists of eight directors and is divided into three classes with staggered three-year terms. At the Annual Meeting, three Class II directors of the Company will be elected for a three-year term to succeed the same class whose term is then expiring, each to continue until their respective successors are elected and qualified, or until their earlier death, resignation or removal.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Our nominating and corporate governance committee has recommended, and our board of directors has approved, Joseph Edelman, John M. Fluke, Jr., and Grant Pickering as nominees for election as Class II directors of the Company at the Annual Meeting. We believe that the nominees bring valuable experience and perspective to our board of directors. For more information concerning the nominees, please see the section titled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w:t>
      </w:r>
    </w:p>
    <w:p>
      <w:pPr>
        <w:spacing w:after="0" w:line="17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Mr. Edelman, Mr. Fluke, and Mr. Pickering have agreed to serve as directors if elected, and management has no reason to believe that they will be unavailable to serve. In the event that a nominee is unable or declines to serve as a director at the time of the Annual Meeting, proxies will be voted for any nominee designated by the present board of directors to fill the vacancy.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BOARD OF DIRECTORS UNANIMOUSLY RECOMMENDS THAT STOCKHOLDERS VOTE "FOR" EACH OF THE NOMINEES LISTED ABOVE.</w:t>
      </w:r>
    </w:p>
    <w:p>
      <w:pPr>
        <w:spacing w:after="0" w:line="200" w:lineRule="exact"/>
        <w:rPr>
          <w:sz w:val="20"/>
          <w:szCs w:val="20"/>
          <w:color w:val="auto"/>
        </w:rPr>
      </w:pPr>
    </w:p>
    <w:p>
      <w:pPr>
        <w:spacing w:after="0" w:line="368"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 xml:space="preserve">We urge you to </w:t>
      </w:r>
      <w:r>
        <w:rPr>
          <w:rFonts w:ascii="Arial" w:cs="Arial" w:eastAsia="Arial" w:hAnsi="Arial"/>
          <w:sz w:val="18"/>
          <w:szCs w:val="18"/>
          <w:b w:val="1"/>
          <w:bCs w:val="1"/>
          <w:color w:val="auto"/>
        </w:rPr>
        <w:t>REJECT</w:t>
      </w:r>
      <w:r>
        <w:rPr>
          <w:rFonts w:ascii="Arial" w:cs="Arial" w:eastAsia="Arial" w:hAnsi="Arial"/>
          <w:sz w:val="18"/>
          <w:szCs w:val="18"/>
          <w:color w:val="auto"/>
        </w:rPr>
        <w:t xml:space="preserve"> Messrs. Kayne and Bickerstaff as director nominees. We believe that our nominees have the right experience, have a deep understanding of Athira and the biotechnology industry, and are more capable than Messrs. Kayne and Bickerstaff to lead Athira forward. We believe that Messrs. Kayne and Bickerstaff would not add additional skills or diversity to our board as their stated skill sets are already well represented among our director candidates.</w:t>
      </w:r>
    </w:p>
    <w:p>
      <w:pPr>
        <w:spacing w:after="0" w:line="174"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18"/>
          <w:szCs w:val="18"/>
          <w:color w:val="auto"/>
        </w:rPr>
        <w:t xml:space="preserve">We urge you to vote for the nominees that our board proposed by using only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Do not sign or return any proxy card that may be sent to you by Mr. Kayne. If you have already voted using a proxy card sent to you by Mr. Kayne, you can revoke it by signing and dating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returning it in the postage-paid envelope provided or by voting via the Internet or by telephone by following the instructions provided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25</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APPOINTMENT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to audit our consolidated financial statements for our fiscal year ending December 31, 2022. Ernst &amp; Young LLP served as our independent registered public accounting firm for the fiscal year ended December 31, 2021.</w:t>
      </w:r>
    </w:p>
    <w:p>
      <w:pPr>
        <w:spacing w:after="0" w:line="169" w:lineRule="exact"/>
        <w:rPr>
          <w:sz w:val="20"/>
          <w:szCs w:val="20"/>
          <w:color w:val="auto"/>
        </w:rPr>
      </w:pPr>
    </w:p>
    <w:p>
      <w:pPr>
        <w:jc w:val="both"/>
        <w:ind w:firstLine="589"/>
        <w:spacing w:after="0" w:line="251" w:lineRule="auto"/>
        <w:rPr>
          <w:sz w:val="20"/>
          <w:szCs w:val="20"/>
          <w:color w:val="auto"/>
        </w:rPr>
      </w:pPr>
      <w:r>
        <w:rPr>
          <w:rFonts w:ascii="Arial" w:cs="Arial" w:eastAsia="Arial" w:hAnsi="Arial"/>
          <w:sz w:val="17"/>
          <w:szCs w:val="17"/>
          <w:color w:val="auto"/>
        </w:rPr>
        <w:t>At the Annual Meeting, we are asking our stockholders to ratify the appointment of Ernst &amp; Young LLP as our independent registered public accounting firm for our fiscal year ending December 31, 2022.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the Company and our stockholders. If our stockholders do not ratify the appointment of Ernst &amp; Young LLP, then our audit committee may reconsider the appointment. One or more representatives of Ernst</w:t>
      </w:r>
    </w:p>
    <w:p>
      <w:pPr>
        <w:spacing w:after="0" w:line="4" w:lineRule="exact"/>
        <w:rPr>
          <w:sz w:val="20"/>
          <w:szCs w:val="20"/>
          <w:color w:val="auto"/>
        </w:rPr>
      </w:pPr>
    </w:p>
    <w:p>
      <w:pPr>
        <w:ind w:firstLine="8"/>
        <w:spacing w:after="0" w:line="250"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Young LLP are expected to be present at the Annual Meeting, and they will have an opportunity to make a statement and are expected to be available to respond to appropriate questions from our stockholders.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04"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Ernst &amp; Young LLP for our fiscal years ended December 31, 2021 and 2020 (in thousands):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86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2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1,292</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28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1,312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87" w:lineRule="exact"/>
        <w:rPr>
          <w:sz w:val="20"/>
          <w:szCs w:val="20"/>
          <w:color w:val="auto"/>
        </w:rPr>
      </w:pPr>
    </w:p>
    <w:p>
      <w:pPr>
        <w:ind w:left="580" w:hanging="572"/>
        <w:spacing w:after="0" w:line="193" w:lineRule="auto"/>
        <w:tabs>
          <w:tab w:leader="none" w:pos="580" w:val="left"/>
        </w:tabs>
        <w:numPr>
          <w:ilvl w:val="0"/>
          <w:numId w:val="24"/>
        </w:numPr>
        <w:rPr>
          <w:rFonts w:ascii="Arial" w:cs="Arial" w:eastAsia="Arial" w:hAnsi="Arial"/>
          <w:sz w:val="24"/>
          <w:szCs w:val="24"/>
          <w:color w:val="auto"/>
          <w:vertAlign w:val="superscript"/>
        </w:rPr>
      </w:pPr>
      <w:r>
        <w:rPr>
          <w:rFonts w:ascii="Arial" w:cs="Arial" w:eastAsia="Arial" w:hAnsi="Arial"/>
          <w:sz w:val="14"/>
          <w:szCs w:val="14"/>
          <w:color w:val="auto"/>
        </w:rPr>
        <w:t>Audit fees include fees incurred associated with the annual audit, the reviews of the Company’s interim financial information, services provided in connection with our initial public offering in 2020, and services provided in connection with our follow-on public offering in 2021.</w:t>
      </w:r>
    </w:p>
    <w:p>
      <w:pPr>
        <w:spacing w:after="0" w:line="13" w:lineRule="exact"/>
        <w:rPr>
          <w:rFonts w:ascii="Arial" w:cs="Arial" w:eastAsia="Arial" w:hAnsi="Arial"/>
          <w:sz w:val="24"/>
          <w:szCs w:val="24"/>
          <w:color w:val="auto"/>
          <w:vertAlign w:val="superscript"/>
        </w:rPr>
      </w:pPr>
    </w:p>
    <w:p>
      <w:pPr>
        <w:ind w:left="580" w:hanging="572"/>
        <w:spacing w:after="0" w:line="193" w:lineRule="auto"/>
        <w:tabs>
          <w:tab w:leader="none" w:pos="580" w:val="left"/>
        </w:tabs>
        <w:numPr>
          <w:ilvl w:val="0"/>
          <w:numId w:val="24"/>
        </w:numPr>
        <w:rPr>
          <w:rFonts w:ascii="Arial" w:cs="Arial" w:eastAsia="Arial" w:hAnsi="Arial"/>
          <w:sz w:val="24"/>
          <w:szCs w:val="24"/>
          <w:color w:val="auto"/>
          <w:vertAlign w:val="superscript"/>
        </w:rPr>
      </w:pPr>
      <w:r>
        <w:rPr>
          <w:rFonts w:ascii="Arial" w:cs="Arial" w:eastAsia="Arial" w:hAnsi="Arial"/>
          <w:sz w:val="14"/>
          <w:szCs w:val="14"/>
          <w:color w:val="auto"/>
        </w:rPr>
        <w:t>Audit-related fees include fees for assurance and related services that are reasonably related to the performance of the audit or review of our financial statements. There were no such fees incurred in 2020.</w:t>
      </w:r>
    </w:p>
    <w:p>
      <w:pPr>
        <w:ind w:left="580" w:hanging="572"/>
        <w:spacing w:after="0" w:line="183" w:lineRule="auto"/>
        <w:tabs>
          <w:tab w:leader="none" w:pos="580" w:val="left"/>
        </w:tabs>
        <w:numPr>
          <w:ilvl w:val="0"/>
          <w:numId w:val="24"/>
        </w:numPr>
        <w:rPr>
          <w:rFonts w:ascii="Arial" w:cs="Arial" w:eastAsia="Arial" w:hAnsi="Arial"/>
          <w:sz w:val="23"/>
          <w:szCs w:val="23"/>
          <w:color w:val="auto"/>
          <w:vertAlign w:val="superscript"/>
        </w:rPr>
      </w:pPr>
      <w:r>
        <w:rPr>
          <w:rFonts w:ascii="Arial" w:cs="Arial" w:eastAsia="Arial" w:hAnsi="Arial"/>
          <w:sz w:val="14"/>
          <w:szCs w:val="14"/>
          <w:color w:val="auto"/>
        </w:rPr>
        <w:t>Tax fees consist of fees for professional services, including tax compliance services and tax advisory services.</w:t>
      </w:r>
    </w:p>
    <w:p>
      <w:pPr>
        <w:spacing w:after="0" w:line="27" w:lineRule="exact"/>
        <w:rPr>
          <w:rFonts w:ascii="Arial" w:cs="Arial" w:eastAsia="Arial" w:hAnsi="Arial"/>
          <w:sz w:val="23"/>
          <w:szCs w:val="23"/>
          <w:color w:val="auto"/>
          <w:vertAlign w:val="superscript"/>
        </w:rPr>
      </w:pPr>
    </w:p>
    <w:p>
      <w:pPr>
        <w:ind w:left="580" w:hanging="572"/>
        <w:spacing w:after="0" w:line="183" w:lineRule="auto"/>
        <w:tabs>
          <w:tab w:leader="none" w:pos="58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All other fees include any fees billed that are not audit fees, audit-related fees or tax fees. There were no such fees incurred in 2021 or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04"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color w:val="auto"/>
        </w:rPr>
        <w:t>In 2021, there were no other professional services provided by Ernst &amp; Young LLP, other than those listed above, that would have required our audit committee to consider their compatibility with maintaining the independence of Ernst &amp; Young LLP.</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26</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Audit Committee Policy on Pre-Approval of Audit and Permissible Non-Audit Services</w:t>
      </w:r>
    </w:p>
    <w:p>
      <w:pPr>
        <w:spacing w:after="0" w:line="10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 The audit committee may delegate to the chairperson authority to approve in advance permitted services to be performed by the independent auditor or other registered public accounting firms along with any associated fees.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services related to the fees described in the table above were pre-approved by our audit committee.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 A VOTE “FOR” THIS PROPOSAL.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27</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w:t>
      </w:r>
    </w:p>
    <w:p>
      <w:pPr>
        <w:spacing w:after="0" w:line="21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We received notice from Mr. Kayne of his intention to propose the following resolution for action at the Annual Meeting. This proposal seeks to repeal any provisions or amendments of the Bylaws adopted without stockholder approval after February 18, 2022, and prior to the Annual Meeting without regard to the subject matter of any bylaw provisions or amendment in question.</w:t>
      </w:r>
    </w:p>
    <w:p>
      <w:pPr>
        <w:spacing w:after="0" w:line="169"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“RESOLVED, that any provision of the Amended and Restated Bylaws of Athira Pharma, Inc. as of the effectiveness of this resolution that was not included in the Amended and Restated Bylaws of Athira Pharma, Inc. as publicly filed with the Securities and Exchange Commission on or prior to February 18, 2022, be and hereby is repealed.”</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the text of the proposed amendment to the Bylaws:</w:t>
      </w:r>
    </w:p>
    <w:p>
      <w:pPr>
        <w:spacing w:after="0" w:line="21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“Notwithstanding anything contained herein to the contrary, any provision of these bylaws that was not included herein and publicly filed with the Securities and Exchange Commission on or prior to February 18, 2022, be and hereby is repealed.”</w:t>
      </w:r>
    </w:p>
    <w:p>
      <w:pPr>
        <w:spacing w:after="0" w:line="15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No provisions or amendments to the Bylaws have been adopted after February 18, 2022 (and Athira has not amended the Bylaws since September 22, 2020). Although our board of directors does not currently expect to adopt any amendments to the Bylaws prior to the Annual Meeting, our board of directors could determine prior to the Annual Meeting that an amendment is necessary and in the best interests of Athira and our stockholders. Our board of directors believes that the automatic repeal of any amendment to the Bylaws, irrespective of its content, that has been duly adopted by our board of directors (whether with or without stockholder approval) could have the effect of repealing one or more properly adopted bylaw amendments that our board of directors determined to be in the best interests of Athira and our stockholders and adopted in furtherance of its fiduciary duties, including in response to future events not yet known to us.</w:t>
      </w:r>
    </w:p>
    <w:p>
      <w:pPr>
        <w:spacing w:after="0" w:line="185"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As our board of directors is fully empowered by our governing documents and applicable law to alter, amend or repeal provisions of the Bylaws, and because no amendments to the Bylaws have been adopted, we believe that this proposal serves no purpose other than limiting actions by our board of directors that are otherwise permitted by Athira’s governing documents and Delaware law.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 A VOTE “AGAINST” THIS PROPOSAL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28</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1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audit committee is a committee of our board of directors comprised solely of independent directors as required by Nasdaq listing rules and the rules and regulations of the SEC. The audit committee operates under a written charter adopted by the board of directors, which is available on our website at https://investors.athira.com/corporate-governance/governance-overview. This written charter is reviewed annually for changes, as appropriate. With respect to our financial reporting process, our management is responsible for (1) establishing and maintaining internal controls and (2) preparing our consolidated financial statements. Our independent registered public accounting firm, Ernst &amp; Young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p>
    <w:p>
      <w:pPr>
        <w:spacing w:after="0" w:line="72" w:lineRule="exact"/>
        <w:rPr>
          <w:sz w:val="20"/>
          <w:szCs w:val="20"/>
          <w:color w:val="auto"/>
        </w:rPr>
      </w:pPr>
    </w:p>
    <w:p>
      <w:pPr>
        <w:ind w:left="1020" w:hanging="580"/>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discussed the audited consolidated financial statements with management and Ernst &amp; Young LLP;</w:t>
      </w:r>
    </w:p>
    <w:p>
      <w:pPr>
        <w:spacing w:after="0" w:line="143" w:lineRule="exact"/>
        <w:rPr>
          <w:rFonts w:ascii="Times New Roman" w:cs="Times New Roman" w:eastAsia="Times New Roman" w:hAnsi="Times New Roman"/>
          <w:sz w:val="18"/>
          <w:szCs w:val="18"/>
          <w:color w:val="auto"/>
        </w:rPr>
      </w:pPr>
    </w:p>
    <w:p>
      <w:pPr>
        <w:ind w:left="1020" w:hanging="580"/>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with Ernst &amp; Young LLP the matters required to be discussed by the applicable requirements of the Public Company Accounting Oversight Board, or PCAOB, and the SEC; and</w:t>
      </w:r>
    </w:p>
    <w:p>
      <w:pPr>
        <w:spacing w:after="0" w:line="46" w:lineRule="exact"/>
        <w:rPr>
          <w:rFonts w:ascii="Times New Roman" w:cs="Times New Roman" w:eastAsia="Times New Roman" w:hAnsi="Times New Roman"/>
          <w:sz w:val="18"/>
          <w:szCs w:val="18"/>
          <w:color w:val="auto"/>
        </w:rPr>
      </w:pPr>
    </w:p>
    <w:p>
      <w:pPr>
        <w:jc w:val="both"/>
        <w:ind w:left="1020" w:hanging="580"/>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received the written disclosures and the letter from Ernst &amp; Young LLP required by the applicable requirements of the PCAOB regarding the independent accountant’s communications with the audit committee concerning independence, and has discussed with Ernst &amp; Young LLP its independence.</w:t>
      </w:r>
    </w:p>
    <w:p>
      <w:pPr>
        <w:spacing w:after="0" w:line="171"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Based on the audit committee’s review and discussions with management and Ernst &amp; Young LLP noted above, the audit committee recommended to the board of directors that the audited consolidated financial statements be included in the Annual Report on Form 10-K for the fiscal year ended December 31, 2021, filed with the SEC on or about March 28, 2022.</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A. Johnson (Chair), John M. Fluke, Jr., Kelly A. Romano.</w:t>
      </w:r>
    </w:p>
    <w:p>
      <w:pPr>
        <w:spacing w:after="0" w:line="217" w:lineRule="exact"/>
        <w:rPr>
          <w:sz w:val="20"/>
          <w:szCs w:val="20"/>
          <w:color w:val="auto"/>
        </w:rPr>
      </w:pPr>
    </w:p>
    <w:p>
      <w:pPr>
        <w:jc w:val="both"/>
        <w:ind w:firstLine="589"/>
        <w:spacing w:after="0" w:line="243" w:lineRule="auto"/>
        <w:rPr>
          <w:sz w:val="20"/>
          <w:szCs w:val="20"/>
          <w:color w:val="auto"/>
        </w:rPr>
      </w:pPr>
      <w:r>
        <w:rPr>
          <w:rFonts w:ascii="Arial" w:cs="Arial" w:eastAsia="Arial" w:hAnsi="Arial"/>
          <w:sz w:val="18"/>
          <w:szCs w:val="18"/>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Securities Act, or the Exchange Act, except to the extent the Company specifically requests that the information be treated as “soliciting material” or specifically incorporates it by reference.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29</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1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The following table sets forth certain information about our executive officers as of March 31, 2022. There are no family relationships among any of our directors or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Age</w:t>
            </w:r>
          </w:p>
        </w:tc>
        <w:tc>
          <w:tcPr>
            <w:tcW w:w="5400" w:type="dxa"/>
            <w:vAlign w:val="bottom"/>
          </w:tcPr>
          <w:p>
            <w:pPr>
              <w:ind w:left="24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Lenington</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49</w:t>
            </w:r>
          </w:p>
        </w:tc>
        <w:tc>
          <w:tcPr>
            <w:tcW w:w="1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Glenna Mileson</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66</w:t>
            </w:r>
          </w:p>
        </w:tc>
        <w:tc>
          <w:tcPr>
            <w:tcW w:w="1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Mark Worthington</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Kevin Church, Ph.D.</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37</w:t>
            </w:r>
          </w:p>
        </w:tc>
        <w:tc>
          <w:tcPr>
            <w:tcW w:w="1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Research</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Dr. Litton’s biography is listed in the section titled “</w:t>
      </w:r>
      <w:r>
        <w:rPr>
          <w:rFonts w:ascii="Arial" w:cs="Arial" w:eastAsia="Arial" w:hAnsi="Arial"/>
          <w:sz w:val="18"/>
          <w:szCs w:val="18"/>
          <w:i w:val="1"/>
          <w:iCs w:val="1"/>
          <w:color w:val="auto"/>
        </w:rPr>
        <w:t>Board of Directors and Corporate Governance – Continuing Directors.</w:t>
      </w:r>
      <w:r>
        <w:rPr>
          <w:rFonts w:ascii="Arial" w:cs="Arial" w:eastAsia="Arial" w:hAnsi="Arial"/>
          <w:sz w:val="18"/>
          <w:szCs w:val="18"/>
          <w:color w:val="auto"/>
        </w:rPr>
        <w:t>”</w:t>
      </w:r>
    </w:p>
    <w:p>
      <w:pPr>
        <w:spacing w:after="0" w:line="21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 xml:space="preserve">Rachel Lenington </w:t>
      </w:r>
      <w:r>
        <w:rPr>
          <w:rFonts w:ascii="Arial" w:cs="Arial" w:eastAsia="Arial" w:hAnsi="Arial"/>
          <w:sz w:val="18"/>
          <w:szCs w:val="18"/>
          <w:color w:val="auto"/>
        </w:rPr>
        <w:t>has served as our chief operating officer since October 2021. Prior to that, Ms. Lenington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officer, head of product development strategy, from June 2021 to October 2021. From 2015 to 2020, Ms. Lenington served as senior vice president of program and portfolio management at Seagen Inc., a publicly traded biotechnology company, where she led a team responsible for strategic business operations, program, portfolio, and alliance management, and played an instrumental role in scaling the organization as it transformed into a global, multi-product oncology company. From 2010 to 2015, Ms. Lenington was deputy director, strategy, planning and management at the Bill &amp; Melinda Gates Foundation, where she managed strategy, business operations, and grant budgets for select global health programs. From 2000 to 2010, Ms. Lenington held roles of increasing responsibility at Amgen and at Immunex prior to its 2002 acquisition by Amgen, including director, global program manager. From 1995 to 1996 and from 1996 to 2000, Ms. Lenington was a management consultant first for Accenture and then at Deloitte Consulting, respectively, focused on change management and ERP software implementation at Fortune 100 companies. Ms. Lenington earned an M.B.A. from Pepperdine University in 2005 and a B.A. in business administration degree from the University of Washington in 1995.</w:t>
      </w:r>
    </w:p>
    <w:p>
      <w:pPr>
        <w:spacing w:after="0" w:line="186"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83"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the Company, Dr. Moebius co-founded Exciva GmbH, a company focusing on targeted drug rescue, and served as its chief executive officer and chief medical officer from 2016 to 2019, and again as acting chief medical officer from April 2020 to September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30</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both"/>
        <w:spacing w:after="0" w:line="242" w:lineRule="auto"/>
        <w:rPr>
          <w:sz w:val="20"/>
          <w:szCs w:val="20"/>
          <w:color w:val="auto"/>
        </w:rPr>
      </w:pPr>
      <w:r>
        <w:rPr>
          <w:rFonts w:ascii="Arial" w:cs="Arial" w:eastAsia="Arial" w:hAnsi="Arial"/>
          <w:sz w:val="18"/>
          <w:szCs w:val="18"/>
          <w:color w:val="auto"/>
        </w:rPr>
        <w:t>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79"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 xml:space="preserve">Mark Worthington </w:t>
      </w:r>
      <w:r>
        <w:rPr>
          <w:rFonts w:ascii="Arial" w:cs="Arial" w:eastAsia="Arial" w:hAnsi="Arial"/>
          <w:sz w:val="18"/>
          <w:szCs w:val="18"/>
          <w:color w:val="auto"/>
        </w:rPr>
        <w:t>has served as our general counsel since June 2021, after working with us as outside corporate counsel for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Prior to joining the Company, Mr. Worthington served as a partner with Summit Law Group in Seattle, Washington from September 1997 to May 2021, where he practiced corporate and securities law and chaired the corporate/securities practice and served as the co-managing partner. Mr. Worthington has advised private and public life sciences and other companies on a wide range of corporate governance, compliance and transactional matters, including public offerings, mergers and acquisitions, and joint ventures, and worked closely with executive management teams on strategic business and legal matters. Mr. Worthington received his J.D. from University of California, Hastings College of the Law in 1993 and B.A. in American Studies from Stanford University in 1988.</w:t>
      </w:r>
    </w:p>
    <w:p>
      <w:pPr>
        <w:spacing w:after="0" w:line="185"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i w:val="1"/>
          <w:iCs w:val="1"/>
          <w:color w:val="auto"/>
        </w:rPr>
        <w:t xml:space="preserve">Kevin Church, Ph.D., </w:t>
      </w:r>
      <w:r>
        <w:rPr>
          <w:rFonts w:ascii="Arial" w:cs="Arial" w:eastAsia="Arial" w:hAnsi="Arial"/>
          <w:sz w:val="18"/>
          <w:szCs w:val="18"/>
          <w:color w:val="auto"/>
        </w:rPr>
        <w:t>has served as our executive vice president of research since November 2021. Prior to this, Dr. Church held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roles at the Company, including vice president of discovery from July 2020 to October 2021, director of discovery from July 2018 to July 2020, senior research scientist from February 2018 to July 2018, and research scientist from July 2016 to February 2018.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31</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Processes and Procedures for Compensation Decisions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compensation programs are designed to:</w:t>
      </w:r>
    </w:p>
    <w:p>
      <w:pPr>
        <w:spacing w:after="0" w:line="104" w:lineRule="exact"/>
        <w:rPr>
          <w:sz w:val="20"/>
          <w:szCs w:val="20"/>
          <w:color w:val="auto"/>
        </w:rPr>
      </w:pPr>
    </w:p>
    <w:p>
      <w:pPr>
        <w:ind w:left="1160" w:hanging="572"/>
        <w:spacing w:after="0"/>
        <w:tabs>
          <w:tab w:leader="none" w:pos="11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attract, motivate, incentivize and retain employees at the executive level who contribute to our long-term success;</w:t>
      </w:r>
    </w:p>
    <w:p>
      <w:pPr>
        <w:spacing w:after="0" w:line="143"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provide compensation packages to our executives that are fair and competitive and reward high levels of performance and the achievement of our business objectives; and</w:t>
      </w:r>
    </w:p>
    <w:p>
      <w:pPr>
        <w:spacing w:after="0" w:line="46" w:lineRule="exact"/>
        <w:rPr>
          <w:rFonts w:ascii="Times New Roman" w:cs="Times New Roman" w:eastAsia="Times New Roman" w:hAnsi="Times New Roman"/>
          <w:sz w:val="18"/>
          <w:szCs w:val="18"/>
          <w:color w:val="auto"/>
        </w:rPr>
      </w:pPr>
    </w:p>
    <w:p>
      <w:pPr>
        <w:ind w:left="1160" w:right="20" w:hanging="572"/>
        <w:spacing w:after="0" w:line="270" w:lineRule="auto"/>
        <w:tabs>
          <w:tab w:leader="none" w:pos="11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more closely align our executives’ interests with those of our stockholders by focusing on long-term equity incentives that correlate with the growth of sustainable long-term value for our stockholders.</w:t>
      </w:r>
    </w:p>
    <w:p>
      <w:pPr>
        <w:spacing w:after="0" w:line="154"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Since our initial public offering and the establishment of our compensation committee, our compensation committee is responsible for making compensation decisions, but may, in its discretion, choose to make compensation recommendations to the full board of directors.</w:t>
      </w:r>
    </w:p>
    <w:p>
      <w:pPr>
        <w:spacing w:after="0" w:line="15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Beginning in June 2020, our board of directors retained Radford,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Since our initial public offering and the establishment of our compensation committee, Radford has continued to serve as compensation consultant at the discretion of the compensation committee. Typically, our chief executive officer and chief financial officer will prepare and present recommendations at compensation committee meetings based on the compensation consultant’s recommendations, and a representative from Radford will often be present in the meetings to respond to committee questions. The compensation committee considers the recommendations for cash and stock-based compensation and either recommends to the board or makes the final determinations for the full executive team. With regard to incentive compensation, the compensation committee evaluates the performance of the chief executive officer and either recommends to the board or makes determinations with respect to the achievement of defined goals. The chief executive officer evaluates the performance of other executive team members and their individual contributions towards the achievement of defined goals, then makes recommendations to the committee with respect to incentive compensation. The compensation committee then evaluates the recommendations and either makes determinations or recommendations to the full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0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who are named in the subsection titled “—2020 – 2021 Summary Compensation Table” below. For 2021, our “named executive officers” and their positions were as follows:</w:t>
      </w:r>
    </w:p>
    <w:p>
      <w:pPr>
        <w:spacing w:after="0" w:line="61" w:lineRule="exact"/>
        <w:rPr>
          <w:sz w:val="20"/>
          <w:szCs w:val="20"/>
          <w:color w:val="auto"/>
        </w:rPr>
      </w:pPr>
    </w:p>
    <w:p>
      <w:pPr>
        <w:ind w:left="1160" w:hanging="572"/>
        <w:spacing w:after="0"/>
        <w:tabs>
          <w:tab w:leader="none" w:pos="11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Mark Litton, Ph.D., our president and chief executive officer;</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Rachel Lenington, our chief operating officer;</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Mark Worthington, our general counsel and corporate secretary; and</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Leen Kawas, Ph.D., our former president and chief executive officer.</w:t>
      </w:r>
    </w:p>
    <w:p>
      <w:pPr>
        <w:spacing w:after="0" w:line="242" w:lineRule="exact"/>
        <w:rPr>
          <w:rFonts w:ascii="Times New Roman" w:cs="Times New Roman" w:eastAsia="Times New Roman" w:hAnsi="Times New Roman"/>
          <w:sz w:val="18"/>
          <w:szCs w:val="18"/>
          <w:color w:val="auto"/>
        </w:rPr>
      </w:pPr>
    </w:p>
    <w:p>
      <w:pPr>
        <w:ind w:left="5520" w:hanging="122"/>
        <w:spacing w:after="0"/>
        <w:tabs>
          <w:tab w:leader="none" w:pos="5520" w:val="left"/>
        </w:tabs>
        <w:numPr>
          <w:ilvl w:val="1"/>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32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2020 – 2021 Summary Compensation Table</w:t>
      </w:r>
    </w:p>
    <w:p>
      <w:pPr>
        <w:spacing w:after="0" w:line="104"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for the years ended December 31, 2021 and December 31,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19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Name and Principal</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auto"/>
              </w:rPr>
              <w:t>Salary</w:t>
            </w:r>
          </w:p>
        </w:tc>
        <w:tc>
          <w:tcPr>
            <w:tcW w:w="90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3"/>
                <w:szCs w:val="13"/>
                <w:color w:val="auto"/>
              </w:rPr>
            </w:pPr>
          </w:p>
        </w:tc>
        <w:tc>
          <w:tcPr>
            <w:tcW w:w="11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Compensation</w:t>
            </w:r>
          </w:p>
        </w:tc>
        <w:tc>
          <w:tcPr>
            <w:tcW w:w="1220" w:type="dxa"/>
            <w:vAlign w:val="bottom"/>
            <w:gridSpan w:val="2"/>
          </w:tcPr>
          <w:p>
            <w:pPr>
              <w:jc w:val="center"/>
              <w:ind w:left="142"/>
              <w:spacing w:after="0" w:line="157" w:lineRule="exact"/>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3"/>
                <w:szCs w:val="13"/>
                <w:color w:val="auto"/>
              </w:rPr>
            </w:pPr>
          </w:p>
        </w:tc>
        <w:tc>
          <w:tcPr>
            <w:tcW w:w="1020" w:type="dxa"/>
            <w:vAlign w:val="bottom"/>
            <w:gridSpan w:val="2"/>
          </w:tcPr>
          <w:p>
            <w:pPr>
              <w:ind w:left="280"/>
              <w:spacing w:after="0" w:line="157" w:lineRule="exact"/>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90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920" w:type="dxa"/>
            <w:vAlign w:val="bottom"/>
          </w:tcPr>
          <w:p>
            <w:pPr>
              <w:jc w:val="cente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200" w:type="dxa"/>
            <w:vAlign w:val="bottom"/>
          </w:tcPr>
          <w:p>
            <w:pPr>
              <w:spacing w:after="0"/>
              <w:rPr>
                <w:sz w:val="15"/>
                <w:szCs w:val="15"/>
                <w:color w:val="auto"/>
              </w:rPr>
            </w:pPr>
          </w:p>
        </w:tc>
        <w:tc>
          <w:tcPr>
            <w:tcW w:w="920" w:type="dxa"/>
            <w:vAlign w:val="bottom"/>
          </w:tcPr>
          <w:p>
            <w:pPr>
              <w:jc w:val="cente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200" w:type="dxa"/>
            <w:vAlign w:val="bottom"/>
          </w:tcPr>
          <w:p>
            <w:pPr>
              <w:spacing w:after="0"/>
              <w:rPr>
                <w:sz w:val="15"/>
                <w:szCs w:val="15"/>
                <w:color w:val="auto"/>
              </w:rPr>
            </w:pPr>
          </w:p>
        </w:tc>
        <w:tc>
          <w:tcPr>
            <w:tcW w:w="1020" w:type="dxa"/>
            <w:vAlign w:val="bottom"/>
          </w:tcPr>
          <w:p>
            <w:pPr>
              <w:jc w:val="cente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(3)</w:t>
            </w:r>
          </w:p>
        </w:tc>
        <w:tc>
          <w:tcPr>
            <w:tcW w:w="1220" w:type="dxa"/>
            <w:vAlign w:val="bottom"/>
            <w:gridSpan w:val="2"/>
          </w:tcPr>
          <w:p>
            <w:pPr>
              <w:jc w:val="center"/>
              <w:ind w:left="12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920" w:type="dxa"/>
            <w:vAlign w:val="bottom"/>
          </w:tcPr>
          <w:p>
            <w:pPr>
              <w:jc w:val="right"/>
              <w:ind w:right="3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182"/>
        </w:trPr>
        <w:tc>
          <w:tcPr>
            <w:tcW w:w="180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6"/>
                <w:szCs w:val="16"/>
                <w:color w:val="auto"/>
              </w:rPr>
              <w:t>Mark Litton, Ph.D.,</w:t>
            </w:r>
          </w:p>
        </w:tc>
        <w:tc>
          <w:tcPr>
            <w:tcW w:w="120" w:type="dxa"/>
            <w:vAlign w:val="bottom"/>
            <w:tcBorders>
              <w:top w:val="single" w:sz="8" w:color="CFF0FC"/>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189"/>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President and</w:t>
            </w: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Chief Executive</w:t>
            </w: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Officer</w:t>
            </w:r>
          </w:p>
        </w:tc>
        <w:tc>
          <w:tcPr>
            <w:tcW w:w="9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470,000</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920,400</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1,328,006</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42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(6)</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2,974,729</w:t>
            </w:r>
          </w:p>
        </w:tc>
        <w:tc>
          <w:tcPr>
            <w:tcW w:w="100" w:type="dxa"/>
            <w:vAlign w:val="bottom"/>
            <w:shd w:val="clear" w:color="auto" w:fill="CFF0FC"/>
          </w:tcPr>
          <w:p>
            <w:pPr>
              <w:spacing w:after="0"/>
              <w:rPr>
                <w:sz w:val="17"/>
                <w:szCs w:val="17"/>
                <w:color w:val="auto"/>
              </w:rPr>
            </w:pPr>
          </w:p>
        </w:tc>
      </w:tr>
      <w:tr>
        <w:trPr>
          <w:trHeight w:val="188"/>
        </w:trPr>
        <w:tc>
          <w:tcPr>
            <w:tcW w:w="1920" w:type="dxa"/>
            <w:vAlign w:val="bottom"/>
            <w:gridSpan w:val="2"/>
          </w:tcPr>
          <w:p>
            <w:pPr>
              <w:spacing w:after="0"/>
              <w:rPr>
                <w:sz w:val="20"/>
                <w:szCs w:val="20"/>
                <w:color w:val="auto"/>
              </w:rPr>
            </w:pPr>
            <w:r>
              <w:rPr>
                <w:rFonts w:ascii="Arial" w:cs="Arial" w:eastAsia="Arial" w:hAnsi="Arial"/>
                <w:sz w:val="16"/>
                <w:szCs w:val="16"/>
                <w:color w:val="auto"/>
              </w:rPr>
              <w:t>Rachel Lenington,</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Chief Operating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Officer</w:t>
            </w:r>
          </w:p>
        </w:tc>
        <w:tc>
          <w:tcPr>
            <w:tcW w:w="980" w:type="dxa"/>
            <w:vAlign w:val="bottom"/>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230,500</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460,200</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1,754,205</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110,640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123</w:t>
            </w:r>
          </w:p>
        </w:tc>
        <w:tc>
          <w:tcPr>
            <w:tcW w:w="420" w:type="dxa"/>
            <w:vAlign w:val="bottom"/>
          </w:tcPr>
          <w:p>
            <w:pPr>
              <w:jc w:val="right"/>
              <w:ind w:right="51"/>
              <w:spacing w:after="0"/>
              <w:rPr>
                <w:sz w:val="20"/>
                <w:szCs w:val="20"/>
                <w:color w:val="auto"/>
              </w:rPr>
            </w:pPr>
            <w:r>
              <w:rPr>
                <w:rFonts w:ascii="Arial" w:cs="Arial" w:eastAsia="Arial" w:hAnsi="Arial"/>
                <w:sz w:val="14"/>
                <w:szCs w:val="14"/>
                <w:color w:val="auto"/>
              </w:rPr>
              <w:t>(6)</w:t>
            </w:r>
          </w:p>
        </w:tc>
        <w:tc>
          <w:tcPr>
            <w:tcW w:w="920" w:type="dxa"/>
            <w:vAlign w:val="bottom"/>
          </w:tcPr>
          <w:p>
            <w:pPr>
              <w:jc w:val="right"/>
              <w:spacing w:after="0"/>
              <w:rPr>
                <w:sz w:val="20"/>
                <w:szCs w:val="20"/>
                <w:color w:val="auto"/>
              </w:rPr>
            </w:pPr>
            <w:r>
              <w:rPr>
                <w:rFonts w:ascii="Arial" w:cs="Arial" w:eastAsia="Arial" w:hAnsi="Arial"/>
                <w:sz w:val="16"/>
                <w:szCs w:val="16"/>
                <w:color w:val="auto"/>
              </w:rPr>
              <w:t>2,555,668</w:t>
            </w:r>
          </w:p>
        </w:tc>
        <w:tc>
          <w:tcPr>
            <w:tcW w:w="100" w:type="dxa"/>
            <w:vAlign w:val="bottom"/>
          </w:tcPr>
          <w:p>
            <w:pPr>
              <w:spacing w:after="0"/>
              <w:rPr>
                <w:sz w:val="17"/>
                <w:szCs w:val="17"/>
                <w:color w:val="auto"/>
              </w:rPr>
            </w:pPr>
          </w:p>
        </w:tc>
      </w:tr>
      <w:tr>
        <w:trPr>
          <w:trHeight w:val="188"/>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Worthington,</w:t>
            </w: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General</w:t>
            </w: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Counsel</w:t>
            </w:r>
          </w:p>
        </w:tc>
        <w:tc>
          <w:tcPr>
            <w:tcW w:w="9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229,583</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460,200</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1,747,230</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42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(6)</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2,547,336</w:t>
            </w:r>
          </w:p>
        </w:tc>
        <w:tc>
          <w:tcPr>
            <w:tcW w:w="100" w:type="dxa"/>
            <w:vAlign w:val="bottom"/>
            <w:shd w:val="clear" w:color="auto" w:fill="CFF0FC"/>
          </w:tcPr>
          <w:p>
            <w:pPr>
              <w:spacing w:after="0"/>
              <w:rPr>
                <w:sz w:val="17"/>
                <w:szCs w:val="17"/>
                <w:color w:val="auto"/>
              </w:rPr>
            </w:pPr>
          </w:p>
        </w:tc>
      </w:tr>
      <w:tr>
        <w:trPr>
          <w:trHeight w:val="188"/>
        </w:trPr>
        <w:tc>
          <w:tcPr>
            <w:tcW w:w="1920" w:type="dxa"/>
            <w:vAlign w:val="bottom"/>
            <w:gridSpan w:val="2"/>
          </w:tcPr>
          <w:p>
            <w:pPr>
              <w:spacing w:after="0"/>
              <w:rPr>
                <w:sz w:val="20"/>
                <w:szCs w:val="20"/>
                <w:color w:val="auto"/>
              </w:rPr>
            </w:pPr>
            <w:r>
              <w:rPr>
                <w:rFonts w:ascii="Arial" w:cs="Arial" w:eastAsia="Arial" w:hAnsi="Arial"/>
                <w:sz w:val="16"/>
                <w:szCs w:val="16"/>
                <w:color w:val="auto"/>
              </w:rPr>
              <w:t>Leen Kawas,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Ph.D., Former</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President and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Chief Executive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Officer</w:t>
            </w:r>
          </w:p>
        </w:tc>
        <w:tc>
          <w:tcPr>
            <w:tcW w:w="980" w:type="dxa"/>
            <w:vAlign w:val="bottom"/>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445,269</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3,609,052</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513,833</w:t>
            </w:r>
          </w:p>
        </w:tc>
        <w:tc>
          <w:tcPr>
            <w:tcW w:w="420" w:type="dxa"/>
            <w:vAlign w:val="bottom"/>
          </w:tcPr>
          <w:p>
            <w:pPr>
              <w:jc w:val="right"/>
              <w:ind w:right="51"/>
              <w:spacing w:after="0"/>
              <w:rPr>
                <w:sz w:val="20"/>
                <w:szCs w:val="20"/>
                <w:color w:val="auto"/>
              </w:rPr>
            </w:pPr>
            <w:r>
              <w:rPr>
                <w:rFonts w:ascii="Arial" w:cs="Arial" w:eastAsia="Arial" w:hAnsi="Arial"/>
                <w:sz w:val="14"/>
                <w:szCs w:val="14"/>
                <w:color w:val="auto"/>
              </w:rPr>
              <w:t>(5)</w:t>
            </w:r>
          </w:p>
        </w:tc>
        <w:tc>
          <w:tcPr>
            <w:tcW w:w="920" w:type="dxa"/>
            <w:vAlign w:val="bottom"/>
          </w:tcPr>
          <w:p>
            <w:pPr>
              <w:jc w:val="right"/>
              <w:spacing w:after="0"/>
              <w:rPr>
                <w:sz w:val="20"/>
                <w:szCs w:val="20"/>
                <w:color w:val="auto"/>
              </w:rPr>
            </w:pPr>
            <w:r>
              <w:rPr>
                <w:rFonts w:ascii="Arial" w:cs="Arial" w:eastAsia="Arial" w:hAnsi="Arial"/>
                <w:sz w:val="16"/>
                <w:szCs w:val="16"/>
                <w:color w:val="auto"/>
              </w:rPr>
              <w:t>4,568,154</w:t>
            </w:r>
          </w:p>
        </w:tc>
        <w:tc>
          <w:tcPr>
            <w:tcW w:w="100" w:type="dxa"/>
            <w:vAlign w:val="bottom"/>
          </w:tcPr>
          <w:p>
            <w:pPr>
              <w:spacing w:after="0"/>
              <w:rPr>
                <w:sz w:val="17"/>
                <w:szCs w:val="17"/>
                <w:color w:val="auto"/>
              </w:rPr>
            </w:pPr>
          </w:p>
        </w:tc>
      </w:tr>
      <w:tr>
        <w:trPr>
          <w:trHeight w:val="215"/>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349,372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357,100</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642,570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1,349,042</w:t>
            </w:r>
          </w:p>
        </w:tc>
        <w:tc>
          <w:tcPr>
            <w:tcW w:w="100" w:type="dxa"/>
            <w:vAlign w:val="bottom"/>
          </w:tcPr>
          <w:p>
            <w:pPr>
              <w:spacing w:after="0"/>
              <w:rPr>
                <w:sz w:val="18"/>
                <w:szCs w:val="18"/>
                <w:color w:val="auto"/>
              </w:rPr>
            </w:pPr>
          </w:p>
        </w:tc>
      </w:tr>
    </w:tbl>
    <w:p>
      <w:pPr>
        <w:spacing w:after="0" w:line="155" w:lineRule="exact"/>
        <w:rPr>
          <w:sz w:val="20"/>
          <w:szCs w:val="20"/>
          <w:color w:val="auto"/>
        </w:rPr>
      </w:pPr>
    </w:p>
    <w:p>
      <w:pPr>
        <w:jc w:val="both"/>
        <w:ind w:left="580" w:hanging="572"/>
        <w:spacing w:after="0" w:line="169" w:lineRule="exact"/>
        <w:tabs>
          <w:tab w:leader="none" w:pos="58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 xml:space="preserve">In </w:t>
      </w:r>
      <w:r>
        <w:rPr>
          <w:rFonts w:ascii="Times New Roman" w:cs="Times New Roman" w:eastAsia="Times New Roman" w:hAnsi="Times New Roman"/>
          <w:sz w:val="14"/>
          <w:szCs w:val="14"/>
          <w:color w:val="auto"/>
        </w:rPr>
        <w:t>accordance with SEC rules, amounts in this column reflect the aggregate grant date fair value of performance RSU awards granted during 2021 reflecting the probable outcome of</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such performance conditions computed in accordance with ASC Topic 718, rather than the amounts paid or realized by the named executive officer. For a discussion of valuation assumptions, see Note 12 to our financial statements included in our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the year ended December 31, 2021, filed with the SEC on or about March 28, 2022. The fair value of the performance RSUs at the grant date has been calculated assuming that the highest level of performance conditions will be achieved for each award</w:t>
      </w:r>
      <w:r>
        <w:rPr>
          <w:rFonts w:ascii="Arial" w:cs="Arial" w:eastAsia="Arial" w:hAnsi="Arial"/>
          <w:sz w:val="14"/>
          <w:szCs w:val="14"/>
          <w:color w:val="auto"/>
        </w:rPr>
        <w:t>.</w:t>
      </w:r>
    </w:p>
    <w:p>
      <w:pPr>
        <w:spacing w:after="0" w:line="14" w:lineRule="exact"/>
        <w:rPr>
          <w:rFonts w:ascii="Arial" w:cs="Arial" w:eastAsia="Arial" w:hAnsi="Arial"/>
          <w:sz w:val="24"/>
          <w:szCs w:val="24"/>
          <w:color w:val="auto"/>
          <w:vertAlign w:val="superscript"/>
        </w:rPr>
      </w:pPr>
    </w:p>
    <w:p>
      <w:pPr>
        <w:jc w:val="both"/>
        <w:ind w:left="580" w:hanging="572"/>
        <w:spacing w:after="0" w:line="172" w:lineRule="exact"/>
        <w:tabs>
          <w:tab w:leader="none" w:pos="58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In accordance with SEC rules, amounts in this column reflect the aggregate grant date fair value of stock options granted during 2020 and 2021 computed in accordance with ASC Topic 718, rather than the amounts paid or realized by the named executive officer. For a discussion of valuation assumptions, see Note 12 to our financial statements included in each of our Annual Reports on Form 10</w:t>
      </w:r>
      <w:r>
        <w:rPr>
          <w:rFonts w:ascii="MS PGothic" w:cs="MS PGothic" w:eastAsia="MS PGothic" w:hAnsi="MS PGothic"/>
          <w:sz w:val="14"/>
          <w:szCs w:val="14"/>
          <w:color w:val="auto"/>
        </w:rPr>
        <w:t>‑</w:t>
      </w:r>
      <w:r>
        <w:rPr>
          <w:rFonts w:ascii="Arial" w:cs="Arial" w:eastAsia="Arial" w:hAnsi="Arial"/>
          <w:sz w:val="14"/>
          <w:szCs w:val="14"/>
          <w:color w:val="auto"/>
        </w:rPr>
        <w:t>K for the years ended December 31, 2020 and December 31, 2021.</w:t>
      </w:r>
    </w:p>
    <w:p>
      <w:pPr>
        <w:ind w:left="580" w:hanging="572"/>
        <w:spacing w:after="0" w:line="183" w:lineRule="auto"/>
        <w:tabs>
          <w:tab w:leader="none" w:pos="580" w:val="left"/>
        </w:tabs>
        <w:numPr>
          <w:ilvl w:val="0"/>
          <w:numId w:val="28"/>
        </w:numPr>
        <w:rPr>
          <w:rFonts w:ascii="Arial" w:cs="Arial" w:eastAsia="Arial" w:hAnsi="Arial"/>
          <w:sz w:val="20"/>
          <w:szCs w:val="20"/>
          <w:color w:val="auto"/>
          <w:vertAlign w:val="superscript"/>
        </w:rPr>
      </w:pPr>
      <w:r>
        <w:rPr>
          <w:rFonts w:ascii="Arial" w:cs="Arial" w:eastAsia="Arial" w:hAnsi="Arial"/>
          <w:sz w:val="12"/>
          <w:szCs w:val="12"/>
          <w:color w:val="auto"/>
        </w:rPr>
        <w:t>Represents cash bonuses earned by the named executive officers pursuant to our Executive Incentive Compensation Plan for 2021 performance, paid in 2022.</w:t>
      </w:r>
    </w:p>
    <w:p>
      <w:pPr>
        <w:spacing w:after="0" w:line="27" w:lineRule="exact"/>
        <w:rPr>
          <w:rFonts w:ascii="Arial" w:cs="Arial" w:eastAsia="Arial" w:hAnsi="Arial"/>
          <w:sz w:val="20"/>
          <w:szCs w:val="20"/>
          <w:color w:val="auto"/>
          <w:vertAlign w:val="superscript"/>
        </w:rPr>
      </w:pPr>
    </w:p>
    <w:p>
      <w:pPr>
        <w:jc w:val="both"/>
        <w:ind w:left="580" w:hanging="572"/>
        <w:spacing w:after="0" w:line="195" w:lineRule="auto"/>
        <w:tabs>
          <w:tab w:leader="none" w:pos="58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Represents (a) a discretionary bonus payment of $357,000 in recognition of Company and individual performance in the year ended December 31, 2020, including the advancement of our product candidates, completion of certain financings and other corporate achievements, and (b) a $100 payment made in consideration of Dr. Kawas’s entry into a non-disclosure and confidentiality agreement with us in 2020.</w:t>
      </w:r>
    </w:p>
    <w:p>
      <w:pPr>
        <w:ind w:left="580" w:hanging="572"/>
        <w:spacing w:after="0" w:line="185" w:lineRule="auto"/>
        <w:tabs>
          <w:tab w:leader="none" w:pos="58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Represents severance compensation, including (a) a one-time lump sum payment of $510,000 equal to one year’s salary at the time of Dr. Kawas’ separation, and (b) 18-months’ worth of continuing COBRA coverage which commenced in November 2021 following Dr. Kawas’ separation.</w:t>
      </w:r>
    </w:p>
    <w:p>
      <w:pPr>
        <w:spacing w:after="0" w:line="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8"/>
        </w:numPr>
        <w:rPr>
          <w:rFonts w:ascii="Arial" w:cs="Arial" w:eastAsia="Arial" w:hAnsi="Arial"/>
          <w:sz w:val="23"/>
          <w:szCs w:val="23"/>
          <w:color w:val="auto"/>
          <w:vertAlign w:val="superscript"/>
        </w:rPr>
      </w:pPr>
      <w:r>
        <w:rPr>
          <w:rFonts w:ascii="Arial" w:cs="Arial" w:eastAsia="Arial" w:hAnsi="Arial"/>
          <w:sz w:val="14"/>
          <w:szCs w:val="14"/>
          <w:color w:val="auto"/>
        </w:rPr>
        <w:t>Represents payments made on the executive’s behalf for basic life insurance and accidental death and dismemberment insurance.</w:t>
      </w:r>
    </w:p>
    <w:p>
      <w:pPr>
        <w:spacing w:after="0" w:line="170" w:lineRule="exact"/>
        <w:rPr>
          <w:rFonts w:ascii="Arial" w:cs="Arial" w:eastAsia="Arial" w:hAnsi="Arial"/>
          <w:sz w:val="23"/>
          <w:szCs w:val="23"/>
          <w:color w:val="auto"/>
          <w:vertAlign w:val="superscript"/>
        </w:rPr>
      </w:pPr>
    </w:p>
    <w:p>
      <w:pPr>
        <w:ind w:left="5520" w:hanging="122"/>
        <w:spacing w:after="0"/>
        <w:tabs>
          <w:tab w:leader="none" w:pos="5520" w:val="left"/>
        </w:tabs>
        <w:numPr>
          <w:ilvl w:val="1"/>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33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-1814195</wp:posOffset>
            </wp:positionV>
            <wp:extent cx="7283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Outstanding Equity Awards at December 31, 2021</w:t>
      </w:r>
    </w:p>
    <w:p>
      <w:pPr>
        <w:spacing w:after="0" w:line="104"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color w:val="auto"/>
        </w:rPr>
        <w:t>The following table shows grants of stock options and restricted stock units to each of our named executive officers outstanding at December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ind w:left="560"/>
              <w:spacing w:after="0"/>
              <w:rPr>
                <w:sz w:val="20"/>
                <w:szCs w:val="20"/>
                <w:color w:val="auto"/>
              </w:rPr>
            </w:pPr>
            <w:r>
              <w:rPr>
                <w:rFonts w:ascii="Arial" w:cs="Arial" w:eastAsia="Arial" w:hAnsi="Arial"/>
                <w:sz w:val="14"/>
                <w:szCs w:val="14"/>
                <w:b w:val="1"/>
                <w:bCs w:val="1"/>
                <w:color w:val="auto"/>
              </w:rPr>
              <w:t>Stock Awards</w:t>
            </w:r>
          </w:p>
        </w:tc>
      </w:tr>
      <w:tr>
        <w:trPr>
          <w:trHeight w:val="17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80" w:type="dxa"/>
            <w:vAlign w:val="bottom"/>
            <w:tcBorders>
              <w:bottom w:val="single" w:sz="8" w:color="auto"/>
            </w:tcBorders>
            <w:gridSpan w:val="8"/>
          </w:tcPr>
          <w:p>
            <w:pPr>
              <w:jc w:val="right"/>
              <w:ind w:right="468"/>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10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(unvested)</w:t>
            </w:r>
          </w:p>
        </w:tc>
        <w:tc>
          <w:tcPr>
            <w:tcW w:w="100" w:type="dxa"/>
            <w:vAlign w:val="bottom"/>
          </w:tcPr>
          <w:p>
            <w:pPr>
              <w:spacing w:after="0"/>
              <w:rPr>
                <w:sz w:val="14"/>
                <w:szCs w:val="14"/>
                <w:color w:val="auto"/>
              </w:rPr>
            </w:pPr>
          </w:p>
        </w:tc>
      </w:tr>
      <w:tr>
        <w:trPr>
          <w:trHeight w:val="160"/>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rPr>
              <w:t>Market</w:t>
            </w: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value</w:t>
            </w: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Vesting</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Option Exercise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shares</w:t>
            </w: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Commencement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Unexercisable</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Price</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Expiration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3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or units</w:t>
            </w:r>
          </w:p>
        </w:tc>
      </w:tr>
      <w:tr>
        <w:trPr>
          <w:trHeight w:val="171"/>
        </w:trPr>
        <w:tc>
          <w:tcPr>
            <w:tcW w:w="28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w:t>
            </w:r>
          </w:p>
        </w:tc>
        <w:tc>
          <w:tcPr>
            <w:tcW w:w="3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4"/>
                <w:szCs w:val="14"/>
                <w:color w:val="auto"/>
              </w:rPr>
            </w:pPr>
          </w:p>
        </w:tc>
      </w:tr>
      <w:tr>
        <w:trPr>
          <w:trHeight w:val="169"/>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Mark Litton, Ph.D.</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07/1/2019</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100,880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08/14/2029</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08/26/2020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11,664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34,993</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17.00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09/16/2030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2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01/8/2021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85,000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21.15</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02/17/2031</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11/3/2021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60,000</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781,800</w:t>
            </w:r>
          </w:p>
        </w:tc>
        <w:tc>
          <w:tcPr>
            <w:tcW w:w="100" w:type="dxa"/>
            <w:vAlign w:val="bottom"/>
          </w:tcPr>
          <w:p>
            <w:pPr>
              <w:spacing w:after="0"/>
              <w:rPr>
                <w:sz w:val="15"/>
                <w:szCs w:val="15"/>
                <w:color w:val="auto"/>
              </w:rPr>
            </w:pPr>
          </w:p>
        </w:tc>
      </w:tr>
      <w:tr>
        <w:trPr>
          <w:trHeight w:val="175"/>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Rachel Lenington</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06/14/2021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15.34</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11/3/2021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390,900</w:t>
            </w:r>
          </w:p>
        </w:tc>
        <w:tc>
          <w:tcPr>
            <w:tcW w:w="100" w:type="dxa"/>
            <w:vAlign w:val="bottom"/>
          </w:tcPr>
          <w:p>
            <w:pPr>
              <w:spacing w:after="0"/>
              <w:rPr>
                <w:sz w:val="15"/>
                <w:szCs w:val="15"/>
                <w:color w:val="auto"/>
              </w:rPr>
            </w:pPr>
          </w:p>
        </w:tc>
      </w:tr>
      <w:tr>
        <w:trPr>
          <w:trHeight w:val="175"/>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Mark Worthington</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06/1/2021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15.34</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11/3/2021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390,900</w:t>
            </w:r>
          </w:p>
        </w:tc>
        <w:tc>
          <w:tcPr>
            <w:tcW w:w="100" w:type="dxa"/>
            <w:vAlign w:val="bottom"/>
          </w:tcPr>
          <w:p>
            <w:pPr>
              <w:spacing w:after="0"/>
              <w:rPr>
                <w:sz w:val="15"/>
                <w:szCs w:val="15"/>
                <w:color w:val="auto"/>
              </w:rPr>
            </w:pPr>
          </w:p>
        </w:tc>
      </w:tr>
      <w:tr>
        <w:trPr>
          <w:trHeight w:val="176"/>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Leen Kawas, Ph.D.</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01/20/2014</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25,220</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0.16</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08/28/2024</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08/29/2014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50,440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0.16</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08/28/2024</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10/24/2015</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134,120</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0.48</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10/23/2025</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12/01/2017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63,050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1.31</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01/21/2023</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01/01/2019</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21,016</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12/17/2023</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4"/>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08/26/2020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52,489</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17.00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09/16/2030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147" w:lineRule="exact"/>
        <w:rPr>
          <w:sz w:val="20"/>
          <w:szCs w:val="20"/>
          <w:color w:val="auto"/>
        </w:rPr>
      </w:pPr>
    </w:p>
    <w:p>
      <w:pPr>
        <w:ind w:left="580" w:hanging="572"/>
        <w:spacing w:after="0" w:line="193" w:lineRule="auto"/>
        <w:tabs>
          <w:tab w:leader="none" w:pos="58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13" w:lineRule="exact"/>
        <w:rPr>
          <w:rFonts w:ascii="Arial" w:cs="Arial" w:eastAsia="Arial" w:hAnsi="Arial"/>
          <w:sz w:val="24"/>
          <w:szCs w:val="24"/>
          <w:color w:val="auto"/>
          <w:vertAlign w:val="superscript"/>
        </w:rPr>
      </w:pPr>
    </w:p>
    <w:p>
      <w:pPr>
        <w:ind w:left="580" w:hanging="572"/>
        <w:spacing w:after="0" w:line="193" w:lineRule="auto"/>
        <w:tabs>
          <w:tab w:leader="none" w:pos="58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In connection with the cessation of Dr. Kawas’s employment and pursuant to the terms of her separation agreement dated October 18, 2021, all of Dr. Kawas’s unvested options terminated on that date.</w:t>
      </w:r>
    </w:p>
    <w:p>
      <w:pPr>
        <w:spacing w:after="0" w:line="13" w:lineRule="exact"/>
        <w:rPr>
          <w:rFonts w:ascii="Arial" w:cs="Arial" w:eastAsia="Arial" w:hAnsi="Arial"/>
          <w:sz w:val="24"/>
          <w:szCs w:val="24"/>
          <w:color w:val="auto"/>
          <w:vertAlign w:val="superscript"/>
        </w:rPr>
      </w:pPr>
    </w:p>
    <w:p>
      <w:pPr>
        <w:jc w:val="both"/>
        <w:ind w:left="580" w:hanging="572"/>
        <w:spacing w:after="0" w:line="224" w:lineRule="auto"/>
        <w:tabs>
          <w:tab w:leader="none" w:pos="58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The performance RSU awards are earned and become eligible to vest in three equal tranches in accordance with the following schedule: One third (1/3rd) of the number of shares subject to the RSU award shall vest at the completion of the public readout of topline results of the Company’s ACT-AD Phase 2 clinical trial, one third (1/3rd) of the number of shares subject to the RSU award shall vest at the completion of the public readout of topline results of the Company’s LIFT-AD Phase 2/3 clinical trial (the “LIFT-AD Readout”), and the remaining one third (1/3rd) of the number of shares subject to the RSU award shall be scheduled to vest six (6) months after the LIFT-AD Readout, in each case subject to continued service with us through the applicable vesting date. In addition, the vesting of the performance RSUs may be accelerated in the event that, on or within 12 months following a Change in Control (within the meaning of the 2020 Equity Incentive Plan), the award recipient is terminated by the Company without “cause” (as defined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-1200785</wp:posOffset>
            </wp:positionV>
            <wp:extent cx="7283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04"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Mark Litton</w:t>
      </w:r>
    </w:p>
    <w:p>
      <w:pPr>
        <w:spacing w:after="0" w:line="102"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In September 2020, we entered into a confirmatory employment letter with Dr. Litton, our president and chief executive officer and former chief operating officer. The confirmatory employment letter has no specific term and provides that Dr. Litton is an at-will employee and supersedes all prior employment agreements between Dr. Litton and us. In connection with Dr. Litton’s appointment as our president and chief executive officer, the board of directors approved an increase to his 2021 base salary to $510,000 effective October 1, 2021. The confirmatory employment letter provides for an annual target cash incentive payment equal to 40% of his annual base salary.</w:t>
      </w:r>
    </w:p>
    <w:p>
      <w:pPr>
        <w:spacing w:after="0" w:line="176"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In January 2022, the board, upon recommendation of the compensation committee of the board, approved an increase to Dr. Litton’s annual base salary from $510,000 to $543,400, effective as of January 1, 2022, as well as an increase to Dr. Litton’s target annual bonus amount under the Company’s bonus plan from 40% to 50% of Dr. Litton’s annual base salary. The board also approved the Company’s entry into an Amended and Restated Change in Control and Severance Agreement with Dr. Litton. A summary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34</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of this amended agreement is set forth below in the section titled ‘Change in Control and Severance Agreements’.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Rachel Lenington</w:t>
      </w:r>
    </w:p>
    <w:p>
      <w:pPr>
        <w:spacing w:after="0" w:line="102"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In May 2021, we entered into an offer letter with Ms. Lenington, our chief operating officer and former chief technology officer and head of product development strategy. The offer letter has no specific term and provides that Ms. Lenington is an at-will employee. The offer letter provides for an annual base salary of $410,000 and, for the 2021 fiscal year, an annual target cash incentive payment equal to 40% of her annual base salary. In connection with Ms. Lenington’s appointment as our chief operating officer, the board of directors approved an increase to her 2021 base salary to $430,000 effective October 1,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Worthington</w:t>
      </w:r>
    </w:p>
    <w:p>
      <w:pPr>
        <w:spacing w:after="0" w:line="10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In May 2021, we entered into an offer letter with Mr. Worthington, our general counsel and corporate secretary. The offer letter has no specific term and provides that Mr. Worthington is an at-will employee. The offer letter provides for an annual base salary of $385,000 and, for the 2021 fiscal year, an annual target cash incentive payment equal to 40% of his annual base salary.</w:t>
      </w:r>
    </w:p>
    <w:p>
      <w:pPr>
        <w:spacing w:after="0" w:line="16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In October 2021, the board approved an increase to Mr. Worthington’s annual base salary from $385,000 to $405,000, effective as of October 1,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0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In September 2020, we entered into a confirmatory employment letter with Dr. Kawas, our former president and chief executive officer. The confirmatory employment letter provided for an annual base salary of $510,000 effective upon our initial public offering and, for the 2020 fiscal year, an annual target cash incentive payment equal to 50% of her annual base salary.</w:t>
      </w:r>
    </w:p>
    <w:p>
      <w:pPr>
        <w:spacing w:after="0" w:line="169"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color w:val="auto"/>
        </w:rPr>
        <w:t>In October 2021, we entered into a separation agreement with Dr. Kawas, pursuant to which Dr. Kawas (1) received a lump sum equivalent to one year of her base salary, for a total of $510,000, less applicable withholdings; and (2) is eligible for reimbursement of continued health coverage for herself and her dependents under COBRA for a period of up to 18 months, unless her and her dependents become covered under similar plans or are no longer eligible for continuation coverage under COBRA. Dr. Kawas’s receipt of the foregoing severance benefits is subject to her continued compliance with the terms of her confirmatory employment letter, confidential information, invention assignment, and arbitration agreement and separation agreement, which agreement includes a release of claims and certain customary confidentiality, non-solicitation, non-competition and non-disparagement provisions. In addition, under the separation agreement, Dr. Kawas retained previously granted options, vested as of the effective date of the Separation Agreement, for 363,535 shares of the Company’s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Performance RSU Awards</w:t>
      </w:r>
    </w:p>
    <w:p>
      <w:pPr>
        <w:spacing w:after="0" w:line="102"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In November 2021, the compensation committee approved grants of performance-based RSU awards under the Company’s 2020 Equity Incentive Plan to Dr. Litton, Ms. Lenington and Mr. Worthington to provide additional performance incentives aligned with key strategic goals. The number and vesting terms of the performance-based RSU awards are set forth in the table entitled “Outstanding Equity Awards at December 31, 2021.” The performance RSU agreements provide for 100% vesting acceleration in the event that, on or within 12 months following a Change in Control (within the meaning of the 2020 Equity Incentive Plan), the award recipient is terminated by the Company without “cause” (as defined in the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35</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0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In June 2021, we entered into change in control and severance agreements with Ms. Lenington and Mr. Worthington, and in January 2022 we entered into an amended change in control and severance agreement with Dr. Litton, which agreements provide for certain severance and change in control benefits as described below.</w:t>
      </w:r>
    </w:p>
    <w:p>
      <w:pPr>
        <w:spacing w:after="0" w:line="169"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71" w:lineRule="exact"/>
        <w:rPr>
          <w:sz w:val="20"/>
          <w:szCs w:val="20"/>
          <w:color w:val="auto"/>
        </w:rPr>
      </w:pPr>
    </w:p>
    <w:p>
      <w:pPr>
        <w:jc w:val="both"/>
        <w:ind w:left="1160" w:hanging="572"/>
        <w:spacing w:after="0" w:line="252" w:lineRule="auto"/>
        <w:tabs>
          <w:tab w:leader="none" w:pos="11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9 months (or 12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62" w:lineRule="exact"/>
        <w:rPr>
          <w:rFonts w:ascii="Times New Roman" w:cs="Times New Roman" w:eastAsia="Times New Roman" w:hAnsi="Times New Roman"/>
          <w:sz w:val="18"/>
          <w:szCs w:val="18"/>
          <w:color w:val="auto"/>
        </w:rPr>
      </w:pPr>
    </w:p>
    <w:p>
      <w:pPr>
        <w:jc w:val="both"/>
        <w:ind w:left="1160" w:hanging="572"/>
        <w:spacing w:after="0" w:line="252" w:lineRule="auto"/>
        <w:tabs>
          <w:tab w:leader="none" w:pos="11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the named executive officer and his or her eligible dependents, if any, for up to 9 months (or up to 12 months for Dr. Litton).</w:t>
      </w:r>
    </w:p>
    <w:p>
      <w:pPr>
        <w:spacing w:after="0" w:line="62"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 the case of Dr. Litton, 25% accelerated vesting and exercisability of the shares subject to the stock option award granted to Dr. Litton on August 15, 2019, that are outstanding and unvested as of the date of such termination.</w:t>
      </w:r>
    </w:p>
    <w:p>
      <w:pPr>
        <w:spacing w:after="0" w:line="15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66" w:lineRule="exact"/>
        <w:rPr>
          <w:sz w:val="20"/>
          <w:szCs w:val="20"/>
          <w:color w:val="auto"/>
        </w:rPr>
      </w:pPr>
    </w:p>
    <w:p>
      <w:pPr>
        <w:jc w:val="both"/>
        <w:ind w:left="1160" w:hanging="572"/>
        <w:spacing w:after="0" w:line="246" w:lineRule="auto"/>
        <w:tabs>
          <w:tab w:leader="none" w:pos="11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68" w:lineRule="exact"/>
        <w:rPr>
          <w:rFonts w:ascii="Times New Roman" w:cs="Times New Roman" w:eastAsia="Times New Roman" w:hAnsi="Times New Roman"/>
          <w:sz w:val="18"/>
          <w:szCs w:val="18"/>
          <w:color w:val="auto"/>
        </w:rPr>
      </w:pPr>
    </w:p>
    <w:p>
      <w:pPr>
        <w:jc w:val="both"/>
        <w:ind w:left="1160" w:hanging="572"/>
        <w:spacing w:after="0" w:line="252" w:lineRule="auto"/>
        <w:tabs>
          <w:tab w:leader="none" w:pos="11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100% (or 150% in the case of Dr. Litton) of the named executive officer’s target annual bonus as in effect for the fiscal year in which such termination occurs or if greater, at the level in effect, immediately prior to the change in control;</w:t>
      </w:r>
    </w:p>
    <w:p>
      <w:pPr>
        <w:spacing w:after="0" w:line="62"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payment of premiums for coverage under COBRA for the named executive officer and the named executive officer’s eligible dependents, if any, for up to 12 months (or up to 18 months for Dr. Litton); and</w:t>
      </w:r>
    </w:p>
    <w:p>
      <w:pPr>
        <w:spacing w:after="0" w:line="46"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5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In addition, the change in control and severance agreement with Dr. Litton provides for 100% accelerated vesting and exercisability of Company equity awards granted under our 2014 Equity Incentive Plan and held by Dr. Litton to the extent such awards are not assumed or substituted for by the successor corporation in a change in control.</w:t>
      </w:r>
    </w:p>
    <w:p>
      <w:pPr>
        <w:spacing w:after="0" w:line="169"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Litton, Ms. Lenington or Mr. Worthington would constitute “parachute payments”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36</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jc w:val="both"/>
        <w:spacing w:after="0" w:line="247" w:lineRule="auto"/>
        <w:rPr>
          <w:sz w:val="20"/>
          <w:szCs w:val="20"/>
          <w:color w:val="auto"/>
        </w:rPr>
      </w:pPr>
      <w:r>
        <w:rPr>
          <w:rFonts w:ascii="Arial" w:cs="Arial" w:eastAsia="Arial" w:hAnsi="Arial"/>
          <w:sz w:val="18"/>
          <w:szCs w:val="18"/>
          <w:color w:val="auto"/>
        </w:rPr>
        <w:t>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7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8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a material reduction in his or her employee benefits (other than (1) in connection with a general decrease in salary (or employee benefits, as applicable) of all similarly situated employees, and (2) following our change in control, to the extent necessary to make his or her salary (or employee benefits, as applicable)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0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17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37</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spacing w:after="0" w:line="244" w:lineRule="auto"/>
        <w:rPr>
          <w:sz w:val="20"/>
          <w:szCs w:val="20"/>
          <w:color w:val="auto"/>
        </w:rPr>
      </w:pPr>
      <w:r>
        <w:rPr>
          <w:rFonts w:ascii="Arial" w:cs="Arial" w:eastAsia="Arial" w:hAnsi="Arial"/>
          <w:sz w:val="18"/>
          <w:szCs w:val="18"/>
          <w:color w:val="auto"/>
        </w:rPr>
        <w:t>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76"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76"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79"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85"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169"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In establishing the annual bonus program for fiscal 2021 under the Executive Incentive Plan, the administrator determined that actual awards would be based upon achievement of corporate goals (the “Corporate Goals”) and/or individual performance criteria during the plan year. The actual award for Dr. Litton was determined solely by achievement of Corporate Goals. The actual awards for Mr. Worthington and Ms. Lenington were determined 75% by achievement of Corporate Goals and 25% by individual performance goals.</w:t>
      </w:r>
    </w:p>
    <w:p>
      <w:pPr>
        <w:spacing w:after="0" w:line="17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Corporate Goals related to enrollment in two specified clinical trials (weighted 30% each), initiating first patient dosing in a specified clinical trial (weighted 20%), achieving certain financing goals (weighted 10%) and submitting an IND for a specified type of asset (weighted 10%).</w:t>
      </w:r>
    </w:p>
    <w:p>
      <w:pPr>
        <w:spacing w:after="0" w:line="169"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Under the Company’s executive bonus plan, payments are made based on our performance with respect to each of the Corporate Goals and individual performance measures to the extent to which each objective was achieved for the year, subject to discretion reserved to the administrator and continued employment of the participant through the date of payment. In January 2022, our compensation committee determined that each of the 2021 Corporate Goals and Mr. Worthington’s and Ms. Lenington’s individual performance goals had been achieved. The annual bonuses awarded to our named executive officers for 2021 are set forth in the “2020-2021 Summary Compensation Table” above.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38</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2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beneficial ownership of our common stock as of March 31, 2022 by:</w:t>
      </w:r>
    </w:p>
    <w:p>
      <w:pPr>
        <w:spacing w:after="0" w:line="104" w:lineRule="exact"/>
        <w:rPr>
          <w:sz w:val="20"/>
          <w:szCs w:val="20"/>
          <w:color w:val="auto"/>
        </w:rPr>
      </w:pPr>
    </w:p>
    <w:p>
      <w:pPr>
        <w:ind w:left="1160" w:hanging="572"/>
        <w:spacing w:after="0"/>
        <w:tabs>
          <w:tab w:leader="none" w:pos="11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executive officers;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 and</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executive officers and directors as a group.</w:t>
      </w:r>
    </w:p>
    <w:p>
      <w:pPr>
        <w:spacing w:after="0" w:line="25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The percentage of beneficial ownership shown in the table is based upon 37,624,058 shares of common stock outstanding as of March 31, 2022.</w:t>
      </w:r>
    </w:p>
    <w:p>
      <w:pPr>
        <w:spacing w:after="0" w:line="154"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March 31, 2022.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39</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ind w:right="20" w:firstLine="589"/>
        <w:spacing w:after="0" w:line="271"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18706 North Creek Parkway, Suite 104, Bothell, Washington 98011.</w:t>
      </w:r>
    </w:p>
    <w:p>
      <w:pPr>
        <w:spacing w:after="0" w:line="200" w:lineRule="exact"/>
        <w:rPr>
          <w:sz w:val="20"/>
          <w:szCs w:val="20"/>
          <w:color w:val="auto"/>
        </w:rPr>
      </w:pP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Shares Beneficially Owned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940" w:type="dxa"/>
            <w:vAlign w:val="bottom"/>
          </w:tcPr>
          <w:p>
            <w:pPr>
              <w:spacing w:after="0"/>
              <w:rPr>
                <w:sz w:val="13"/>
                <w:szCs w:val="13"/>
                <w:color w:val="auto"/>
              </w:rPr>
            </w:pPr>
          </w:p>
        </w:tc>
        <w:tc>
          <w:tcPr>
            <w:tcW w:w="166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rPr>
              <w:t>Number of</w:t>
            </w:r>
          </w:p>
        </w:tc>
        <w:tc>
          <w:tcPr>
            <w:tcW w:w="1500" w:type="dxa"/>
            <w:vAlign w:val="bottom"/>
            <w:gridSpan w:val="2"/>
          </w:tcPr>
          <w:p>
            <w:pPr>
              <w:ind w:left="300"/>
              <w:spacing w:after="0" w:line="160"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5% and Greater Stockholders:</w:t>
            </w: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3,425,916</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BlackRock, Inc.</w:t>
            </w:r>
            <w:r>
              <w:rPr>
                <w:rFonts w:ascii="Arial" w:cs="Arial" w:eastAsia="Arial" w:hAnsi="Arial"/>
                <w:sz w:val="15"/>
                <w:szCs w:val="15"/>
                <w:color w:val="auto"/>
              </w:rPr>
              <w:t>(2)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2,455,684</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Entities affiliated with Franklin Resources, Inc.</w:t>
            </w:r>
            <w:r>
              <w:rPr>
                <w:rFonts w:ascii="Arial" w:cs="Arial" w:eastAsia="Arial" w:hAnsi="Arial"/>
                <w:sz w:val="15"/>
                <w:szCs w:val="15"/>
                <w:color w:val="auto"/>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2,080,050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1,906,557</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Mark Litton</w:t>
            </w:r>
            <w:r>
              <w:rPr>
                <w:rFonts w:ascii="Arial" w:cs="Arial" w:eastAsia="Arial" w:hAnsi="Arial"/>
                <w:sz w:val="15"/>
                <w:szCs w:val="15"/>
                <w:color w:val="auto"/>
              </w:rPr>
              <w:t>(5)</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201,694</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(6)</w:t>
            </w:r>
          </w:p>
        </w:tc>
        <w:tc>
          <w:tcPr>
            <w:tcW w:w="1400" w:type="dxa"/>
            <w:vAlign w:val="bottom"/>
          </w:tcPr>
          <w:p>
            <w:pPr>
              <w:jc w:val="right"/>
              <w:spacing w:after="0"/>
              <w:rPr>
                <w:sz w:val="20"/>
                <w:szCs w:val="20"/>
                <w:color w:val="auto"/>
              </w:rPr>
            </w:pPr>
            <w:r>
              <w:rPr>
                <w:rFonts w:ascii="Arial" w:cs="Arial" w:eastAsia="Arial" w:hAnsi="Arial"/>
                <w:sz w:val="18"/>
                <w:szCs w:val="18"/>
                <w:color w:val="auto"/>
              </w:rPr>
              <w:t>1,748,532</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Rachel Lenington</w:t>
            </w:r>
            <w:r>
              <w:rPr>
                <w:rFonts w:ascii="Arial" w:cs="Arial" w:eastAsia="Arial" w:hAnsi="Arial"/>
                <w:sz w:val="15"/>
                <w:szCs w:val="15"/>
                <w:color w:val="auto"/>
              </w:rPr>
              <w:t>(7)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Hans Moebius</w:t>
            </w:r>
            <w:r>
              <w:rPr>
                <w:rFonts w:ascii="Arial" w:cs="Arial" w:eastAsia="Arial" w:hAnsi="Arial"/>
                <w:sz w:val="15"/>
                <w:szCs w:val="15"/>
                <w:color w:val="auto"/>
              </w:rPr>
              <w:t>(8)</w:t>
            </w:r>
          </w:p>
        </w:tc>
        <w:tc>
          <w:tcPr>
            <w:tcW w:w="1400" w:type="dxa"/>
            <w:vAlign w:val="bottom"/>
          </w:tcPr>
          <w:p>
            <w:pPr>
              <w:jc w:val="right"/>
              <w:spacing w:after="0"/>
              <w:rPr>
                <w:sz w:val="20"/>
                <w:szCs w:val="20"/>
                <w:color w:val="auto"/>
              </w:rPr>
            </w:pPr>
            <w:r>
              <w:rPr>
                <w:rFonts w:ascii="Arial" w:cs="Arial" w:eastAsia="Arial" w:hAnsi="Arial"/>
                <w:sz w:val="18"/>
                <w:szCs w:val="18"/>
                <w:color w:val="auto"/>
              </w:rPr>
              <w:t>100,509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Glenna Mileson</w:t>
            </w:r>
            <w:r>
              <w:rPr>
                <w:rFonts w:ascii="Arial" w:cs="Arial" w:eastAsia="Arial" w:hAnsi="Arial"/>
                <w:sz w:val="15"/>
                <w:szCs w:val="15"/>
                <w:color w:val="auto"/>
              </w:rPr>
              <w:t>(9)</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153,403</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Mark Worthington</w:t>
            </w:r>
            <w:r>
              <w:rPr>
                <w:rFonts w:ascii="Arial" w:cs="Arial" w:eastAsia="Arial" w:hAnsi="Arial"/>
                <w:sz w:val="15"/>
                <w:szCs w:val="15"/>
                <w:color w:val="auto"/>
              </w:rPr>
              <w:t>(10)</w:t>
            </w:r>
          </w:p>
        </w:tc>
        <w:tc>
          <w:tcPr>
            <w:tcW w:w="1400" w:type="dxa"/>
            <w:vAlign w:val="bottom"/>
          </w:tcPr>
          <w:p>
            <w:pPr>
              <w:jc w:val="right"/>
              <w:spacing w:after="0"/>
              <w:rPr>
                <w:sz w:val="20"/>
                <w:szCs w:val="20"/>
                <w:color w:val="auto"/>
              </w:rPr>
            </w:pPr>
            <w:r>
              <w:rPr>
                <w:rFonts w:ascii="Arial" w:cs="Arial" w:eastAsia="Arial" w:hAnsi="Arial"/>
                <w:sz w:val="18"/>
                <w:szCs w:val="18"/>
                <w:color w:val="auto"/>
              </w:rPr>
              <w:t>20,815</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Kevin Church</w:t>
            </w:r>
            <w:r>
              <w:rPr>
                <w:rFonts w:ascii="Arial" w:cs="Arial" w:eastAsia="Arial" w:hAnsi="Arial"/>
                <w:sz w:val="15"/>
                <w:szCs w:val="15"/>
                <w:color w:val="auto"/>
              </w:rPr>
              <w:t>(11)</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87,854</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(12)</w:t>
            </w:r>
          </w:p>
        </w:tc>
        <w:tc>
          <w:tcPr>
            <w:tcW w:w="1400" w:type="dxa"/>
            <w:vAlign w:val="bottom"/>
          </w:tcPr>
          <w:p>
            <w:pPr>
              <w:jc w:val="right"/>
              <w:spacing w:after="0"/>
              <w:rPr>
                <w:sz w:val="20"/>
                <w:szCs w:val="20"/>
                <w:color w:val="auto"/>
              </w:rPr>
            </w:pPr>
            <w:r>
              <w:rPr>
                <w:rFonts w:ascii="Arial" w:cs="Arial" w:eastAsia="Arial" w:hAnsi="Arial"/>
                <w:sz w:val="18"/>
                <w:szCs w:val="18"/>
                <w:color w:val="auto"/>
              </w:rPr>
              <w:t>3,455,199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(13)</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177,898</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(14)</w:t>
            </w:r>
          </w:p>
        </w:tc>
        <w:tc>
          <w:tcPr>
            <w:tcW w:w="1400" w:type="dxa"/>
            <w:vAlign w:val="bottom"/>
          </w:tcPr>
          <w:p>
            <w:pPr>
              <w:jc w:val="right"/>
              <w:spacing w:after="0"/>
              <w:rPr>
                <w:sz w:val="20"/>
                <w:szCs w:val="20"/>
                <w:color w:val="auto"/>
              </w:rPr>
            </w:pPr>
            <w:r>
              <w:rPr>
                <w:rFonts w:ascii="Arial" w:cs="Arial" w:eastAsia="Arial" w:hAnsi="Arial"/>
                <w:sz w:val="18"/>
                <w:szCs w:val="18"/>
                <w:color w:val="auto"/>
              </w:rPr>
              <w:t>30,053</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Barbara Kosacz</w:t>
            </w:r>
            <w:r>
              <w:rPr>
                <w:rFonts w:ascii="Arial" w:cs="Arial" w:eastAsia="Arial" w:hAnsi="Arial"/>
                <w:sz w:val="15"/>
                <w:szCs w:val="15"/>
                <w:color w:val="auto"/>
              </w:rPr>
              <w:t>(15)</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10,788</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(16)</w:t>
            </w:r>
          </w:p>
        </w:tc>
        <w:tc>
          <w:tcPr>
            <w:tcW w:w="1400" w:type="dxa"/>
            <w:vAlign w:val="bottom"/>
          </w:tcPr>
          <w:p>
            <w:pPr>
              <w:jc w:val="right"/>
              <w:spacing w:after="0"/>
              <w:rPr>
                <w:sz w:val="20"/>
                <w:szCs w:val="20"/>
                <w:color w:val="auto"/>
              </w:rPr>
            </w:pPr>
            <w:r>
              <w:rPr>
                <w:rFonts w:ascii="Arial" w:cs="Arial" w:eastAsia="Arial" w:hAnsi="Arial"/>
                <w:sz w:val="18"/>
                <w:szCs w:val="18"/>
                <w:color w:val="auto"/>
              </w:rPr>
              <w:t>21,415</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Grant Pickering</w:t>
            </w:r>
            <w:r>
              <w:rPr>
                <w:rFonts w:ascii="Arial" w:cs="Arial" w:eastAsia="Arial" w:hAnsi="Arial"/>
                <w:sz w:val="15"/>
                <w:szCs w:val="15"/>
                <w:color w:val="auto"/>
              </w:rPr>
              <w:t>(17)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Michael Panzara</w:t>
            </w:r>
            <w:r>
              <w:rPr>
                <w:rFonts w:ascii="Arial" w:cs="Arial" w:eastAsia="Arial" w:hAnsi="Arial"/>
                <w:sz w:val="15"/>
                <w:szCs w:val="15"/>
                <w:color w:val="auto"/>
              </w:rPr>
              <w:t>(18)</w:t>
            </w:r>
          </w:p>
        </w:tc>
        <w:tc>
          <w:tcPr>
            <w:tcW w:w="1400" w:type="dxa"/>
            <w:vAlign w:val="bottom"/>
          </w:tcPr>
          <w:p>
            <w:pPr>
              <w:jc w:val="right"/>
              <w:spacing w:after="0"/>
              <w:rPr>
                <w:sz w:val="20"/>
                <w:szCs w:val="20"/>
                <w:color w:val="auto"/>
              </w:rPr>
            </w:pPr>
            <w:r>
              <w:rPr>
                <w:rFonts w:ascii="Arial" w:cs="Arial" w:eastAsia="Arial" w:hAnsi="Arial"/>
                <w:sz w:val="18"/>
                <w:szCs w:val="18"/>
                <w:color w:val="auto"/>
              </w:rPr>
              <w:t>1,541</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CFF0FC"/>
          </w:tcPr>
          <w:p>
            <w:pPr>
              <w:spacing w:after="0" w:line="199" w:lineRule="exact"/>
              <w:rPr>
                <w:sz w:val="20"/>
                <w:szCs w:val="20"/>
                <w:color w:val="auto"/>
              </w:rPr>
            </w:pPr>
            <w:r>
              <w:rPr>
                <w:rFonts w:ascii="Arial" w:cs="Arial" w:eastAsia="Arial" w:hAnsi="Arial"/>
                <w:sz w:val="18"/>
                <w:szCs w:val="18"/>
                <w:b w:val="1"/>
                <w:bCs w:val="1"/>
                <w:i w:val="1"/>
                <w:iCs w:val="1"/>
                <w:color w:val="auto"/>
              </w:rPr>
              <w:t>All current directors and executive officers</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4,280,033</w:t>
            </w:r>
          </w:p>
        </w:tc>
        <w:tc>
          <w:tcPr>
            <w:tcW w:w="260" w:type="dxa"/>
            <w:vAlign w:val="bottom"/>
            <w:shd w:val="clear" w:color="auto" w:fill="CFF0FC"/>
          </w:tcPr>
          <w:p>
            <w:pPr>
              <w:spacing w:after="0"/>
              <w:rPr>
                <w:sz w:val="17"/>
                <w:szCs w:val="17"/>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b w:val="1"/>
                <w:bCs w:val="1"/>
                <w:i w:val="1"/>
                <w:iCs w:val="1"/>
                <w:color w:val="auto"/>
              </w:rPr>
              <w:t>as a group (13 persons)</w:t>
            </w:r>
            <w:r>
              <w:rPr>
                <w:rFonts w:ascii="Arial" w:cs="Arial" w:eastAsia="Arial" w:hAnsi="Arial"/>
                <w:sz w:val="15"/>
                <w:szCs w:val="15"/>
                <w:color w:val="auto"/>
              </w:rPr>
              <w:t>(19)</w:t>
            </w:r>
          </w:p>
        </w:tc>
        <w:tc>
          <w:tcPr>
            <w:tcW w:w="14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41"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24"/>
          <w:szCs w:val="24"/>
          <w:color w:val="auto"/>
          <w:vertAlign w:val="superscript"/>
        </w:rPr>
      </w:pPr>
      <w:r>
        <w:rPr>
          <w:rFonts w:ascii="Arial" w:cs="Arial" w:eastAsia="Arial" w:hAnsi="Arial"/>
          <w:sz w:val="14"/>
          <w:szCs w:val="14"/>
          <w:color w:val="auto"/>
        </w:rPr>
        <w:t>Represents beneficial ownership of less than 1% of our outstanding common stock.</w:t>
      </w:r>
    </w:p>
    <w:p>
      <w:pPr>
        <w:jc w:val="both"/>
        <w:ind w:left="580" w:hanging="572"/>
        <w:spacing w:after="0" w:line="180" w:lineRule="auto"/>
        <w:tabs>
          <w:tab w:leader="none" w:pos="580" w:val="left"/>
        </w:tabs>
        <w:numPr>
          <w:ilvl w:val="0"/>
          <w:numId w:val="34"/>
        </w:numPr>
        <w:rPr>
          <w:rFonts w:ascii="Arial" w:cs="Arial" w:eastAsia="Arial" w:hAnsi="Arial"/>
          <w:sz w:val="22"/>
          <w:szCs w:val="22"/>
          <w:color w:val="auto"/>
          <w:vertAlign w:val="superscript"/>
        </w:rPr>
      </w:pPr>
      <w:r>
        <w:rPr>
          <w:rFonts w:ascii="Arial" w:cs="Arial" w:eastAsia="Arial" w:hAnsi="Arial"/>
          <w:sz w:val="13"/>
          <w:szCs w:val="13"/>
          <w:color w:val="auto"/>
        </w:rPr>
        <w:t>Based on the Schedule 13D filed with the SEC on February 8, 2021. Consists of 3,425,916 shares held of record by Perceptive Life Sciences Master Fund Ltd. (“Perceptive”). The business address of Perceptive is 51 Astor Place, 10</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Floor, New York, NY 10003. Perceptive Advisors LLC serves as the investment manager of Perceptive. Joseph Edelman is the managing member of Perceptive Advisors LLC and he may be deemed to beneficially own the shares held by Perceptive.</w:t>
      </w:r>
    </w:p>
    <w:p>
      <w:pPr>
        <w:spacing w:after="0" w:line="1" w:lineRule="exact"/>
        <w:rPr>
          <w:rFonts w:ascii="Arial" w:cs="Arial" w:eastAsia="Arial" w:hAnsi="Arial"/>
          <w:sz w:val="22"/>
          <w:szCs w:val="22"/>
          <w:color w:val="auto"/>
          <w:vertAlign w:val="superscript"/>
        </w:rPr>
      </w:pPr>
    </w:p>
    <w:p>
      <w:pPr>
        <w:jc w:val="both"/>
        <w:ind w:left="580" w:hanging="572"/>
        <w:spacing w:after="0" w:line="222" w:lineRule="auto"/>
        <w:tabs>
          <w:tab w:leader="none" w:pos="58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Based on the most recently available Schedule 13G filed with the SEC on February 4, 2022. Consists of 2,455,684 shares held of record in aggregate by BlackRock Advisors, LLC, Aperio Group, LLC, BlackRock Asset Management Canada Limited, BlackRock Fund Advisors, BlackRock Asset Management Ireland Limited, BlackRock Institutional Trust Company, National Association, BlackRock Financial Management, Inc., and BlackRock Investment Management, LLC. Accordingly BlackRock, Inc. may be deemed to be the beneficial owner of such securities. The address and principal office of BlackRock, Inc.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NY 10055.</w:t>
      </w:r>
    </w:p>
    <w:p>
      <w:pPr>
        <w:spacing w:after="0" w:line="1" w:lineRule="exact"/>
        <w:rPr>
          <w:rFonts w:ascii="Arial" w:cs="Arial" w:eastAsia="Arial" w:hAnsi="Arial"/>
          <w:sz w:val="24"/>
          <w:szCs w:val="24"/>
          <w:color w:val="auto"/>
          <w:vertAlign w:val="superscript"/>
        </w:rPr>
      </w:pPr>
    </w:p>
    <w:p>
      <w:pPr>
        <w:jc w:val="both"/>
        <w:ind w:left="580" w:hanging="572"/>
        <w:spacing w:after="0" w:line="204" w:lineRule="auto"/>
        <w:tabs>
          <w:tab w:leader="none" w:pos="58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Based on the most recently available Schedule 13G filed with the SEC on February 3, 2022. Consists of 2,080,050 shares held of record in aggregate by Franklin Resources, Inc., Charles B. Johnson, Rupert H. Johnson, Jr., and Franklin Advisors, Inc. Accordingly, Franklin Resources, Inc. may be deemed to be the beneficial owner of such securities. Franklin Advisors, Inc. has the power to direct the vote and disposition of the securities held by Franklin Resources, Inc. The address and principal office of Franklin Resources, Inc. is One Franklin Parkway, San Mateo, CA 94403.</w:t>
      </w:r>
    </w:p>
    <w:p>
      <w:pPr>
        <w:spacing w:after="0" w:line="2" w:lineRule="exact"/>
        <w:rPr>
          <w:rFonts w:ascii="Arial" w:cs="Arial" w:eastAsia="Arial" w:hAnsi="Arial"/>
          <w:sz w:val="24"/>
          <w:szCs w:val="24"/>
          <w:color w:val="auto"/>
          <w:vertAlign w:val="superscript"/>
        </w:rPr>
      </w:pPr>
    </w:p>
    <w:p>
      <w:pPr>
        <w:jc w:val="both"/>
        <w:ind w:left="580" w:hanging="572"/>
        <w:spacing w:after="0" w:line="182" w:lineRule="auto"/>
        <w:tabs>
          <w:tab w:leader="none" w:pos="580" w:val="left"/>
        </w:tabs>
        <w:numPr>
          <w:ilvl w:val="0"/>
          <w:numId w:val="34"/>
        </w:numPr>
        <w:rPr>
          <w:rFonts w:ascii="Arial" w:cs="Arial" w:eastAsia="Arial" w:hAnsi="Arial"/>
          <w:sz w:val="23"/>
          <w:szCs w:val="23"/>
          <w:color w:val="auto"/>
          <w:vertAlign w:val="superscript"/>
        </w:rPr>
      </w:pPr>
      <w:r>
        <w:rPr>
          <w:rFonts w:ascii="Arial" w:cs="Arial" w:eastAsia="Arial" w:hAnsi="Arial"/>
          <w:sz w:val="14"/>
          <w:szCs w:val="14"/>
          <w:color w:val="auto"/>
        </w:rPr>
        <w:t>Based on the most recently available Schedule 13G/A filed with the SEC on February 14, 2022. Consists of 1,906,557 shares held of record by RTW Master Fund, LP. Accordingly, RTW Investments, LP may be deemed to be the beneficial owner of such securities. Roderick Wong, M.D. has the power to direct the vote and disposition of the securities held by RTW Investments, LP. Dr. Wong is the managing member of RTW Investments, LP. The address and principal office of RTW Investments, LP and Dr. Wong is 40 10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Avenue, Floor 7, New York, NY 10014.</w:t>
      </w:r>
    </w:p>
    <w:p>
      <w:pPr>
        <w:spacing w:after="0" w:line="2" w:lineRule="exact"/>
        <w:rPr>
          <w:rFonts w:ascii="Arial" w:cs="Arial" w:eastAsia="Arial" w:hAnsi="Arial"/>
          <w:sz w:val="23"/>
          <w:szCs w:val="23"/>
          <w:color w:val="auto"/>
          <w:vertAlign w:val="superscript"/>
        </w:rPr>
      </w:pPr>
    </w:p>
    <w:p>
      <w:pPr>
        <w:jc w:val="both"/>
        <w:ind w:left="580" w:hanging="572"/>
        <w:spacing w:after="0" w:line="195" w:lineRule="auto"/>
        <w:tabs>
          <w:tab w:leader="none" w:pos="58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Consists of 115,758 shares held of record by Dr. Litton, 6,563 shares held by Irrevocable Trust of OSL, 6,563 shares held by Irrevocable Trust of SWL, and 6,563 shares held by Irrevocable Trust of WGL, each irrevocable trust is for the benefit of Dr. Litton’s children, and options to purchase 66,247 shares that are exercisable within 60 days of March 31, 2022.</w:t>
      </w:r>
    </w:p>
    <w:p>
      <w:pPr>
        <w:jc w:val="both"/>
        <w:ind w:left="580" w:hanging="572"/>
        <w:spacing w:after="0" w:line="209" w:lineRule="auto"/>
        <w:tabs>
          <w:tab w:leader="none" w:pos="58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Consists of (a) 264,810 shares held of record by Hamden Family GST Trust and 1,117,246 shares held of record by Dr. Kawas, each as reported on Schedule 13G filed with the SEC on February 16, 2021, (b) 2,941 shares held of record by Dr. Kawas received pursuant to the Athira Pharma, Inc. 2020 Employee Stock Purchase Plan, and (c) options to purchase 363,535 shares that were vested and exercisable as of the close of business on October 18, 2021, the date that Dr. Kawas’ employment with the Company as our chief executive officer ended. Dr. Kawas ceased to be an executive officer and director of the Company</w:t>
      </w:r>
    </w:p>
    <w:p>
      <w:pPr>
        <w:spacing w:after="0" w:line="170" w:lineRule="exact"/>
        <w:rPr>
          <w:rFonts w:ascii="Arial" w:cs="Arial" w:eastAsia="Arial" w:hAnsi="Arial"/>
          <w:sz w:val="24"/>
          <w:szCs w:val="24"/>
          <w:color w:val="auto"/>
          <w:vertAlign w:val="superscript"/>
        </w:rPr>
      </w:pPr>
    </w:p>
    <w:p>
      <w:pPr>
        <w:ind w:left="5520" w:hanging="122"/>
        <w:spacing w:after="0"/>
        <w:tabs>
          <w:tab w:leader="none" w:pos="5520" w:val="left"/>
        </w:tabs>
        <w:numPr>
          <w:ilvl w:val="1"/>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40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ind w:left="572"/>
        <w:spacing w:after="0" w:line="246" w:lineRule="auto"/>
        <w:rPr>
          <w:sz w:val="20"/>
          <w:szCs w:val="20"/>
          <w:color w:val="auto"/>
        </w:rPr>
      </w:pPr>
      <w:r>
        <w:rPr>
          <w:rFonts w:ascii="Arial" w:cs="Arial" w:eastAsia="Arial" w:hAnsi="Arial"/>
          <w:sz w:val="14"/>
          <w:szCs w:val="14"/>
          <w:color w:val="auto"/>
        </w:rPr>
        <w:t>on October 18, 2021, and we have limited information about her transactions in our securities following that date. We are aware that Dr. Kawas exercised 235,386 of these vested and outstanding options following the date of her termination.</w:t>
      </w:r>
    </w:p>
    <w:p>
      <w:pPr>
        <w:ind w:left="572" w:hanging="572"/>
        <w:spacing w:after="0" w:line="186" w:lineRule="auto"/>
        <w:tabs>
          <w:tab w:leader="none" w:pos="572" w:val="left"/>
        </w:tabs>
        <w:numPr>
          <w:ilvl w:val="0"/>
          <w:numId w:val="35"/>
        </w:numPr>
        <w:rPr>
          <w:rFonts w:ascii="Arial" w:cs="Arial" w:eastAsia="Arial" w:hAnsi="Arial"/>
          <w:sz w:val="19"/>
          <w:szCs w:val="19"/>
          <w:color w:val="auto"/>
          <w:vertAlign w:val="superscript"/>
        </w:rPr>
      </w:pPr>
      <w:r>
        <w:rPr>
          <w:rFonts w:ascii="Arial" w:cs="Arial" w:eastAsia="Arial" w:hAnsi="Arial"/>
          <w:sz w:val="12"/>
          <w:szCs w:val="12"/>
          <w:color w:val="auto"/>
        </w:rPr>
        <w:t>Consists of options held by Ms. Lenington to purchase 15,000 shares that are exercisable within 60 days of March 31, 2022.</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31,256 shares held by Dr. Moebius and options to purchase 69,253 shares that are exercisable within 60 days of March 31, 2022.</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97,060 shares held by Ms. Mileson and options to purchase 56,343 shares that are exercisable within 60 days of March 31, 2022.</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8,315 shares held by Mr. Worthington and options to purchase 12,500 shares that are exercisable within 60 days of March 31, 2022.</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47,566 shares held by Dr. Church and options to purchase 40,288 shares that are exercisable within 60 days of March 31, 2022.</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the shares referenced in footnote (1) above and options to purchase 29,283 shares that are exercisable within 60 days of March 31, 2022.</w:t>
      </w:r>
    </w:p>
    <w:p>
      <w:pPr>
        <w:ind w:left="572" w:right="20" w:hanging="572"/>
        <w:spacing w:after="0" w:line="182" w:lineRule="auto"/>
        <w:tabs>
          <w:tab w:leader="none" w:pos="572"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Consists of 3,731 shares held of record by Fluke Capital Management, L.P., 144,884 shares held by Mr. Fluke, and options to purchase 29,283 shares that are exercisable within 60 days of March 31, 2022.</w:t>
      </w:r>
    </w:p>
    <w:p>
      <w:pPr>
        <w:spacing w:after="0" w:line="1" w:lineRule="exact"/>
        <w:rPr>
          <w:rFonts w:ascii="Arial" w:cs="Arial" w:eastAsia="Arial" w:hAnsi="Arial"/>
          <w:sz w:val="23"/>
          <w:szCs w:val="23"/>
          <w:color w:val="auto"/>
          <w:vertAlign w:val="superscript"/>
        </w:rPr>
      </w:pP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options held by Mr. Johnson to purchase 30,053 shares that are exercisable within 60 days of March 31, 2022.</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options held by Ms. Kosacz to purchase 10,788 shares that are exercisable within 60 days of March 31, 2022.</w:t>
      </w:r>
    </w:p>
    <w:p>
      <w:pPr>
        <w:ind w:left="572" w:hanging="572"/>
        <w:spacing w:after="0" w:line="189" w:lineRule="auto"/>
        <w:tabs>
          <w:tab w:leader="none" w:pos="572" w:val="left"/>
        </w:tabs>
        <w:numPr>
          <w:ilvl w:val="0"/>
          <w:numId w:val="35"/>
        </w:numPr>
        <w:rPr>
          <w:rFonts w:ascii="Arial" w:cs="Arial" w:eastAsia="Arial" w:hAnsi="Arial"/>
          <w:sz w:val="17"/>
          <w:szCs w:val="17"/>
          <w:color w:val="auto"/>
          <w:vertAlign w:val="superscript"/>
        </w:rPr>
      </w:pPr>
      <w:r>
        <w:rPr>
          <w:rFonts w:ascii="Arial" w:cs="Arial" w:eastAsia="Arial" w:hAnsi="Arial"/>
          <w:sz w:val="11"/>
          <w:szCs w:val="11"/>
          <w:color w:val="auto"/>
        </w:rPr>
        <w:t>Consists of 8,315 shares held by Ms. Romano and options to purchase 13,100 shares that are exercisable within 60 days of March 31, 2022.</w:t>
      </w:r>
    </w:p>
    <w:p>
      <w:pPr>
        <w:ind w:left="572" w:hanging="572"/>
        <w:spacing w:after="0" w:line="186" w:lineRule="auto"/>
        <w:tabs>
          <w:tab w:leader="none" w:pos="572" w:val="left"/>
        </w:tabs>
        <w:numPr>
          <w:ilvl w:val="0"/>
          <w:numId w:val="35"/>
        </w:numPr>
        <w:rPr>
          <w:rFonts w:ascii="Arial" w:cs="Arial" w:eastAsia="Arial" w:hAnsi="Arial"/>
          <w:sz w:val="19"/>
          <w:szCs w:val="19"/>
          <w:color w:val="auto"/>
          <w:vertAlign w:val="superscript"/>
        </w:rPr>
      </w:pPr>
      <w:r>
        <w:rPr>
          <w:rFonts w:ascii="Arial" w:cs="Arial" w:eastAsia="Arial" w:hAnsi="Arial"/>
          <w:sz w:val="12"/>
          <w:szCs w:val="12"/>
          <w:color w:val="auto"/>
        </w:rPr>
        <w:t>Consists of 783 shares held by Mr. Pickering and options to purchase 3,082 shares that are exercisable within 60 days of March 31, 2022</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options held by Dr. Panzara to purchase 1,541 shares that are exercisable within 60 days of March 31, 2022.</w:t>
      </w:r>
    </w:p>
    <w:p>
      <w:pPr>
        <w:ind w:left="572" w:hanging="572"/>
        <w:spacing w:after="0" w:line="185" w:lineRule="auto"/>
        <w:tabs>
          <w:tab w:leader="none" w:pos="572"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Consists of 3,903,272 shares held by our current directors and executive officers as a group and options to purchase 375,220 shares that are exercisable within 60 days of March 31, 2022. Dr. Kawas’s beneficial ownership is not included in these totals because she is not a current executive officer.</w:t>
      </w:r>
    </w:p>
    <w:p>
      <w:pPr>
        <w:spacing w:after="0" w:line="200" w:lineRule="exact"/>
        <w:rPr>
          <w:rFonts w:ascii="Arial" w:cs="Arial" w:eastAsia="Arial" w:hAnsi="Arial"/>
          <w:sz w:val="24"/>
          <w:szCs w:val="24"/>
          <w:color w:val="auto"/>
          <w:vertAlign w:val="superscript"/>
        </w:rPr>
      </w:pPr>
    </w:p>
    <w:p>
      <w:pPr>
        <w:spacing w:after="0" w:line="362" w:lineRule="exact"/>
        <w:rPr>
          <w:rFonts w:ascii="Arial" w:cs="Arial" w:eastAsia="Arial" w:hAnsi="Arial"/>
          <w:sz w:val="24"/>
          <w:szCs w:val="24"/>
          <w:color w:val="auto"/>
          <w:vertAlign w:val="superscript"/>
        </w:rPr>
      </w:pPr>
    </w:p>
    <w:p>
      <w:pPr>
        <w:ind w:left="5512" w:hanging="122"/>
        <w:spacing w:after="0"/>
        <w:tabs>
          <w:tab w:leader="none" w:pos="5512" w:val="left"/>
        </w:tabs>
        <w:numPr>
          <w:ilvl w:val="1"/>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41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13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2" w:lineRule="exact"/>
        <w:rPr>
          <w:sz w:val="20"/>
          <w:szCs w:val="20"/>
          <w:color w:val="auto"/>
        </w:rPr>
      </w:pPr>
    </w:p>
    <w:p>
      <w:pPr>
        <w:ind w:firstLine="589"/>
        <w:spacing w:after="0" w:line="271"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2021. All outstanding awards relate to our common stock.</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 Number of</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Available for</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Future</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(b) Weighted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Issuance</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 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Securities to be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Issued Upon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Price of</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 of</w:t>
            </w:r>
          </w:p>
        </w:tc>
        <w:tc>
          <w:tcPr>
            <w:tcW w:w="80" w:type="dxa"/>
            <w:vAlign w:val="bottom"/>
          </w:tcPr>
          <w:p>
            <w:pPr>
              <w:spacing w:after="0"/>
              <w:rPr>
                <w:sz w:val="14"/>
                <w:szCs w:val="14"/>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Outstanding</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Options,</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Securities</w:t>
            </w:r>
          </w:p>
        </w:tc>
      </w:tr>
      <w:tr>
        <w:trPr>
          <w:trHeight w:val="157"/>
        </w:trPr>
        <w:tc>
          <w:tcPr>
            <w:tcW w:w="3800" w:type="dxa"/>
            <w:vAlign w:val="bottom"/>
          </w:tcPr>
          <w:p>
            <w:pPr>
              <w:spacing w:after="0"/>
              <w:rPr>
                <w:sz w:val="13"/>
                <w:szCs w:val="13"/>
                <w:color w:val="auto"/>
              </w:rPr>
            </w:pPr>
          </w:p>
        </w:tc>
        <w:tc>
          <w:tcPr>
            <w:tcW w:w="2420" w:type="dxa"/>
            <w:vAlign w:val="bottom"/>
            <w:gridSpan w:val="3"/>
          </w:tcPr>
          <w:p>
            <w:pPr>
              <w:jc w:val="center"/>
              <w:ind w:left="416"/>
              <w:spacing w:after="0" w:line="157" w:lineRule="exact"/>
              <w:rPr>
                <w:sz w:val="20"/>
                <w:szCs w:val="20"/>
                <w:color w:val="auto"/>
              </w:rPr>
            </w:pPr>
            <w:r>
              <w:rPr>
                <w:rFonts w:ascii="Arial" w:cs="Arial" w:eastAsia="Arial" w:hAnsi="Arial"/>
                <w:sz w:val="14"/>
                <w:szCs w:val="14"/>
                <w:b w:val="1"/>
                <w:bCs w:val="1"/>
                <w:color w:val="auto"/>
              </w:rPr>
              <w:t>Options, Warrants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4"/>
                <w:szCs w:val="14"/>
                <w:b w:val="1"/>
                <w:bCs w:val="1"/>
                <w:color w:val="auto"/>
              </w:rPr>
              <w:t>Warrants</w:t>
            </w:r>
          </w:p>
        </w:tc>
        <w:tc>
          <w:tcPr>
            <w:tcW w:w="122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Reflected in</w:t>
            </w:r>
          </w:p>
        </w:tc>
      </w:tr>
      <w:tr>
        <w:trPr>
          <w:trHeight w:val="177"/>
        </w:trPr>
        <w:tc>
          <w:tcPr>
            <w:tcW w:w="38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840" w:type="dxa"/>
            <w:vAlign w:val="bottom"/>
          </w:tcPr>
          <w:p>
            <w:pPr>
              <w:spacing w:after="0"/>
              <w:rPr>
                <w:sz w:val="15"/>
                <w:szCs w:val="15"/>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Rights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and Rights</w:t>
            </w:r>
          </w:p>
        </w:tc>
        <w:tc>
          <w:tcPr>
            <w:tcW w:w="1220" w:type="dxa"/>
            <w:vAlign w:val="bottom"/>
            <w:gridSpan w:val="2"/>
          </w:tcPr>
          <w:p>
            <w:pPr>
              <w:jc w:val="center"/>
              <w:ind w:right="120"/>
              <w:spacing w:after="0" w:line="177" w:lineRule="exact"/>
              <w:rPr>
                <w:sz w:val="20"/>
                <w:szCs w:val="20"/>
                <w:color w:val="auto"/>
              </w:rPr>
            </w:pPr>
            <w:r>
              <w:rPr>
                <w:rFonts w:ascii="Arial" w:cs="Arial" w:eastAsia="Arial" w:hAnsi="Arial"/>
                <w:sz w:val="12"/>
                <w:szCs w:val="12"/>
                <w:b w:val="1"/>
                <w:bCs w:val="1"/>
                <w:color w:val="auto"/>
              </w:rPr>
              <w:t>Column (a))</w:t>
            </w:r>
            <w:r>
              <w:rPr>
                <w:rFonts w:ascii="Arial" w:cs="Arial" w:eastAsia="Arial" w:hAnsi="Arial"/>
                <w:sz w:val="20"/>
                <w:szCs w:val="20"/>
                <w:b w:val="1"/>
                <w:bCs w:val="1"/>
                <w:color w:val="auto"/>
                <w:vertAlign w:val="superscript"/>
              </w:rPr>
              <w:t>(3)</w:t>
            </w:r>
          </w:p>
        </w:tc>
      </w:tr>
      <w:tr>
        <w:trPr>
          <w:trHeight w:val="191"/>
        </w:trPr>
        <w:tc>
          <w:tcPr>
            <w:tcW w:w="38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Equity compensation plans approved</w:t>
            </w:r>
          </w:p>
        </w:tc>
        <w:tc>
          <w:tcPr>
            <w:tcW w:w="840" w:type="dxa"/>
            <w:vAlign w:val="bottom"/>
            <w:tcBorders>
              <w:top w:val="single" w:sz="8" w:color="CFF0FC"/>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21"/>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by security holders:</w:t>
            </w:r>
          </w:p>
        </w:tc>
        <w:tc>
          <w:tcPr>
            <w:tcW w:w="8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6"/>
        </w:trPr>
        <w:tc>
          <w:tcPr>
            <w:tcW w:w="3800" w:type="dxa"/>
            <w:vAlign w:val="bottom"/>
          </w:tcPr>
          <w:p>
            <w:pPr>
              <w:ind w:left="240"/>
              <w:spacing w:after="0"/>
              <w:rPr>
                <w:sz w:val="20"/>
                <w:szCs w:val="20"/>
                <w:color w:val="auto"/>
              </w:rPr>
            </w:pPr>
            <w:r>
              <w:rPr>
                <w:rFonts w:ascii="Arial" w:cs="Arial" w:eastAsia="Arial" w:hAnsi="Arial"/>
                <w:sz w:val="18"/>
                <w:szCs w:val="18"/>
                <w:color w:val="auto"/>
              </w:rPr>
              <w:t>2014 Equity Incentive Plan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687,946</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 Equity Incentive Plan</w:t>
            </w:r>
          </w:p>
        </w:tc>
        <w:tc>
          <w:tcPr>
            <w:tcW w:w="24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 xml:space="preserve">1,944,450 </w:t>
            </w:r>
            <w:r>
              <w:rPr>
                <w:rFonts w:ascii="Arial" w:cs="Arial" w:eastAsia="Arial" w:hAnsi="Arial"/>
                <w:sz w:val="15"/>
                <w:szCs w:val="15"/>
                <w:color w:val="auto"/>
              </w:rPr>
              <w:t>(1)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 xml:space="preserve">17.87 </w:t>
            </w:r>
            <w:r>
              <w:rPr>
                <w:rFonts w:ascii="Arial" w:cs="Arial" w:eastAsia="Arial" w:hAnsi="Arial"/>
                <w:sz w:val="15"/>
                <w:szCs w:val="15"/>
                <w:color w:val="auto"/>
              </w:rPr>
              <w:t>(2)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4,442,315</w:t>
            </w:r>
          </w:p>
        </w:tc>
        <w:tc>
          <w:tcPr>
            <w:tcW w:w="80" w:type="dxa"/>
            <w:vAlign w:val="bottom"/>
            <w:shd w:val="clear" w:color="auto" w:fill="CFF0FC"/>
          </w:tcPr>
          <w:p>
            <w:pPr>
              <w:spacing w:after="0"/>
              <w:rPr>
                <w:sz w:val="18"/>
                <w:szCs w:val="18"/>
                <w:color w:val="auto"/>
              </w:rPr>
            </w:pPr>
          </w:p>
        </w:tc>
      </w:tr>
      <w:tr>
        <w:trPr>
          <w:trHeight w:val="197"/>
        </w:trPr>
        <w:tc>
          <w:tcPr>
            <w:tcW w:w="3800" w:type="dxa"/>
            <w:vAlign w:val="bottom"/>
          </w:tcPr>
          <w:p>
            <w:pPr>
              <w:ind w:left="240"/>
              <w:spacing w:after="0" w:line="197" w:lineRule="exact"/>
              <w:rPr>
                <w:sz w:val="20"/>
                <w:szCs w:val="20"/>
                <w:color w:val="auto"/>
              </w:rPr>
            </w:pPr>
            <w:r>
              <w:rPr>
                <w:rFonts w:ascii="Arial" w:cs="Arial" w:eastAsia="Arial" w:hAnsi="Arial"/>
                <w:sz w:val="18"/>
                <w:szCs w:val="18"/>
                <w:color w:val="auto"/>
              </w:rPr>
              <w:t>2020 Employee Stock Purchase</w:t>
            </w: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3800" w:type="dxa"/>
            <w:vAlign w:val="bottom"/>
          </w:tcPr>
          <w:p>
            <w:pPr>
              <w:ind w:left="400"/>
              <w:spacing w:after="0"/>
              <w:rPr>
                <w:sz w:val="20"/>
                <w:szCs w:val="20"/>
                <w:color w:val="auto"/>
              </w:rPr>
            </w:pPr>
            <w:r>
              <w:rPr>
                <w:rFonts w:ascii="Arial" w:cs="Arial" w:eastAsia="Arial" w:hAnsi="Arial"/>
                <w:sz w:val="18"/>
                <w:szCs w:val="18"/>
                <w:color w:val="auto"/>
              </w:rPr>
              <w:t>Plan</w:t>
            </w:r>
          </w:p>
        </w:tc>
        <w:tc>
          <w:tcPr>
            <w:tcW w:w="84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621,211</w:t>
            </w:r>
          </w:p>
        </w:tc>
        <w:tc>
          <w:tcPr>
            <w:tcW w:w="80" w:type="dxa"/>
            <w:vAlign w:val="bottom"/>
          </w:tcPr>
          <w:p>
            <w:pPr>
              <w:spacing w:after="0"/>
              <w:rPr>
                <w:sz w:val="19"/>
                <w:szCs w:val="19"/>
                <w:color w:val="auto"/>
              </w:rPr>
            </w:pPr>
          </w:p>
        </w:tc>
      </w:tr>
      <w:tr>
        <w:trPr>
          <w:trHeight w:val="209"/>
        </w:trPr>
        <w:tc>
          <w:tcPr>
            <w:tcW w:w="38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2,632,396</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5,063,526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60"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Includes both 1,582,950 outstanding options and 361,500 outstanding, unvested performance restricted stock units.</w:t>
      </w:r>
    </w:p>
    <w:p>
      <w:pPr>
        <w:ind w:left="580" w:hanging="572"/>
        <w:spacing w:after="0" w:line="182" w:lineRule="auto"/>
        <w:tabs>
          <w:tab w:leader="none" w:pos="580"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Represents the outstanding options’ weighted-average exercise price and does not take into account the shares issuable upon vesting of outstanding performance restricted stock units, which do not have an exercise price.</w:t>
      </w:r>
    </w:p>
    <w:p>
      <w:pPr>
        <w:spacing w:after="0" w:line="1" w:lineRule="exact"/>
        <w:rPr>
          <w:rFonts w:ascii="Arial" w:cs="Arial" w:eastAsia="Arial" w:hAnsi="Arial"/>
          <w:sz w:val="23"/>
          <w:szCs w:val="23"/>
          <w:color w:val="auto"/>
          <w:vertAlign w:val="superscript"/>
        </w:rPr>
      </w:pPr>
    </w:p>
    <w:p>
      <w:pPr>
        <w:jc w:val="both"/>
        <w:ind w:left="580" w:hanging="572"/>
        <w:spacing w:after="0" w:line="215" w:lineRule="auto"/>
        <w:tabs>
          <w:tab w:leader="none" w:pos="58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Our 2020 Equity Incentive Plan includes provisions providing for an annual increase in the number of securities available for future issuance on the first day of each fiscal year, equal to the least of: (1) 3,230,000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on the first day of such fiscal year; (2) 646,000 shares; and (3) such lesser number of shares determined by the board of directors.</w:t>
      </w:r>
    </w:p>
    <w:p>
      <w:pPr>
        <w:spacing w:after="0" w:line="169" w:lineRule="exact"/>
        <w:rPr>
          <w:rFonts w:ascii="Arial" w:cs="Arial" w:eastAsia="Arial" w:hAnsi="Arial"/>
          <w:sz w:val="24"/>
          <w:szCs w:val="24"/>
          <w:color w:val="auto"/>
          <w:vertAlign w:val="superscript"/>
        </w:rPr>
      </w:pPr>
    </w:p>
    <w:p>
      <w:pPr>
        <w:ind w:left="5520" w:hanging="122"/>
        <w:spacing w:after="0"/>
        <w:tabs>
          <w:tab w:leader="none" w:pos="5520" w:val="left"/>
        </w:tabs>
        <w:numPr>
          <w:ilvl w:val="1"/>
          <w:numId w:val="36"/>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42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RELATED PERSON TRANSACTIONS</w:t>
      </w:r>
    </w:p>
    <w:p>
      <w:pPr>
        <w:spacing w:after="0" w:line="212"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The following is a summary of transactions since January 1, 2020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“Executive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0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160" w:hanging="572"/>
        <w:spacing w:after="0"/>
        <w:tabs>
          <w:tab w:leader="none" w:pos="11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143" w:lineRule="exact"/>
        <w:rPr>
          <w:rFonts w:ascii="Times New Roman" w:cs="Times New Roman" w:eastAsia="Times New Roman" w:hAnsi="Times New Roman"/>
          <w:sz w:val="18"/>
          <w:szCs w:val="18"/>
          <w:color w:val="auto"/>
        </w:rPr>
      </w:pPr>
    </w:p>
    <w:p>
      <w:pPr>
        <w:ind w:left="1160" w:right="20" w:hanging="572"/>
        <w:spacing w:after="0" w:line="270" w:lineRule="auto"/>
        <w:tabs>
          <w:tab w:leader="none" w:pos="11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46"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46" w:lineRule="exact"/>
        <w:rPr>
          <w:rFonts w:ascii="Times New Roman" w:cs="Times New Roman" w:eastAsia="Times New Roman" w:hAnsi="Times New Roman"/>
          <w:sz w:val="18"/>
          <w:szCs w:val="18"/>
          <w:color w:val="auto"/>
        </w:rPr>
      </w:pPr>
    </w:p>
    <w:p>
      <w:pPr>
        <w:ind w:left="1160" w:hanging="572"/>
        <w:spacing w:after="0" w:line="270" w:lineRule="auto"/>
        <w:tabs>
          <w:tab w:leader="none" w:pos="11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15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66" w:lineRule="exact"/>
        <w:rPr>
          <w:sz w:val="20"/>
          <w:szCs w:val="20"/>
          <w:color w:val="auto"/>
        </w:rPr>
      </w:pPr>
    </w:p>
    <w:p>
      <w:pPr>
        <w:ind w:left="1160" w:hanging="572"/>
        <w:spacing w:after="0"/>
        <w:tabs>
          <w:tab w:leader="none" w:pos="11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benefits and perceived benefits to us;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other sources for comparable products or services;</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of the transaction; and</w:t>
      </w:r>
    </w:p>
    <w:p>
      <w:pPr>
        <w:spacing w:after="0" w:line="14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Except as described below, the sale and issuance of our securities to related persons since January 1, 2020 are described under the sections of this proxy statement titled “Board of Directors and Corporate Governance—Director Compensation” and “Executive Compensation.” For a description of beneficial ownership see the section of this proxy statement titled “Security Ownership of Certain Beneficial Owners and Management.”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43</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589"/>
        <w:spacing w:after="0" w:line="247" w:lineRule="auto"/>
        <w:rPr>
          <w:sz w:val="20"/>
          <w:szCs w:val="20"/>
          <w:color w:val="auto"/>
        </w:rPr>
      </w:pPr>
      <w:r>
        <w:rPr>
          <w:rFonts w:ascii="Arial" w:cs="Arial" w:eastAsia="Arial" w:hAnsi="Arial"/>
          <w:sz w:val="18"/>
          <w:szCs w:val="18"/>
          <w:color w:val="auto"/>
        </w:rPr>
        <w:t>The following table sets forth a summary of the sale and issuance of our securities to related persons since January 1, 2020, other than compensation arrangements which are described under the sections of this proxy statement titled “Board of Directors and Corporate Governance—Director Compensation” and “Executive Compensation.” For a description of beneficial ownership see the section of this proxy statement titled “Security Ownership of Certain Beneficial Owners and Management.”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Series B-1</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56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Principal</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c>
          <w:tcPr>
            <w:tcW w:w="56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Amount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Issued on</w:t>
            </w: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56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Convertible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Conversion of</w:t>
            </w: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56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Notes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20" w:type="dxa"/>
            <w:vAlign w:val="bottom"/>
          </w:tcPr>
          <w:p>
            <w:pPr>
              <w:spacing w:after="0"/>
              <w:rPr>
                <w:sz w:val="14"/>
                <w:szCs w:val="14"/>
                <w:color w:val="auto"/>
              </w:rPr>
            </w:pPr>
          </w:p>
        </w:tc>
      </w:tr>
      <w:tr>
        <w:trPr>
          <w:trHeight w:val="171"/>
        </w:trPr>
        <w:tc>
          <w:tcPr>
            <w:tcW w:w="35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Stock</w:t>
            </w:r>
          </w:p>
        </w:tc>
        <w:tc>
          <w:tcPr>
            <w:tcW w:w="56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Notes</w:t>
            </w:r>
          </w:p>
        </w:tc>
        <w:tc>
          <w:tcPr>
            <w:tcW w:w="4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w:t>
            </w:r>
          </w:p>
        </w:tc>
        <w:tc>
          <w:tcPr>
            <w:tcW w:w="420" w:type="dxa"/>
            <w:vAlign w:val="bottom"/>
            <w:tcBorders>
              <w:bottom w:val="single" w:sz="8" w:color="CFF0FC"/>
            </w:tcBorders>
          </w:tcPr>
          <w:p>
            <w:pPr>
              <w:spacing w:after="0"/>
              <w:rPr>
                <w:sz w:val="14"/>
                <w:szCs w:val="14"/>
                <w:color w:val="auto"/>
              </w:rPr>
            </w:pPr>
          </w:p>
        </w:tc>
      </w:tr>
      <w:tr>
        <w:trPr>
          <w:trHeight w:val="209"/>
        </w:trPr>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5% stockholders:</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197"/>
        </w:trPr>
        <w:tc>
          <w:tcPr>
            <w:tcW w:w="3540" w:type="dxa"/>
            <w:vAlign w:val="bottom"/>
          </w:tcPr>
          <w:p>
            <w:pPr>
              <w:spacing w:after="0" w:line="197" w:lineRule="exact"/>
              <w:rPr>
                <w:sz w:val="20"/>
                <w:szCs w:val="20"/>
                <w:color w:val="auto"/>
              </w:rPr>
            </w:pPr>
            <w:r>
              <w:rPr>
                <w:rFonts w:ascii="Arial" w:cs="Arial" w:eastAsia="Arial" w:hAnsi="Arial"/>
                <w:sz w:val="18"/>
                <w:szCs w:val="18"/>
                <w:color w:val="auto"/>
              </w:rPr>
              <w:t>Perceptive Life Sciences</w:t>
            </w: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1"/>
        </w:trPr>
        <w:tc>
          <w:tcPr>
            <w:tcW w:w="3540" w:type="dxa"/>
            <w:vAlign w:val="bottom"/>
          </w:tcPr>
          <w:p>
            <w:pPr>
              <w:ind w:left="160"/>
              <w:spacing w:after="0"/>
              <w:rPr>
                <w:sz w:val="20"/>
                <w:szCs w:val="20"/>
                <w:color w:val="auto"/>
              </w:rPr>
            </w:pPr>
            <w:r>
              <w:rPr>
                <w:rFonts w:ascii="Arial" w:cs="Arial" w:eastAsia="Arial" w:hAnsi="Arial"/>
                <w:sz w:val="18"/>
                <w:szCs w:val="18"/>
                <w:color w:val="auto"/>
              </w:rPr>
              <w:t>Master Fund Ltd.</w:t>
            </w:r>
          </w:p>
        </w:tc>
        <w:tc>
          <w:tcPr>
            <w:tcW w:w="1440" w:type="dxa"/>
            <w:vAlign w:val="bottom"/>
          </w:tcPr>
          <w:p>
            <w:pPr>
              <w:jc w:val="right"/>
              <w:spacing w:after="0"/>
              <w:rPr>
                <w:sz w:val="20"/>
                <w:szCs w:val="20"/>
                <w:color w:val="auto"/>
              </w:rPr>
            </w:pPr>
            <w:r>
              <w:rPr>
                <w:rFonts w:ascii="Arial" w:cs="Arial" w:eastAsia="Arial" w:hAnsi="Arial"/>
                <w:sz w:val="18"/>
                <w:szCs w:val="18"/>
                <w:color w:val="auto"/>
              </w:rPr>
              <w:t>1,644,785</w:t>
            </w:r>
          </w:p>
        </w:tc>
        <w:tc>
          <w:tcPr>
            <w:tcW w:w="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411,196</w:t>
            </w:r>
          </w:p>
        </w:tc>
        <w:tc>
          <w:tcPr>
            <w:tcW w:w="420" w:type="dxa"/>
            <w:vAlign w:val="bottom"/>
          </w:tcPr>
          <w:p>
            <w:pPr>
              <w:jc w:val="right"/>
              <w:ind w:right="44"/>
              <w:spacing w:after="0"/>
              <w:rPr>
                <w:sz w:val="20"/>
                <w:szCs w:val="20"/>
                <w:color w:val="auto"/>
              </w:rPr>
            </w:pPr>
            <w:r>
              <w:rPr>
                <w:rFonts w:ascii="Arial" w:cs="Arial" w:eastAsia="Arial" w:hAnsi="Arial"/>
                <w:sz w:val="15"/>
                <w:szCs w:val="15"/>
                <w:color w:val="auto"/>
              </w:rPr>
              <w:t>(1)</w:t>
            </w:r>
          </w:p>
        </w:tc>
      </w:tr>
      <w:tr>
        <w:trPr>
          <w:trHeight w:val="197"/>
        </w:trPr>
        <w:tc>
          <w:tcPr>
            <w:tcW w:w="354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Entities affiliated with RTW</w:t>
            </w:r>
          </w:p>
        </w:tc>
        <w:tc>
          <w:tcPr>
            <w:tcW w:w="14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r>
      <w:tr>
        <w:trPr>
          <w:trHeight w:val="221"/>
        </w:trPr>
        <w:tc>
          <w:tcPr>
            <w:tcW w:w="3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Investments, LP</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1,535,131</w:t>
            </w:r>
          </w:p>
        </w:tc>
        <w:tc>
          <w:tcPr>
            <w:tcW w:w="56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rPr>
              <w:t>(2)</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383,782</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w:t>
            </w:r>
          </w:p>
        </w:tc>
      </w:tr>
      <w:tr>
        <w:trPr>
          <w:trHeight w:val="197"/>
        </w:trPr>
        <w:tc>
          <w:tcPr>
            <w:tcW w:w="3540" w:type="dxa"/>
            <w:vAlign w:val="bottom"/>
          </w:tcPr>
          <w:p>
            <w:pPr>
              <w:spacing w:after="0" w:line="197" w:lineRule="exact"/>
              <w:rPr>
                <w:sz w:val="20"/>
                <w:szCs w:val="20"/>
                <w:color w:val="auto"/>
              </w:rPr>
            </w:pPr>
            <w:r>
              <w:rPr>
                <w:rFonts w:ascii="Arial" w:cs="Arial" w:eastAsia="Arial" w:hAnsi="Arial"/>
                <w:sz w:val="18"/>
                <w:szCs w:val="18"/>
                <w:color w:val="auto"/>
              </w:rPr>
              <w:t>Entities affiliated with Franklin</w:t>
            </w: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1"/>
        </w:trPr>
        <w:tc>
          <w:tcPr>
            <w:tcW w:w="3540" w:type="dxa"/>
            <w:vAlign w:val="bottom"/>
          </w:tcPr>
          <w:p>
            <w:pPr>
              <w:ind w:left="160"/>
              <w:spacing w:after="0"/>
              <w:rPr>
                <w:sz w:val="20"/>
                <w:szCs w:val="20"/>
                <w:color w:val="auto"/>
              </w:rPr>
            </w:pPr>
            <w:r>
              <w:rPr>
                <w:rFonts w:ascii="Arial" w:cs="Arial" w:eastAsia="Arial" w:hAnsi="Arial"/>
                <w:sz w:val="18"/>
                <w:szCs w:val="18"/>
                <w:color w:val="auto"/>
              </w:rPr>
              <w:t>Templeton Investments</w:t>
            </w:r>
          </w:p>
        </w:tc>
        <w:tc>
          <w:tcPr>
            <w:tcW w:w="1440" w:type="dxa"/>
            <w:vAlign w:val="bottom"/>
          </w:tcPr>
          <w:p>
            <w:pPr>
              <w:jc w:val="right"/>
              <w:spacing w:after="0"/>
              <w:rPr>
                <w:sz w:val="20"/>
                <w:szCs w:val="20"/>
                <w:color w:val="auto"/>
              </w:rPr>
            </w:pPr>
            <w:r>
              <w:rPr>
                <w:rFonts w:ascii="Arial" w:cs="Arial" w:eastAsia="Arial" w:hAnsi="Arial"/>
                <w:sz w:val="18"/>
                <w:szCs w:val="18"/>
                <w:color w:val="auto"/>
              </w:rPr>
              <w:t>767,566</w:t>
            </w:r>
          </w:p>
        </w:tc>
        <w:tc>
          <w:tcPr>
            <w:tcW w:w="560" w:type="dxa"/>
            <w:vAlign w:val="bottom"/>
          </w:tcPr>
          <w:p>
            <w:pPr>
              <w:jc w:val="right"/>
              <w:ind w:right="184"/>
              <w:spacing w:after="0"/>
              <w:rPr>
                <w:sz w:val="20"/>
                <w:szCs w:val="20"/>
                <w:color w:val="auto"/>
              </w:rPr>
            </w:pPr>
            <w:r>
              <w:rPr>
                <w:rFonts w:ascii="Arial" w:cs="Arial" w:eastAsia="Arial" w:hAnsi="Arial"/>
                <w:sz w:val="15"/>
                <w:szCs w:val="15"/>
                <w:color w:val="auto"/>
              </w:rPr>
              <w:t>(4)</w:t>
            </w: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191,890</w:t>
            </w:r>
          </w:p>
        </w:tc>
        <w:tc>
          <w:tcPr>
            <w:tcW w:w="420" w:type="dxa"/>
            <w:vAlign w:val="bottom"/>
          </w:tcPr>
          <w:p>
            <w:pPr>
              <w:jc w:val="right"/>
              <w:ind w:right="44"/>
              <w:spacing w:after="0"/>
              <w:rPr>
                <w:sz w:val="20"/>
                <w:szCs w:val="20"/>
                <w:color w:val="auto"/>
              </w:rPr>
            </w:pPr>
            <w:r>
              <w:rPr>
                <w:rFonts w:ascii="Arial" w:cs="Arial" w:eastAsia="Arial" w:hAnsi="Arial"/>
                <w:sz w:val="15"/>
                <w:szCs w:val="15"/>
                <w:color w:val="auto"/>
              </w:rPr>
              <w:t>(5)</w:t>
            </w:r>
          </w:p>
        </w:tc>
      </w:tr>
      <w:tr>
        <w:trPr>
          <w:trHeight w:val="197"/>
        </w:trPr>
        <w:tc>
          <w:tcPr>
            <w:tcW w:w="354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Viking Global Opportunities Illiquid</w:t>
            </w:r>
          </w:p>
        </w:tc>
        <w:tc>
          <w:tcPr>
            <w:tcW w:w="14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r>
      <w:tr>
        <w:trPr>
          <w:trHeight w:val="221"/>
        </w:trPr>
        <w:tc>
          <w:tcPr>
            <w:tcW w:w="3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Investments Sub-Master LP</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1,096,523</w:t>
            </w: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274,130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r>
      <w:tr>
        <w:trPr>
          <w:trHeight w:val="197"/>
        </w:trPr>
        <w:tc>
          <w:tcPr>
            <w:tcW w:w="3540" w:type="dxa"/>
            <w:vAlign w:val="bottom"/>
          </w:tcPr>
          <w:p>
            <w:pPr>
              <w:spacing w:after="0" w:line="197" w:lineRule="exact"/>
              <w:rPr>
                <w:sz w:val="20"/>
                <w:szCs w:val="20"/>
                <w:color w:val="auto"/>
              </w:rPr>
            </w:pPr>
            <w:r>
              <w:rPr>
                <w:rFonts w:ascii="Arial" w:cs="Arial" w:eastAsia="Arial" w:hAnsi="Arial"/>
                <w:sz w:val="18"/>
                <w:szCs w:val="18"/>
                <w:b w:val="1"/>
                <w:bCs w:val="1"/>
                <w:color w:val="auto"/>
              </w:rPr>
              <w:t>Executive officers and</w:t>
            </w: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1"/>
        </w:trPr>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directors:</w:t>
            </w: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1,644,785</w:t>
            </w: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411,196</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Mark Litton, Ph.D.</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250,000  </w:t>
            </w:r>
            <w:r>
              <w:rPr>
                <w:rFonts w:ascii="Arial" w:cs="Arial" w:eastAsia="Arial" w:hAnsi="Arial"/>
                <w:sz w:val="15"/>
                <w:szCs w:val="15"/>
                <w:color w:val="auto"/>
              </w:rPr>
              <w:t>(7)</w:t>
            </w:r>
          </w:p>
        </w:tc>
        <w:tc>
          <w:tcPr>
            <w:tcW w:w="1440" w:type="dxa"/>
            <w:vAlign w:val="bottom"/>
          </w:tcPr>
          <w:p>
            <w:pPr>
              <w:jc w:val="right"/>
              <w:spacing w:after="0"/>
              <w:rPr>
                <w:sz w:val="20"/>
                <w:szCs w:val="20"/>
                <w:color w:val="auto"/>
              </w:rPr>
            </w:pPr>
            <w:r>
              <w:rPr>
                <w:rFonts w:ascii="Arial" w:cs="Arial" w:eastAsia="Arial" w:hAnsi="Arial"/>
                <w:sz w:val="18"/>
                <w:szCs w:val="18"/>
                <w:color w:val="auto"/>
              </w:rPr>
              <w:t>32,815</w:t>
            </w:r>
          </w:p>
        </w:tc>
        <w:tc>
          <w:tcPr>
            <w:tcW w:w="480" w:type="dxa"/>
            <w:vAlign w:val="bottom"/>
          </w:tcPr>
          <w:p>
            <w:pPr>
              <w:jc w:val="right"/>
              <w:ind w:right="92"/>
              <w:spacing w:after="0"/>
              <w:rPr>
                <w:sz w:val="20"/>
                <w:szCs w:val="20"/>
                <w:color w:val="auto"/>
              </w:rPr>
            </w:pPr>
            <w:r>
              <w:rPr>
                <w:rFonts w:ascii="Arial" w:cs="Arial" w:eastAsia="Arial" w:hAnsi="Arial"/>
                <w:sz w:val="15"/>
                <w:szCs w:val="15"/>
                <w:color w:val="auto"/>
              </w:rPr>
              <w:t>(8)</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60"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This warrant was fully exercised prior to August 26, 2020.</w:t>
      </w:r>
    </w:p>
    <w:p>
      <w:pPr>
        <w:ind w:left="580" w:right="20" w:hanging="572"/>
        <w:spacing w:after="0" w:line="182" w:lineRule="auto"/>
        <w:tabs>
          <w:tab w:leader="none" w:pos="5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Consists of an aggregate of 1,535,131 shares of our Series B convertible preferred stock issued to RTW Master Fund, Ltd., RTW Innovation Master Fund, Ltd. and RTW Venture Fund Limited.</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Consists of warrants to purchase an aggregate of 383,782 shares of our common stock issued to RTW Innovation Master Fund, Ltd., RTW Master Fund, Ltd., and RTW Venture Fund Limited. Each of these warrants was fully exercised prior to August 26, 2020.</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Consists of 326,344 shares of our Series B convertible preferred stock issued to Franklin Strategic Series – Franklin Biotechnology Discovery Fund and 441,222 shares of our Series B convertible preferred stock issued to Franklin Templeton Investment Funds – Franklin Biotechnology Discovery Fund.</w:t>
      </w:r>
    </w:p>
    <w:p>
      <w:pPr>
        <w:spacing w:after="0" w:line="1" w:lineRule="exact"/>
        <w:rPr>
          <w:rFonts w:ascii="Arial" w:cs="Arial" w:eastAsia="Arial" w:hAnsi="Arial"/>
          <w:sz w:val="23"/>
          <w:szCs w:val="23"/>
          <w:color w:val="auto"/>
          <w:vertAlign w:val="superscript"/>
        </w:rPr>
      </w:pPr>
    </w:p>
    <w:p>
      <w:pPr>
        <w:jc w:val="both"/>
        <w:ind w:left="580" w:hanging="572"/>
        <w:spacing w:after="0" w:line="195" w:lineRule="auto"/>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 In connection with the closing of our initial public offering on September 22, 2020, these warrants were automatically net exercised into an aggregate of 190,994 shares of our common stock.</w:t>
      </w:r>
    </w:p>
    <w:p>
      <w:pPr>
        <w:jc w:val="both"/>
        <w:ind w:left="580" w:hanging="572"/>
        <w:spacing w:after="0" w:line="195" w:lineRule="auto"/>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1,644,785 shares of our Series B convertible preferred stock and warrants to purchase 411,196 shares of our common stock issued to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jc w:val="both"/>
        <w:ind w:left="580" w:hanging="572"/>
        <w:spacing w:after="0" w:line="195" w:lineRule="auto"/>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$100,000 in aggregate principal amount of convertible notes issued jointly to Dr. Litton and Alicia Litton, his wife, and $150,000 in aggregate principal amount of convertible notes issued to the Irrevocable Trust of OSL, the Irrevocable Trust of SWL, and the Irrevocable Trust of WGL, each of which are trusts held for the benefit of Dr. Litton’s children.</w:t>
      </w:r>
    </w:p>
    <w:p>
      <w:pPr>
        <w:jc w:val="both"/>
        <w:ind w:left="580" w:hanging="572"/>
        <w:spacing w:after="0" w:line="195" w:lineRule="auto"/>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13,126 shares of our Series B-1 convertible preferred stock issued jointly to Dr. Litton and Alicia Litton, his wife, and an aggregate 19,689 shares of our Series B-1 convertible preferred stock issued to the Irrevocable Trust of OSL, the Irrevocable Trust of SWL, and the Irrevocable Trust of WGL, each of which are trusts held for the benefit of Dr. Litton’s children.</w:t>
      </w:r>
    </w:p>
    <w:p>
      <w:pPr>
        <w:ind w:left="580" w:hanging="572"/>
        <w:spacing w:after="0" w:line="176" w:lineRule="exact"/>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issued to Fluke Capital Management, L.P., of which John M. Fluke, Jr. has a beneficial ownership interest.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0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From January 2019 to January 2020, we issued and sold $2.6 million in aggregate principal amount of our convertible notes. The notes accrue interest at a rate of 5% per year. Dr. Litton, our president and chief executive officer, and Alicia Litton, his wife, purchased $100,000 in aggregate principal amount of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44</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jc w:val="both"/>
        <w:spacing w:after="0" w:line="242" w:lineRule="auto"/>
        <w:rPr>
          <w:sz w:val="20"/>
          <w:szCs w:val="20"/>
          <w:color w:val="auto"/>
        </w:rPr>
      </w:pPr>
      <w:r>
        <w:rPr>
          <w:rFonts w:ascii="Arial" w:cs="Arial" w:eastAsia="Arial" w:hAnsi="Arial"/>
          <w:sz w:val="18"/>
          <w:szCs w:val="18"/>
          <w:color w:val="auto"/>
        </w:rPr>
        <w:t>notes. In addition, notes in an aggregate principal amount of $150,000 were purchased by the Irrevocable Trust of OSL, the Irrevocable Trust of WGL, and the Irrevocable Trust of SWL, each of which are trusts 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$7.752 per share in connection with our Series B financing in May 2020. The Series B financing is described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02"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$0.08 per share. Perceptive Life Sciences Master Fund Ltd., entities affiliated with RTW Investments, LP, Viking Global Opportunities Illiquid Investments Sub-Master LP, and entities affiliated with Franklin Templeton Investments, were each significant stockholders of the company during the company’s 2020 and 2021 fiscal years ended December 31, 2021 and participated in the Series B financing. Viking Global Opportunities Illiquid Investments Sub-Master LP is no longer a significant stockholder of the company.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September and October 2020, we issued and sold 13,397,712 shares of our common stock (including 1,397,712 shares sold pursuant to the underwriters’ partial exercise of their option to purchase additional shares) in our initial public offering at $17.00 per share for aggregate gross proceeds of $227.8 million. Perceptive Life Sciences Master Fund Ltd., entities affiliated with RTW Investments, LP, Viking Global Opportunities Illiquid Investments Sub-Master LP, and entities affiliated with Franklin Templeton Investments, were each significant stockholders of the company and invested in the initial public offering purchasing 1,058,824, 750,000, 750,000, and 411,764 shares of our common stock, respectively.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02"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In January and February 2021, we issued and sold 4,600,000 shares (including 600,000 shares sold pursuant to the underwriters’ full exercise of their option to purchase additional shares) of our common stock at a public offering price of $22.50 per share for aggregate gross proceeds of approximately $103.5 million. Perceptive Life Sciences Master Fund Ltd. invested in the follow-on public offering, purchasing 311,111 shares of our common stock.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04"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We have entered into an investors’ rights agreement with certain of our stockholders, including Dr. Kawas, our former chief executive officer, Dr. Litton, our president and chief executive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the date of this proxy statement, the holders of approximately 3,718,293 shares of our common stock, or their transferees, are entitled to</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45</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jc w:val="both"/>
        <w:spacing w:after="0" w:line="271" w:lineRule="auto"/>
        <w:rPr>
          <w:sz w:val="20"/>
          <w:szCs w:val="20"/>
          <w:color w:val="auto"/>
        </w:rPr>
      </w:pPr>
      <w:r>
        <w:rPr>
          <w:rFonts w:ascii="Arial" w:cs="Arial" w:eastAsia="Arial" w:hAnsi="Arial"/>
          <w:sz w:val="18"/>
          <w:szCs w:val="18"/>
          <w:color w:val="auto"/>
        </w:rPr>
        <w:t>rights with respect to the registration of their outstanding shares. In addition, pursuant to the terms of the investors’ rights agreement, such holders are also entitled to registration rights with respect to shares acquired after the date of this proxy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0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Prior to our initial public offering, the election of the members of the board of directors was governed by a voting agreement with certain of our stockholders, including Dr. Kawas, our former chief executive officer, and Perceptive Life Sciences Master Fund Ltd. The parties to the voting agreement agreed, subject to certain conditions, to vote their shares to elect as directors as follows:</w:t>
      </w:r>
    </w:p>
    <w:p>
      <w:pPr>
        <w:spacing w:after="0" w:line="61" w:lineRule="exact"/>
        <w:rPr>
          <w:sz w:val="20"/>
          <w:szCs w:val="20"/>
          <w:color w:val="auto"/>
        </w:rPr>
      </w:pPr>
    </w:p>
    <w:p>
      <w:pPr>
        <w:ind w:left="1160" w:hanging="572"/>
        <w:spacing w:after="0"/>
        <w:tabs>
          <w:tab w:leader="none" w:pos="11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designated by Perceptive Life Sciences Master Fund Ltd.;</w:t>
      </w:r>
    </w:p>
    <w:p>
      <w:pPr>
        <w:spacing w:after="0" w:line="35"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four nominees, one of which must be our chief executive officer, designated by a majority vote of our common stock;</w:t>
      </w:r>
    </w:p>
    <w:p>
      <w:pPr>
        <w:spacing w:after="0" w:line="35"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designated by Perceptive Life Sciences Master Fund Ltd.; and</w:t>
      </w:r>
    </w:p>
    <w:p>
      <w:pPr>
        <w:spacing w:after="0" w:line="35" w:lineRule="exact"/>
        <w:rPr>
          <w:rFonts w:ascii="Times New Roman" w:cs="Times New Roman" w:eastAsia="Times New Roman" w:hAnsi="Times New Roman"/>
          <w:sz w:val="18"/>
          <w:szCs w:val="18"/>
          <w:color w:val="auto"/>
        </w:rPr>
      </w:pPr>
    </w:p>
    <w:p>
      <w:pPr>
        <w:ind w:left="1160" w:right="20" w:hanging="572"/>
        <w:spacing w:after="0" w:line="270" w:lineRule="auto"/>
        <w:tabs>
          <w:tab w:leader="none" w:pos="11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15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Upon the consummation of our initial public offering, the obligations of the parties to the voting agreement to vote their shares to elect these nominees terminated, and, following such termination, none of our stockholders have any special rights regarding the nomination, election or designation of members of the board of directors. The certificate of incorporation in effect at the time of our initial public offering contained provisions that corresponded to the voting agreement; however, the certificate of incorporation that became effective immediately prior to the closing of our initial public offering does not include such provisions.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04"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in 2020 prior to the public filing of the registration statement relating to our initial public offering.</w:t>
      </w:r>
    </w:p>
    <w:p>
      <w:pPr>
        <w:spacing w:after="0" w:line="15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We have entered into offer letters with our executive officers and change in control and severance agreements with certain of our executive officers. For a description of these agreements, see the section of this proxy statement titled “Executive Compensation – Executive Employment Arrangements.”</w:t>
      </w:r>
    </w:p>
    <w:p>
      <w:pPr>
        <w:spacing w:after="0" w:line="169"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We have granted stock options and performance restricted stock units and issued common stock to our executive officers and to certain of our non-executive directors. For a description of these grants and issuances, see the sections of this proxy statement titled “Board of Directors and Corporate Governance – Director Compensation” and “Executive Compensation.”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46</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jc w:val="both"/>
        <w:ind w:firstLine="589"/>
        <w:spacing w:after="0" w:line="239"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47</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CERTAIN INFORMATION REGARDING PARTICIPANTS IN THE SOLICITATION OF PROXIES</w:t>
      </w:r>
    </w:p>
    <w:p>
      <w:pPr>
        <w:spacing w:after="0" w:line="211"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Under applicable SEC rules and regulations, members of the board, the board’s nominees, and certain executive officers and other employees of the Company are “participants” with respect to the Company’s solicitation of proxies in connection with the Annual Meeting. Certain required information regarding these “participants” is set forth in Annex A to this proxy statement.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Bylaws</w:t>
      </w:r>
    </w:p>
    <w:p>
      <w:pPr>
        <w:spacing w:after="0" w:line="10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 xml:space="preserve">A copy of the Bylaws may be obtained by accessing our filings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 Reports</w:t>
      </w:r>
    </w:p>
    <w:p>
      <w:pPr>
        <w:spacing w:after="0" w:line="10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of a registered class of our equity securities, to file reports of ownership and changes in ownership with the SEC. Based solely on our review of Forms 3, 4 and 5 and amendments thereto filed electronically with the SEC by the reporting persons, and written representations from certain reporting persons, we believe that during the fiscal year ended December 31, 2021, our directors, executive officers, and ten percent stockholders complied with all Section 16(a) filing requirements applicable to them.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Annual Report</w:t>
      </w:r>
    </w:p>
    <w:p>
      <w:pPr>
        <w:spacing w:after="0" w:line="104"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 xml:space="preserve">Our financial statements for our fiscal year ended December 31, 2021, are included in our Annual Report on Form 10-K, filed with the SEC on or about March 28, 2022, which we will make available to stockholders at the same time as this proxy statement. Our proxy materials and our annual report are posted on our website at </w:t>
      </w:r>
      <w:r>
        <w:rPr>
          <w:rFonts w:ascii="Arial" w:cs="Arial" w:eastAsia="Arial" w:hAnsi="Arial"/>
          <w:sz w:val="18"/>
          <w:szCs w:val="18"/>
          <w:i w:val="1"/>
          <w:iCs w:val="1"/>
          <w:color w:val="auto"/>
        </w:rPr>
        <w:t>www.athira.com</w:t>
      </w:r>
      <w:r>
        <w:rPr>
          <w:rFonts w:ascii="Arial" w:cs="Arial" w:eastAsia="Arial" w:hAnsi="Arial"/>
          <w:sz w:val="18"/>
          <w:szCs w:val="18"/>
          <w:color w:val="auto"/>
        </w:rPr>
        <w:t xml:space="preserve"> and are available from the SEC at its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t>
      </w:r>
      <w:r>
        <w:rPr>
          <w:rFonts w:ascii="Arial" w:cs="Arial" w:eastAsia="Arial" w:hAnsi="Arial"/>
          <w:sz w:val="18"/>
          <w:szCs w:val="18"/>
          <w:b w:val="1"/>
          <w:bCs w:val="1"/>
          <w:color w:val="auto"/>
        </w:rPr>
        <w:t>You may</w:t>
      </w:r>
      <w:r>
        <w:rPr>
          <w:rFonts w:ascii="Arial" w:cs="Arial" w:eastAsia="Arial" w:hAnsi="Arial"/>
          <w:sz w:val="18"/>
          <w:szCs w:val="18"/>
          <w:color w:val="auto"/>
        </w:rPr>
        <w:t xml:space="preserve"> </w:t>
      </w:r>
      <w:r>
        <w:rPr>
          <w:rFonts w:ascii="Arial" w:cs="Arial" w:eastAsia="Arial" w:hAnsi="Arial"/>
          <w:sz w:val="18"/>
          <w:szCs w:val="18"/>
          <w:b w:val="1"/>
          <w:bCs w:val="1"/>
          <w:color w:val="auto"/>
        </w:rPr>
        <w:t>also obtain a copy of our annual report, free of charge, by sending a written request to Athira Pharma, Inc., 18706 North Creek Parkway, Suite 104, Bothell, Washington 98011, Attention: Investor Relations.</w:t>
      </w:r>
    </w:p>
    <w:p>
      <w:pPr>
        <w:spacing w:after="0" w:line="168" w:lineRule="exact"/>
        <w:rPr>
          <w:sz w:val="20"/>
          <w:szCs w:val="20"/>
          <w:color w:val="auto"/>
        </w:rPr>
      </w:pPr>
    </w:p>
    <w:p>
      <w:pPr>
        <w:jc w:val="both"/>
        <w:ind w:firstLine="589"/>
        <w:spacing w:after="0" w:line="245" w:lineRule="auto"/>
        <w:rPr>
          <w:sz w:val="20"/>
          <w:szCs w:val="20"/>
          <w:color w:val="auto"/>
        </w:rPr>
      </w:pPr>
      <w:r>
        <w:rPr>
          <w:rFonts w:ascii="Arial" w:cs="Arial" w:eastAsia="Arial" w:hAnsi="Arial"/>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Bothell, Washington</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April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48</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ANNEX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PARTICIPANTS IN THE SOLICITATION OF PROXIES</w:t>
      </w:r>
    </w:p>
    <w:p>
      <w:pPr>
        <w:spacing w:after="0" w:line="21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Under applicable SEC rules and regulations, members of our board and certain officers or other employees of our Company may be deemed to be “participants” with respect to our solicitation of proxies in connection with the Annual Meeting. The following sets forth certain information about the persons who may be deemed “participants.”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 xml:space="preserve">The following table sets forth the names and business addresses of our directors (including our three Class II directors who are each a nominee for director), as well as the names and principal business addresses of the corporation or other organization in which the principal occupations or employment of the Directors is carried on. The principal occupations or employment of the directors are set forth under the title </w:t>
      </w:r>
      <w:r>
        <w:rPr>
          <w:rFonts w:ascii="Arial" w:cs="Arial" w:eastAsia="Arial" w:hAnsi="Arial"/>
          <w:sz w:val="18"/>
          <w:szCs w:val="18"/>
          <w:i w:val="1"/>
          <w:iCs w:val="1"/>
          <w:color w:val="auto"/>
        </w:rPr>
        <w:t>“Proposal No.</w:t>
      </w:r>
      <w:r>
        <w:rPr>
          <w:rFonts w:ascii="Arial" w:cs="Arial" w:eastAsia="Arial" w:hAnsi="Arial"/>
          <w:sz w:val="18"/>
          <w:szCs w:val="18"/>
          <w:color w:val="auto"/>
        </w:rPr>
        <w:t xml:space="preserve"> 1</w:t>
      </w:r>
      <w:r>
        <w:rPr>
          <w:rFonts w:ascii="Arial" w:cs="Arial" w:eastAsia="Arial" w:hAnsi="Arial"/>
          <w:sz w:val="18"/>
          <w:szCs w:val="18"/>
          <w:i w:val="1"/>
          <w:iCs w:val="1"/>
          <w:color w:val="auto"/>
        </w:rPr>
        <w:t>, Election of Class II Directors”</w:t>
      </w:r>
      <w:r>
        <w:rPr>
          <w:rFonts w:ascii="Arial" w:cs="Arial" w:eastAsia="Arial" w:hAnsi="Arial"/>
          <w:sz w:val="18"/>
          <w:szCs w:val="18"/>
          <w:color w:val="auto"/>
        </w:rPr>
        <w:t xml:space="preserve"> in this Proxy Statement.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00" w:type="dxa"/>
            <w:vAlign w:val="bottom"/>
            <w:gridSpan w:val="2"/>
          </w:tcPr>
          <w:p>
            <w:pPr>
              <w:ind w:left="180"/>
              <w:spacing w:after="0"/>
              <w:rPr>
                <w:sz w:val="20"/>
                <w:szCs w:val="20"/>
                <w:color w:val="auto"/>
              </w:rPr>
            </w:pPr>
            <w:r>
              <w:rPr>
                <w:rFonts w:ascii="Arial" w:cs="Arial" w:eastAsia="Arial" w:hAnsi="Arial"/>
                <w:sz w:val="18"/>
                <w:szCs w:val="18"/>
                <w:b w:val="1"/>
                <w:bCs w:val="1"/>
                <w:color w:val="auto"/>
              </w:rPr>
              <w:t>Business Name and Address</w:t>
            </w:r>
          </w:p>
        </w:tc>
      </w:tr>
      <w:tr>
        <w:trPr>
          <w:trHeight w:val="209"/>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Kelly Romano</w:t>
            </w:r>
          </w:p>
        </w:tc>
        <w:tc>
          <w:tcPr>
            <w:tcW w:w="180" w:type="dxa"/>
            <w:vAlign w:val="bottom"/>
            <w:tcBorders>
              <w:top w:val="single" w:sz="8" w:color="CFF0FC"/>
            </w:tcBorders>
            <w:shd w:val="clear" w:color="auto" w:fill="CFF0FC"/>
          </w:tcPr>
          <w:p>
            <w:pPr>
              <w:spacing w:after="0"/>
              <w:rPr>
                <w:sz w:val="18"/>
                <w:szCs w:val="18"/>
                <w:color w:val="auto"/>
              </w:rPr>
            </w:pPr>
          </w:p>
        </w:tc>
        <w:tc>
          <w:tcPr>
            <w:tcW w:w="8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 Athira Pharma, Inc. 18706 North Creek Parkway, Suite 104, Bothell, Washington 98011</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Mark Litton, Ph.D.</w:t>
            </w: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Athira Pharma, Inc. 18706 North Creek Parkway, Suite 104, Bothell, Washington 98011</w:t>
            </w: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p>
        </w:tc>
        <w:tc>
          <w:tcPr>
            <w:tcW w:w="8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Perceptive Advisors LLC, 51 Astor Place, 10th Floor, New York, New York 10003</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John Fluke, Jr.</w:t>
            </w: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Fluke Capital Management, L.P., 520 Kirkland Way #300, Kirkland, Washington 98033</w:t>
            </w: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James Johnson</w:t>
            </w:r>
          </w:p>
        </w:tc>
        <w:tc>
          <w:tcPr>
            <w:tcW w:w="8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 Athira Pharma, Inc. 18706 North Creek Parkway, Suite 104, Bothell, Washington 98011</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Barbara Kosacz</w:t>
            </w: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Kronos Bio, Inc., 1300 So. El Camino Real, Suite 400, San Mateo, California 94402</w:t>
            </w: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Michael Panzara, M.D.</w:t>
            </w:r>
          </w:p>
        </w:tc>
        <w:tc>
          <w:tcPr>
            <w:tcW w:w="8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Wave Life Sciences Ltd., 733 Concord Avenue, Cambridge, Massachusetts</w:t>
            </w:r>
          </w:p>
        </w:tc>
      </w:tr>
      <w:tr>
        <w:trPr>
          <w:trHeight w:val="239"/>
        </w:trPr>
        <w:tc>
          <w:tcPr>
            <w:tcW w:w="2540" w:type="dxa"/>
            <w:vAlign w:val="bottom"/>
          </w:tcPr>
          <w:p>
            <w:pPr>
              <w:spacing w:after="0"/>
              <w:rPr>
                <w:sz w:val="20"/>
                <w:szCs w:val="20"/>
                <w:color w:val="auto"/>
              </w:rPr>
            </w:pPr>
            <w:r>
              <w:rPr>
                <w:rFonts w:ascii="Arial" w:cs="Arial" w:eastAsia="Arial" w:hAnsi="Arial"/>
                <w:sz w:val="18"/>
                <w:szCs w:val="18"/>
                <w:color w:val="auto"/>
              </w:rPr>
              <w:t>Grant Pickering</w:t>
            </w: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Vaxcyte, Inc., 825 Industrial Road, Suite 300, San Carlos, California 94070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Officers and Other Employees</w:t>
      </w:r>
    </w:p>
    <w:p>
      <w:pPr>
        <w:spacing w:after="0" w:line="10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following table sets forth the names and principal occupation of the Company’s officers or other employees who may be deemed to be “participants.” The principal business address of each such person is Athira Pharma, Inc. 18706 North Creek Parkway, Suite 104, Bothell, Washington 98011.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9080" w:type="dxa"/>
            <w:vAlign w:val="bottom"/>
            <w:gridSpan w:val="2"/>
          </w:tcPr>
          <w:p>
            <w:pPr>
              <w:ind w:left="180"/>
              <w:spacing w:after="0"/>
              <w:rPr>
                <w:sz w:val="20"/>
                <w:szCs w:val="20"/>
                <w:color w:val="auto"/>
              </w:rPr>
            </w:pPr>
            <w:r>
              <w:rPr>
                <w:rFonts w:ascii="Arial" w:cs="Arial" w:eastAsia="Arial" w:hAnsi="Arial"/>
                <w:sz w:val="18"/>
                <w:szCs w:val="18"/>
                <w:b w:val="1"/>
                <w:bCs w:val="1"/>
                <w:color w:val="auto"/>
              </w:rPr>
              <w:t>Principal Occupation</w:t>
            </w:r>
          </w:p>
        </w:tc>
      </w:tr>
      <w:tr>
        <w:trPr>
          <w:trHeight w:val="210"/>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Rachel Lenington</w:t>
            </w:r>
          </w:p>
        </w:tc>
        <w:tc>
          <w:tcPr>
            <w:tcW w:w="180" w:type="dxa"/>
            <w:vAlign w:val="bottom"/>
            <w:tcBorders>
              <w:top w:val="single" w:sz="8" w:color="CFF0FC"/>
            </w:tcBorders>
            <w:shd w:val="clear" w:color="auto" w:fill="CFF0FC"/>
          </w:tcPr>
          <w:p>
            <w:pPr>
              <w:spacing w:after="0"/>
              <w:rPr>
                <w:sz w:val="18"/>
                <w:szCs w:val="18"/>
                <w:color w:val="auto"/>
              </w:rPr>
            </w:pPr>
          </w:p>
        </w:tc>
        <w:tc>
          <w:tcPr>
            <w:tcW w:w="8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Operating Officer</w:t>
            </w:r>
          </w:p>
        </w:tc>
      </w:tr>
      <w:tr>
        <w:trPr>
          <w:trHeight w:val="239"/>
        </w:trPr>
        <w:tc>
          <w:tcPr>
            <w:tcW w:w="2160" w:type="dxa"/>
            <w:vAlign w:val="bottom"/>
          </w:tcPr>
          <w:p>
            <w:pPr>
              <w:spacing w:after="0"/>
              <w:rPr>
                <w:sz w:val="20"/>
                <w:szCs w:val="20"/>
                <w:color w:val="auto"/>
              </w:rPr>
            </w:pPr>
            <w:r>
              <w:rPr>
                <w:rFonts w:ascii="Arial" w:cs="Arial" w:eastAsia="Arial" w:hAnsi="Arial"/>
                <w:sz w:val="18"/>
                <w:szCs w:val="18"/>
                <w:color w:val="auto"/>
              </w:rPr>
              <w:t>Glenna Mileson</w:t>
            </w:r>
          </w:p>
        </w:tc>
        <w:tc>
          <w:tcPr>
            <w:tcW w:w="908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Ownership of our Company’s Securities by the Participants</w:t>
      </w:r>
    </w:p>
    <w:p>
      <w:pPr>
        <w:spacing w:after="0" w:line="10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color w:val="auto"/>
        </w:rPr>
        <w:t>Except as described in this Annex A, or as otherwise indicated in the “Security Ownership of Certain Beneficial Owners and Management" section of this proxy statement, none of the persons listed above under “Directors and Nominees” and “Certain Officers and Other Employees” beneficially owns any of our securities of record. The number of shares of our common stock held by the persons listed above under the titles “Directors and Nominees” and “Certain Officers and Other Employees” as of March 31, 2022, is set forth in the “Security Ownership of Certain Beneficial Owners and Management” section of this proxy statement.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49</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Information Regarding Transactions in our Company’s Securities by the Participants</w:t>
      </w:r>
    </w:p>
    <w:p>
      <w:pPr>
        <w:spacing w:after="0" w:line="10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The following table sets forth purchases and sales of our Company’s securities since the closing of the Company’s initial public offering on September 22, 2020, by the persons listed above under the titles “Directors and Nominees” and “Certain Officers and Other Employees.” None of the purchase price or market value of the securities listed below is represented by funds borrowed or otherwise obtained for the purpose of acquiring or holding such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Securities Purchased or Sold September 22, 2020, through March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Purchase/(Sale) of</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30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rPr>
              <w:t>Date</w:t>
            </w: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(number of shares)</w:t>
            </w:r>
          </w:p>
        </w:tc>
        <w:tc>
          <w:tcPr>
            <w:tcW w:w="1440" w:type="dxa"/>
            <w:vAlign w:val="bottom"/>
            <w:gridSpan w:val="3"/>
          </w:tcPr>
          <w:p>
            <w:pPr>
              <w:ind w:left="140"/>
              <w:spacing w:after="0"/>
              <w:rPr>
                <w:sz w:val="20"/>
                <w:szCs w:val="20"/>
                <w:color w:val="auto"/>
              </w:rPr>
            </w:pPr>
            <w:r>
              <w:rPr>
                <w:rFonts w:ascii="Arial" w:cs="Arial" w:eastAsia="Arial" w:hAnsi="Arial"/>
                <w:sz w:val="18"/>
                <w:szCs w:val="18"/>
                <w:b w:val="1"/>
                <w:bCs w:val="1"/>
                <w:color w:val="auto"/>
              </w:rPr>
              <w:t>Notes</w:t>
            </w:r>
          </w:p>
        </w:tc>
      </w:tr>
      <w:tr>
        <w:trPr>
          <w:trHeight w:val="209"/>
        </w:trPr>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 Litton</w:t>
            </w:r>
          </w:p>
        </w:tc>
        <w:tc>
          <w:tcPr>
            <w:tcW w:w="20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5/18/21</w:t>
            </w:r>
          </w:p>
        </w:tc>
        <w:tc>
          <w:tcPr>
            <w:tcW w:w="32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0"/>
              </w:rPr>
              <w:t>(3)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8/17/21</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50,440</w:t>
            </w:r>
          </w:p>
        </w:tc>
        <w:tc>
          <w:tcPr>
            <w:tcW w:w="180" w:type="dxa"/>
            <w:vAlign w:val="bottom"/>
          </w:tcPr>
          <w:p>
            <w:pPr>
              <w:spacing w:after="0"/>
              <w:rPr>
                <w:sz w:val="18"/>
                <w:szCs w:val="18"/>
                <w:color w:val="auto"/>
              </w:rPr>
            </w:pPr>
          </w:p>
        </w:tc>
        <w:tc>
          <w:tcPr>
            <w:tcW w:w="1320" w:type="dxa"/>
            <w:vAlign w:val="bottom"/>
            <w:gridSpan w:val="2"/>
          </w:tcPr>
          <w:p>
            <w:pPr>
              <w:jc w:val="right"/>
              <w:ind w:right="8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11/18/21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Rachel Lenington</w:t>
            </w:r>
          </w:p>
        </w:tc>
        <w:tc>
          <w:tcPr>
            <w:tcW w:w="200" w:type="dxa"/>
            <w:vAlign w:val="bottom"/>
          </w:tcPr>
          <w:p>
            <w:pPr>
              <w:spacing w:after="0"/>
              <w:rPr>
                <w:sz w:val="18"/>
                <w:szCs w:val="18"/>
                <w:color w:val="auto"/>
              </w:rPr>
            </w:pPr>
          </w:p>
        </w:tc>
        <w:tc>
          <w:tcPr>
            <w:tcW w:w="2100" w:type="dxa"/>
            <w:vAlign w:val="bottom"/>
            <w:gridSpan w:val="2"/>
          </w:tcPr>
          <w:p>
            <w:pPr>
              <w:jc w:val="center"/>
              <w:ind w:right="168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5/18/21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6/10/21</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6,305</w:t>
            </w:r>
          </w:p>
        </w:tc>
        <w:tc>
          <w:tcPr>
            <w:tcW w:w="180" w:type="dxa"/>
            <w:vAlign w:val="bottom"/>
          </w:tcPr>
          <w:p>
            <w:pPr>
              <w:spacing w:after="0"/>
              <w:rPr>
                <w:sz w:val="18"/>
                <w:szCs w:val="18"/>
                <w:color w:val="auto"/>
              </w:rPr>
            </w:pPr>
          </w:p>
        </w:tc>
        <w:tc>
          <w:tcPr>
            <w:tcW w:w="1320" w:type="dxa"/>
            <w:vAlign w:val="bottom"/>
            <w:gridSpan w:val="2"/>
          </w:tcPr>
          <w:p>
            <w:pPr>
              <w:jc w:val="right"/>
              <w:ind w:right="8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11/18/21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1/4/22</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6,305</w:t>
            </w:r>
          </w:p>
        </w:tc>
        <w:tc>
          <w:tcPr>
            <w:tcW w:w="180" w:type="dxa"/>
            <w:vAlign w:val="bottom"/>
          </w:tcPr>
          <w:p>
            <w:pPr>
              <w:spacing w:after="0"/>
              <w:rPr>
                <w:sz w:val="18"/>
                <w:szCs w:val="18"/>
                <w:color w:val="auto"/>
              </w:rPr>
            </w:pPr>
          </w:p>
        </w:tc>
        <w:tc>
          <w:tcPr>
            <w:tcW w:w="1320" w:type="dxa"/>
            <w:vAlign w:val="bottom"/>
            <w:gridSpan w:val="2"/>
          </w:tcPr>
          <w:p>
            <w:pPr>
              <w:jc w:val="right"/>
              <w:ind w:right="8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Kelly Romano</w:t>
            </w: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12/22/20</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3/31/22</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18"/>
                <w:szCs w:val="18"/>
                <w:color w:val="auto"/>
              </w:rPr>
            </w:pPr>
          </w:p>
        </w:tc>
        <w:tc>
          <w:tcPr>
            <w:tcW w:w="1320" w:type="dxa"/>
            <w:vAlign w:val="bottom"/>
            <w:gridSpan w:val="2"/>
          </w:tcPr>
          <w:p>
            <w:pPr>
              <w:jc w:val="right"/>
              <w:ind w:right="8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9/22/20</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1,058,824</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1/25/21</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311,111</w:t>
            </w:r>
          </w:p>
        </w:tc>
        <w:tc>
          <w:tcPr>
            <w:tcW w:w="180" w:type="dxa"/>
            <w:vAlign w:val="bottom"/>
          </w:tcPr>
          <w:p>
            <w:pPr>
              <w:spacing w:after="0"/>
              <w:rPr>
                <w:sz w:val="18"/>
                <w:szCs w:val="18"/>
                <w:color w:val="auto"/>
              </w:rPr>
            </w:pPr>
          </w:p>
        </w:tc>
        <w:tc>
          <w:tcPr>
            <w:tcW w:w="1320" w:type="dxa"/>
            <w:vAlign w:val="bottom"/>
            <w:gridSpan w:val="2"/>
          </w:tcPr>
          <w:p>
            <w:pPr>
              <w:jc w:val="right"/>
              <w:ind w:right="8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John Fluke, Jr.</w:t>
            </w: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2/3/21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25,220</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2/3/21</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3,783</w:t>
            </w:r>
          </w:p>
        </w:tc>
        <w:tc>
          <w:tcPr>
            <w:tcW w:w="180" w:type="dxa"/>
            <w:vAlign w:val="bottom"/>
          </w:tcPr>
          <w:p>
            <w:pPr>
              <w:spacing w:after="0"/>
              <w:rPr>
                <w:sz w:val="18"/>
                <w:szCs w:val="18"/>
                <w:color w:val="auto"/>
              </w:rPr>
            </w:pPr>
          </w:p>
        </w:tc>
        <w:tc>
          <w:tcPr>
            <w:tcW w:w="1320" w:type="dxa"/>
            <w:vAlign w:val="bottom"/>
            <w:gridSpan w:val="2"/>
          </w:tcPr>
          <w:p>
            <w:pPr>
              <w:jc w:val="right"/>
              <w:ind w:right="8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6/15/21</w:t>
            </w: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(3,000)</w:t>
            </w:r>
          </w:p>
        </w:tc>
        <w:tc>
          <w:tcPr>
            <w:tcW w:w="132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6/15/21</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320" w:type="dxa"/>
            <w:vAlign w:val="bottom"/>
            <w:gridSpan w:val="2"/>
          </w:tcPr>
          <w:p>
            <w:pPr>
              <w:jc w:val="right"/>
              <w:ind w:right="8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James Johnson</w:t>
            </w:r>
          </w:p>
        </w:tc>
        <w:tc>
          <w:tcPr>
            <w:tcW w:w="20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center"/>
              <w:ind w:right="168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Barbara Kosacz</w:t>
            </w:r>
          </w:p>
        </w:tc>
        <w:tc>
          <w:tcPr>
            <w:tcW w:w="200" w:type="dxa"/>
            <w:vAlign w:val="bottom"/>
          </w:tcPr>
          <w:p>
            <w:pPr>
              <w:spacing w:after="0"/>
              <w:rPr>
                <w:sz w:val="18"/>
                <w:szCs w:val="18"/>
                <w:color w:val="auto"/>
              </w:rPr>
            </w:pPr>
          </w:p>
        </w:tc>
        <w:tc>
          <w:tcPr>
            <w:tcW w:w="2100" w:type="dxa"/>
            <w:vAlign w:val="bottom"/>
            <w:gridSpan w:val="2"/>
          </w:tcPr>
          <w:p>
            <w:pPr>
              <w:jc w:val="center"/>
              <w:ind w:right="168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Michael Panzara, M.D.</w:t>
            </w:r>
          </w:p>
        </w:tc>
        <w:tc>
          <w:tcPr>
            <w:tcW w:w="20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center"/>
              <w:ind w:right="168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 Pickering</w:t>
            </w: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6/18/21</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1320" w:type="dxa"/>
            <w:vAlign w:val="bottom"/>
            <w:gridSpan w:val="2"/>
          </w:tcPr>
          <w:p>
            <w:pPr>
              <w:jc w:val="right"/>
              <w:ind w:right="8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10/22/21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645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91" w:lineRule="exact"/>
        <w:rPr>
          <w:sz w:val="20"/>
          <w:szCs w:val="20"/>
          <w:color w:val="auto"/>
        </w:rPr>
      </w:pPr>
    </w:p>
    <w:p>
      <w:pPr>
        <w:ind w:left="300" w:hanging="261"/>
        <w:spacing w:after="0"/>
        <w:tabs>
          <w:tab w:leader="none" w:pos="3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Open market purchase</w:t>
      </w:r>
    </w:p>
    <w:p>
      <w:pPr>
        <w:spacing w:after="0" w:line="13" w:lineRule="exact"/>
        <w:rPr>
          <w:rFonts w:ascii="Arial" w:cs="Arial" w:eastAsia="Arial" w:hAnsi="Arial"/>
          <w:sz w:val="18"/>
          <w:szCs w:val="18"/>
          <w:b w:val="1"/>
          <w:bCs w:val="1"/>
          <w:color w:val="auto"/>
        </w:rPr>
      </w:pPr>
    </w:p>
    <w:p>
      <w:pPr>
        <w:ind w:left="300" w:hanging="261"/>
        <w:spacing w:after="0" w:line="234" w:lineRule="auto"/>
        <w:tabs>
          <w:tab w:leader="none" w:pos="3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Stock option - exercise and hold</w:t>
      </w:r>
    </w:p>
    <w:p>
      <w:pPr>
        <w:ind w:left="300" w:hanging="261"/>
        <w:spacing w:after="0" w:line="234" w:lineRule="auto"/>
        <w:tabs>
          <w:tab w:leader="none" w:pos="3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Purchase of ESPP shares</w:t>
      </w:r>
    </w:p>
    <w:p>
      <w:pPr>
        <w:ind w:left="300" w:hanging="261"/>
        <w:spacing w:after="0" w:line="234" w:lineRule="auto"/>
        <w:tabs>
          <w:tab w:leader="none" w:pos="3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Pro rata distribution to holder of record’s partners</w:t>
      </w:r>
    </w:p>
    <w:p>
      <w:pPr>
        <w:ind w:left="300" w:hanging="261"/>
        <w:spacing w:after="0"/>
        <w:tabs>
          <w:tab w:leader="none" w:pos="3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Pro rata distribution from holder of record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Information Concerning Participants</w:t>
      </w:r>
    </w:p>
    <w:p>
      <w:pPr>
        <w:spacing w:after="0" w:line="10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Except as described in this Annex A or otherwise disclosed in this proxy statement, no person listed above under “Directors and Nominees” and “Certain Officers and Other Employees” or any of his or her “associates” beneficially owns (within the meaning of Rule 13d-3 under the Exchange Act), directly or indirectly, any shares or other securities of the Company or any of its subsidiaries. Furthermore, except as described in this Annex A or otherwise disclosed in this proxy statement, no such person or any of his or her associates is either a party to any transaction or series of similar transactions in the last fiscal year, or any currently proposed transaction or series of similar transactions</w:t>
      </w:r>
    </w:p>
    <w:p>
      <w:pPr>
        <w:spacing w:after="0" w:line="4" w:lineRule="exact"/>
        <w:rPr>
          <w:sz w:val="20"/>
          <w:szCs w:val="20"/>
          <w:color w:val="auto"/>
        </w:rPr>
      </w:pPr>
    </w:p>
    <w:p>
      <w:pPr>
        <w:jc w:val="both"/>
        <w:ind w:firstLine="8"/>
        <w:spacing w:after="0" w:line="242" w:lineRule="auto"/>
        <w:tabs>
          <w:tab w:leader="none" w:pos="2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which the Company or any of its subsidiaries was or is to be a party, (2) in which the amount involved exceeds $120,000 and (3) in which such person or associate had or will have a direct or indirect material interest. None of the participants have been convicted in a criminal proceeding during the past 10 years.</w:t>
      </w:r>
    </w:p>
    <w:p>
      <w:pPr>
        <w:spacing w:after="0" w:line="170" w:lineRule="exact"/>
        <w:rPr>
          <w:rFonts w:ascii="Arial" w:cs="Arial" w:eastAsia="Arial" w:hAnsi="Arial"/>
          <w:sz w:val="18"/>
          <w:szCs w:val="18"/>
          <w:color w:val="auto"/>
        </w:rPr>
      </w:pPr>
    </w:p>
    <w:p>
      <w:pPr>
        <w:ind w:left="5520" w:hanging="122"/>
        <w:spacing w:after="0"/>
        <w:tabs>
          <w:tab w:leader="none" w:pos="5520" w:val="left"/>
        </w:tabs>
        <w:numPr>
          <w:ilvl w:val="1"/>
          <w:numId w:val="42"/>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50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9" w:name="page60"/>
    <w:bookmarkEnd w:id="59"/>
    <w:p>
      <w:pPr>
        <w:jc w:val="both"/>
        <w:ind w:firstLine="589"/>
        <w:spacing w:after="0" w:line="247" w:lineRule="auto"/>
        <w:rPr>
          <w:sz w:val="20"/>
          <w:szCs w:val="20"/>
          <w:color w:val="auto"/>
        </w:rPr>
      </w:pPr>
      <w:r>
        <w:rPr>
          <w:rFonts w:ascii="Arial" w:cs="Arial" w:eastAsia="Arial" w:hAnsi="Arial"/>
          <w:sz w:val="18"/>
          <w:szCs w:val="18"/>
          <w:color w:val="auto"/>
        </w:rPr>
        <w:t>Except as described in this Annex A or otherwise disclosed in this proxy statement, no person listed above under “Directors and Nominees” and “Certain Officers and Other Employees” or any of his or her associates has entered into any arrangement or understanding with any person with respect to (1) any future employment with the Company or its affiliates, or (2) any future transactions to which the Company or any of its affiliates will or may be a party.</w:t>
      </w:r>
    </w:p>
    <w:p>
      <w:pPr>
        <w:spacing w:after="0" w:line="17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Except as described in this Annex A or otherwise disclosed in this proxy statement, there are no contracts, arrangements or understandings by any of the persons listed above under “Directors and Nominees” and “Certain Officers and Other Employees” within the past year with any person with respect to any of our securities, including, but not limited to, joint ventures, loan or option arrangements, puts or calls, guarantees against loss or guarantees of profit, division of losses or profits, or the giving or withholding of proxies.</w:t>
      </w:r>
    </w:p>
    <w:p>
      <w:pPr>
        <w:spacing w:after="0" w:line="17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Except as described in this Annex A or otherwise disclosed in this proxy statement, no persons listed above under “Directors and Nominees” and “Certain Officers and Other Employees” has any substantial interest, direct or indirect, by security holdings or otherwise, in any matter to be acted upon at the Annual Meeting (and no other person who is a party to an arrangement or understanding pursuant to which a nominee for election as director is proposed to be elected has any such interests).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51</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74865" cy="7556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7556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226060</wp:posOffset>
            </wp:positionV>
            <wp:extent cx="5297805" cy="6866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297805" cy="6866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lvl w:ilvl="1">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lvl w:ilvl="1">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lvl w:ilvl="1">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3"/>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
      <w:numFmt w:val="bullet"/>
      <w:start w:val="1"/>
    </w:lvl>
    <w:lvl w:ilvl="1">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amp;"/>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lvl w:ilvl="1">
      <w:lvlJc w:val="left"/>
      <w:lvlText w:val="-"/>
      <w:numFmt w:val="bullet"/>
      <w:start w:val="1"/>
    </w:lvl>
  </w:abstractNum>
  <w:abstractNum w:abstractNumId="27">
    <w:nsid w:val="5577F8E1"/>
    <w:multiLevelType w:val="hybridMultilevel"/>
    <w:lvl w:ilvl="0">
      <w:lvlJc w:val="left"/>
      <w:lvlText w:val="(%1)"/>
      <w:numFmt w:val="decimal"/>
      <w:start w:val="1"/>
    </w:lvl>
    <w:lvl w:ilvl="1">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lvl w:ilvl="1">
      <w:lvlJc w:val="left"/>
      <w:lvlText w:val="-"/>
      <w:numFmt w:val="bullet"/>
      <w:start w:val="1"/>
    </w:lvl>
  </w:abstractNum>
  <w:abstractNum w:abstractNumId="34">
    <w:nsid w:val="2463B9EA"/>
    <w:multiLevelType w:val="hybridMultilevel"/>
    <w:lvl w:ilvl="0">
      <w:lvlJc w:val="left"/>
      <w:lvlText w:val="(%1)"/>
      <w:numFmt w:val="decimal"/>
      <w:start w:val="7"/>
    </w:lvl>
    <w:lvl w:ilvl="1">
      <w:lvlJc w:val="left"/>
      <w:lvlText w:val="-"/>
      <w:numFmt w:val="bullet"/>
      <w:start w:val="1"/>
    </w:lvl>
  </w:abstractNum>
  <w:abstractNum w:abstractNumId="35">
    <w:nsid w:val="5E884ADC"/>
    <w:multiLevelType w:val="hybridMultilevel"/>
    <w:lvl w:ilvl="0">
      <w:lvlJc w:val="left"/>
      <w:lvlText w:val="(%1)"/>
      <w:numFmt w:val="decimal"/>
      <w:start w:val="1"/>
    </w:lvl>
    <w:lvl w:ilvl="1">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2022-04-05T15:14:32Z</dcterms:created>
  <dcterms:modified xsi:type="dcterms:W3CDTF">2022-04-05T15:14:32Z</dcterms:modified>
</cp:coreProperties>
</file>