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45-3368487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18706 North Creek Parkway, Suite 104</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Bothell, WA 98011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(425) 620-8501</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ATHA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16, 2021, the Board of Directors (the “Board”) of Athira Pharma, Inc. (the “Company”) determined to place Leen Kawas, Ph.D., President and Chief Executive Officer of the Company, on temporary paid leave pending a review of actions stemming from doctoral research Dr. Kawas conducted while at Washington State University. The Board has formed an independent special committee to undertake this review. Dr. Kawas continues to serve as a member of the Board.</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the same day, the Board determined that during Dr. Kawas’s leave and effective immediately, Mark Litton, Ph.D., MBA, the Company’s Chief Operating Officer, would continue in that role but would also assume the day-to-day responsibilities of president and chief executive officer. Dr. Litton, 53, has served as the Company’s Chief Operating Officer since July 2019. Prior to joining the Company,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There are no arrangements or understandings between Dr. Litton and any other person related to Dr. Litton’s assumption of the day-to-day responsibilities of president and chief executive officer. There is no family relationship between Dr. Litton and any director, executive officer, or person nominated or chosen by the Company to become a director or executive officer of the Company. The Company has not entered into any transactions with Dr. Litton that would require disclosure pursuant to Item 404(a) of Regulation S-K under the Securities Exchange Act of 1934. Dr. Litton will continue to be compensated pursuant to the terms of his existing employment arrangements, as described below.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Letter</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September 2020, the Company entered into a confirmatory employment letter with Dr. Litton. The confirmatory employment letter was filed as Exhibit 10.15 to the Company’s Form S-1/A filed on September 9, 2021. The confirmatory employment letter has no specific term and provides that Dr. Litton is an at-will employee and supersedes all prior employment agreements between Dr. Litton and the Company. The confirmatory employment letter provides for an annual base salary of $430,000 and an annual target cash incentive payment pursuant to the Company’s Executive Incentive Compensation Plan described below. For 2021, Dr. Litton’s target bonus opportunity is equal to 40% of his annual base salary. Dr. Litton is eligible for such incentive award under the Company’s Executive Incentive Compensation Plan, which plan allows the Company to grant incentive awards, generally payable in cash, to employees selected by the administrator, including the Company’s named executive officers, based upon any performance goals that may be established by the administrator. The Executive Incentive Compensation Plan is included as Exhibit 10.13 of the Company’s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Form S-1/A filed on September 9, 2021. For additional information regarding the Executive Incentive Compensation Plan, please refer to the section titled “Executive Compensation — Executive Incentive Compensation Plan” of the Company’s definitive proxy statement on Schedule 14A, filed with the Securities and Exchange Commission on April 16, 2021.</w:t>
      </w:r>
    </w:p>
    <w:p>
      <w:pPr>
        <w:sectPr>
          <w:pgSz w:w="11900" w:h="16838" w:orient="portrait"/>
          <w:cols w:equalWidth="0" w:num="1">
            <w:col w:w="10920"/>
          </w:cols>
          <w:pgMar w:left="440" w:top="297"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Change in Control and Severance Agreement</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Also in September 2020, the Company entered into a change in control and severance agreement with Dr. Litton, which agreement provides for certain severance and change in control benefits. Dr. Litton’s change in control and severance agreement is filed as Exhibit 10.19 to the Company’s Form S-1/A filed on September 9, 2021. The following paragraphs summarize the terms of Dr. Litton’s change in control and severance agreement.</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Dr. Litton’s employment is terminated outside the period beginning one month prior to the date of a change in control and ending 12 months following that change in control (the Change in Control Period) either (1) by the Company without “cause” (excluding by reason of death or disability) or (2) by Dr. Litton for “good reason” (as such terms are defined in his change in control and severance agreement), Dr. Litton will receive the following benefits if he timely signs and does not revoke a separation agreement and release of claims in the Company’s favor:</w:t>
      </w:r>
    </w:p>
    <w:p>
      <w:pPr>
        <w:spacing w:after="0" w:line="77" w:lineRule="exact"/>
        <w:rPr>
          <w:sz w:val="20"/>
          <w:szCs w:val="20"/>
          <w:color w:val="auto"/>
        </w:rPr>
      </w:pPr>
    </w:p>
    <w:p>
      <w:pPr>
        <w:ind w:left="420" w:hanging="316"/>
        <w:spacing w:after="0" w:line="308" w:lineRule="auto"/>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lump-sum payment equal to 9 months of his annual base salary as in effect immediately prior to such termination (or if such termination is due to a resignation for good reason based on a material reduction in base salary, then as in effect immediately prior to the reduction);</w:t>
      </w:r>
    </w:p>
    <w:p>
      <w:pPr>
        <w:spacing w:after="0" w:line="51" w:lineRule="exact"/>
        <w:rPr>
          <w:rFonts w:ascii="Arial" w:cs="Arial" w:eastAsia="Arial" w:hAnsi="Arial"/>
          <w:sz w:val="17"/>
          <w:szCs w:val="17"/>
          <w:color w:val="auto"/>
        </w:rPr>
      </w:pPr>
    </w:p>
    <w:p>
      <w:pPr>
        <w:ind w:left="420" w:right="28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Dr. Litton and his eligible dependents, if any, for up to 9 months; and</w:t>
      </w:r>
    </w:p>
    <w:p>
      <w:pPr>
        <w:spacing w:after="0" w:line="75" w:lineRule="exact"/>
        <w:rPr>
          <w:rFonts w:ascii="Arial" w:cs="Arial" w:eastAsia="Arial" w:hAnsi="Arial"/>
          <w:sz w:val="18"/>
          <w:szCs w:val="18"/>
          <w:color w:val="auto"/>
        </w:rPr>
      </w:pPr>
    </w:p>
    <w:p>
      <w:pPr>
        <w:ind w:left="420" w:right="6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vesting acceleration of 25% of the shares subject to Dr. Litton’s 2019 Company option award to the extent outstanding and unvested as of the date of the qualifying termination.</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during the Change in Control Period, Dr. Litton’s employment is terminated either (1) by the Company without cause (excluding by reason of death or disability) or (2) by Dr. Litton for good reason, Dr. Litton will receive the following benefits if he timely signs and does not revoke a separation agreement and release of claims in the Company’s favor:</w:t>
      </w:r>
    </w:p>
    <w:p>
      <w:pPr>
        <w:spacing w:after="0" w:line="89" w:lineRule="exact"/>
        <w:rPr>
          <w:sz w:val="20"/>
          <w:szCs w:val="20"/>
          <w:color w:val="auto"/>
        </w:rPr>
      </w:pPr>
    </w:p>
    <w:p>
      <w:pPr>
        <w:ind w:left="420" w:right="80" w:hanging="316"/>
        <w:spacing w:after="0" w:line="263"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lump-sum payment equal to 12 months of his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89"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lump-sum payment equal to 100% of his target annual bonus as in effect for the fiscal year in which such termination occurs or if greater, at the level in effect, immediately prior to the change in control;</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of premiums for coverage under COBRA for Dr. Litton and his eligible dependents, if any, for up to 12 months; and</w:t>
      </w:r>
    </w:p>
    <w:p>
      <w:pPr>
        <w:spacing w:after="0" w:line="130" w:lineRule="exact"/>
        <w:rPr>
          <w:rFonts w:ascii="Arial" w:cs="Arial" w:eastAsia="Arial" w:hAnsi="Arial"/>
          <w:sz w:val="18"/>
          <w:szCs w:val="18"/>
          <w:color w:val="auto"/>
        </w:rPr>
      </w:pPr>
    </w:p>
    <w:p>
      <w:pPr>
        <w:ind w:left="420" w:right="30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the Company’s 2014 Equity Incentive Plan and held by Dr. Litton to the extent such awards are not assumed or substituted for by the successor corporation in a change in control.</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Litton would constitute “parachute payments” within the meaning of Section 280G of the Internal Revenue Code and could be subject to the related excise tax, Dr. Litton would be entitled to receive either full payment of benefits or such lesser amount which would result in no portion of the benefits being subject to the excise tax, whichever results in the greater amount of after-tax benefits to Dr. Litton. The change in control and severance agreements do not require the Company to provide any tax gross-up payments.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also entered into an indemnification agreement with Dr. Litton in the Company’s standard form previously approved by the Board, which is included as Exhibit 10.1 to the Company’s Form S-1 filed on August 26, 2020.</w:t>
      </w:r>
    </w:p>
    <w:p>
      <w:pPr>
        <w:sectPr>
          <w:pgSz w:w="11900" w:h="16838" w:orient="portrait"/>
          <w:cols w:equalWidth="0" w:num="1">
            <w:col w:w="11000"/>
          </w:cols>
          <w:pgMar w:left="440" w:top="301" w:right="45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June 17, 2021, the Company issued a press release announcing the matters described above, a copy of which is filed as Exhibit 99.1 to this Current Report on Form 8-K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38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Athira Pharma, Inc. press release dated June 17, 2021</w:t>
              </w:r>
            </w:hyperlink>
          </w:p>
        </w:tc>
        <w:tc>
          <w:tcPr>
            <w:tcW w:w="1960" w:type="dxa"/>
            <w:vAlign w:val="bottom"/>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0820"/>
          </w:cols>
          <w:pgMar w:left="440" w:top="301" w:right="639" w:bottom="1440" w:gutter="0" w:footer="0" w:header="0"/>
        </w:sectPr>
      </w:pPr>
    </w:p>
    <w:bookmarkStart w:id="4" w:name="page5"/>
    <w:bookmarkEnd w:id="4"/>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Athira Pharma, Inc.</w:t>
      </w:r>
    </w:p>
    <w:p>
      <w:pPr>
        <w:spacing w:after="0" w:line="229" w:lineRule="exact"/>
        <w:rPr>
          <w:sz w:val="20"/>
          <w:szCs w:val="20"/>
          <w:color w:val="auto"/>
        </w:rPr>
      </w:pPr>
    </w:p>
    <w:p>
      <w:pPr>
        <w:spacing w:after="0"/>
        <w:tabs>
          <w:tab w:leader="none" w:pos="5280" w:val="left"/>
          <w:tab w:leader="none" w:pos="5820" w:val="left"/>
        </w:tabs>
        <w:rPr>
          <w:sz w:val="20"/>
          <w:szCs w:val="20"/>
          <w:color w:val="auto"/>
        </w:rPr>
      </w:pPr>
      <w:r>
        <w:rPr>
          <w:rFonts w:ascii="Arial" w:cs="Arial" w:eastAsia="Arial" w:hAnsi="Arial"/>
          <w:sz w:val="18"/>
          <w:szCs w:val="18"/>
          <w:color w:val="auto"/>
        </w:rPr>
        <w:t>Date: June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Glenna Mileson</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97" w:right="1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171450</wp:posOffset>
            </wp:positionV>
            <wp:extent cx="1731645" cy="865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16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Chief Operating Officer, Mark Litton, Assumes Day-to-Day Leadership Responsibilities of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Leen Kawas Placed on Temporary Leave Pending Board Review of Actions Stemming from Doctoral Research while at Washington State University</w:t>
      </w:r>
    </w:p>
    <w:p>
      <w:pPr>
        <w:spacing w:after="0" w:line="248"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BOTHELL, WASHINGTON, June 17, 2021 — Athira Pharma, Inc. (NASDAQ: ATHA) (“Athira“), a late clinical-stage biopharmaceutical company focused on developing small molecules to restore neuronal health and stop neurodegeneration, today announced that Mark Litton, PhD, MBA, in his capacity as Chief Operating Officer, has assumed day-to-day leadership responsibilities for the Company, effective immediately.</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follows the Board’s determination to place Leen Kawas, PhD, President and Chief Executive Officer of Athira, on temporary leave pending a review of actions stemming from doctoral research Dr. Kawas conducted while at Washington State University. Dr. Kawas will remain on the Board. The Board has formed an independent special committee to undertake this review. The Company does not intend to comment further on this matter until the review has concluded.</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Tachi Yamada, MD, Chair of the Board of Athira, said, “Athira is committed to the integrity of scientific research in its mission to restore neuronal health for those suffering from neurological diseases, so that patients can regain their memories, lives, and family relationships. ATH-1017 was discovered, developed, and patented by Athira on the basis of novel data generated within the Company. The Company is confident in the therapeutic potential of ATH-1017 for treating dementia.”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ATH-1017</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mechanism of ATH-1017, Athira’s lead therapeutic candidate, is to enhance HGF/MET. Significant scientific data support HGF/MET’s role in maintaining neuronal health and function. ATH-1017 was assessed in multiple clinical and preclinical studies. Findings include:</w:t>
      </w:r>
    </w:p>
    <w:p>
      <w:pPr>
        <w:spacing w:after="0" w:line="52" w:lineRule="exact"/>
        <w:rPr>
          <w:sz w:val="20"/>
          <w:szCs w:val="20"/>
          <w:color w:val="auto"/>
        </w:rPr>
      </w:pPr>
    </w:p>
    <w:p>
      <w:pPr>
        <w:ind w:left="960" w:right="200" w:hanging="424"/>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Phase 1a and Phase 1b clinical trials, ATH-1017 increased the levels of the high frequency gamma power which is the frequency band that is associated with learning, memory, and cognitive function and showed dose-dependent and consistent changes in gamma brain activity signals across all treated cohorts, consistent with the changes observed in non-clinical models;</w:t>
      </w:r>
    </w:p>
    <w:p>
      <w:pPr>
        <w:spacing w:after="0" w:line="70" w:lineRule="exact"/>
        <w:rPr>
          <w:rFonts w:ascii="Arial" w:cs="Arial" w:eastAsia="Arial" w:hAnsi="Arial"/>
          <w:sz w:val="17"/>
          <w:szCs w:val="17"/>
          <w:color w:val="auto"/>
        </w:rPr>
      </w:pPr>
    </w:p>
    <w:p>
      <w:pPr>
        <w:ind w:left="1420" w:right="380" w:hanging="331"/>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Phase 1b clinical trial, ATH-1017 improved P300 latency, a functional measure of working memory processing speed and executive function that highly correlates with cognition;</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 non-clinical AD animal model (APP1/PS1), ATH-1017 treatment increased the qEEG gamma power that is associated with cognitive processing and memory;</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aged animal model of dementia, ATH-1017 increased synaptic density and in multiple models of dementia improved performance in tests of spatial memory;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vitro (neuronal cultures), ATH-1017 promoted the formation of new spines and functional synapses in hippocampal neurons.</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Mark Litton</w:t>
      </w:r>
    </w:p>
    <w:p>
      <w:pPr>
        <w:spacing w:after="0" w:line="12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Mark Litton, PhD, MBA, has served as Athira’s Chief Operating Officer since July 2019. Prior to joining Athira, Dr. Litton served as the President and Chief Operating Officer of Alpine Immune Sciences, Inc.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Earlier in his career, Dr. Litton served in leadership positions at Ribozyme Pharmaceuticals Inc. (now Sirna Therapeutics, Inc.) and DNAX Research Institute, a research facility of Schering-Plough (now Merck &amp; Co.). Dr. Litton earned a PhD in immunology from Stockholm University in 1997, an MBA from Santa Clara University in 1994, and a BS in biochemistry from the University of California Santa Cruz in 1990.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Athira Pharma, Inc.</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Athira, headquartered in the Seattle area, is a late clinical-stage biopharmaceutical company focused on developing small molecules to restore neuronal health and stop neurodegeneration. We aim to provide rapid cognitive improvement and alter the course of neurological diseases with our novel mechanism of action. Athira is currently advancing its lead therapeutic candidate, ATH-1017, a novel small molecule for Alzheimer’s and Parkinson’s dementia. For more information, visit www.athira.com. You can also follow Athira on Facebook, LinkedIn and @athirapharma on Twitter and Instagram.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disease and other dementias; Athira’s platform technology and potential therapies; and Athira’s ability to advance its product candidates into later stages of development. Forward-looking statements generally include statements that are predictive in nature and depend upon or refer to future events or conditions, and include words and phrases such as “may,” “will,” “should,”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trials will not continue or persist; cessation or delay of any of the ongoing clinical trials and/or Athira’s development of ATH-1017 may occur; future potential regulatory milestones of ATH-1017,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w:t>
      </w:r>
    </w:p>
    <w:p>
      <w:pPr>
        <w:spacing w:after="0" w:line="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on Athira’s clinical trial sites and contractors who act for or on Athira’s behalf, may be more severe and more prolonged than currently anticipated, clinical trials may not demonstrate safety and efficacy of any of Athira’s product candidates; Athira’s assumptions regarding its planned expenditures and sufficiency of its cash, cash</w:t>
      </w:r>
    </w:p>
    <w:p>
      <w:pPr>
        <w:sectPr>
          <w:pgSz w:w="11900" w:h="16838" w:orient="portrait"/>
          <w:cols w:equalWidth="0" w:num="1">
            <w:col w:w="11000"/>
          </w:cols>
          <w:pgMar w:left="440" w:top="270" w:right="45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equivalents and investments to fund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regulatory uncertainty as a result of the new U.S. administration;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&amp; 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Julie.rathbun@athira.com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2021-06-18T05:16:59Z</dcterms:created>
  <dcterms:modified xsi:type="dcterms:W3CDTF">2021-06-18T05:16:59Z</dcterms:modified>
</cp:coreProperties>
</file>