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ind w:left="4700"/>
        <w:spacing w:after="0"/>
        <w:rPr>
          <w:sz w:val="20"/>
          <w:szCs w:val="20"/>
          <w:color w:val="auto"/>
        </w:rPr>
      </w:pPr>
      <w:r>
        <w:rPr>
          <w:rFonts w:ascii="Arial" w:cs="Arial" w:eastAsia="Arial" w:hAnsi="Arial"/>
          <w:sz w:val="29"/>
          <w:szCs w:val="29"/>
          <w:b w:val="1"/>
          <w:bCs w:val="1"/>
          <w:color w:val="auto"/>
        </w:rPr>
        <w:t>FORM 10-Q/A</w:t>
      </w:r>
    </w:p>
    <w:p>
      <w:pPr>
        <w:spacing w:after="0" w:line="34" w:lineRule="exact"/>
        <w:rPr>
          <w:sz w:val="24"/>
          <w:szCs w:val="24"/>
          <w:color w:val="auto"/>
        </w:rPr>
      </w:pPr>
    </w:p>
    <w:p>
      <w:pPr>
        <w:ind w:left="4260"/>
        <w:spacing w:after="0"/>
        <w:rPr>
          <w:sz w:val="20"/>
          <w:szCs w:val="20"/>
          <w:color w:val="auto"/>
        </w:rPr>
      </w:pPr>
      <w:r>
        <w:rPr>
          <w:rFonts w:ascii="Arial" w:cs="Arial" w:eastAsia="Arial" w:hAnsi="Arial"/>
          <w:sz w:val="29"/>
          <w:szCs w:val="29"/>
          <w:b w:val="1"/>
          <w:bCs w:val="1"/>
          <w:color w:val="auto"/>
        </w:rPr>
        <w:t>(Amendment No. 1)</w:t>
      </w:r>
    </w:p>
    <w:p>
      <w:pPr>
        <w:spacing w:after="0" w:line="133" w:lineRule="exact"/>
        <w:rPr>
          <w:sz w:val="24"/>
          <w:szCs w:val="24"/>
          <w:color w:val="auto"/>
        </w:rPr>
      </w:pPr>
    </w:p>
    <w:p>
      <w:pPr>
        <w:ind w:left="380" w:hanging="329"/>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3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June 30, 2024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380" w:hanging="329"/>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 to ____</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jc w:val="center"/>
        <w:ind w:right="80"/>
        <w:spacing w:after="0"/>
        <w:rPr>
          <w:sz w:val="20"/>
          <w:szCs w:val="20"/>
          <w:color w:val="auto"/>
        </w:rPr>
      </w:pPr>
      <w:r>
        <w:rPr>
          <w:rFonts w:ascii="Arial" w:cs="Arial" w:eastAsia="Arial" w:hAnsi="Arial"/>
          <w:sz w:val="36"/>
          <w:szCs w:val="36"/>
          <w:b w:val="1"/>
          <w:bCs w:val="1"/>
          <w:color w:val="auto"/>
        </w:rPr>
        <w:t>Athira Pharma,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tbl>
      <w:tblPr>
        <w:tblLayout w:type="fixed"/>
        <w:tblInd w:w="460" w:type="dxa"/>
        <w:tblCellMar>
          <w:top w:w="0" w:type="dxa"/>
          <w:left w:w="0" w:type="dxa"/>
          <w:bottom w:w="0" w:type="dxa"/>
          <w:right w:w="0" w:type="dxa"/>
        </w:tblCellMar>
      </w:tblPr>
      <w:tr>
        <w:trPr>
          <w:trHeight w:val="247"/>
        </w:trPr>
        <w:tc>
          <w:tcPr>
            <w:tcW w:w="3700" w:type="dxa"/>
            <w:vAlign w:val="bottom"/>
          </w:tcPr>
          <w:p>
            <w:pPr>
              <w:jc w:val="center"/>
              <w:ind w:left="939"/>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60" w:type="dxa"/>
            <w:vAlign w:val="bottom"/>
          </w:tcPr>
          <w:p>
            <w:pPr>
              <w:jc w:val="center"/>
              <w:ind w:right="1019"/>
              <w:spacing w:after="0"/>
              <w:rPr>
                <w:sz w:val="20"/>
                <w:szCs w:val="20"/>
                <w:color w:val="auto"/>
              </w:rPr>
            </w:pPr>
            <w:r>
              <w:rPr>
                <w:rFonts w:ascii="Arial" w:cs="Arial" w:eastAsia="Arial" w:hAnsi="Arial"/>
                <w:sz w:val="18"/>
                <w:szCs w:val="18"/>
                <w:b w:val="1"/>
                <w:bCs w:val="1"/>
                <w:color w:val="auto"/>
                <w:w w:val="99"/>
              </w:rPr>
              <w:t>45-3368487</w:t>
            </w:r>
          </w:p>
        </w:tc>
      </w:tr>
      <w:tr>
        <w:trPr>
          <w:trHeight w:val="181"/>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(State or other jurisdiction of</w:t>
            </w: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tcPr>
          <w:p>
            <w:pPr>
              <w:jc w:val="center"/>
              <w:ind w:left="919"/>
              <w:spacing w:after="0"/>
              <w:rPr>
                <w:sz w:val="20"/>
                <w:szCs w:val="20"/>
                <w:color w:val="auto"/>
              </w:rPr>
            </w:pPr>
            <w:r>
              <w:rPr>
                <w:rFonts w:ascii="Arial" w:cs="Arial" w:eastAsia="Arial" w:hAnsi="Arial"/>
                <w:sz w:val="14"/>
                <w:szCs w:val="14"/>
                <w:b w:val="1"/>
                <w:bCs w:val="1"/>
                <w:color w:val="auto"/>
              </w:rPr>
              <w:t>incorporation or organization)</w:t>
            </w:r>
          </w:p>
        </w:tc>
        <w:tc>
          <w:tcPr>
            <w:tcW w:w="3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60" w:type="dxa"/>
            <w:vAlign w:val="bottom"/>
          </w:tcPr>
          <w:p>
            <w:pPr>
              <w:jc w:val="center"/>
              <w:ind w:right="1039"/>
              <w:spacing w:after="0"/>
              <w:rPr>
                <w:sz w:val="20"/>
                <w:szCs w:val="20"/>
                <w:color w:val="auto"/>
              </w:rPr>
            </w:pPr>
            <w:r>
              <w:rPr>
                <w:rFonts w:ascii="Arial" w:cs="Arial" w:eastAsia="Arial" w:hAnsi="Arial"/>
                <w:sz w:val="14"/>
                <w:szCs w:val="14"/>
                <w:b w:val="1"/>
                <w:bCs w:val="1"/>
                <w:color w:val="auto"/>
              </w:rPr>
              <w:t>Identification No.)</w:t>
            </w:r>
          </w:p>
        </w:tc>
      </w:tr>
      <w:tr>
        <w:trPr>
          <w:trHeight w:val="307"/>
        </w:trPr>
        <w:tc>
          <w:tcPr>
            <w:tcW w:w="7000" w:type="dxa"/>
            <w:vAlign w:val="bottom"/>
            <w:gridSpan w:val="4"/>
          </w:tcPr>
          <w:p>
            <w:pPr>
              <w:jc w:val="center"/>
              <w:ind w:left="3239"/>
              <w:spacing w:after="0"/>
              <w:rPr>
                <w:sz w:val="20"/>
                <w:szCs w:val="20"/>
                <w:color w:val="auto"/>
              </w:rPr>
            </w:pPr>
            <w:r>
              <w:rPr>
                <w:rFonts w:ascii="Arial" w:cs="Arial" w:eastAsia="Arial" w:hAnsi="Arial"/>
                <w:sz w:val="18"/>
                <w:szCs w:val="18"/>
                <w:b w:val="1"/>
                <w:bCs w:val="1"/>
                <w:color w:val="auto"/>
                <w:w w:val="99"/>
              </w:rPr>
              <w:t>18706 North Creek Parkway, Suite 104</w:t>
            </w:r>
          </w:p>
        </w:tc>
        <w:tc>
          <w:tcPr>
            <w:tcW w:w="3060" w:type="dxa"/>
            <w:vAlign w:val="bottom"/>
          </w:tcPr>
          <w:p>
            <w:pPr>
              <w:spacing w:after="0"/>
              <w:rPr>
                <w:sz w:val="24"/>
                <w:szCs w:val="24"/>
                <w:color w:val="auto"/>
              </w:rPr>
            </w:pPr>
          </w:p>
        </w:tc>
      </w:tr>
      <w:tr>
        <w:trPr>
          <w:trHeight w:val="212"/>
        </w:trPr>
        <w:tc>
          <w:tcPr>
            <w:tcW w:w="3700" w:type="dxa"/>
            <w:vAlign w:val="bottom"/>
          </w:tcPr>
          <w:p>
            <w:pPr>
              <w:spacing w:after="0"/>
              <w:rPr>
                <w:sz w:val="18"/>
                <w:szCs w:val="18"/>
                <w:color w:val="auto"/>
              </w:rPr>
            </w:pPr>
          </w:p>
        </w:tc>
        <w:tc>
          <w:tcPr>
            <w:tcW w:w="3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Bothell, Washington 98011</w:t>
            </w:r>
          </w:p>
        </w:tc>
        <w:tc>
          <w:tcPr>
            <w:tcW w:w="3060" w:type="dxa"/>
            <w:vAlign w:val="bottom"/>
          </w:tcPr>
          <w:p>
            <w:pPr>
              <w:spacing w:after="0"/>
              <w:rPr>
                <w:sz w:val="18"/>
                <w:szCs w:val="18"/>
                <w:color w:val="auto"/>
              </w:rPr>
            </w:pPr>
          </w:p>
        </w:tc>
      </w:tr>
      <w:tr>
        <w:trPr>
          <w:trHeight w:val="152"/>
        </w:trPr>
        <w:tc>
          <w:tcPr>
            <w:tcW w:w="3700" w:type="dxa"/>
            <w:vAlign w:val="bottom"/>
          </w:tcPr>
          <w:p>
            <w:pPr>
              <w:spacing w:after="0"/>
              <w:rPr>
                <w:sz w:val="13"/>
                <w:szCs w:val="13"/>
                <w:color w:val="auto"/>
              </w:rPr>
            </w:pPr>
          </w:p>
        </w:tc>
        <w:tc>
          <w:tcPr>
            <w:tcW w:w="330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rPr>
              <w:t>(Address of principal executive offices)</w:t>
            </w:r>
          </w:p>
        </w:tc>
        <w:tc>
          <w:tcPr>
            <w:tcW w:w="3060" w:type="dxa"/>
            <w:vAlign w:val="bottom"/>
          </w:tcPr>
          <w:p>
            <w:pPr>
              <w:spacing w:after="0"/>
              <w:rPr>
                <w:sz w:val="13"/>
                <w:szCs w:val="13"/>
                <w:color w:val="auto"/>
              </w:rPr>
            </w:pPr>
          </w:p>
        </w:tc>
      </w:tr>
      <w:tr>
        <w:trPr>
          <w:trHeight w:val="212"/>
        </w:trPr>
        <w:tc>
          <w:tcPr>
            <w:tcW w:w="3700" w:type="dxa"/>
            <w:vAlign w:val="bottom"/>
          </w:tcPr>
          <w:p>
            <w:pPr>
              <w:spacing w:after="0"/>
              <w:rPr>
                <w:sz w:val="18"/>
                <w:szCs w:val="18"/>
                <w:color w:val="auto"/>
              </w:rPr>
            </w:pPr>
          </w:p>
        </w:tc>
        <w:tc>
          <w:tcPr>
            <w:tcW w:w="2580" w:type="dxa"/>
            <w:vAlign w:val="bottom"/>
            <w:gridSpan w:val="2"/>
          </w:tcPr>
          <w:p>
            <w:pPr>
              <w:jc w:val="center"/>
              <w:ind w:left="216"/>
              <w:spacing w:after="0"/>
              <w:rPr>
                <w:sz w:val="20"/>
                <w:szCs w:val="20"/>
                <w:color w:val="auto"/>
              </w:rPr>
            </w:pPr>
            <w:r>
              <w:rPr>
                <w:rFonts w:ascii="Arial" w:cs="Arial" w:eastAsia="Arial" w:hAnsi="Arial"/>
                <w:sz w:val="18"/>
                <w:szCs w:val="18"/>
                <w:b w:val="1"/>
                <w:bCs w:val="1"/>
                <w:color w:val="auto"/>
              </w:rPr>
              <w:t>(425) 620-8501</w:t>
            </w: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196"/>
        </w:trPr>
        <w:tc>
          <w:tcPr>
            <w:tcW w:w="7000" w:type="dxa"/>
            <w:vAlign w:val="bottom"/>
            <w:gridSpan w:val="4"/>
          </w:tcPr>
          <w:p>
            <w:pPr>
              <w:jc w:val="center"/>
              <w:ind w:left="3239"/>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060" w:type="dxa"/>
            <w:vAlign w:val="bottom"/>
          </w:tcPr>
          <w:p>
            <w:pPr>
              <w:spacing w:after="0"/>
              <w:rPr>
                <w:sz w:val="17"/>
                <w:szCs w:val="17"/>
                <w:color w:val="auto"/>
              </w:rPr>
            </w:pPr>
          </w:p>
        </w:tc>
      </w:tr>
      <w:tr>
        <w:trPr>
          <w:trHeight w:val="110"/>
        </w:trPr>
        <w:tc>
          <w:tcPr>
            <w:tcW w:w="4040" w:type="dxa"/>
            <w:vAlign w:val="bottom"/>
            <w:gridSpan w:val="2"/>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3780" w:type="dxa"/>
            <w:vAlign w:val="bottom"/>
            <w:gridSpan w:val="2"/>
          </w:tcPr>
          <w:p>
            <w:pPr>
              <w:spacing w:after="0"/>
              <w:rPr>
                <w:sz w:val="9"/>
                <w:szCs w:val="9"/>
                <w:color w:val="auto"/>
              </w:rPr>
            </w:pPr>
          </w:p>
        </w:tc>
      </w:tr>
      <w:tr>
        <w:trPr>
          <w:trHeight w:val="322"/>
        </w:trPr>
        <w:tc>
          <w:tcPr>
            <w:tcW w:w="10060" w:type="dxa"/>
            <w:vAlign w:val="bottom"/>
            <w:gridSpan w:val="5"/>
          </w:tcPr>
          <w:p>
            <w:pPr>
              <w:jc w:val="center"/>
              <w:ind w:left="179"/>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318"/>
        </w:trPr>
        <w:tc>
          <w:tcPr>
            <w:tcW w:w="3700" w:type="dxa"/>
            <w:vAlign w:val="bottom"/>
          </w:tcPr>
          <w:p>
            <w:pPr>
              <w:jc w:val="center"/>
              <w:ind w:right="19"/>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Pr>
          <w:p>
            <w:pPr>
              <w:spacing w:after="0"/>
              <w:rPr>
                <w:sz w:val="24"/>
                <w:szCs w:val="24"/>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9"/>
        </w:trPr>
        <w:tc>
          <w:tcPr>
            <w:tcW w:w="3700" w:type="dxa"/>
            <w:vAlign w:val="bottom"/>
          </w:tcPr>
          <w:p>
            <w:pPr>
              <w:jc w:val="center"/>
              <w:ind w:right="39"/>
              <w:spacing w:after="0"/>
              <w:rPr>
                <w:sz w:val="20"/>
                <w:szCs w:val="20"/>
                <w:color w:val="auto"/>
              </w:rPr>
            </w:pPr>
            <w:r>
              <w:rPr>
                <w:rFonts w:ascii="Arial" w:cs="Arial" w:eastAsia="Arial" w:hAnsi="Arial"/>
                <w:sz w:val="18"/>
                <w:szCs w:val="18"/>
                <w:color w:val="auto"/>
                <w:w w:val="99"/>
              </w:rPr>
              <w:t>Common Stock, $0.0001 par value per share</w:t>
            </w:r>
          </w:p>
        </w:tc>
        <w:tc>
          <w:tcPr>
            <w:tcW w:w="340" w:type="dxa"/>
            <w:vAlign w:val="bottom"/>
          </w:tcPr>
          <w:p>
            <w:pPr>
              <w:spacing w:after="0"/>
              <w:rPr>
                <w:sz w:val="21"/>
                <w:szCs w:val="21"/>
                <w:color w:val="auto"/>
              </w:rPr>
            </w:pPr>
          </w:p>
        </w:tc>
        <w:tc>
          <w:tcPr>
            <w:tcW w:w="2960" w:type="dxa"/>
            <w:vAlign w:val="bottom"/>
            <w:gridSpan w:val="2"/>
          </w:tcPr>
          <w:p>
            <w:pPr>
              <w:jc w:val="center"/>
              <w:ind w:right="700"/>
              <w:spacing w:after="0"/>
              <w:rPr>
                <w:sz w:val="20"/>
                <w:szCs w:val="20"/>
                <w:color w:val="auto"/>
              </w:rPr>
            </w:pPr>
            <w:r>
              <w:rPr>
                <w:rFonts w:ascii="Arial" w:cs="Arial" w:eastAsia="Arial" w:hAnsi="Arial"/>
                <w:sz w:val="18"/>
                <w:szCs w:val="18"/>
                <w:color w:val="auto"/>
                <w:w w:val="95"/>
              </w:rPr>
              <w:t>ATHA</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56"/>
        </w:trPr>
        <w:tc>
          <w:tcPr>
            <w:tcW w:w="3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12" w:lineRule="exact"/>
        <w:rPr>
          <w:sz w:val="24"/>
          <w:szCs w:val="24"/>
          <w:color w:val="auto"/>
        </w:rPr>
      </w:pPr>
    </w:p>
    <w:p>
      <w:pPr>
        <w:ind w:right="240" w:firstLine="515"/>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80" w:firstLine="515"/>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ind w:right="460" w:firstLine="515"/>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40" w:type="dxa"/>
        <w:tblCellMar>
          <w:top w:w="0" w:type="dxa"/>
          <w:left w:w="0" w:type="dxa"/>
          <w:bottom w:w="0" w:type="dxa"/>
          <w:right w:w="0" w:type="dxa"/>
        </w:tblCellMar>
      </w:tblPr>
      <w:tr>
        <w:trPr>
          <w:trHeight w:val="279"/>
        </w:trPr>
        <w:tc>
          <w:tcPr>
            <w:tcW w:w="3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56"/>
        </w:trPr>
        <w:tc>
          <w:tcPr>
            <w:tcW w:w="3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ind w:left="200"/>
              <w:spacing w:after="0"/>
              <w:rPr>
                <w:sz w:val="20"/>
                <w:szCs w:val="20"/>
                <w:color w:val="auto"/>
              </w:rPr>
            </w:pPr>
            <w:r>
              <w:rPr>
                <w:rFonts w:ascii="Arial" w:cs="Arial" w:eastAsia="Arial" w:hAnsi="Arial"/>
                <w:sz w:val="18"/>
                <w:szCs w:val="18"/>
                <w:color w:val="auto"/>
              </w:rPr>
              <w:t>Smaller reporting company</w:t>
            </w:r>
          </w:p>
        </w:tc>
        <w:tc>
          <w:tcPr>
            <w:tcW w:w="178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36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460"/>
              <w:spacing w:after="0" w:line="161" w:lineRule="exact"/>
              <w:rPr>
                <w:sz w:val="20"/>
                <w:szCs w:val="20"/>
                <w:color w:val="auto"/>
              </w:rPr>
            </w:pPr>
            <w:r>
              <w:rPr>
                <w:rFonts w:ascii="MS PGothic" w:cs="MS PGothic" w:eastAsia="MS PGothic" w:hAnsi="MS PGothic"/>
                <w:sz w:val="16"/>
                <w:szCs w:val="16"/>
                <w:color w:val="auto"/>
              </w:rPr>
              <w:t>☒</w:t>
            </w:r>
          </w:p>
        </w:tc>
        <w:tc>
          <w:tcPr>
            <w:tcW w:w="3980" w:type="dxa"/>
            <w:vAlign w:val="bottom"/>
          </w:tcPr>
          <w:p>
            <w:pPr>
              <w:spacing w:after="0"/>
              <w:rPr>
                <w:sz w:val="23"/>
                <w:szCs w:val="23"/>
                <w:color w:val="auto"/>
              </w:rPr>
            </w:pPr>
          </w:p>
        </w:tc>
        <w:tc>
          <w:tcPr>
            <w:tcW w:w="1780" w:type="dxa"/>
            <w:vAlign w:val="bottom"/>
          </w:tcPr>
          <w:p>
            <w:pPr>
              <w:spacing w:after="0"/>
              <w:rPr>
                <w:sz w:val="23"/>
                <w:szCs w:val="23"/>
                <w:color w:val="auto"/>
              </w:rPr>
            </w:pPr>
          </w:p>
        </w:tc>
      </w:tr>
    </w:tbl>
    <w:p>
      <w:pPr>
        <w:spacing w:after="0" w:line="110" w:lineRule="exact"/>
        <w:rPr>
          <w:sz w:val="24"/>
          <w:szCs w:val="24"/>
          <w:color w:val="auto"/>
        </w:rPr>
      </w:pPr>
    </w:p>
    <w:p>
      <w:pPr>
        <w:ind w:right="520" w:firstLine="515"/>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5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July 29, 2024, there were 38,439,375 shares of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3"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6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This Amendment No. 1 on Form 10-Q/A (this “Amendment No. 1") hereby amends the Quarterly Report on Form 10-Q of Athira Pharma, Inc. (the “Company”) for the quarterly period ended June 30, 2024 (the “Original Form 10-Q”), filed with the U.S. Securities and Exchange Commission (the “SEC”) on August 1, 2024. This Amendment No. 1 is being filed solely to include Exhibits 10.1 and 10.2 to the Form 10-Q/A, which were inadvertently omitted in the Original Form 10-Q.</w:t>
      </w:r>
    </w:p>
    <w:p>
      <w:pPr>
        <w:spacing w:after="0" w:line="3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accordance with applicable SEC rules, this Amendment No. 1 also contains new certifications pursuant to Section 302 of the Sarbanes-Oxley Act of 2002 dated as of the date of filing of this Amendment No. 1. Because this Amendment No. 1 does not include financial statements and does not contain or amend any disclosure with respect to Items 307 and 308 of Regulation S-K, paragraphs 3, 4 and 5 of the Section 302 certifications have been omitted. Accordingly, this Amendment No. 1 consists solely of the preceding cover page, this explanatory note, Part II, Item 6 “Exhibits,” in its entirety, the signature page, and Exhibits 10.1, 10.2, 31.3 and 31.4. Except as expressly set forth in this Amendment No. 1, no other changes have been made to the Original Form 10-Q, and this Amendment No. 1 does not modify or update in any way the financial position, results of operations, cash flows or other disclosures in, or exhibits to, the Original Form 10-Q, nor does it reflect events occurring after the filing of the Original Form 10-Q. Accordingly, this Amendment No. 1 should be read in conjunction with the Original Form 10-Q and with the Company’s filings with the SEC subsequent to the filing of the Original Form 10-Q.</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6. 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5"/>
          </w:tcPr>
          <w:p>
            <w:pPr>
              <w:ind w:left="260"/>
              <w:spacing w:after="0"/>
              <w:rPr>
                <w:sz w:val="20"/>
                <w:szCs w:val="20"/>
                <w:color w:val="auto"/>
              </w:rPr>
            </w:pPr>
            <w:r>
              <w:rPr>
                <w:rFonts w:ascii="Arial" w:cs="Arial" w:eastAsia="Arial" w:hAnsi="Arial"/>
                <w:sz w:val="14"/>
                <w:szCs w:val="14"/>
                <w:b w:val="1"/>
                <w:bCs w:val="1"/>
                <w:color w:val="auto"/>
              </w:rPr>
              <w:t>Description</w:t>
            </w:r>
          </w:p>
        </w:tc>
        <w:tc>
          <w:tcPr>
            <w:tcW w:w="92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Form</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36"/>
        </w:trPr>
        <w:tc>
          <w:tcPr>
            <w:tcW w:w="960" w:type="dxa"/>
            <w:vAlign w:val="bottom"/>
          </w:tcPr>
          <w:p>
            <w:pPr>
              <w:ind w:left="1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21"/>
          </w:tcPr>
          <w:p>
            <w:pPr>
              <w:spacing w:after="0"/>
              <w:rPr>
                <w:rFonts w:ascii="Arial" w:cs="Arial" w:eastAsia="Arial" w:hAnsi="Arial"/>
                <w:sz w:val="18"/>
                <w:szCs w:val="18"/>
                <w:color w:val="0000FF"/>
              </w:rPr>
            </w:pPr>
            <w:hyperlink r:id="rId14">
              <w:r>
                <w:rPr>
                  <w:rFonts w:ascii="Arial" w:cs="Arial" w:eastAsia="Arial" w:hAnsi="Arial"/>
                  <w:sz w:val="18"/>
                  <w:szCs w:val="18"/>
                  <w:color w:val="0000FF"/>
                </w:rPr>
                <w:t>Amended and Restated Certificate of Incorporation of the Company</w:t>
              </w:r>
            </w:hyperlink>
          </w:p>
        </w:tc>
        <w:tc>
          <w:tcPr>
            <w:tcW w:w="920" w:type="dxa"/>
            <w:vAlign w:val="bottom"/>
          </w:tcPr>
          <w:p>
            <w:pPr>
              <w:jc w:val="center"/>
              <w:ind w:left="35"/>
              <w:spacing w:after="0"/>
              <w:rPr>
                <w:sz w:val="20"/>
                <w:szCs w:val="20"/>
                <w:color w:val="auto"/>
              </w:rPr>
            </w:pPr>
            <w:r>
              <w:rPr>
                <w:rFonts w:ascii="Arial" w:cs="Arial" w:eastAsia="Arial" w:hAnsi="Arial"/>
                <w:sz w:val="18"/>
                <w:szCs w:val="18"/>
                <w:color w:val="auto"/>
                <w:w w:val="9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5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12, 2020</w:t>
            </w:r>
          </w:p>
        </w:tc>
        <w:tc>
          <w:tcPr>
            <w:tcW w:w="0" w:type="dxa"/>
            <w:vAlign w:val="bottom"/>
          </w:tcPr>
          <w:p>
            <w:pPr>
              <w:spacing w:after="0"/>
              <w:rPr>
                <w:sz w:val="1"/>
                <w:szCs w:val="1"/>
                <w:color w:val="auto"/>
              </w:rPr>
            </w:pPr>
          </w:p>
        </w:tc>
      </w:tr>
      <w:tr>
        <w:trPr>
          <w:trHeight w:val="261"/>
        </w:trPr>
        <w:tc>
          <w:tcPr>
            <w:tcW w:w="96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80" w:type="dxa"/>
            <w:vAlign w:val="bottom"/>
            <w:gridSpan w:val="21"/>
          </w:tcPr>
          <w:p>
            <w:pPr>
              <w:spacing w:after="0"/>
              <w:rPr>
                <w:rFonts w:ascii="Arial" w:cs="Arial" w:eastAsia="Arial" w:hAnsi="Arial"/>
                <w:sz w:val="18"/>
                <w:szCs w:val="18"/>
                <w:color w:val="0000FF"/>
              </w:rPr>
            </w:pPr>
            <w:hyperlink r:id="rId15">
              <w:r>
                <w:rPr>
                  <w:rFonts w:ascii="Arial" w:cs="Arial" w:eastAsia="Arial" w:hAnsi="Arial"/>
                  <w:sz w:val="18"/>
                  <w:szCs w:val="18"/>
                  <w:color w:val="0000FF"/>
                </w:rPr>
                <w:t>Certificate of Amendment to the Amended and Restated Certificate of</w:t>
              </w:r>
            </w:hyperlink>
          </w:p>
        </w:tc>
        <w:tc>
          <w:tcPr>
            <w:tcW w:w="920" w:type="dxa"/>
            <w:vAlign w:val="bottom"/>
          </w:tcPr>
          <w:p>
            <w:pPr>
              <w:jc w:val="center"/>
              <w:ind w:left="35"/>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May 29,</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5">
              <w:r>
                <w:rPr>
                  <w:rFonts w:ascii="Arial" w:cs="Arial" w:eastAsia="Arial" w:hAnsi="Arial"/>
                  <w:sz w:val="18"/>
                  <w:szCs w:val="18"/>
                  <w:color w:val="0000FF"/>
                </w:rPr>
                <w:t>Incorporation of the Company dated May 23, 2024</w:t>
              </w:r>
            </w:hyperlink>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top w:val="single" w:sz="8" w:color="0000FF"/>
            </w:tcBorders>
            <w:gridSpan w:val="8"/>
          </w:tcPr>
          <w:p>
            <w:pPr>
              <w:spacing w:after="0"/>
              <w:rPr>
                <w:rFonts w:ascii="Arial" w:cs="Arial" w:eastAsia="Arial" w:hAnsi="Arial"/>
                <w:sz w:val="18"/>
                <w:szCs w:val="18"/>
                <w:color w:val="0000FF"/>
              </w:rPr>
            </w:pPr>
            <w:hyperlink r:id="rId16">
              <w:r>
                <w:rPr>
                  <w:rFonts w:ascii="Arial" w:cs="Arial" w:eastAsia="Arial" w:hAnsi="Arial"/>
                  <w:sz w:val="18"/>
                  <w:szCs w:val="18"/>
                  <w:color w:val="0000FF"/>
                </w:rPr>
                <w:t>Amended and Restated Bylaws of the Company</w:t>
              </w:r>
            </w:hyperlink>
          </w:p>
        </w:tc>
        <w:tc>
          <w:tcPr>
            <w:tcW w:w="1980" w:type="dxa"/>
            <w:vAlign w:val="bottom"/>
            <w:gridSpan w:val="13"/>
          </w:tcPr>
          <w:p>
            <w:pPr>
              <w:spacing w:after="0"/>
              <w:rPr>
                <w:sz w:val="24"/>
                <w:szCs w:val="24"/>
                <w:color w:val="auto"/>
              </w:rPr>
            </w:pPr>
          </w:p>
        </w:tc>
        <w:tc>
          <w:tcPr>
            <w:tcW w:w="920" w:type="dxa"/>
            <w:vAlign w:val="bottom"/>
          </w:tcPr>
          <w:p>
            <w:pPr>
              <w:jc w:val="center"/>
              <w:ind w:left="35"/>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001-39503</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spacing w:after="0"/>
              <w:rPr>
                <w:sz w:val="20"/>
                <w:szCs w:val="20"/>
                <w:color w:val="auto"/>
              </w:rPr>
            </w:pPr>
            <w:r>
              <w:rPr>
                <w:rFonts w:ascii="Arial" w:cs="Arial" w:eastAsia="Arial" w:hAnsi="Arial"/>
                <w:sz w:val="18"/>
                <w:szCs w:val="18"/>
                <w:color w:val="auto"/>
              </w:rPr>
              <w:t>November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18, 2022</w:t>
            </w:r>
          </w:p>
        </w:tc>
        <w:tc>
          <w:tcPr>
            <w:tcW w:w="0" w:type="dxa"/>
            <w:vAlign w:val="bottom"/>
          </w:tcPr>
          <w:p>
            <w:pPr>
              <w:spacing w:after="0" w:line="20" w:lineRule="exact"/>
              <w:rPr>
                <w:sz w:val="1"/>
                <w:szCs w:val="1"/>
                <w:color w:val="auto"/>
              </w:rPr>
            </w:pPr>
          </w:p>
        </w:tc>
      </w:tr>
      <w:tr>
        <w:trPr>
          <w:trHeight w:val="219"/>
        </w:trPr>
        <w:tc>
          <w:tcPr>
            <w:tcW w:w="960" w:type="dxa"/>
            <w:vAlign w:val="bottom"/>
            <w:vMerge w:val="restart"/>
          </w:tcPr>
          <w:p>
            <w:pPr>
              <w:ind w:lef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21"/>
            <w:vMerge w:val="restart"/>
          </w:tcPr>
          <w:p>
            <w:pPr>
              <w:spacing w:after="0"/>
              <w:rPr>
                <w:sz w:val="20"/>
                <w:szCs w:val="20"/>
                <w:color w:val="auto"/>
              </w:rPr>
            </w:pPr>
            <w:r>
              <w:rPr>
                <w:rFonts w:ascii="Arial" w:cs="Arial" w:eastAsia="Arial" w:hAnsi="Arial"/>
                <w:sz w:val="18"/>
                <w:szCs w:val="18"/>
                <w:color w:val="0000FF"/>
              </w:rPr>
              <w:t>Employment Offer Letter between the Registrant and Javier San Martin</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980" w:type="dxa"/>
            <w:vAlign w:val="bottom"/>
            <w:gridSpan w:val="21"/>
            <w:vMerge w:val="continue"/>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0000FF"/>
              </w:rPr>
              <w:t>Change in Control and Severance Agreement between the Registrant and</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Javier San Martin</w:t>
            </w:r>
          </w:p>
        </w:tc>
        <w:tc>
          <w:tcPr>
            <w:tcW w:w="20" w:type="dxa"/>
            <w:vAlign w:val="bottom"/>
            <w:tcBorders>
              <w:top w:val="single" w:sz="8" w:color="0000FF"/>
              <w:bottom w:val="single" w:sz="8" w:color="0000EE"/>
            </w:tcBorders>
          </w:tcPr>
          <w:p>
            <w:pPr>
              <w:spacing w:after="0"/>
              <w:rPr>
                <w:sz w:val="15"/>
                <w:szCs w:val="15"/>
                <w:color w:val="auto"/>
              </w:rPr>
            </w:pPr>
          </w:p>
        </w:tc>
        <w:tc>
          <w:tcPr>
            <w:tcW w:w="452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rFonts w:ascii="Arial" w:cs="Arial" w:eastAsia="Arial" w:hAnsi="Arial"/>
                <w:sz w:val="18"/>
                <w:szCs w:val="18"/>
                <w:color w:val="0000FF"/>
                <w:w w:val="99"/>
              </w:rPr>
            </w:pPr>
            <w:hyperlink r:id="rId17">
              <w:r>
                <w:rPr>
                  <w:rFonts w:ascii="Arial" w:cs="Arial" w:eastAsia="Arial" w:hAnsi="Arial"/>
                  <w:sz w:val="18"/>
                  <w:szCs w:val="18"/>
                  <w:color w:val="0000FF"/>
                  <w:w w:val="99"/>
                </w:rPr>
                <w:t>Certification of Principal Executive Officer Pursuant to Rules 13a-14(a) and</w:t>
              </w:r>
            </w:hyperlink>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15d-14(a) under the Securities Exchange Act of 1934, as Adopted</w:t>
              </w:r>
            </w:hyperlink>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Pursuant to Section 302 of the Sarbanes-Oxley Act of 2002.</w:t>
              </w:r>
            </w:hyperlink>
          </w:p>
        </w:tc>
        <w:tc>
          <w:tcPr>
            <w:tcW w:w="2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rFonts w:ascii="Arial" w:cs="Arial" w:eastAsia="Arial" w:hAnsi="Arial"/>
                <w:sz w:val="18"/>
                <w:szCs w:val="18"/>
                <w:color w:val="0000FF"/>
              </w:rPr>
            </w:pPr>
            <w:hyperlink r:id="rId18">
              <w:r>
                <w:rPr>
                  <w:rFonts w:ascii="Arial" w:cs="Arial" w:eastAsia="Arial" w:hAnsi="Arial"/>
                  <w:sz w:val="18"/>
                  <w:szCs w:val="18"/>
                  <w:color w:val="0000FF"/>
                </w:rPr>
                <w:t>Certification of Principal Accounting and Financial Officer Pursuant to</w:t>
              </w:r>
            </w:hyperlink>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Rules 13a-14(a) and 15d-14(a) under the Securities Exchange Act of</w:t>
              </w:r>
            </w:hyperlink>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top w:val="single" w:sz="8" w:color="0000FF"/>
            </w:tcBorders>
            <w:gridSpan w:val="13"/>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1934, as Adopted Pursuant to Section 302 of the Sarbanes-Oxley Act</w:t>
              </w:r>
            </w:hyperlink>
          </w:p>
        </w:tc>
        <w:tc>
          <w:tcPr>
            <w:tcW w:w="460" w:type="dxa"/>
            <w:vAlign w:val="bottom"/>
            <w:gridSpan w:val="8"/>
          </w:tcPr>
          <w:p>
            <w:pPr>
              <w:ind w:left="60"/>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of</w:t>
              </w:r>
            </w:hyperlink>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18">
              <w:r>
                <w:rPr>
                  <w:rFonts w:ascii="Arial" w:cs="Arial" w:eastAsia="Arial" w:hAnsi="Arial"/>
                  <w:sz w:val="18"/>
                  <w:szCs w:val="18"/>
                  <w:color w:val="0000FF"/>
                  <w:w w:val="93"/>
                </w:rPr>
                <w:t>2002.</w:t>
              </w:r>
            </w:hyperlink>
          </w:p>
        </w:tc>
        <w:tc>
          <w:tcPr>
            <w:tcW w:w="20" w:type="dxa"/>
            <w:vAlign w:val="bottom"/>
            <w:tcBorders>
              <w:top w:val="single" w:sz="8" w:color="0000FF"/>
              <w:bottom w:val="single" w:sz="8" w:color="0000EE"/>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15d-14(a) under the Securities Exchange Act of 1934, as Adopted</w:t>
            </w: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Pursuant to Section 302 of the Sarbanes-Oxley Act of 2002.</w:t>
            </w:r>
          </w:p>
        </w:tc>
        <w:tc>
          <w:tcPr>
            <w:tcW w:w="4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6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0000FF"/>
              </w:rPr>
              <w:t>Certification of Principal Accounting and Financial Officer Pursuant to</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4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Rules 13a-14(a) and 15d-14(a) under the Securities Exchange Act of</w:t>
            </w:r>
          </w:p>
        </w:tc>
        <w:tc>
          <w:tcPr>
            <w:tcW w:w="2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w:t>
            </w:r>
          </w:p>
        </w:tc>
        <w:tc>
          <w:tcPr>
            <w:tcW w:w="460" w:type="dxa"/>
            <w:vAlign w:val="bottom"/>
            <w:gridSpan w:val="8"/>
          </w:tcPr>
          <w:p>
            <w:pPr>
              <w:ind w:left="60"/>
              <w:spacing w:after="0" w:line="182" w:lineRule="exact"/>
              <w:rPr>
                <w:sz w:val="20"/>
                <w:szCs w:val="20"/>
                <w:color w:val="auto"/>
              </w:rPr>
            </w:pPr>
            <w:r>
              <w:rPr>
                <w:rFonts w:ascii="Arial" w:cs="Arial" w:eastAsia="Arial" w:hAnsi="Arial"/>
                <w:sz w:val="18"/>
                <w:szCs w:val="18"/>
                <w:color w:val="0000FF"/>
              </w:rPr>
              <w:t>of</w:t>
            </w: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3"/>
              </w:rPr>
              <w:t>2002.</w:t>
            </w:r>
          </w:p>
        </w:tc>
        <w:tc>
          <w:tcPr>
            <w:tcW w:w="20" w:type="dxa"/>
            <w:vAlign w:val="bottom"/>
            <w:tcBorders>
              <w:top w:val="single" w:sz="8" w:color="0000FF"/>
              <w:bottom w:val="single" w:sz="8" w:color="0000EE"/>
            </w:tcBorders>
          </w:tcPr>
          <w:p>
            <w:pPr>
              <w:spacing w:after="0"/>
              <w:rPr>
                <w:sz w:val="15"/>
                <w:szCs w:val="15"/>
                <w:color w:val="auto"/>
              </w:rPr>
            </w:pPr>
          </w:p>
        </w:tc>
        <w:tc>
          <w:tcPr>
            <w:tcW w:w="9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5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rFonts w:ascii="Arial" w:cs="Arial" w:eastAsia="Arial" w:hAnsi="Arial"/>
                <w:sz w:val="18"/>
                <w:szCs w:val="18"/>
                <w:color w:val="0000FF"/>
              </w:rPr>
            </w:pPr>
            <w:hyperlink r:id="rId19">
              <w:r>
                <w:rPr>
                  <w:rFonts w:ascii="Arial" w:cs="Arial" w:eastAsia="Arial" w:hAnsi="Arial"/>
                  <w:sz w:val="18"/>
                  <w:szCs w:val="18"/>
                  <w:color w:val="0000FF"/>
                </w:rPr>
                <w:t>Certification of Principal Executive Officer Pursuant to 18 U.S.C. Section</w:t>
              </w:r>
            </w:hyperlink>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1350, as Adopted Pursuant to Section 906 of the Sarbanes-Oxley Act of</w:t>
              </w:r>
            </w:hyperlink>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4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2002.</w:t>
              </w:r>
            </w:hyperlink>
          </w:p>
        </w:tc>
        <w:tc>
          <w:tcPr>
            <w:tcW w:w="20" w:type="dxa"/>
            <w:vAlign w:val="bottom"/>
            <w:tcBorders>
              <w:bottom w:val="single" w:sz="8" w:color="0000EE"/>
            </w:tcBorders>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60" w:type="dxa"/>
            <w:vAlign w:val="bottom"/>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rFonts w:ascii="Arial" w:cs="Arial" w:eastAsia="Arial" w:hAnsi="Arial"/>
                <w:sz w:val="18"/>
                <w:szCs w:val="18"/>
                <w:color w:val="0000FF"/>
              </w:rPr>
            </w:pPr>
            <w:hyperlink r:id="rId20">
              <w:r>
                <w:rPr>
                  <w:rFonts w:ascii="Arial" w:cs="Arial" w:eastAsia="Arial" w:hAnsi="Arial"/>
                  <w:sz w:val="18"/>
                  <w:szCs w:val="18"/>
                  <w:color w:val="0000FF"/>
                </w:rPr>
                <w:t>Certification of Principal Accounting and Financial Officer Pursuant to 18</w:t>
              </w:r>
            </w:hyperlink>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0">
              <w:r>
                <w:rPr>
                  <w:rFonts w:ascii="Arial" w:cs="Arial" w:eastAsia="Arial" w:hAnsi="Arial"/>
                  <w:sz w:val="18"/>
                  <w:szCs w:val="18"/>
                  <w:color w:val="0000FF"/>
                </w:rPr>
                <w:t>U.S.C. Section 1350, as Adopted Pursuant to Section 906 of the</w:t>
              </w:r>
            </w:hyperlink>
          </w:p>
        </w:tc>
        <w:tc>
          <w:tcPr>
            <w:tcW w:w="18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Sarbanes-Oxley Act of 2002.</w:t>
              </w:r>
            </w:hyperlink>
          </w:p>
        </w:tc>
        <w:tc>
          <w:tcPr>
            <w:tcW w:w="20" w:type="dxa"/>
            <w:vAlign w:val="bottom"/>
            <w:tcBorders>
              <w:top w:val="single" w:sz="8" w:color="0000FF"/>
              <w:bottom w:val="single" w:sz="8" w:color="0000EE"/>
            </w:tcBorders>
          </w:tcPr>
          <w:p>
            <w:pPr>
              <w:spacing w:after="0"/>
              <w:rPr>
                <w:sz w:val="15"/>
                <w:szCs w:val="15"/>
                <w:color w:val="auto"/>
              </w:rPr>
            </w:pPr>
          </w:p>
        </w:tc>
        <w:tc>
          <w:tcPr>
            <w:tcW w:w="2840" w:type="dxa"/>
            <w:vAlign w:val="bottom"/>
            <w:tcBorders>
              <w:top w:val="single" w:sz="8" w:color="0000FF"/>
            </w:tcBorders>
            <w:gridSpan w:val="4"/>
          </w:tcPr>
          <w:p>
            <w:pPr>
              <w:spacing w:after="0"/>
              <w:rPr>
                <w:sz w:val="15"/>
                <w:szCs w:val="15"/>
                <w:color w:val="auto"/>
              </w:rPr>
            </w:pPr>
          </w:p>
        </w:tc>
        <w:tc>
          <w:tcPr>
            <w:tcW w:w="82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Inline XBRL Instance Document – the instance document does not appear</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80" w:type="dxa"/>
            <w:vAlign w:val="bottom"/>
            <w:gridSpan w:val="21"/>
          </w:tcPr>
          <w:p>
            <w:pPr>
              <w:spacing w:after="0" w:line="202" w:lineRule="exact"/>
              <w:rPr>
                <w:sz w:val="20"/>
                <w:szCs w:val="20"/>
                <w:color w:val="auto"/>
              </w:rPr>
            </w:pPr>
            <w:r>
              <w:rPr>
                <w:rFonts w:ascii="Arial" w:cs="Arial" w:eastAsia="Arial" w:hAnsi="Arial"/>
                <w:sz w:val="18"/>
                <w:szCs w:val="18"/>
                <w:color w:val="auto"/>
                <w:w w:val="99"/>
              </w:rPr>
              <w:t>in the Interactive Data File as its XBRL tags are embedded within the Inline</w:t>
            </w: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XBRL document</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With Embedded Linkbase</w:t>
            </w: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Documents</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Cover Page Interactive Data File (formatted in Inline XBRL and included in</w:t>
            </w: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21"/>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951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Indicates a management contract or compensatory plan.</w:t>
      </w:r>
    </w:p>
    <w:p>
      <w:pPr>
        <w:spacing w:after="0" w:line="29"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Previously filed with the Company’s Quarterly Report on Form 10-Q for the quarterly period ended June 30, 2024, as filed with the SEC on August 1, 2024.</w:t>
      </w:r>
    </w:p>
    <w:p>
      <w:pPr>
        <w:spacing w:after="0" w:line="40" w:lineRule="exact"/>
        <w:rPr>
          <w:rFonts w:ascii="Arial" w:cs="Arial" w:eastAsia="Arial" w:hAnsi="Arial"/>
          <w:sz w:val="14"/>
          <w:szCs w:val="14"/>
          <w:color w:val="auto"/>
        </w:rPr>
      </w:pPr>
    </w:p>
    <w:p>
      <w:pPr>
        <w:jc w:val="both"/>
        <w:ind w:firstLine="8"/>
        <w:spacing w:after="0" w:line="256" w:lineRule="auto"/>
        <w:tabs>
          <w:tab w:leader="none" w:pos="228" w:val="left"/>
        </w:tabs>
        <w:numPr>
          <w:ilvl w:val="0"/>
          <w:numId w:val="4"/>
        </w:numPr>
        <w:rPr>
          <w:rFonts w:ascii="Arial" w:cs="Arial" w:eastAsia="Arial" w:hAnsi="Arial"/>
          <w:sz w:val="14"/>
          <w:szCs w:val="14"/>
          <w:color w:val="auto"/>
        </w:rPr>
      </w:pPr>
      <w:r>
        <w:rPr>
          <w:rFonts w:ascii="Arial" w:cs="Arial" w:eastAsia="Arial" w:hAnsi="Arial"/>
          <w:sz w:val="14"/>
          <w:szCs w:val="14"/>
          <w:color w:val="auto"/>
        </w:rPr>
        <w:t>Previously furnished with the Company’s Quarterly Report on Form 10-Q for the quarterly period ended June 30, 2024, as filed with the SEC on August 1, 2024.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Athira Pharma, Inc.</w:t>
      </w:r>
    </w:p>
    <w:p>
      <w:pPr>
        <w:spacing w:after="0" w:line="225"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Mark Litton</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 (</w:t>
      </w:r>
      <w:r>
        <w:rPr>
          <w:rFonts w:ascii="Arial" w:cs="Arial" w:eastAsia="Arial" w:hAnsi="Arial"/>
          <w:sz w:val="18"/>
          <w:szCs w:val="18"/>
          <w:i w:val="1"/>
          <w:iCs w:val="1"/>
          <w:color w:val="auto"/>
        </w:rPr>
        <w:t>Principal Executive</w:t>
      </w:r>
    </w:p>
    <w:p>
      <w:pPr>
        <w:spacing w:after="0" w:line="14"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29"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9, 2024</w:t>
      </w:r>
      <w:r>
        <w:rPr>
          <w:sz w:val="20"/>
          <w:szCs w:val="20"/>
          <w:color w:val="auto"/>
        </w:rPr>
        <w:tab/>
      </w:r>
      <w:r>
        <w:rPr>
          <w:rFonts w:ascii="Arial" w:cs="Arial" w:eastAsia="Arial" w:hAnsi="Arial"/>
          <w:sz w:val="18"/>
          <w:szCs w:val="18"/>
          <w:color w:val="auto"/>
        </w:rPr>
        <w:t>By: /s/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308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Andrew Gengos</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 and Chief Business Officer (</w:t>
      </w:r>
      <w:r>
        <w:rPr>
          <w:rFonts w:ascii="Arial" w:cs="Arial" w:eastAsia="Arial" w:hAnsi="Arial"/>
          <w:sz w:val="18"/>
          <w:szCs w:val="18"/>
          <w:i w:val="1"/>
          <w:iCs w:val="1"/>
          <w:color w:val="auto"/>
        </w:rPr>
        <w:t>Principal</w:t>
      </w:r>
    </w:p>
    <w:p>
      <w:pPr>
        <w:ind w:left="6040"/>
        <w:spacing w:after="0"/>
        <w:rPr>
          <w:sz w:val="20"/>
          <w:szCs w:val="20"/>
          <w:color w:val="auto"/>
        </w:rPr>
      </w:pPr>
      <w:r>
        <w:rPr>
          <w:rFonts w:ascii="Arial" w:cs="Arial" w:eastAsia="Arial" w:hAnsi="Arial"/>
          <w:sz w:val="18"/>
          <w:szCs w:val="18"/>
          <w:i w:val="1"/>
          <w:iCs w:val="1"/>
          <w:color w:val="auto"/>
        </w:rPr>
        <w:t>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19685</wp:posOffset>
            </wp:positionV>
            <wp:extent cx="120015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00150" cy="59182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18706 NORTH CREEK PARKWAY</w:t>
      </w:r>
    </w:p>
    <w:p>
      <w:pPr>
        <w:spacing w:after="0" w:line="6"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SUITE 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 98011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29,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Javier San Martin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[Email]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Javier:</w:t>
      </w:r>
    </w:p>
    <w:p>
      <w:pPr>
        <w:spacing w:after="0" w:line="247"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21"/>
          <w:szCs w:val="21"/>
          <w:color w:val="auto"/>
        </w:rPr>
        <w:t>We are pleased to offer you employment with Athira Pharma, Inc. (the “Company”) as its Chief Medical Officer, reporting to the Company’s Chief Executive Officer (“CEO”). If you decide to join us in this role, you will become part of a fast-paced and dedicated team that works together to accelerate the development of life changing therapeutics.</w:t>
      </w:r>
    </w:p>
    <w:p>
      <w:pPr>
        <w:spacing w:after="0" w:line="198" w:lineRule="exact"/>
        <w:rPr>
          <w:sz w:val="20"/>
          <w:szCs w:val="20"/>
          <w:color w:val="auto"/>
        </w:rPr>
      </w:pPr>
    </w:p>
    <w:p>
      <w:pPr>
        <w:jc w:val="both"/>
        <w:ind w:right="60" w:firstLine="749"/>
        <w:spacing w:after="0" w:line="236" w:lineRule="auto"/>
        <w:rPr>
          <w:sz w:val="20"/>
          <w:szCs w:val="20"/>
          <w:color w:val="auto"/>
        </w:rPr>
      </w:pPr>
      <w:r>
        <w:rPr>
          <w:rFonts w:ascii="Times New Roman" w:cs="Times New Roman" w:eastAsia="Times New Roman" w:hAnsi="Times New Roman"/>
          <w:sz w:val="22"/>
          <w:szCs w:val="22"/>
          <w:color w:val="auto"/>
        </w:rPr>
        <w:t>As the Company's Chief Medical Officer, you will perform the duties and responsibilities customary for such position as well as other related duties that may be assigned by the CEO. You will perform your duties from California but will travel to the Company’s corporate offices located in Bothell, Washington as reasonably required by the Company and necessary to perform your job duties. As referenced below, you will be reimbursed for reasonable and approved expenses incurred during the course of business, which includes business travel, pursuant to the terms of the Company’s expense reimbursement policy as may be in effect from time to time.</w:t>
      </w:r>
    </w:p>
    <w:p>
      <w:pPr>
        <w:spacing w:after="0" w:line="208" w:lineRule="exact"/>
        <w:rPr>
          <w:sz w:val="20"/>
          <w:szCs w:val="20"/>
          <w:color w:val="auto"/>
        </w:rPr>
      </w:pPr>
    </w:p>
    <w:p>
      <w:pPr>
        <w:jc w:val="both"/>
        <w:ind w:right="60" w:firstLine="749"/>
        <w:spacing w:after="0" w:line="244" w:lineRule="auto"/>
        <w:rPr>
          <w:sz w:val="20"/>
          <w:szCs w:val="20"/>
          <w:color w:val="auto"/>
        </w:rPr>
      </w:pPr>
      <w:r>
        <w:rPr>
          <w:rFonts w:ascii="Times New Roman" w:cs="Times New Roman" w:eastAsia="Times New Roman" w:hAnsi="Times New Roman"/>
          <w:sz w:val="22"/>
          <w:szCs w:val="22"/>
          <w:color w:val="auto"/>
        </w:rPr>
        <w:t>Your full-time annual base salary will be $500,000.00 which will be payable, less any applicable withholdings, in accordance with the Company’s normal payroll practices. Your annual base salary will be subject to review and adjustment by the Company from time to time.</w:t>
      </w:r>
    </w:p>
    <w:p>
      <w:pPr>
        <w:spacing w:after="0" w:line="200" w:lineRule="exact"/>
        <w:rPr>
          <w:sz w:val="20"/>
          <w:szCs w:val="20"/>
          <w:color w:val="auto"/>
        </w:rPr>
      </w:pPr>
    </w:p>
    <w:p>
      <w:pPr>
        <w:jc w:val="both"/>
        <w:ind w:right="60" w:firstLine="749"/>
        <w:spacing w:after="0" w:line="234" w:lineRule="auto"/>
        <w:rPr>
          <w:sz w:val="20"/>
          <w:szCs w:val="20"/>
          <w:color w:val="auto"/>
        </w:rPr>
      </w:pPr>
      <w:r>
        <w:rPr>
          <w:rFonts w:ascii="Times New Roman" w:cs="Times New Roman" w:eastAsia="Times New Roman" w:hAnsi="Times New Roman"/>
          <w:sz w:val="22"/>
          <w:szCs w:val="22"/>
          <w:color w:val="auto"/>
        </w:rPr>
        <w:t>You will first be eligible for an annual discretionary performance bonus for the 2024 calendar year, which will be payable in 2025. The annual discretionary performance bonus will be in an amount up to 40% of your base salary, as determined by the Company. Your 2024 annual bonus, if any, will be prorated for the portion of the fiscal year you were employed by the Company (beginning with your employment start date). You may also be eligible to participate in other discretionary bonus plans and programs as may be established by the Company for its employees from time to time, subject to the applicable terms and conditions thereof, including without limitation any eligibility requirements. Unless determined otherwise by the Company, any bonus will be subject to your continued employment through and until the date of payment and will be subject to any applicable withholdings. Any bonus and the applicable terms and conditions thereof may be adjusted from time to time by the Company in its sole discretion.</w:t>
      </w:r>
    </w:p>
    <w:p>
      <w:pPr>
        <w:spacing w:after="0" w:line="210" w:lineRule="exact"/>
        <w:rPr>
          <w:sz w:val="20"/>
          <w:szCs w:val="20"/>
          <w:color w:val="auto"/>
        </w:rPr>
      </w:pPr>
    </w:p>
    <w:p>
      <w:pPr>
        <w:jc w:val="both"/>
        <w:ind w:right="60" w:firstLine="749"/>
        <w:spacing w:after="0" w:line="238" w:lineRule="auto"/>
        <w:rPr>
          <w:sz w:val="20"/>
          <w:szCs w:val="20"/>
          <w:color w:val="auto"/>
        </w:rPr>
      </w:pPr>
      <w:r>
        <w:rPr>
          <w:rFonts w:ascii="Times New Roman" w:cs="Times New Roman" w:eastAsia="Times New Roman" w:hAnsi="Times New Roman"/>
          <w:sz w:val="22"/>
          <w:szCs w:val="22"/>
          <w:color w:val="auto"/>
        </w:rPr>
        <w:t>As a material inducement to your accepting employment with the Company, and subject to approval by the Company’s Board of Directors or Compensation Committee, you will be eligible to receive an initial award of stock options to purchase up to 400,000 shares of the Company’s Common Stock pursuant to the Company’s 2024 Inducement Equity Incentive Plan or another Company equity incentive plan then in use and the Company’s form of stock option agreement under such plan, including vesting conditions specified therein, and to receive discretionary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365760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292" w:right="359" w:bottom="1440" w:gutter="0" w:footer="0" w:header="0"/>
        </w:sectPr>
      </w:pPr>
    </w:p>
    <w:bookmarkStart w:id="5" w:name="page6"/>
    <w:bookmarkEnd w:id="5"/>
    <w:p>
      <w:pPr>
        <w:jc w:val="right"/>
        <w:spacing w:after="0"/>
        <w:rPr>
          <w:sz w:val="20"/>
          <w:szCs w:val="20"/>
          <w:color w:val="auto"/>
        </w:rPr>
      </w:pPr>
      <w:r>
        <w:rPr>
          <w:rFonts w:ascii="Arial" w:cs="Arial" w:eastAsia="Arial" w:hAnsi="Arial"/>
          <w:sz w:val="14"/>
          <w:szCs w:val="14"/>
          <w:color w:val="auto"/>
        </w:rPr>
        <w:t>18706 NORTH CREEK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-95885</wp:posOffset>
            </wp:positionV>
            <wp:extent cx="120015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00150" cy="59182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4"/>
          <w:szCs w:val="14"/>
          <w:color w:val="auto"/>
        </w:rPr>
        <w:t>SUITE 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 98011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1"/>
          <w:szCs w:val="21"/>
          <w:color w:val="auto"/>
        </w:rPr>
        <w:t>of stock options or other equity awards pursuant to any plans or arrangements the Company may have in effect from time to time in accordance with the terms and conditions thereof. The option will have an exercise price per share equal to the fair market value of a share of our common stock as determined in accordance with the terms of the equity plan under which it is granted. You will also be eligible to participate in the Company’s employee stock purchase plan in effect from time to time in accordance with the terms and conditions thereof, including without limitation any eligibility requirements. You will be eligible to enter into a Change in Control and Severance Agreement applicable to you based on your position within the Company, subject to approval of the Company’s Board of Directors or Compensation Committee. It will specify benefits you may become entitled to receive in connection with a termination of your employment or a change in control of the Company in certain circumstances and subject to the terms and conditions detailed in such agreement.</w:t>
      </w:r>
    </w:p>
    <w:p>
      <w:pPr>
        <w:spacing w:after="0" w:line="202" w:lineRule="exact"/>
        <w:rPr>
          <w:sz w:val="20"/>
          <w:szCs w:val="20"/>
          <w:color w:val="auto"/>
        </w:rPr>
      </w:pPr>
    </w:p>
    <w:p>
      <w:pPr>
        <w:jc w:val="both"/>
        <w:ind w:right="60" w:firstLine="749"/>
        <w:spacing w:after="0" w:line="249" w:lineRule="auto"/>
        <w:rPr>
          <w:sz w:val="20"/>
          <w:szCs w:val="20"/>
          <w:color w:val="auto"/>
        </w:rPr>
      </w:pPr>
      <w:r>
        <w:rPr>
          <w:rFonts w:ascii="Times New Roman" w:cs="Times New Roman" w:eastAsia="Times New Roman" w:hAnsi="Times New Roman"/>
          <w:sz w:val="21"/>
          <w:szCs w:val="21"/>
          <w:color w:val="auto"/>
        </w:rPr>
        <w:t>You will additionally be eligible to participate in the benefit plans and programs established by the Company for its employees from time to time, subject to their applicable terms and conditions, including without limitation any eligibility requirements. The Company will reimburse you for reasonable and appropriate travel or other expenses incurred by you in the furtherance of or in connection with the performance of your duties, pursuant to the terms of the Company’s expense reimbursement policy as may be in effect from time to time. The Company reserves the right to modify, amend, suspend or terminate the benefit plans, programs, and arrangements it offers to its employees at any time in its sole discretion.</w:t>
      </w:r>
    </w:p>
    <w:p>
      <w:pPr>
        <w:spacing w:after="0" w:line="163" w:lineRule="exact"/>
        <w:rPr>
          <w:sz w:val="20"/>
          <w:szCs w:val="20"/>
          <w:color w:val="auto"/>
        </w:rPr>
      </w:pPr>
    </w:p>
    <w:p>
      <w:pPr>
        <w:jc w:val="both"/>
        <w:ind w:right="60" w:firstLine="749"/>
        <w:spacing w:after="0" w:line="256" w:lineRule="exact"/>
        <w:rPr>
          <w:sz w:val="20"/>
          <w:szCs w:val="20"/>
          <w:color w:val="auto"/>
        </w:rPr>
      </w:pPr>
      <w:r>
        <w:rPr>
          <w:rFonts w:ascii="Times New Roman" w:cs="Times New Roman" w:eastAsia="Times New Roman" w:hAnsi="Times New Roman"/>
          <w:sz w:val="22"/>
          <w:szCs w:val="22"/>
          <w:color w:val="auto"/>
        </w:rPr>
        <w:t>As a condition of your employment, you are also required to sign and comply with an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Employment, Confidential Information, Invention Assignment and Arbitration Agreement (the “Confidentiality Agreement”) which requires, among other provisions, the assignment of patent rights to any invention made during your employment at the Company, as well as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disclosure of Company confidential, proprietary, and trade secret information. In the event of any dispute or claim relating to or arising out of our employment relationship, you and the Company agree that any and all disputes between you and the Company shall be fully and finally resolved by binding arbitration, pursuant to the terms and conditions of the arbitration provision set forth in the Confidentiality Agreement. A copy of the Confidentiality Agreement is enclosed herewith.</w:t>
      </w:r>
    </w:p>
    <w:p>
      <w:pPr>
        <w:spacing w:after="0" w:line="208" w:lineRule="exact"/>
        <w:rPr>
          <w:sz w:val="20"/>
          <w:szCs w:val="20"/>
          <w:color w:val="auto"/>
        </w:rPr>
      </w:pPr>
    </w:p>
    <w:p>
      <w:pPr>
        <w:jc w:val="both"/>
        <w:ind w:right="60" w:firstLine="749"/>
        <w:spacing w:after="0" w:line="234" w:lineRule="auto"/>
        <w:rPr>
          <w:sz w:val="20"/>
          <w:szCs w:val="20"/>
          <w:color w:val="auto"/>
        </w:rPr>
      </w:pPr>
      <w:r>
        <w:rPr>
          <w:rFonts w:ascii="Times New Roman" w:cs="Times New Roman" w:eastAsia="Times New Roman" w:hAnsi="Times New Roman"/>
          <w:sz w:val="22"/>
          <w:szCs w:val="22"/>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third-party confidential, proprietary, or trade secret information to the Company, including that of your former employer, and that in performing your duties for the Company you will not in any way utilize any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504190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1305"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auto"/>
        </w:rPr>
        <w:t>18706 NORTH CREEK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-95885</wp:posOffset>
            </wp:positionV>
            <wp:extent cx="1200150" cy="59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00150" cy="59182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4"/>
          <w:szCs w:val="14"/>
          <w:color w:val="auto"/>
        </w:rPr>
        <w:t>SUITE 104</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BOTHELL, WA 98011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420" w:right="60" w:firstLine="749"/>
        <w:spacing w:after="0" w:line="253" w:lineRule="exact"/>
        <w:rPr>
          <w:sz w:val="20"/>
          <w:szCs w:val="20"/>
          <w:color w:val="auto"/>
        </w:rPr>
      </w:pPr>
      <w:r>
        <w:rPr>
          <w:rFonts w:ascii="Times New Roman" w:cs="Times New Roman" w:eastAsia="Times New Roman" w:hAnsi="Times New Roman"/>
          <w:sz w:val="22"/>
          <w:szCs w:val="22"/>
          <w:color w:val="auto"/>
        </w:rPr>
        <w:t>The Company is excited about your joining and looks forward to a beneficial and productive relationship. Nevertheless, you should be aware that your employment with the Company is for no specified period and constitutes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(2) weeks’ notice.</w:t>
      </w:r>
    </w:p>
    <w:p>
      <w:pPr>
        <w:spacing w:after="0" w:line="207" w:lineRule="exact"/>
        <w:rPr>
          <w:sz w:val="20"/>
          <w:szCs w:val="20"/>
          <w:color w:val="auto"/>
        </w:rPr>
      </w:pPr>
    </w:p>
    <w:p>
      <w:pPr>
        <w:jc w:val="both"/>
        <w:ind w:left="420" w:right="80" w:firstLine="749"/>
        <w:spacing w:after="0" w:line="258" w:lineRule="auto"/>
        <w:rPr>
          <w:sz w:val="20"/>
          <w:szCs w:val="20"/>
          <w:color w:val="auto"/>
        </w:rPr>
      </w:pPr>
      <w:r>
        <w:rPr>
          <w:rFonts w:ascii="Times New Roman" w:cs="Times New Roman" w:eastAsia="Times New Roman" w:hAnsi="Times New Roman"/>
          <w:sz w:val="22"/>
          <w:szCs w:val="22"/>
          <w:color w:val="auto"/>
        </w:rPr>
        <w:t>As a condition of your employment, you will be required to comply with the Company’s employee handbook and other rules and policies of the Company, as in effect from time to time.</w:t>
      </w:r>
    </w:p>
    <w:p>
      <w:pPr>
        <w:spacing w:after="0" w:line="185" w:lineRule="exact"/>
        <w:rPr>
          <w:sz w:val="20"/>
          <w:szCs w:val="20"/>
          <w:color w:val="auto"/>
        </w:rPr>
      </w:pPr>
    </w:p>
    <w:p>
      <w:pPr>
        <w:jc w:val="both"/>
        <w:ind w:left="420" w:right="60" w:firstLine="749"/>
        <w:spacing w:after="0" w:line="238" w:lineRule="auto"/>
        <w:rPr>
          <w:sz w:val="20"/>
          <w:szCs w:val="20"/>
          <w:color w:val="auto"/>
        </w:rPr>
      </w:pPr>
      <w:r>
        <w:rPr>
          <w:rFonts w:ascii="Times New Roman" w:cs="Times New Roman" w:eastAsia="Times New Roman" w:hAnsi="Times New Roman"/>
          <w:sz w:val="22"/>
          <w:szCs w:val="22"/>
          <w:color w:val="auto"/>
        </w:rPr>
        <w:t>The Company reserves the right to conduct background investigations and/or reference checks on all of its potential employees. Your job offer, therefore, is contingent upon a clearance of such a background investigation and/or reference check, if any. In addition, for federal immigration purposes, you will be required to provide to the Company documentary evidence of your identity and eligibility for employment in the United States within three (3) business days of your date of hire, or your employment may be terminated.</w:t>
      </w:r>
    </w:p>
    <w:p>
      <w:pPr>
        <w:spacing w:after="0" w:line="204" w:lineRule="exact"/>
        <w:rPr>
          <w:sz w:val="20"/>
          <w:szCs w:val="20"/>
          <w:color w:val="auto"/>
        </w:rPr>
      </w:pPr>
    </w:p>
    <w:p>
      <w:pPr>
        <w:jc w:val="both"/>
        <w:ind w:left="420" w:right="60" w:firstLine="749"/>
        <w:spacing w:after="0" w:line="257" w:lineRule="exact"/>
        <w:rPr>
          <w:sz w:val="20"/>
          <w:szCs w:val="20"/>
          <w:color w:val="auto"/>
        </w:rPr>
      </w:pPr>
      <w:r>
        <w:rPr>
          <w:rFonts w:ascii="Times New Roman" w:cs="Times New Roman" w:eastAsia="Times New Roman" w:hAnsi="Times New Roman"/>
          <w:sz w:val="22"/>
          <w:szCs w:val="22"/>
          <w:color w:val="auto"/>
        </w:rPr>
        <w:t>This offer letter supersedes and replaces any prior understandings or agreements, whether oral, written or implied, between you and the Company regarding the matters described herein including, but not limited to, any representations made during your recruitment, interviews, or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employment negotiations. This letter, including, but not limited to, its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employment provision, may not be modified or amended except by a written agreement signed by the CEO of the Company.</w:t>
      </w:r>
    </w:p>
    <w:p>
      <w:pPr>
        <w:spacing w:after="0" w:line="204" w:lineRule="exact"/>
        <w:rPr>
          <w:sz w:val="20"/>
          <w:szCs w:val="20"/>
          <w:color w:val="auto"/>
        </w:rPr>
      </w:pPr>
    </w:p>
    <w:p>
      <w:pPr>
        <w:jc w:val="both"/>
        <w:ind w:left="420" w:right="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To accept the Company’s offer, please sign and date this letter below. This offer of employment will terminate if it is not accepted, signed, and returned to the Company by Friday, April 5, 2024. If you accept our offer, your first day of employment with the Company will be </w:t>
      </w:r>
      <w:r>
        <w:rPr>
          <w:rFonts w:ascii="Times New Roman" w:cs="Times New Roman" w:eastAsia="Times New Roman" w:hAnsi="Times New Roman"/>
          <w:sz w:val="22"/>
          <w:szCs w:val="22"/>
          <w:b w:val="1"/>
          <w:bCs w:val="1"/>
          <w:u w:val="single" w:color="auto"/>
          <w:color w:val="auto"/>
        </w:rPr>
        <w:t>Monday, April 15, 2024</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 Mark Litton</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Mark Litton</w:t>
      </w:r>
    </w:p>
    <w:p>
      <w:pPr>
        <w:ind w:left="566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b w:val="1"/>
          <w:bCs w:val="1"/>
          <w:color w:val="auto"/>
        </w:rPr>
        <w:t>Accepted and Agreed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/s/ Javier San Martin</w:t>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Javier San Martin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-21590</wp:posOffset>
            </wp:positionV>
            <wp:extent cx="1074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1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Change in Control and Severance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Athira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Javier San Martin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effective as of April 15, 2024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Agreement provides certain protections to Executive in connection with an involuntary termination of Executive’s employment with the Company under the circumstances described in this Agreement, including in connection with a change in control of the Company. Certain capitalized terms used in this Agreement are defined in Section 7 below.</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and Executive agree as follows:</w:t>
      </w:r>
    </w:p>
    <w:p>
      <w:pPr>
        <w:spacing w:after="0" w:line="206" w:lineRule="exact"/>
        <w:rPr>
          <w:sz w:val="20"/>
          <w:szCs w:val="20"/>
          <w:color w:val="auto"/>
        </w:rPr>
      </w:pPr>
    </w:p>
    <w:p>
      <w:pPr>
        <w:jc w:val="both"/>
        <w:ind w:firstLine="757"/>
        <w:spacing w:after="0" w:line="244" w:lineRule="auto"/>
        <w:tabs>
          <w:tab w:leader="none" w:pos="1018" w:val="left"/>
        </w:tabs>
        <w:numPr>
          <w:ilvl w:val="0"/>
          <w:numId w:val="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This Agreement will continue indefinitely until terminated by written consent of the parties hereto, or if earlier, upon the date that all of the obligations of the parties hereto with respect to this Agreement have been satisfied.</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8" w:lineRule="auto"/>
        <w:tabs>
          <w:tab w:leader="none" w:pos="1018" w:val="left"/>
        </w:tabs>
        <w:numPr>
          <w:ilvl w:val="0"/>
          <w:numId w:val="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76"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3.1. Qualifying Termination Outside of the Change in Control Period</w:t>
      </w:r>
      <w:r>
        <w:rPr>
          <w:rFonts w:ascii="Times New Roman" w:cs="Times New Roman" w:eastAsia="Times New Roman" w:hAnsi="Times New Roman"/>
          <w:sz w:val="22"/>
          <w:szCs w:val="22"/>
          <w:color w:val="auto"/>
        </w:rPr>
        <w:t>. In the event of a Qualifying Termination that occurs other than during the Change in Control Period, Executive will receive the following payments and benefits from the Company, subject to the requirements of this Agreement:</w:t>
      </w:r>
    </w:p>
    <w:p>
      <w:pPr>
        <w:spacing w:after="0" w:line="139" w:lineRule="exact"/>
        <w:rPr>
          <w:sz w:val="20"/>
          <w:szCs w:val="20"/>
          <w:color w:val="auto"/>
        </w:rPr>
      </w:pPr>
    </w:p>
    <w:p>
      <w:pPr>
        <w:ind w:left="2260"/>
        <w:spacing w:after="0" w:line="253" w:lineRule="exact"/>
        <w:tabs>
          <w:tab w:leader="none" w:pos="4320" w:val="left"/>
        </w:tabs>
        <w:rPr>
          <w:sz w:val="20"/>
          <w:szCs w:val="20"/>
          <w:color w:val="auto"/>
        </w:rPr>
      </w:pPr>
      <w:r>
        <w:rPr>
          <w:rFonts w:ascii="Times New Roman" w:cs="Times New Roman" w:eastAsia="Times New Roman" w:hAnsi="Times New Roman"/>
          <w:sz w:val="22"/>
          <w:szCs w:val="22"/>
          <w:u w:val="single" w:color="auto"/>
          <w:color w:val="auto"/>
        </w:rPr>
        <w:t>(a) Salary Severance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 single, lump sum, cash payment equal to seventy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(75%) of</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Salary.</w:t>
      </w:r>
    </w:p>
    <w:p>
      <w:pPr>
        <w:spacing w:after="0" w:line="182" w:lineRule="exact"/>
        <w:rPr>
          <w:sz w:val="20"/>
          <w:szCs w:val="20"/>
          <w:color w:val="auto"/>
        </w:rPr>
      </w:pPr>
    </w:p>
    <w:p>
      <w:pPr>
        <w:jc w:val="both"/>
        <w:ind w:firstLine="2254"/>
        <w:spacing w:after="0" w:line="235" w:lineRule="auto"/>
        <w:tabs>
          <w:tab w:leader="none" w:pos="2546" w:val="left"/>
        </w:tabs>
        <w:numPr>
          <w:ilvl w:val="0"/>
          <w:numId w:val="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Subject to Executive timely electing continuation coverage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and further subject to Section 5.3, Executive will receive Company-paid group health, dental and vision coverage for Executive and any of Executive’s eligible dependents, as applicable (the “</w:t>
      </w: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following the Qualifying Termination until the earliest of: (i) nine (9)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3.2. Qualifying Termination During the Change in Control Period</w:t>
      </w:r>
      <w:r>
        <w:rPr>
          <w:rFonts w:ascii="Times New Roman" w:cs="Times New Roman" w:eastAsia="Times New Roman" w:hAnsi="Times New Roman"/>
          <w:sz w:val="22"/>
          <w:szCs w:val="22"/>
          <w:color w:val="auto"/>
        </w:rPr>
        <w:t>. In the event of a Qualifying Termination that occurs during the Change in Control Period,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 w:name="page9"/>
    <w:bookmarkEnd w:id="8"/>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receive the following payments and benefits from the Company, subject to the requirements of this Agreement:</w:t>
      </w:r>
    </w:p>
    <w:p>
      <w:pPr>
        <w:spacing w:after="0" w:line="206" w:lineRule="exact"/>
        <w:rPr>
          <w:sz w:val="20"/>
          <w:szCs w:val="20"/>
          <w:color w:val="auto"/>
        </w:rPr>
      </w:pPr>
    </w:p>
    <w:p>
      <w:pPr>
        <w:ind w:left="2260"/>
        <w:spacing w:after="0"/>
        <w:tabs>
          <w:tab w:leader="none" w:pos="4280" w:val="left"/>
        </w:tabs>
        <w:rPr>
          <w:sz w:val="20"/>
          <w:szCs w:val="20"/>
          <w:color w:val="auto"/>
        </w:rPr>
      </w:pPr>
      <w:r>
        <w:rPr>
          <w:rFonts w:ascii="Times New Roman" w:cs="Times New Roman" w:eastAsia="Times New Roman" w:hAnsi="Times New Roman"/>
          <w:sz w:val="22"/>
          <w:szCs w:val="22"/>
          <w:u w:val="single" w:color="auto"/>
          <w:color w:val="auto"/>
        </w:rPr>
        <w:t>(a) Salary Severance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 single, lump sum, cash payment equal to one hundred percent (100%)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Salary.</w:t>
      </w:r>
    </w:p>
    <w:p>
      <w:pPr>
        <w:spacing w:after="0" w:line="182" w:lineRule="exact"/>
        <w:rPr>
          <w:sz w:val="20"/>
          <w:szCs w:val="20"/>
          <w:color w:val="auto"/>
        </w:rPr>
      </w:pPr>
    </w:p>
    <w:p>
      <w:pPr>
        <w:ind w:left="2560" w:hanging="306"/>
        <w:spacing w:after="0"/>
        <w:tabs>
          <w:tab w:leader="none" w:pos="2560"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Bonus Severance</w:t>
      </w:r>
      <w:r>
        <w:rPr>
          <w:rFonts w:ascii="Times New Roman" w:cs="Times New Roman" w:eastAsia="Times New Roman" w:hAnsi="Times New Roman"/>
          <w:sz w:val="22"/>
          <w:szCs w:val="22"/>
          <w:color w:val="auto"/>
        </w:rPr>
        <w:t>.  A single, lump sum, cash payment equal to one hundred percent (100%) of</w:t>
      </w:r>
    </w:p>
    <w:p>
      <w:pPr>
        <w:spacing w:after="0" w:line="14" w:lineRule="exact"/>
        <w:rPr>
          <w:rFonts w:ascii="Times New Roman" w:cs="Times New Roman" w:eastAsia="Times New Roman" w:hAnsi="Times New Roman"/>
          <w:sz w:val="22"/>
          <w:szCs w:val="22"/>
          <w:u w:val="single" w:color="auto"/>
          <w:color w:val="auto"/>
        </w:rPr>
      </w:pPr>
    </w:p>
    <w:p>
      <w:pPr>
        <w:spacing w:after="0"/>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Executive’s Target Bonus.</w:t>
      </w:r>
    </w:p>
    <w:p>
      <w:pPr>
        <w:spacing w:after="0" w:line="182" w:lineRule="exact"/>
        <w:rPr>
          <w:rFonts w:ascii="Times New Roman" w:cs="Times New Roman" w:eastAsia="Times New Roman" w:hAnsi="Times New Roman"/>
          <w:sz w:val="22"/>
          <w:szCs w:val="22"/>
          <w:u w:val="single" w:color="auto"/>
          <w:color w:val="auto"/>
        </w:rPr>
      </w:pPr>
    </w:p>
    <w:p>
      <w:pPr>
        <w:jc w:val="both"/>
        <w:ind w:firstLine="2254"/>
        <w:spacing w:after="0" w:line="238" w:lineRule="auto"/>
        <w:tabs>
          <w:tab w:leader="none" w:pos="2546"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COBRA Severance</w:t>
      </w:r>
      <w:r>
        <w:rPr>
          <w:rFonts w:ascii="Times New Roman" w:cs="Times New Roman" w:eastAsia="Times New Roman" w:hAnsi="Times New Roman"/>
          <w:sz w:val="22"/>
          <w:szCs w:val="22"/>
          <w:color w:val="auto"/>
        </w:rPr>
        <w:t>. Subject to Executive timely electing continuation coverage under COBRA and further subject to Section 5.3, Executive will receive COBRA Severance until the earliest of: (i) twelve (12) months following the date of the Qualifying Termination, (ii) the date on which Executive and Executive’s eligible dependents (as applicable) become covered under similar plans, or (iii) the expiration of Executive’s (and any of Executive’s eligible dependents, as applicable) eligibility for continuation coverage under COBRA.</w:t>
      </w:r>
    </w:p>
    <w:p>
      <w:pPr>
        <w:spacing w:after="0" w:line="176" w:lineRule="exact"/>
        <w:rPr>
          <w:rFonts w:ascii="Times New Roman" w:cs="Times New Roman" w:eastAsia="Times New Roman" w:hAnsi="Times New Roman"/>
          <w:sz w:val="22"/>
          <w:szCs w:val="22"/>
          <w:u w:val="single" w:color="auto"/>
          <w:color w:val="auto"/>
        </w:rPr>
      </w:pPr>
    </w:p>
    <w:p>
      <w:pPr>
        <w:ind w:firstLine="2254"/>
        <w:spacing w:after="0" w:line="258" w:lineRule="auto"/>
        <w:tabs>
          <w:tab w:leader="none" w:pos="2546" w:val="left"/>
        </w:tabs>
        <w:numPr>
          <w:ilvl w:val="0"/>
          <w:numId w:val="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Acceleration of Service-based Awards</w:t>
      </w:r>
      <w:r>
        <w:rPr>
          <w:rFonts w:ascii="Times New Roman" w:cs="Times New Roman" w:eastAsia="Times New Roman" w:hAnsi="Times New Roman"/>
          <w:sz w:val="22"/>
          <w:szCs w:val="22"/>
          <w:color w:val="auto"/>
        </w:rPr>
        <w:t>. Vesting acceleration of one hundred percent (100%) of any Service-based Awards that are outstanding and unvested as of the date of the Qualifying Termination.</w:t>
      </w:r>
    </w:p>
    <w:p>
      <w:pPr>
        <w:spacing w:after="0" w:line="158"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color w:val="auto"/>
        </w:rPr>
        <w:t>For the avoidance of doubt, in the event of Executive’s Qualifying Termination that occurs prior to a Change in Control, any then outstanding and unvested portion of Executive’s Awards will remain outstanding (and unvested) until the earlier of (x) one (1) month following the Qualifying Termination, or (y) a Change in Control that occurs within one (1) month following the Qualifying Termination, solely so that any benefits due on a Qualifying Termination can be provided if the Qualifying Termination occurs during the Change in Control Period (provided that in no event will Executive’s stock option Awards or similar Awards remain outstanding beyond the Award’s maximum term to expiration). If no Change in Control occurs within one (1) month following a Qualifying Termination, any unvested portion of Executive’s Awards automatically and permanently will be forfeited on the date one (1) month following the date of the Qualifying Termination without having vested.</w:t>
      </w:r>
    </w:p>
    <w:p>
      <w:pPr>
        <w:spacing w:after="0" w:line="17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3.3. Termination Other Than a Qualifying Termination</w:t>
      </w:r>
      <w:r>
        <w:rPr>
          <w:rFonts w:ascii="Times New Roman" w:cs="Times New Roman" w:eastAsia="Times New Roman" w:hAnsi="Times New Roman"/>
          <w:sz w:val="22"/>
          <w:szCs w:val="22"/>
          <w:color w:val="auto"/>
        </w:rPr>
        <w:t>. If the termination of Executive’s employment does not constitute a Qualifying Termination, then Executive will not be entitled to receive any severance or other benefits in connection with such termination except for those, if any, as may then be established under the Company’s then existing severance and benefits plans or programs.</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3.4. Non-duplication of Payment or Benefits</w:t>
      </w:r>
      <w:r>
        <w:rPr>
          <w:rFonts w:ascii="Times New Roman" w:cs="Times New Roman" w:eastAsia="Times New Roman" w:hAnsi="Times New Roman"/>
          <w:sz w:val="22"/>
          <w:szCs w:val="22"/>
          <w:color w:val="auto"/>
        </w:rPr>
        <w:t>. For purposes of clarity, in the event of a Qualifying Termination that occurs during the period within one (1) month prior to a Change in Control, any severance payments and benefits to be provided to Executive under Section 3.2 will be reduced by any amounts that already were provided to Executive under Section 3.1.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Company is a party other than this Agreement (“</w:t>
      </w: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then the corresponding severance payments and benefits under this Agreement will be reduced by the amount of Other Benefits paid or provided to Executive.</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3.5. Death of Executive</w:t>
      </w:r>
      <w:r>
        <w:rPr>
          <w:rFonts w:ascii="Times New Roman" w:cs="Times New Roman" w:eastAsia="Times New Roman" w:hAnsi="Times New Roman"/>
          <w:sz w:val="22"/>
          <w:szCs w:val="22"/>
          <w:color w:val="auto"/>
        </w:rPr>
        <w:t>. In the event of Executive’s death before all payments or benefits Executive is entitled to receive under this Agreement have been provided, the unpaid amounts will be provided to Executive’s designated beneficiary, if living, or otherwise to Executive’s personal representative in accordance with the terms of this Agreement.</w:t>
      </w:r>
    </w:p>
    <w:p>
      <w:pPr>
        <w:spacing w:after="0" w:line="173" w:lineRule="exact"/>
        <w:rPr>
          <w:sz w:val="20"/>
          <w:szCs w:val="20"/>
          <w:color w:val="auto"/>
        </w:rPr>
      </w:pPr>
    </w:p>
    <w:p>
      <w:pPr>
        <w:jc w:val="both"/>
        <w:ind w:firstLine="757"/>
        <w:spacing w:after="0" w:line="244" w:lineRule="auto"/>
        <w:tabs>
          <w:tab w:leader="none" w:pos="1018"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Conditions to Receipt of Severance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5.1. Separation Agreement and Release of Claims</w:t>
      </w:r>
      <w:r>
        <w:rPr>
          <w:rFonts w:ascii="Times New Roman" w:cs="Times New Roman" w:eastAsia="Times New Roman" w:hAnsi="Times New Roman"/>
          <w:sz w:val="22"/>
          <w:szCs w:val="22"/>
          <w:color w:val="auto"/>
        </w:rPr>
        <w:t>. Executive’s receipt of any severance payments or benefits upon a Qualifying Termination under Sections 3.1 and 3.2 is subject to Executive signing and not revoking the Company’s then standard separation agreement and release of claims with the Company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must become effective and irrevocable no later than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the date of the Qualifying Termination (the “</w:t>
      </w:r>
      <w:r>
        <w:rPr>
          <w:rFonts w:ascii="Times New Roman" w:cs="Times New Roman" w:eastAsia="Times New Roman" w:hAnsi="Times New Roman"/>
          <w:sz w:val="22"/>
          <w:szCs w:val="22"/>
          <w:u w:val="single" w:color="auto"/>
          <w:color w:val="auto"/>
        </w:rPr>
        <w:t>Release Deadline Date</w:t>
      </w:r>
      <w:r>
        <w:rPr>
          <w:rFonts w:ascii="Times New Roman" w:cs="Times New Roman" w:eastAsia="Times New Roman" w:hAnsi="Times New Roman"/>
          <w:sz w:val="22"/>
          <w:szCs w:val="22"/>
          <w:color w:val="auto"/>
        </w:rPr>
        <w:t>”). If the Release does not become effective and irrevocable by the Release Deadline Date, Executive will forfeit any right to severance payments or benefits under Section 3.</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5.2. Payment Timing</w:t>
      </w:r>
      <w:r>
        <w:rPr>
          <w:rFonts w:ascii="Times New Roman" w:cs="Times New Roman" w:eastAsia="Times New Roman" w:hAnsi="Times New Roman"/>
          <w:sz w:val="22"/>
          <w:szCs w:val="22"/>
          <w:color w:val="auto"/>
        </w:rPr>
        <w:t>. Any lump sum cash severance payments under Section 3 relating to salary severance and any bonus severance will be provided to Executive on the first regularly scheduled payroll date of the Company following the date the Release becomes effective and irrevocable, provided that any additional amounts of such cash severance payments that become payable as a result of a Change in Control occurring within one (1) month after Executive’s Qualifying Termination will be paid on the later of (x) the first regularly scheduled payroll date of the Company following the date the Release becomes effective and irrevocable, or (y) the date of the Change in Control, in each case subject to any delay required by Section 5.4 below. Any Service-based Awards that are restricted stock units, performance shares, performance units, and/or similar full value awards (“</w:t>
      </w: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that accelerate vesting under Section 3.2(d) will be settled, subject to any delay required by Section 5.4 below (or the terms of the Full Value Award agreement or other Company plan, policy, or arrangement governing the settlement timing of the Full Value Award to the extent such terms specifically require any such delay in order to comply with the requirements of Section 409A, as applicable), (a) on a date within ten (10) days following the date the Release becomes effective and irrevocable, or (b) if later, in the event of a Qualifying Termination that occurs prior to a Change in Control, on a date on or before the date of completion of the Change in Control.</w:t>
      </w:r>
    </w:p>
    <w:p>
      <w:pPr>
        <w:spacing w:after="0" w:line="182"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u w:val="single" w:color="auto"/>
          <w:color w:val="auto"/>
        </w:rPr>
        <w:t>5.3. COBRA Severance Limitations</w:t>
      </w:r>
      <w:r>
        <w:rPr>
          <w:rFonts w:ascii="Times New Roman" w:cs="Times New Roman" w:eastAsia="Times New Roman" w:hAnsi="Times New Roman"/>
          <w:sz w:val="21"/>
          <w:szCs w:val="21"/>
          <w:color w:val="auto"/>
        </w:rPr>
        <w:t>. If the Company determines in its sole discretion that it cannot provide the COBRA Severance without potentially violating, or being subject to an excise tax under, applicable law (including, without limitation, Section 2716 of the Public Health Service Act), then in lieu of such COBRA Severance, subject to any delay required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by Section 5.4 below, the Company will provide to Executive a taxable monthly payment payable on the last day of a given month (except as provided below in this Section 5.3), in an amount equal to the monthly COBRA premium that Executive would be required to pay to continue Executive’s group health coverage in effect on the date of the Qualifying Termination (which amount will be based on the premium rates applicable for the first month of COBRA Severance for Executive and any eligible dependents of Executive) (each, a “</w:t>
      </w:r>
      <w:r>
        <w:rPr>
          <w:rFonts w:ascii="Times New Roman" w:cs="Times New Roman" w:eastAsia="Times New Roman" w:hAnsi="Times New Roman"/>
          <w:sz w:val="22"/>
          <w:szCs w:val="22"/>
          <w:u w:val="single" w:color="auto"/>
          <w:color w:val="auto"/>
        </w:rPr>
        <w:t>COBRA Replacement Payment</w:t>
      </w:r>
      <w:r>
        <w:rPr>
          <w:rFonts w:ascii="Times New Roman" w:cs="Times New Roman" w:eastAsia="Times New Roman" w:hAnsi="Times New Roman"/>
          <w:sz w:val="22"/>
          <w:szCs w:val="22"/>
          <w:color w:val="auto"/>
        </w:rPr>
        <w:t>”), which COBRA Replacement Payments will be made regardless of whether Executive elects COBRA continuation coverage and will end on the earlier of (a) the date upon which Executive obtains other employment, or (b) the date the Company has paid an amount totaling the number of COBRA Replacement Payments equal to the number of months in the applicable COBRA Severance period set forth in clause (i) of Section (b) or Section (c), as applicable. For the avoidance of doubt, the COBRA Replacement Payments may be used for any purpose, including, but not limited to continuation coverage under COBRA, and will be subject to any applicable withholdings. Notwithstanding the foregoing, any COBRA Replacement Payments that otherwise would be payable prior to the date that the Release becomes effective and irrevocable shall be paid in a single lump sum on the first regularly scheduled payroll date of the Company following the date the Release becomes effective and irrevocable, and any remaining COBRA Replacement Payments will be paid in accordance with the schedule described further above in this Section 5.3, in each case subject to any delay required by Section 5.4 below).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Executive will not receive the COBRA Replacement Payments or any further COBRA Severance.</w:t>
      </w:r>
    </w:p>
    <w:p>
      <w:pPr>
        <w:spacing w:after="0" w:line="18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5.4. Section 409A</w:t>
      </w:r>
      <w:r>
        <w:rPr>
          <w:rFonts w:ascii="Times New Roman" w:cs="Times New Roman" w:eastAsia="Times New Roman" w:hAnsi="Times New Roman"/>
          <w:sz w:val="22"/>
          <w:szCs w:val="22"/>
          <w:color w:val="auto"/>
        </w:rPr>
        <w:t>. The Company intends that all payments and benefits provided under this Agreement or otherwise are exempt from, or comply with, the requirements of Section 409A so that none of the payments or benefits will be subject to the additional tax imposed under Section 409A, and any ambiguities and ambiguous terms in this Agreement will be interpreted in accordance with this intent. No payments or benefits to be provided to Executive, if any, under this Agreement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will be paid or otherwise provided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83" w:lineRule="exact"/>
        <w:rPr>
          <w:sz w:val="20"/>
          <w:szCs w:val="20"/>
          <w:color w:val="auto"/>
        </w:rPr>
      </w:pPr>
    </w:p>
    <w:p>
      <w:pPr>
        <w:jc w:val="both"/>
        <w:ind w:firstLine="2254"/>
        <w:spacing w:after="0" w:line="239"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payments or benefits paid or provided under this Agreement that satisfy the requirements of the “short-term deferral” rule under Treasury Regulations Section 1.409A-1(b)(4), or that qualify as payments made as a result of an involuntary separation from service under Treasury Regulations Section 1.409A-1(b)(9)(iii) that is within the limit set forth thereunder, will not constitute Deferred Payments for purposes of this Section 5.4.</w:t>
      </w:r>
    </w:p>
    <w:p>
      <w:pPr>
        <w:spacing w:after="0" w:line="180"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provisions to the contrary in this Agreement, if Executive is a “specified employee” within the meaning of Section 409A at the time of Executive’s separation from service (other than due to death), then any payments or benefits 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Agreement that constitute Deferred Payments payable within the first six (6) months after Executive’s separation from service instead will be payable on the date six (6) months and one (1) day after Executive’s separation from service; provided that in the event of Executive’s death within such six (6) month period, any payments delayed by this subsection (b) will be paid to Executive in a lump sum as soon as administratively practicable after the date of Executive’s death. To the extent that Executive is not a specified employee but Executive’s Qualifying Termination occurs at a time during the year whereby the Release Deadline Date will occur in the year immediately following the year in which the Qualifying Termination occurs, then any payments or benefits under this Agreement that constitute Deferred Payments that otherwise would be payable prior to the Release Deadline Date instead will be paid on the first regularly scheduled payroll date of the Company following the Release Deadline Date.</w:t>
      </w:r>
    </w:p>
    <w:p>
      <w:pPr>
        <w:spacing w:after="0" w:line="183" w:lineRule="exact"/>
        <w:rPr>
          <w:sz w:val="20"/>
          <w:szCs w:val="20"/>
          <w:color w:val="auto"/>
        </w:rPr>
      </w:pPr>
    </w:p>
    <w:p>
      <w:pPr>
        <w:jc w:val="both"/>
        <w:ind w:firstLine="2254"/>
        <w:spacing w:after="0" w:line="234" w:lineRule="auto"/>
        <w:tabs>
          <w:tab w:leader="none" w:pos="254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amend this Agreement as it considers necessary or advisable, in its sole discretion and without the consent of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Treasury Regulations Section 1.409A-2(b)(2). In no event will Executive have any discretion to choose Executive’s taxable year in which any payments or benefits are provided under this Agreement. In no event will the Company or any parent, subsidiary or other affiliate of the Company have any responsibility, liability or obligation to reimburse, indemnify or hold harmless Executive for any taxes, penalties or interest that may be imposed, or other costs that may be incurred, as a result of Section 409A.</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u w:val="single" w:color="auto"/>
          <w:color w:val="auto"/>
        </w:rPr>
        <w:t>6.1. Reduction of Severance Benefits</w:t>
      </w:r>
      <w:r>
        <w:rPr>
          <w:rFonts w:ascii="Times New Roman" w:cs="Times New Roman" w:eastAsia="Times New Roman" w:hAnsi="Times New Roman"/>
          <w:sz w:val="22"/>
          <w:szCs w:val="22"/>
          <w:color w:val="auto"/>
        </w:rPr>
        <w:t>. If any payment or benefit that Executive would receive from the Company or any other party whether in connection with the provisions in this Agreement or otherwise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w:t>
      </w:r>
    </w:p>
    <w:p>
      <w:pPr>
        <w:spacing w:after="0" w:line="2" w:lineRule="exact"/>
        <w:rPr>
          <w:sz w:val="20"/>
          <w:szCs w:val="20"/>
          <w:color w:val="auto"/>
        </w:rPr>
      </w:pPr>
    </w:p>
    <w:p>
      <w:pPr>
        <w:jc w:val="both"/>
        <w:ind w:firstLine="8"/>
        <w:spacing w:after="0" w:line="231" w:lineRule="auto"/>
        <w:tabs>
          <w:tab w:leader="none" w:pos="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Payments will be either delivered in full, or delivered as to such lesser extent that would result in no portion of the Payments being subject to the Excise Tax, whichever of the foregoing amounts, taking into account the applicable federal, state and local income taxes and the Excise Tax, results in Executive’s receipt, on an after-tax basis, of the greatest amount of Payments, notwithstanding that all or some of the Payments may be subject to the Excise Tax. If a reduction in Payments is made in accordance with the immediately preceding sentence, the reduction will occur, with respect to the Payments considered parachute payments within the meaning of Code Section 280G, in the following order: (i) reduction of cash payments in reverse chronological order (that is, the cash payment owed on the latest date following the occurrence of the event triggering the Excise Tax will be the first cash payment to be reduced); (ii) cancellation of equity awards that were granted “contingent on a change in ownership or control” within the meaning of Section 280G of the Code in the reverse order of date of grant of the equity awards (that is, the most recently granted equity awards will be cancelled first); (iii) reduction of the accelerated vesting of equity awards in the reverse order of date of grant of the equity awards (that is, the vesting of the most recently granted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equity awards will be cancelled first); and (iv) reduction of employee benefits in reverse chronological order (that is, the benefit owed on the latest date following the occurrence of the event triggering the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have any responsibility, liability or obligation to reimburse, indemnify or hold harmless Executive for any of those payments of personal tax liability.</w:t>
      </w:r>
    </w:p>
    <w:p>
      <w:pPr>
        <w:spacing w:after="0" w:line="17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6.2. Determination of Excise Tax Liability</w:t>
      </w:r>
      <w:r>
        <w:rPr>
          <w:rFonts w:ascii="Times New Roman" w:cs="Times New Roman" w:eastAsia="Times New Roman" w:hAnsi="Times New Roman"/>
          <w:sz w:val="21"/>
          <w:szCs w:val="21"/>
          <w:color w:val="auto"/>
        </w:rPr>
        <w:t>. Unless the Company and Executive otherwise agree in writing, any determinations required under this Section 6 will be made in writing by a nationally recognized accounting or valuation firm (the “</w:t>
      </w:r>
      <w:r>
        <w:rPr>
          <w:rFonts w:ascii="Times New Roman" w:cs="Times New Roman" w:eastAsia="Times New Roman" w:hAnsi="Times New Roman"/>
          <w:sz w:val="21"/>
          <w:szCs w:val="21"/>
          <w:u w:val="single" w:color="auto"/>
          <w:color w:val="auto"/>
        </w:rPr>
        <w:t>Firm</w:t>
      </w:r>
      <w:r>
        <w:rPr>
          <w:rFonts w:ascii="Times New Roman" w:cs="Times New Roman" w:eastAsia="Times New Roman" w:hAnsi="Times New Roman"/>
          <w:sz w:val="21"/>
          <w:szCs w:val="21"/>
          <w:color w:val="auto"/>
        </w:rPr>
        <w:t>”) selected by the Company, whose determinations will be conclusive and binding upon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reasonably may request in order to make determinations under this Section 6. The Company will bear the costs and make all payments required to be made to the Firm for the Firm’s services that are rendered in connection with any calculations contemplated by this Section 6. The Company will have no liability to Executive for the determinations of the Firm.</w:t>
      </w:r>
    </w:p>
    <w:p>
      <w:pPr>
        <w:spacing w:after="0" w:line="175"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referred to in this Agreement will have the following meanings: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stock options and other equity awards covering shares of Company common stock granted to Executive.</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Company’s Board of Directors.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Executive’s: (a) indictment or conviction of any felony or any crime involving dishonesty or moral turpitude; (b) participation in any fraud against the Company or other dishonesty which is not the result of an innocent or inadvertent mistake by Executive with respect to the Company; (c) willful violation of Executive’s obligations to the Company after there has been delivered to Executive a written demand for performance from the Board which describes the basis for the Board’s belief that Executive has not substantially satisfied Executive’s obligations to the Company; (d) continued violation or breach of any material written Company policy, agreement with the Company, or any statutory or fiduciary duty to the Company after there has been delivered to you a written notification of such violation or breach; or (e) damaging or misappropriating or attempting to damage or misappropriate any property, including intellectual property, of the Company.</w:t>
      </w:r>
    </w:p>
    <w:p>
      <w:pPr>
        <w:spacing w:after="0" w:line="17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first occurrence of any of the following events on or after the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82" w:lineRule="exact"/>
        <w:rPr>
          <w:sz w:val="20"/>
          <w:szCs w:val="20"/>
          <w:color w:val="auto"/>
        </w:rPr>
      </w:pPr>
    </w:p>
    <w:p>
      <w:pPr>
        <w:ind w:firstLine="2254"/>
        <w:spacing w:after="0" w:line="258" w:lineRule="auto"/>
        <w:tabs>
          <w:tab w:leader="none" w:pos="2546" w:val="left"/>
        </w:tabs>
        <w:numPr>
          <w:ilvl w:val="0"/>
          <w:numId w:val="1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Ownership of the Company</w:t>
      </w:r>
      <w:r>
        <w:rPr>
          <w:rFonts w:ascii="Times New Roman" w:cs="Times New Roman" w:eastAsia="Times New Roman" w:hAnsi="Times New Roman"/>
          <w:sz w:val="22"/>
          <w:szCs w:val="22"/>
          <w:color w:val="auto"/>
        </w:rPr>
        <w:t>. A change in the ownership of the Company which occurs on the date that any one person, or more than one person acting as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group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(a).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2" w:lineRule="exact"/>
        <w:rPr>
          <w:sz w:val="20"/>
          <w:szCs w:val="20"/>
          <w:color w:val="auto"/>
        </w:rPr>
      </w:pPr>
    </w:p>
    <w:p>
      <w:pPr>
        <w:jc w:val="both"/>
        <w:ind w:firstLine="2254"/>
        <w:spacing w:after="0" w:line="235" w:lineRule="auto"/>
        <w:tabs>
          <w:tab w:leader="none" w:pos="2546"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Effective Control of the Company</w:t>
      </w:r>
      <w:r>
        <w:rPr>
          <w:rFonts w:ascii="Times New Roman" w:cs="Times New Roman" w:eastAsia="Times New Roman" w:hAnsi="Times New Roman"/>
          <w:sz w:val="22"/>
          <w:szCs w:val="22"/>
          <w:color w:val="auto"/>
        </w:rPr>
        <w:t>. If the Company has a class of securities registered pursuant to Section 12 of the U.S. Securities Exchange Act of 1934, as amended,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22"/>
          <w:szCs w:val="22"/>
          <w:u w:val="single" w:color="auto"/>
          <w:color w:val="auto"/>
        </w:rPr>
      </w:pPr>
    </w:p>
    <w:p>
      <w:pPr>
        <w:jc w:val="both"/>
        <w:ind w:firstLine="2254"/>
        <w:spacing w:after="0" w:line="233" w:lineRule="auto"/>
        <w:tabs>
          <w:tab w:leader="none" w:pos="2546" w:val="left"/>
        </w:tabs>
        <w:numPr>
          <w:ilvl w:val="0"/>
          <w:numId w:val="1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 in Ownership of a Substantial Portion of the Company’s Assets</w:t>
      </w:r>
      <w:r>
        <w:rPr>
          <w:rFonts w:ascii="Times New Roman" w:cs="Times New Roman" w:eastAsia="Times New Roman" w:hAnsi="Times New Roman"/>
          <w:sz w:val="22"/>
          <w:szCs w:val="22"/>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means the period beginning on the date one (1) month prior to a Change in Control and ending on (and inclusive of) the date that is the one (1) year anniversary of a Change in Control.</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Executive’s At-will Employment, Confidential Information, Invention Assignment, and Arbitration Agreement entered into with the Company dated March 30, 2024.</w:t>
      </w:r>
    </w:p>
    <w:p>
      <w:pPr>
        <w:spacing w:after="0" w:line="15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means a member of the Board.</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u w:val="single" w:color="auto"/>
          <w:color w:val="auto"/>
        </w:rPr>
        <w:t>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total and permanent disability as defined in Code Section 22(e)(3).</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7.10.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Executive’s termination of Executive’s employment with the Company within thirty (30) days following the end of the Company’s Cure Period (as defined below) as a result of the occurrence of any of the following without Executive’s written consent: (a) a material reduction in Executive’s duties or responsibilities that is inconsistent with Executive’s position, provided that a mere change of title alone shall not constitute such a material reduction;</w:t>
      </w:r>
    </w:p>
    <w:p>
      <w:pPr>
        <w:spacing w:after="0" w:line="1" w:lineRule="exact"/>
        <w:rPr>
          <w:sz w:val="20"/>
          <w:szCs w:val="20"/>
          <w:color w:val="auto"/>
        </w:rPr>
      </w:pPr>
    </w:p>
    <w:p>
      <w:pPr>
        <w:jc w:val="both"/>
        <w:ind w:firstLine="8"/>
        <w:spacing w:after="0" w:line="243" w:lineRule="auto"/>
        <w:tabs>
          <w:tab w:leader="none" w:pos="319"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requirement that Executive change Executive’s principal office to a facility that increases Executive’s commute by more than forty (40) miles from Executive’s commute to the location at which Executive was employed prior to such change; or (c) a material reduction in Executive’s base salary or a material reduction in Executive’s employee benefits (e.g., medical, dental, insurance, short- and long-term disability insurance and 401(k) retirement plan benefits, collectively (the “</w:t>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to which Executive is entitled immediately prior to such reduction (other than (x) in connection with a general decrease in the annual base salary or Employee Benefits of all similarly situated employees, and (y) following the Change in Control, to the extent necessary to make Executive’s annual base salary or Employee Benefits commensurate with those of other employees of the Company or its successor entity or parent entity who are similarly situated with Executive following such Change in Control); provided, however, that Executive must provide written notice to the Board of the condition that could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5" w:lineRule="exact"/>
        <w:rPr>
          <w:sz w:val="20"/>
          <w:szCs w:val="20"/>
          <w:color w:val="auto"/>
        </w:rPr>
      </w:pPr>
    </w:p>
    <w:p>
      <w:pPr>
        <w:jc w:val="both"/>
        <w:spacing w:after="0" w:line="252" w:lineRule="exact"/>
        <w:rPr>
          <w:sz w:val="20"/>
          <w:szCs w:val="20"/>
          <w:color w:val="auto"/>
        </w:rPr>
      </w:pPr>
      <w:r>
        <w:rPr>
          <w:rFonts w:ascii="Times New Roman" w:cs="Times New Roman" w:eastAsia="Times New Roman" w:hAnsi="Times New Roman"/>
          <w:sz w:val="22"/>
          <w:szCs w:val="22"/>
          <w:color w:val="auto"/>
        </w:rPr>
        <w:t>constitute a “Good Reason” event within ninety (90) days following the initial existence of such condition and such condition must not have been remedied by the Company within thirty (30) days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of such written notice. To the extent Executive’s primary work location is not the Company’s corporate offices due to a shelter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place order, quarantine order, or similar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from</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home requirement that applies to Executive, Executive’s primary office location, from which a change in location under the foregoing clause (b)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termination of Executive’s employment with the Company either (a) by the Company without Cause and other than due to Executive’s death or Disability, or (b) by Executive for Good Reason.</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7.12.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means Executive’s annual base salary in effect immediately prior to Executive’s Qualifying Termination (or, if the termination is due to a resignation for Good Reason based on a material reduction in Executive’s base salary, then Executive’s annual base salary in effect immediately prior to the reduction) or, if Executive’s Qualifying Termination occurs during the Change in Control Period and the amount is greater, Executive’s annual base salary in effect immediately prior to the Change in Control.</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 means Code Section 409A and the Treasury Regulations and guidance thereunder, and any applicable state law equivalent, as each may be promulgated, amended or modified from time to time.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Service-based Awards</w:t>
      </w:r>
      <w:r>
        <w:rPr>
          <w:rFonts w:ascii="Times New Roman" w:cs="Times New Roman" w:eastAsia="Times New Roman" w:hAnsi="Times New Roman"/>
          <w:sz w:val="22"/>
          <w:szCs w:val="22"/>
          <w:color w:val="auto"/>
        </w:rPr>
        <w:t>” means Awards that, as of the date of the Qualifying Termination, or in the case of a Qualifying Termination during the Change in Control Period, the later of the date of the Qualifying Termination or immediately prior to the Change in Control, are held by Executive and subject to continued service-based vesting criteria, but not subject to the achievement of any performance-based or other similar vesting criteria.</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means Executive’s annual (or annualized, if applicable) target bonus in effect immediately prior to Executive’s Qualifying Termination or, if Executive’s Qualifying Termination occurs during the Change in Control Period and the amount is greater, Executive’s annual (or annualized, if applicable) target bonus in effect immediately prior to the Change in Control.</w:t>
      </w:r>
    </w:p>
    <w:p>
      <w:pPr>
        <w:spacing w:after="0" w:line="180" w:lineRule="exact"/>
        <w:rPr>
          <w:sz w:val="20"/>
          <w:szCs w:val="20"/>
          <w:color w:val="auto"/>
        </w:rPr>
      </w:pPr>
    </w:p>
    <w:p>
      <w:pPr>
        <w:jc w:val="both"/>
        <w:ind w:firstLine="757"/>
        <w:spacing w:after="0" w:line="235" w:lineRule="auto"/>
        <w:tabs>
          <w:tab w:leader="none" w:pos="1018"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9. Notice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9.1. General</w:t>
      </w:r>
      <w:r>
        <w:rPr>
          <w:rFonts w:ascii="Times New Roman" w:cs="Times New Roman" w:eastAsia="Times New Roman" w:hAnsi="Times New Roman"/>
          <w:sz w:val="22"/>
          <w:szCs w:val="22"/>
          <w:color w:val="auto"/>
        </w:rPr>
        <w:t>. All notices and other communications required or permitted under this Agreement will be in writing and will be effectively given (a) upon actual delivery to the party to be notified, (b) upon transmission by email, (c) twenty-four (24) hours after confirmed facsimile transmission, (d) one (1) business day after deposit with a recognized overnight courier, or (e) three (3) business days after deposit with the U.S. Postal Service by first class certified or registered mail, return receipt requested, postage prepaid, addressed: (i) if to Executive, at the address Executive will have most recently furnished to the Company in writing, (ii) if to the Company, at the following address:</w:t>
      </w:r>
    </w:p>
    <w:p>
      <w:pPr>
        <w:spacing w:after="0" w:line="18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18706 North Creek Parkway, Suite 104</w:t>
      </w:r>
    </w:p>
    <w:p>
      <w:pPr>
        <w:ind w:left="2260"/>
        <w:spacing w:after="0" w:line="230" w:lineRule="auto"/>
        <w:rPr>
          <w:sz w:val="20"/>
          <w:szCs w:val="20"/>
          <w:color w:val="auto"/>
        </w:rPr>
      </w:pPr>
      <w:r>
        <w:rPr>
          <w:rFonts w:ascii="Times New Roman" w:cs="Times New Roman" w:eastAsia="Times New Roman" w:hAnsi="Times New Roman"/>
          <w:sz w:val="22"/>
          <w:szCs w:val="22"/>
          <w:color w:val="auto"/>
        </w:rPr>
        <w:t>Bothell, Washington 98011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9.2. Notice of Termination</w:t>
      </w:r>
      <w:r>
        <w:rPr>
          <w:rFonts w:ascii="Times New Roman" w:cs="Times New Roman" w:eastAsia="Times New Roman" w:hAnsi="Times New Roman"/>
          <w:sz w:val="22"/>
          <w:szCs w:val="22"/>
          <w:color w:val="auto"/>
        </w:rPr>
        <w:t>. Any termination of Executive’s employment by the Company for Cause will be communicated by a notice of termination of Executive’s employment to Executive, and any termination by Executive for Good Reason will be communicated by a notice of termination to the Company, in each case given in accordance with Section 9.1.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later of (a) the giving of the notice or (b) the end of any applicable cure period).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10.Resignation</w:t>
      </w:r>
      <w:r>
        <w:rPr>
          <w:rFonts w:ascii="Times New Roman" w:cs="Times New Roman" w:eastAsia="Times New Roman" w:hAnsi="Times New Roman"/>
          <w:sz w:val="22"/>
          <w:szCs w:val="22"/>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11.Miscellaneous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 No Duty to Mitigate</w:t>
      </w:r>
      <w:r>
        <w:rPr>
          <w:rFonts w:ascii="Times New Roman" w:cs="Times New Roman" w:eastAsia="Times New Roman" w:hAnsi="Times New Roman"/>
          <w:sz w:val="22"/>
          <w:szCs w:val="22"/>
          <w:color w:val="auto"/>
        </w:rPr>
        <w:t>. Executive will not be required to mitigate the amount of any payment contemplated by this Agreement, nor will any payment be reduced by any earnings that Executive may receive from any other source except as specified in Sections 3.4, 5.4 and 6.</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11.2. Waiver; Amendment</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an authorized officer of the Company (other than Executive) and by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11.3. Headings</w:t>
      </w:r>
      <w:r>
        <w:rPr>
          <w:rFonts w:ascii="Times New Roman" w:cs="Times New Roman" w:eastAsia="Times New Roman" w:hAnsi="Times New Roman"/>
          <w:sz w:val="22"/>
          <w:szCs w:val="22"/>
          <w:color w:val="auto"/>
        </w:rPr>
        <w:t>. Headings are provided herein for convenience only, and will not serve as a basis for interpretation or construction of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11.4. Entire Agreement</w:t>
      </w:r>
      <w:r>
        <w:rPr>
          <w:rFonts w:ascii="Times New Roman" w:cs="Times New Roman" w:eastAsia="Times New Roman" w:hAnsi="Times New Roman"/>
          <w:sz w:val="22"/>
          <w:szCs w:val="22"/>
          <w:color w:val="auto"/>
        </w:rPr>
        <w:t>. This Agreement, together with the Confidentiality Agreement and Executive’s offer letter agreement with the Company dated March 29, 2024, constitutes the entire agreement of the parties and supersedes in their entirety all prior representations, understandings, undertakings or agreements (whether oral or written and whether expressed or implied) of the parties with respect to the subject matter of this Agreement.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11.5. Governing Law</w:t>
      </w:r>
      <w:r>
        <w:rPr>
          <w:rFonts w:ascii="Times New Roman" w:cs="Times New Roman" w:eastAsia="Times New Roman" w:hAnsi="Times New Roman"/>
          <w:sz w:val="22"/>
          <w:szCs w:val="22"/>
          <w:color w:val="auto"/>
        </w:rPr>
        <w:t>. This Agreement will be governed by the laws of the State of Washington but without regard to the conflict of law provision. To the extent that any lawsuit is permitted with respect to any provisions under this Agreement, Executive hereby expressly consents to the personal and exclusive jurisdiction and venue of the state and federal courts located in the State of Washington for any lawsuit filed against Executive by the Company.</w:t>
      </w:r>
    </w:p>
    <w:p>
      <w:pPr>
        <w:spacing w:after="0" w:line="18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u w:val="single" w:color="auto"/>
          <w:color w:val="auto"/>
        </w:rPr>
        <w:t>11.6. Severability</w:t>
      </w:r>
      <w:r>
        <w:rPr>
          <w:rFonts w:ascii="Times New Roman" w:cs="Times New Roman" w:eastAsia="Times New Roman" w:hAnsi="Times New Roman"/>
          <w:sz w:val="21"/>
          <w:szCs w:val="21"/>
          <w:color w:val="auto"/>
        </w:rPr>
        <w:t>. If any provision of this Agreement is or becomes or is deemed to be invalid, illegal, or unenforceable for any reason, such invalidity, illegality, or unenforceability will not affect the remaining parts of this Agreement, and this Agreement will be construed and enforced as if the invalid, illegal, or unenforceable provision had not been included.</w:t>
      </w:r>
    </w:p>
    <w:p>
      <w:pPr>
        <w:spacing w:after="0" w:line="157" w:lineRule="exact"/>
        <w:rPr>
          <w:sz w:val="20"/>
          <w:szCs w:val="20"/>
          <w:color w:val="auto"/>
        </w:rPr>
      </w:pPr>
    </w:p>
    <w:p>
      <w:pPr>
        <w:jc w:val="both"/>
        <w:ind w:firstLine="1497"/>
        <w:spacing w:after="0" w:line="249" w:lineRule="exact"/>
        <w:rPr>
          <w:sz w:val="20"/>
          <w:szCs w:val="20"/>
          <w:color w:val="auto"/>
        </w:rPr>
      </w:pPr>
      <w:r>
        <w:rPr>
          <w:rFonts w:ascii="Times New Roman" w:cs="Times New Roman" w:eastAsia="Times New Roman" w:hAnsi="Times New Roman"/>
          <w:sz w:val="22"/>
          <w:szCs w:val="22"/>
          <w:u w:val="single" w:color="auto"/>
          <w:color w:val="auto"/>
        </w:rPr>
        <w:t>11.7. Withholding</w:t>
      </w:r>
      <w:r>
        <w:rPr>
          <w:rFonts w:ascii="Times New Roman" w:cs="Times New Roman" w:eastAsia="Times New Roman" w:hAnsi="Times New Roman"/>
          <w:sz w:val="22"/>
          <w:szCs w:val="22"/>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taxes or other required withholdings and payroll deductions (“</w:t>
      </w:r>
      <w:r>
        <w:rPr>
          <w:rFonts w:ascii="Times New Roman" w:cs="Times New Roman" w:eastAsia="Times New Roman" w:hAnsi="Times New Roman"/>
          <w:sz w:val="22"/>
          <w:szCs w:val="22"/>
          <w:u w:val="single" w:color="auto"/>
          <w:color w:val="auto"/>
        </w:rPr>
        <w:t>Withholdings</w:t>
      </w:r>
      <w:r>
        <w:rPr>
          <w:rFonts w:ascii="Times New Roman" w:cs="Times New Roman" w:eastAsia="Times New Roman" w:hAnsi="Times New Roman"/>
          <w:sz w:val="22"/>
          <w:szCs w:val="22"/>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11.8. Counterparts</w:t>
      </w:r>
      <w:r>
        <w:rPr>
          <w:rFonts w:ascii="Times New Roman" w:cs="Times New Roman" w:eastAsia="Times New Roman" w:hAnsi="Times New Roman"/>
          <w:sz w:val="22"/>
          <w:szCs w:val="22"/>
          <w:color w:val="auto"/>
        </w:rPr>
        <w:t>. This Agreement may be executed in counterparts, each of which will be deemed an original, but all of which together will constitute one and the same instrument.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By her, his, or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b w:val="1"/>
          <w:bCs w:val="1"/>
          <w:color w:val="auto"/>
        </w:rPr>
        <w:t>COMPANY</w:t>
      </w:r>
      <w:r>
        <w:rPr>
          <w:sz w:val="20"/>
          <w:szCs w:val="20"/>
          <w:color w:val="auto"/>
        </w:rPr>
        <w:tab/>
      </w:r>
      <w:r>
        <w:rPr>
          <w:rFonts w:ascii="Times New Roman" w:cs="Times New Roman" w:eastAsia="Times New Roman" w:hAnsi="Times New Roman"/>
          <w:sz w:val="22"/>
          <w:szCs w:val="22"/>
          <w:b w:val="1"/>
          <w:bCs w:val="1"/>
          <w:color w:val="auto"/>
        </w:rPr>
        <w:t>ATHIRA PHARMA, INC.</w:t>
      </w: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-13970</wp:posOffset>
            </wp:positionV>
            <wp:extent cx="133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Mark Litton</w:t>
      </w: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_____</w:t>
      </w:r>
    </w:p>
    <w:p>
      <w:pPr>
        <w:spacing w:after="0" w:line="314"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-13970</wp:posOffset>
            </wp:positionV>
            <wp:extent cx="1554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554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7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Javier San Martin</w:t>
            </w:r>
          </w:p>
        </w:tc>
      </w:tr>
      <w:tr>
        <w:trPr>
          <w:trHeight w:val="276"/>
        </w:trPr>
        <w:tc>
          <w:tcPr>
            <w:tcW w:w="3900" w:type="dxa"/>
            <w:vAlign w:val="bottom"/>
          </w:tcPr>
          <w:p>
            <w:pPr>
              <w:spacing w:after="0"/>
              <w:rPr>
                <w:sz w:val="23"/>
                <w:szCs w:val="23"/>
                <w:color w:val="auto"/>
              </w:rPr>
            </w:pPr>
          </w:p>
        </w:tc>
        <w:tc>
          <w:tcPr>
            <w:tcW w:w="3020" w:type="dxa"/>
            <w:vAlign w:val="bottom"/>
            <w:tcBorders>
              <w:top w:val="single" w:sz="8" w:color="auto"/>
            </w:tcBorders>
            <w:gridSpan w:val="2"/>
          </w:tcPr>
          <w:p>
            <w:pPr>
              <w:ind w:left="1340"/>
              <w:spacing w:after="0"/>
              <w:rPr>
                <w:sz w:val="20"/>
                <w:szCs w:val="20"/>
                <w:color w:val="auto"/>
              </w:rPr>
            </w:pPr>
            <w:r>
              <w:rPr>
                <w:rFonts w:ascii="Times New Roman" w:cs="Times New Roman" w:eastAsia="Times New Roman" w:hAnsi="Times New Roman"/>
                <w:sz w:val="22"/>
                <w:szCs w:val="22"/>
                <w:color w:val="auto"/>
              </w:rPr>
              <w:t>Javier San Martin</w:t>
            </w:r>
          </w:p>
        </w:tc>
        <w:tc>
          <w:tcPr>
            <w:tcW w:w="1360" w:type="dxa"/>
            <w:vAlign w:val="bottom"/>
          </w:tcPr>
          <w:p>
            <w:pPr>
              <w:spacing w:after="0"/>
              <w:rPr>
                <w:sz w:val="23"/>
                <w:szCs w:val="23"/>
                <w:color w:val="auto"/>
              </w:rPr>
            </w:pPr>
          </w:p>
        </w:tc>
        <w:tc>
          <w:tcPr>
            <w:tcW w:w="2960" w:type="dxa"/>
            <w:vAlign w:val="bottom"/>
          </w:tcPr>
          <w:p>
            <w:pPr>
              <w:spacing w:after="0"/>
              <w:rPr>
                <w:sz w:val="23"/>
                <w:szCs w:val="23"/>
                <w:color w:val="auto"/>
              </w:rPr>
            </w:pPr>
          </w:p>
        </w:tc>
      </w:tr>
      <w:tr>
        <w:trPr>
          <w:trHeight w:val="406"/>
        </w:trPr>
        <w:tc>
          <w:tcPr>
            <w:tcW w:w="3900" w:type="dxa"/>
            <w:vAlign w:val="bottom"/>
          </w:tcPr>
          <w:p>
            <w:pPr>
              <w:spacing w:after="0"/>
              <w:rPr>
                <w:sz w:val="24"/>
                <w:szCs w:val="24"/>
                <w:color w:val="auto"/>
              </w:rPr>
            </w:pPr>
          </w:p>
        </w:tc>
        <w:tc>
          <w:tcPr>
            <w:tcW w:w="7340" w:type="dxa"/>
            <w:vAlign w:val="bottom"/>
            <w:gridSpan w:val="4"/>
          </w:tcPr>
          <w:p>
            <w:pPr>
              <w:ind w:left="1340"/>
              <w:spacing w:after="0"/>
              <w:rPr>
                <w:sz w:val="20"/>
                <w:szCs w:val="20"/>
                <w:color w:val="auto"/>
              </w:rPr>
            </w:pPr>
            <w:r>
              <w:rPr>
                <w:rFonts w:ascii="Times New Roman" w:cs="Times New Roman" w:eastAsia="Times New Roman" w:hAnsi="Times New Roman"/>
                <w:sz w:val="22"/>
                <w:szCs w:val="22"/>
                <w:color w:val="auto"/>
                <w:w w:val="98"/>
              </w:rPr>
              <w:t>Date:April 2, 2024</w:t>
            </w:r>
          </w:p>
        </w:tc>
      </w:tr>
      <w:tr>
        <w:trPr>
          <w:trHeight w:val="885"/>
        </w:trPr>
        <w:tc>
          <w:tcPr>
            <w:tcW w:w="3900" w:type="dxa"/>
            <w:vAlign w:val="bottom"/>
          </w:tcPr>
          <w:p>
            <w:pPr>
              <w:spacing w:after="0"/>
              <w:rPr>
                <w:sz w:val="24"/>
                <w:szCs w:val="24"/>
                <w:color w:val="auto"/>
              </w:rPr>
            </w:pPr>
          </w:p>
        </w:tc>
        <w:tc>
          <w:tcPr>
            <w:tcW w:w="1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00" w:lineRule="exact"/>
        <w:rPr>
          <w:sz w:val="20"/>
          <w:szCs w:val="20"/>
          <w:color w:val="auto"/>
        </w:rPr>
      </w:pPr>
    </w:p>
    <w:p>
      <w:pPr>
        <w:spacing w:after="0" w:line="241" w:lineRule="exact"/>
        <w:rPr>
          <w:sz w:val="20"/>
          <w:szCs w:val="20"/>
          <w:color w:val="auto"/>
        </w:rPr>
      </w:pPr>
    </w:p>
    <w:p>
      <w:pPr>
        <w:jc w:val="center"/>
        <w:ind w:left="340" w:right="5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Litton, certify that:</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Quarterly Report on Form 10-Q/A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9914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 Litton</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1369060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00" w:lineRule="exact"/>
        <w:rPr>
          <w:sz w:val="20"/>
          <w:szCs w:val="20"/>
          <w:color w:val="auto"/>
        </w:rPr>
      </w:pPr>
    </w:p>
    <w:p>
      <w:pPr>
        <w:spacing w:after="0" w:line="24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EXCHANGE ACT RULE 13a-14(a)/15d-14(a) AS ADOPTED PURSUANT TO SECTION 302 OF THE SARBANES-OXLEY ACT OF 2002</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Gengos, certify that:</w:t>
      </w:r>
    </w:p>
    <w:p>
      <w:pPr>
        <w:spacing w:after="0" w:line="200" w:lineRule="exact"/>
        <w:rPr>
          <w:sz w:val="20"/>
          <w:szCs w:val="20"/>
          <w:color w:val="auto"/>
        </w:rPr>
      </w:pPr>
    </w:p>
    <w:p>
      <w:pPr>
        <w:spacing w:after="0" w:line="24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Quarterly Report on Form 10-Q/A of Athira Pharma, Inc.;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2024</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Andrew Gengos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Andrew Gengos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 and Chief Business Officer</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2"/>
    </w:lvl>
  </w:abstractNum>
  <w:abstractNum w:abstractNumId="6">
    <w:nsid w:val="3352255A"/>
    <w:multiLevelType w:val="hybridMultilevel"/>
    <w:lvl w:ilvl="0">
      <w:lvlJc w:val="left"/>
      <w:lvlText w:val="(%1)"/>
      <w:numFmt w:val="lowerLetter"/>
      <w:start w:val="2"/>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lvl w:ilvl="1">
      <w:lvlJc w:val="left"/>
      <w:lvlText w:val="(%2)"/>
      <w:numFmt w:val="lowerLetter"/>
      <w:start w:val="3"/>
    </w:lvl>
  </w:abstractNum>
  <w:abstractNum w:abstractNumId="10">
    <w:nsid w:val="1BEFD79F"/>
    <w:multiLevelType w:val="hybridMultilevel"/>
    <w:lvl w:ilvl="0">
      <w:lvlJc w:val="left"/>
      <w:lvlText w:val="%1."/>
      <w:numFmt w:val="decimal"/>
      <w:start w:val="6"/>
    </w:lvl>
    <w:lvl w:ilvl="1">
      <w:lvlJc w:val="left"/>
      <w:lvlText w:val="%2"/>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7"/>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8"/>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png"/><Relationship Id="rId28" Type="http://schemas.openxmlformats.org/officeDocument/2006/relationships/image" Target="media/image14.jpe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14" Type="http://schemas.openxmlformats.org/officeDocument/2006/relationships/hyperlink" Target="https://www.sec.gov/Archives/edgar/data/0001620463/000156459020053574/atha-ex31_153.htm" TargetMode="External"/><Relationship Id="rId15" Type="http://schemas.openxmlformats.org/officeDocument/2006/relationships/hyperlink" Target="https://www.sec.gov/Archives/edgar/data/1620463/000095017024065914/atha-ex3_1.htm" TargetMode="External"/><Relationship Id="rId16" Type="http://schemas.openxmlformats.org/officeDocument/2006/relationships/hyperlink" Target="https://www.sec.gov/Archives/edgar/data/1620463/000095017022025442/atha-ex3_1.htm" TargetMode="External"/><Relationship Id="rId17" Type="http://schemas.openxmlformats.org/officeDocument/2006/relationships/hyperlink" Target="https://www.sec.gov/Archives/edgar/data/1620463/000095017024089304/atha-ex31_1.htm" TargetMode="External"/><Relationship Id="rId18" Type="http://schemas.openxmlformats.org/officeDocument/2006/relationships/hyperlink" Target="https://www.sec.gov/Archives/edgar/data/1620463/000095017024089304/atha-ex31_2.htm" TargetMode="External"/><Relationship Id="rId19" Type="http://schemas.openxmlformats.org/officeDocument/2006/relationships/hyperlink" Target="https://www.sec.gov/Archives/edgar/data/1620463/000095017024089304/atha-ex32_1.htm" TargetMode="External"/><Relationship Id="rId20" Type="http://schemas.openxmlformats.org/officeDocument/2006/relationships/hyperlink" Target="https://www.sec.gov/Archives/edgar/data/1620463/000095017024089304/atha-ex3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2024-08-09T15:14:46Z</dcterms:created>
  <dcterms:modified xsi:type="dcterms:W3CDTF">2024-08-09T15:14:46Z</dcterms:modified>
</cp:coreProperties>
</file>